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irix-10q_20220402.htm"/>
      <w:bookmarkStart w:id="1" w:name="ksirix10q_20220402"/>
      <w:bookmarkEnd w:id="0"/>
      <w:bookmarkEnd w:id="1"/>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120"/>
        <w:jc w:val="center"/>
        <w:rPr/>
      </w:pPr>
      <w:r>
        <w:rPr/>
        <w:t> </w:t>
      </w:r>
    </w:p>
    <w:p>
      <w:pPr>
        <w:pStyle w:val="TextBody"/>
        <w:spacing w:before="12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i w:val="false"/>
          <w:caps w:val="false"/>
          <w:smallCaps w:val="false"/>
          <w:sz w:val="20"/>
        </w:rPr>
      </w:pPr>
      <w:r>
        <w:rPr>
          <w:rFonts w:ascii="Times New Roman" w:hAnsi="Times New Roman"/>
          <w:b/>
          <w:i w:val="false"/>
          <w:caps w:val="false"/>
          <w:smallCaps w:val="false"/>
          <w:sz w:val="20"/>
        </w:rPr>
        <w:t>(Mark One)</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975" w:type="dxa"/>
            <w:tcBorders/>
            <w:shd w:fill="auto" w:val="clear"/>
          </w:tcPr>
          <w:p>
            <w:pPr>
              <w:pStyle w:val="TableContents"/>
              <w:spacing w:before="0" w:after="0"/>
              <w:rPr>
                <w:rFonts w:ascii="Times New Roman" w:hAnsi="Times New Roman"/>
                <w:b/>
                <w:i w:val="false"/>
                <w:caps w:val="false"/>
                <w:smallCaps w:val="false"/>
                <w:sz w:val="24"/>
              </w:rPr>
            </w:pPr>
            <w:r>
              <w:rPr>
                <w:rFonts w:ascii="Times New Roman" w:hAnsi="Times New Roman"/>
                <w:b/>
                <w:i w:val="false"/>
                <w:caps w:val="false"/>
                <w:smallCaps w:val="false"/>
                <w:sz w:val="24"/>
              </w:rPr>
              <w:t>QUARTERLY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April 2, 2022</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80" w:after="0"/>
              <w:rPr>
                <w:caps w:val="false"/>
                <w:smallCaps w:val="false"/>
              </w:rPr>
            </w:pPr>
            <w:r>
              <w:rPr>
                <w:caps w:val="false"/>
                <w:smallCaps w:val="false"/>
              </w:rPr>
              <w:t>☐</w:t>
            </w:r>
          </w:p>
        </w:tc>
        <w:tc>
          <w:tcPr>
            <w:tcW w:w="9975" w:type="dxa"/>
            <w:tcBorders/>
            <w:shd w:fill="auto" w:val="clear"/>
          </w:tcPr>
          <w:p>
            <w:pPr>
              <w:pStyle w:val="TableContents"/>
              <w:spacing w:before="80" w:after="0"/>
              <w:rPr>
                <w:rFonts w:ascii="Times New Roman" w:hAnsi="Times New Roman"/>
                <w:b/>
                <w:i w:val="false"/>
                <w:caps w:val="false"/>
                <w:smallCaps w:val="false"/>
                <w:sz w:val="24"/>
              </w:rPr>
            </w:pPr>
            <w:r>
              <w:rPr>
                <w:rFonts w:ascii="Times New Roman" w:hAnsi="Times New Roman"/>
                <w:b/>
                <w:i w:val="false"/>
                <w:caps w:val="false"/>
                <w:smallCaps w:val="false"/>
                <w:sz w:val="24"/>
              </w:rPr>
              <w:t>TRANSITION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to                     </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0-27598</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48"/>
        </w:rPr>
      </w:pPr>
      <w:r>
        <w:rPr>
          <w:rFonts w:ascii="Times New Roman" w:hAnsi="Times New Roman"/>
          <w:b/>
          <w:i w:val="false"/>
          <w:caps w:val="false"/>
          <w:smallCaps w:val="false"/>
          <w:sz w:val="48"/>
        </w:rPr>
        <w:t>IRIDEX CORPORATION</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570" w:type="dxa"/>
        <w:jc w:val="left"/>
        <w:tblInd w:w="0" w:type="dxa"/>
        <w:tblCellMar>
          <w:top w:w="0" w:type="dxa"/>
          <w:left w:w="0" w:type="dxa"/>
          <w:bottom w:w="0" w:type="dxa"/>
          <w:right w:w="0" w:type="dxa"/>
        </w:tblCellMar>
      </w:tblPr>
      <w:tblGrid>
        <w:gridCol w:w="2825"/>
        <w:gridCol w:w="60"/>
        <w:gridCol w:w="1685"/>
      </w:tblGrid>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77-0210467</w:t>
            </w:r>
          </w:p>
        </w:tc>
      </w:tr>
      <w:tr>
        <w:trPr/>
        <w:tc>
          <w:tcPr>
            <w:tcW w:w="282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(State or other jurisdiction of</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incorporation or organization)</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(I.R.S. Employer</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Identification Number)</w:t>
            </w:r>
          </w:p>
        </w:tc>
      </w:tr>
      <w:tr>
        <w:trPr/>
        <w:tc>
          <w:tcPr>
            <w:tcW w:w="282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74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1212 Terra Bella Avenue</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Mountain View, California</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94043-1824</w:t>
            </w:r>
          </w:p>
        </w:tc>
      </w:tr>
      <w:tr>
        <w:trPr/>
        <w:tc>
          <w:tcPr>
            <w:tcW w:w="282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(Address of principal executive offices)</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Registrant’s telephone number, including area code: (650) 940-4700</w:t>
      </w:r>
    </w:p>
    <w:p>
      <w:pPr>
        <w:pStyle w:val="TextBody"/>
        <w:pBdr>
          <w:bottom w:val="single" w:sz="6" w:space="1" w:color="000000"/>
        </w:pBdr>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Securities registered pursuant to Section 12(b) of the Act: </w:t>
      </w:r>
    </w:p>
    <w:p>
      <w:pPr>
        <w:pStyle w:val="TextBody"/>
        <w:spacing w:before="0" w:after="0"/>
        <w:rPr/>
      </w:pPr>
      <w:r>
        <w:rPr/>
        <w:t> </w:t>
      </w:r>
    </w:p>
    <w:tbl>
      <w:tblPr>
        <w:tblW w:w="8160" w:type="dxa"/>
        <w:jc w:val="left"/>
        <w:tblInd w:w="0" w:type="dxa"/>
        <w:tblCellMar>
          <w:top w:w="0" w:type="dxa"/>
          <w:left w:w="0" w:type="dxa"/>
          <w:bottom w:w="28" w:type="dxa"/>
          <w:right w:w="0" w:type="dxa"/>
        </w:tblCellMar>
      </w:tblPr>
      <w:tblGrid>
        <w:gridCol w:w="3395"/>
        <w:gridCol w:w="60"/>
        <w:gridCol w:w="1340"/>
        <w:gridCol w:w="60"/>
        <w:gridCol w:w="3305"/>
      </w:tblGrid>
      <w:tr>
        <w:trPr/>
        <w:tc>
          <w:tcPr>
            <w:tcW w:w="3395"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 of Class</w:t>
            </w:r>
          </w:p>
        </w:tc>
        <w:tc>
          <w:tcPr>
            <w:tcW w:w="60" w:type="dxa"/>
            <w:tcBorders>
              <w:bottom w:val="single" w:sz="6" w:space="0" w:color="000000"/>
            </w:tcBorders>
            <w:shd w:fill="auto" w:val="clear"/>
            <w:vAlign w:val="center"/>
          </w:tcPr>
          <w:p>
            <w:pPr>
              <w:pStyle w:val="TableContents"/>
              <w:spacing w:before="0" w:after="0"/>
              <w:ind w:left="0" w:right="0" w:hanging="0"/>
              <w:jc w:val="center"/>
              <w:rPr/>
            </w:pPr>
            <w:r>
              <w:rPr/>
              <w:t> </w:t>
            </w:r>
          </w:p>
        </w:tc>
        <w:tc>
          <w:tcPr>
            <w:tcW w:w="1340"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Trading Symbol</w:t>
            </w:r>
          </w:p>
        </w:tc>
        <w:tc>
          <w:tcPr>
            <w:tcW w:w="60" w:type="dxa"/>
            <w:tcBorders>
              <w:bottom w:val="single" w:sz="6" w:space="0" w:color="000000"/>
            </w:tcBorders>
            <w:shd w:fill="auto" w:val="clear"/>
            <w:vAlign w:val="center"/>
          </w:tcPr>
          <w:p>
            <w:pPr>
              <w:pStyle w:val="TableContents"/>
              <w:spacing w:before="0" w:after="0"/>
              <w:ind w:left="0" w:right="0" w:hanging="0"/>
              <w:jc w:val="center"/>
              <w:rPr/>
            </w:pPr>
            <w:r>
              <w:rPr/>
              <w:t> </w:t>
            </w:r>
          </w:p>
        </w:tc>
        <w:tc>
          <w:tcPr>
            <w:tcW w:w="3305"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 of Exchange on Which Registered</w:t>
            </w:r>
          </w:p>
        </w:tc>
      </w:tr>
      <w:tr>
        <w:trPr/>
        <w:tc>
          <w:tcPr>
            <w:tcW w:w="339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Common Stock, par value $0.01 per share</w:t>
            </w:r>
          </w:p>
        </w:tc>
        <w:tc>
          <w:tcPr>
            <w:tcW w:w="60" w:type="dxa"/>
            <w:tcBorders/>
            <w:shd w:fill="auto" w:val="clear"/>
            <w:tcMar>
              <w:bottom w:w="0" w:type="dxa"/>
            </w:tcMar>
            <w:vAlign w:val="center"/>
          </w:tcPr>
          <w:p>
            <w:pPr>
              <w:pStyle w:val="TableContents"/>
              <w:spacing w:before="0" w:after="0"/>
              <w:ind w:left="0" w:right="0" w:hanging="0"/>
              <w:jc w:val="center"/>
              <w:rPr/>
            </w:pPr>
            <w:r>
              <w:rPr/>
              <w:t> </w:t>
            </w:r>
          </w:p>
        </w:tc>
        <w:tc>
          <w:tcPr>
            <w:tcW w:w="1340"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IRIX</w:t>
            </w:r>
          </w:p>
        </w:tc>
        <w:tc>
          <w:tcPr>
            <w:tcW w:w="60" w:type="dxa"/>
            <w:tcBorders/>
            <w:shd w:fill="auto" w:val="clear"/>
            <w:tcMar>
              <w:bottom w:w="0" w:type="dxa"/>
            </w:tcMar>
            <w:vAlign w:val="center"/>
          </w:tcPr>
          <w:p>
            <w:pPr>
              <w:pStyle w:val="TableContents"/>
              <w:spacing w:before="0" w:after="0"/>
              <w:ind w:left="0" w:right="0" w:hanging="0"/>
              <w:jc w:val="center"/>
              <w:rPr/>
            </w:pPr>
            <w:r>
              <w:rPr/>
              <w:t> </w:t>
            </w:r>
          </w:p>
        </w:tc>
        <w:tc>
          <w:tcPr>
            <w:tcW w:w="330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Nasdaq Global Market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5150" w:type="dxa"/>
        <w:jc w:val="left"/>
        <w:tblInd w:w="0" w:type="dxa"/>
        <w:tblCellMar>
          <w:top w:w="0" w:type="dxa"/>
          <w:left w:w="0" w:type="dxa"/>
          <w:bottom w:w="0" w:type="dxa"/>
          <w:right w:w="0" w:type="dxa"/>
        </w:tblCellMar>
      </w:tblPr>
      <w:tblGrid>
        <w:gridCol w:w="2225"/>
        <w:gridCol w:w="60"/>
        <w:gridCol w:w="230"/>
        <w:gridCol w:w="120"/>
        <w:gridCol w:w="2225"/>
        <w:gridCol w:w="60"/>
        <w:gridCol w:w="230"/>
      </w:tblGrid>
      <w:tr>
        <w:trPr/>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Large accelerated filer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Accelerated filer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Non-accelerated filer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Smaller reporting company</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Emerging growth company</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shell company (as defined in Rule 12b-2 of the Exchange Act).    Yes   ☐     No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shares of common stock, $0.01 par value, issued and outstanding as of May 5, 2022 was 15,887,194.</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10"/>
        <w:gridCol w:w="60"/>
        <w:gridCol w:w="9055"/>
        <w:gridCol w:w="380"/>
      </w:tblGrid>
      <w:tr>
        <w:trPr/>
        <w:tc>
          <w:tcPr>
            <w:tcW w:w="71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Items</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9055"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38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Page</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9825" w:type="dxa"/>
            <w:gridSpan w:val="3"/>
            <w:tcBorders/>
            <w:shd w:fill="auto" w:val="clear"/>
            <w:tcMar>
              <w:bottom w:w="0" w:type="dxa"/>
            </w:tcMar>
            <w:vAlign w:val="bottom"/>
          </w:tcPr>
          <w:p>
            <w:pPr>
              <w:pStyle w:val="TableContents"/>
              <w:spacing w:before="0" w:after="0"/>
              <w:ind w:left="0" w:right="0" w:hanging="0"/>
              <w:rPr/>
            </w:pPr>
            <w:hyperlink w:anchor="PART_I_FINANCIAL_INFORMATION">
              <w:r>
                <w:rPr>
                  <w:rStyle w:val="InternetLink"/>
                  <w:u w:val="single"/>
                </w:rPr>
                <w:t>PART I. FINANCIAL INFORMATION</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1_CONDENSED_CONSOLIDATED_FINANCIAL_">
              <w:r>
                <w:rPr>
                  <w:rStyle w:val="InternetLink"/>
                  <w:u w:val="single"/>
                </w:rPr>
                <w:t>Condensed Consolidated Financial Statements (Unaudited)</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BALANCE_SHEETS">
              <w:r>
                <w:rPr>
                  <w:rStyle w:val="InternetLink"/>
                  <w:u w:val="single"/>
                </w:rPr>
                <w:t>Unaudited Condensed Consolidated Balance Sheets as of April 2, 2022 and January 1, 2022</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OPERAT">
              <w:r>
                <w:rPr>
                  <w:rStyle w:val="InternetLink"/>
                  <w:u w:val="single"/>
                </w:rPr>
                <w:t>Unaudited Condensed Consolidated Statements of Operations for the three months ended April 2, 2022 and April 3, 2021</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COMPRE">
              <w:r>
                <w:rPr>
                  <w:rStyle w:val="InternetLink"/>
                  <w:u w:val="single"/>
                </w:rPr>
                <w:t>Unaudited Condensed Consolidated Statements of Comprehensive Loss for the three months ended April 2, 2022 and April 3, 2021</w:t>
              </w:r>
            </w:hyperlink>
            <w:r>
              <w:rPr>
                <w:caps w:val="false"/>
                <w:smallCaps w:val="false"/>
              </w:rPr>
              <w:t xml:space="preserve"> </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STOCKH">
              <w:r>
                <w:rPr>
                  <w:rStyle w:val="InternetLink"/>
                  <w:highlight w:val="white"/>
                  <w:u w:val="single"/>
                </w:rPr>
                <w:t>Unaudited Condensed Consolidated Statements of Stockholders’ Equity for the three months ended April 2, 2022 and April 3, 2021</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CASH_F">
              <w:r>
                <w:rPr>
                  <w:rStyle w:val="InternetLink"/>
                  <w:u w:val="single"/>
                </w:rPr>
                <w:t>Unaudited Condensed Consolidated Statements of Cash Flows for the three months ended April 2, 2022 and April 3, 2021</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NOTES_TO_UNAUDITED_CONDENSED_CONSOLIDATE">
              <w:r>
                <w:rPr>
                  <w:rStyle w:val="InternetLink"/>
                  <w:u w:val="single"/>
                </w:rPr>
                <w:t>Notes to Unaudited Condensed Consolidated Financial Statements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2_MANAGEMENTS_DISCUSSION_ANALYSIS_F">
              <w:r>
                <w:rPr>
                  <w:rStyle w:val="InternetLink"/>
                  <w:u w:val="single"/>
                </w:rPr>
                <w:t>Management’s Discussion and Analysis of Financial Condition and Results of Operations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3_QUANTITATIVE_QUALITATIVE_DISCLOSU">
              <w:r>
                <w:rPr>
                  <w:rStyle w:val="InternetLink"/>
                  <w:u w:val="single"/>
                </w:rPr>
                <w:t>Quantitative and Qualitative Disclosures about Market Risk</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4_CONTROLS_PROCEDURES">
              <w:r>
                <w:rPr>
                  <w:rStyle w:val="InternetLink"/>
                  <w:u w:val="single"/>
                </w:rPr>
                <w:t>Controls and Procedures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9825" w:type="dxa"/>
            <w:gridSpan w:val="3"/>
            <w:tcBorders/>
            <w:shd w:fill="auto" w:val="clear"/>
            <w:tcMar>
              <w:bottom w:w="0" w:type="dxa"/>
            </w:tcMar>
            <w:vAlign w:val="bottom"/>
          </w:tcPr>
          <w:p>
            <w:pPr>
              <w:pStyle w:val="TableContents"/>
              <w:spacing w:before="0" w:after="0"/>
              <w:ind w:left="0" w:right="0" w:hanging="0"/>
              <w:rPr/>
            </w:pPr>
            <w:hyperlink w:anchor="PART_II_OR_INFORMATION">
              <w:r>
                <w:rPr>
                  <w:rStyle w:val="InternetLink"/>
                  <w:u w:val="single"/>
                </w:rPr>
                <w:t>PART II. OTHER INFORMATION</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1_LEGAL_PROCEEDINGS">
              <w:r>
                <w:rPr>
                  <w:rStyle w:val="InternetLink"/>
                  <w:u w:val="single"/>
                </w:rPr>
                <w:t>Legal Proceedings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1A_RISK_FACTORS">
              <w:r>
                <w:rPr>
                  <w:rStyle w:val="InternetLink"/>
                  <w:u w:val="single"/>
                </w:rPr>
                <w:t>Risk Factors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2_UNREGISTERED_SALES_EQUITY_SECURIT">
              <w:r>
                <w:rPr>
                  <w:rStyle w:val="InternetLink"/>
                  <w:u w:val="single"/>
                </w:rPr>
                <w:t>Unregistered Sales of Equity Securities and Use of Proceeds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3_DEFAULTS_UPON_SENIOR_SECURITIES">
              <w:r>
                <w:rPr>
                  <w:rStyle w:val="InternetLink"/>
                  <w:u w:val="single"/>
                </w:rPr>
                <w:t>Defaults Upon Senior Securities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4_MINE_SAFETY_DISCLOSURES">
              <w:r>
                <w:rPr>
                  <w:rStyle w:val="InternetLink"/>
                  <w:u w:val="single"/>
                </w:rPr>
                <w:t>Mine Safety Disclosures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5_OR_INFORMATION">
              <w:r>
                <w:rPr>
                  <w:rStyle w:val="InternetLink"/>
                  <w:u w:val="single"/>
                </w:rPr>
                <w:t>Other Information</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6_EXHIBITS">
              <w:r>
                <w:rPr>
                  <w:rStyle w:val="InternetLink"/>
                  <w:u w:val="single"/>
                </w:rPr>
                <w:t>Exhibits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9825" w:type="dxa"/>
            <w:gridSpan w:val="3"/>
            <w:tcBorders/>
            <w:shd w:fill="auto" w:val="clear"/>
            <w:tcMar>
              <w:bottom w:w="0" w:type="dxa"/>
            </w:tcMar>
            <w:vAlign w:val="bottom"/>
          </w:tcPr>
          <w:p>
            <w:pPr>
              <w:pStyle w:val="TableContents"/>
              <w:spacing w:before="0" w:after="0"/>
              <w:ind w:left="0" w:right="0" w:hanging="0"/>
              <w:rPr/>
            </w:pPr>
            <w:hyperlink w:anchor="SIGNATURES">
              <w:r>
                <w:rPr>
                  <w:rStyle w:val="InternetLink"/>
                  <w:u w:val="single"/>
                </w:rPr>
                <w:t>Signatures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 REGARDING FORWARD-LOOKING STATEMENTS</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should,</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expects,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plans,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anticipates,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could,</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intends,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target,</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projects,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contemplates,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believes,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estimates,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predicts,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potential,</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continue</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impact of the COVID-19 pandemic and related responses of business and governments to the pandemic on our operations and personnel, and on commercial activity and demand of our products, business operations, and results of operations;</w:t>
            </w:r>
          </w:p>
        </w:tc>
      </w:tr>
    </w:tbl>
    <w:tbl>
      <w:tblPr>
        <w:tblW w:w="6490" w:type="dxa"/>
        <w:jc w:val="left"/>
        <w:tblInd w:w="0" w:type="dxa"/>
        <w:tblCellMar>
          <w:top w:w="0" w:type="dxa"/>
          <w:left w:w="0" w:type="dxa"/>
          <w:bottom w:w="0" w:type="dxa"/>
          <w:right w:w="0" w:type="dxa"/>
        </w:tblCellMar>
      </w:tblPr>
      <w:tblGrid>
        <w:gridCol w:w="60"/>
        <w:gridCol w:w="110"/>
        <w:gridCol w:w="63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63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customer acceptance and purchase of our existing products and new products;</w:t>
            </w:r>
          </w:p>
        </w:tc>
      </w:tr>
    </w:tbl>
    <w:tbl>
      <w:tblPr>
        <w:tblW w:w="4570" w:type="dxa"/>
        <w:jc w:val="left"/>
        <w:tblInd w:w="0" w:type="dxa"/>
        <w:tblCellMar>
          <w:top w:w="0" w:type="dxa"/>
          <w:left w:w="0" w:type="dxa"/>
          <w:bottom w:w="0" w:type="dxa"/>
          <w:right w:w="0" w:type="dxa"/>
        </w:tblCellMar>
      </w:tblPr>
      <w:tblGrid>
        <w:gridCol w:w="60"/>
        <w:gridCol w:w="110"/>
        <w:gridCol w:w="440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40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and expand our customer base;</w:t>
            </w:r>
          </w:p>
        </w:tc>
      </w:tr>
    </w:tbl>
    <w:tbl>
      <w:tblPr>
        <w:tblW w:w="2875" w:type="dxa"/>
        <w:jc w:val="left"/>
        <w:tblInd w:w="0" w:type="dxa"/>
        <w:tblCellMar>
          <w:top w:w="0" w:type="dxa"/>
          <w:left w:w="0" w:type="dxa"/>
          <w:bottom w:w="0" w:type="dxa"/>
          <w:right w:w="0" w:type="dxa"/>
        </w:tblCellMar>
      </w:tblPr>
      <w:tblGrid>
        <w:gridCol w:w="60"/>
        <w:gridCol w:w="110"/>
        <w:gridCol w:w="270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70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competition from other products;</w:t>
            </w:r>
          </w:p>
        </w:tc>
      </w:tr>
    </w:tbl>
    <w:tbl>
      <w:tblPr>
        <w:tblW w:w="8140" w:type="dxa"/>
        <w:jc w:val="left"/>
        <w:tblInd w:w="0" w:type="dxa"/>
        <w:tblCellMar>
          <w:top w:w="0" w:type="dxa"/>
          <w:left w:w="0" w:type="dxa"/>
          <w:bottom w:w="0" w:type="dxa"/>
          <w:right w:w="0" w:type="dxa"/>
        </w:tblCellMar>
      </w:tblPr>
      <w:tblGrid>
        <w:gridCol w:w="60"/>
        <w:gridCol w:w="110"/>
        <w:gridCol w:w="797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79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impact of foreign currency exchange rate and interest rate fluctuations on our results and sales;</w:t>
            </w:r>
          </w:p>
        </w:tc>
      </w:tr>
    </w:tbl>
    <w:tbl>
      <w:tblPr>
        <w:tblW w:w="9760" w:type="dxa"/>
        <w:jc w:val="left"/>
        <w:tblInd w:w="0" w:type="dxa"/>
        <w:tblCellMar>
          <w:top w:w="0" w:type="dxa"/>
          <w:left w:w="0" w:type="dxa"/>
          <w:bottom w:w="0" w:type="dxa"/>
          <w:right w:w="0" w:type="dxa"/>
        </w:tblCellMar>
      </w:tblPr>
      <w:tblGrid>
        <w:gridCol w:w="60"/>
        <w:gridCol w:w="110"/>
        <w:gridCol w:w="959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959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pace of change and innovation in the markets in which we participate and the competitive nature of those markets;</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58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strategy and our plan to build our business;</w:t>
            </w:r>
          </w:p>
        </w:tc>
      </w:tr>
    </w:tbl>
    <w:tbl>
      <w:tblPr>
        <w:tblW w:w="3835" w:type="dxa"/>
        <w:jc w:val="left"/>
        <w:tblInd w:w="0" w:type="dxa"/>
        <w:tblCellMar>
          <w:top w:w="0" w:type="dxa"/>
          <w:left w:w="0" w:type="dxa"/>
          <w:bottom w:w="0" w:type="dxa"/>
          <w:right w:w="0" w:type="dxa"/>
        </w:tblCellMar>
      </w:tblPr>
      <w:tblGrid>
        <w:gridCol w:w="60"/>
        <w:gridCol w:w="110"/>
        <w:gridCol w:w="366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66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effectively manage our growth;</w:t>
            </w:r>
          </w:p>
        </w:tc>
      </w:tr>
    </w:tbl>
    <w:tbl>
      <w:tblPr>
        <w:tblW w:w="5485" w:type="dxa"/>
        <w:jc w:val="left"/>
        <w:tblInd w:w="0" w:type="dxa"/>
        <w:tblCellMar>
          <w:top w:w="0" w:type="dxa"/>
          <w:left w:w="0" w:type="dxa"/>
          <w:bottom w:w="0" w:type="dxa"/>
          <w:right w:w="0" w:type="dxa"/>
        </w:tblCellMar>
      </w:tblPr>
      <w:tblGrid>
        <w:gridCol w:w="60"/>
        <w:gridCol w:w="110"/>
        <w:gridCol w:w="53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3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success of our strategic partnership with Topcon Corporation;</w:t>
            </w:r>
          </w:p>
        </w:tc>
      </w:tr>
    </w:tbl>
    <w:tbl>
      <w:tblPr>
        <w:tblW w:w="5785" w:type="dxa"/>
        <w:jc w:val="left"/>
        <w:tblInd w:w="0" w:type="dxa"/>
        <w:tblCellMar>
          <w:top w:w="0" w:type="dxa"/>
          <w:left w:w="0" w:type="dxa"/>
          <w:bottom w:w="0" w:type="dxa"/>
          <w:right w:w="0" w:type="dxa"/>
        </w:tblCellMar>
      </w:tblPr>
      <w:tblGrid>
        <w:gridCol w:w="60"/>
        <w:gridCol w:w="110"/>
        <w:gridCol w:w="56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6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costs of manufacturing and reliance on third party manufacturers;</w:t>
            </w:r>
          </w:p>
        </w:tc>
      </w:tr>
    </w:tbl>
    <w:tbl>
      <w:tblPr>
        <w:tblW w:w="4135" w:type="dxa"/>
        <w:jc w:val="left"/>
        <w:tblInd w:w="0" w:type="dxa"/>
        <w:tblCellMar>
          <w:top w:w="0" w:type="dxa"/>
          <w:left w:w="0" w:type="dxa"/>
          <w:bottom w:w="0" w:type="dxa"/>
          <w:right w:w="0" w:type="dxa"/>
        </w:tblCellMar>
      </w:tblPr>
      <w:tblGrid>
        <w:gridCol w:w="60"/>
        <w:gridCol w:w="110"/>
        <w:gridCol w:w="396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96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forecast and meet product demand;</w:t>
            </w:r>
          </w:p>
        </w:tc>
      </w:tr>
    </w:tbl>
    <w:tbl>
      <w:tblPr>
        <w:tblW w:w="4960" w:type="dxa"/>
        <w:jc w:val="left"/>
        <w:tblInd w:w="0" w:type="dxa"/>
        <w:tblCellMar>
          <w:top w:w="0" w:type="dxa"/>
          <w:left w:w="0" w:type="dxa"/>
          <w:bottom w:w="0" w:type="dxa"/>
          <w:right w:w="0" w:type="dxa"/>
        </w:tblCellMar>
      </w:tblPr>
      <w:tblGrid>
        <w:gridCol w:w="60"/>
        <w:gridCol w:w="110"/>
        <w:gridCol w:w="479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79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discover defects in our products and systems;</w:t>
            </w:r>
          </w:p>
        </w:tc>
      </w:tr>
    </w:tbl>
    <w:tbl>
      <w:tblPr>
        <w:tblW w:w="3970" w:type="dxa"/>
        <w:jc w:val="left"/>
        <w:tblInd w:w="0" w:type="dxa"/>
        <w:tblCellMar>
          <w:top w:w="0" w:type="dxa"/>
          <w:left w:w="0" w:type="dxa"/>
          <w:bottom w:w="0" w:type="dxa"/>
          <w:right w:w="0" w:type="dxa"/>
        </w:tblCellMar>
      </w:tblPr>
      <w:tblGrid>
        <w:gridCol w:w="60"/>
        <w:gridCol w:w="110"/>
        <w:gridCol w:w="380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80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international expansion and sales strategy;</w:t>
            </w:r>
          </w:p>
        </w:tc>
      </w:tr>
    </w:tbl>
    <w:tbl>
      <w:tblPr>
        <w:tblW w:w="3145" w:type="dxa"/>
        <w:jc w:val="left"/>
        <w:tblInd w:w="0" w:type="dxa"/>
        <w:tblCellMar>
          <w:top w:w="0" w:type="dxa"/>
          <w:left w:w="0" w:type="dxa"/>
          <w:bottom w:w="0" w:type="dxa"/>
          <w:right w:w="0" w:type="dxa"/>
        </w:tblCellMar>
      </w:tblPr>
      <w:tblGrid>
        <w:gridCol w:w="60"/>
        <w:gridCol w:w="110"/>
        <w:gridCol w:w="297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97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operating results and cash flows;</w:t>
            </w:r>
          </w:p>
        </w:tc>
      </w:tr>
    </w:tbl>
    <w:tbl>
      <w:tblPr>
        <w:tblW w:w="4030" w:type="dxa"/>
        <w:jc w:val="left"/>
        <w:tblInd w:w="0" w:type="dxa"/>
        <w:tblCellMar>
          <w:top w:w="0" w:type="dxa"/>
          <w:left w:w="0" w:type="dxa"/>
          <w:bottom w:w="0" w:type="dxa"/>
          <w:right w:w="0" w:type="dxa"/>
        </w:tblCellMar>
      </w:tblPr>
      <w:tblGrid>
        <w:gridCol w:w="60"/>
        <w:gridCol w:w="110"/>
        <w:gridCol w:w="386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86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beliefs and objectives for future operations;</w:t>
            </w:r>
          </w:p>
        </w:tc>
      </w:tr>
    </w:tbl>
    <w:tbl>
      <w:tblPr>
        <w:tblW w:w="3040" w:type="dxa"/>
        <w:jc w:val="left"/>
        <w:tblInd w:w="0" w:type="dxa"/>
        <w:tblCellMar>
          <w:top w:w="0" w:type="dxa"/>
          <w:left w:w="0" w:type="dxa"/>
          <w:bottom w:w="0" w:type="dxa"/>
          <w:right w:w="0" w:type="dxa"/>
        </w:tblCellMar>
      </w:tblPr>
      <w:tblGrid>
        <w:gridCol w:w="60"/>
        <w:gridCol w:w="110"/>
        <w:gridCol w:w="287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8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relationships with third parties;</w:t>
            </w:r>
          </w:p>
        </w:tc>
      </w:tr>
    </w:tbl>
    <w:tbl>
      <w:tblPr>
        <w:tblW w:w="6385" w:type="dxa"/>
        <w:jc w:val="left"/>
        <w:tblInd w:w="0" w:type="dxa"/>
        <w:tblCellMar>
          <w:top w:w="0" w:type="dxa"/>
          <w:left w:w="0" w:type="dxa"/>
          <w:bottom w:w="0" w:type="dxa"/>
          <w:right w:w="0" w:type="dxa"/>
        </w:tblCellMar>
      </w:tblPr>
      <w:tblGrid>
        <w:gridCol w:w="60"/>
        <w:gridCol w:w="110"/>
        <w:gridCol w:w="62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62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protect, and enhance our intellectual property rights;</w:t>
            </w:r>
          </w:p>
        </w:tc>
      </w:tr>
    </w:tbl>
    <w:tbl>
      <w:tblPr>
        <w:tblW w:w="7555" w:type="dxa"/>
        <w:jc w:val="left"/>
        <w:tblInd w:w="0" w:type="dxa"/>
        <w:tblCellMar>
          <w:top w:w="0" w:type="dxa"/>
          <w:left w:w="0" w:type="dxa"/>
          <w:bottom w:w="0" w:type="dxa"/>
          <w:right w:w="0" w:type="dxa"/>
        </w:tblCellMar>
      </w:tblPr>
      <w:tblGrid>
        <w:gridCol w:w="60"/>
        <w:gridCol w:w="110"/>
        <w:gridCol w:w="738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738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protect, and enhance our information technology systems and data;</w:t>
            </w:r>
          </w:p>
        </w:tc>
      </w:tr>
    </w:tbl>
    <w:tbl>
      <w:tblPr>
        <w:tblW w:w="5005" w:type="dxa"/>
        <w:jc w:val="left"/>
        <w:tblInd w:w="0" w:type="dxa"/>
        <w:tblCellMar>
          <w:top w:w="0" w:type="dxa"/>
          <w:left w:w="0" w:type="dxa"/>
          <w:bottom w:w="0" w:type="dxa"/>
          <w:right w:w="0" w:type="dxa"/>
        </w:tblCellMar>
      </w:tblPr>
      <w:tblGrid>
        <w:gridCol w:w="60"/>
        <w:gridCol w:w="110"/>
        <w:gridCol w:w="48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8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our facilities in good working order;</w:t>
            </w:r>
          </w:p>
        </w:tc>
      </w:tr>
    </w:tbl>
    <w:tbl>
      <w:tblPr>
        <w:tblW w:w="4465" w:type="dxa"/>
        <w:jc w:val="left"/>
        <w:tblInd w:w="0" w:type="dxa"/>
        <w:tblCellMar>
          <w:top w:w="0" w:type="dxa"/>
          <w:left w:w="0" w:type="dxa"/>
          <w:bottom w:w="0" w:type="dxa"/>
          <w:right w:w="0" w:type="dxa"/>
        </w:tblCellMar>
      </w:tblPr>
      <w:tblGrid>
        <w:gridCol w:w="60"/>
        <w:gridCol w:w="110"/>
        <w:gridCol w:w="429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29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recover the carrying value of goodwill;</w:t>
            </w:r>
          </w:p>
        </w:tc>
      </w:tr>
    </w:tbl>
    <w:tbl>
      <w:tblPr>
        <w:tblW w:w="5320" w:type="dxa"/>
        <w:jc w:val="left"/>
        <w:tblInd w:w="0" w:type="dxa"/>
        <w:tblCellMar>
          <w:top w:w="0" w:type="dxa"/>
          <w:left w:w="0" w:type="dxa"/>
          <w:bottom w:w="0" w:type="dxa"/>
          <w:right w:w="0" w:type="dxa"/>
        </w:tblCellMar>
      </w:tblPr>
      <w:tblGrid>
        <w:gridCol w:w="60"/>
        <w:gridCol w:w="110"/>
        <w:gridCol w:w="515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15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impact of expensing stock options and other equity awards;</w:t>
            </w:r>
          </w:p>
        </w:tc>
      </w:tr>
    </w:tbl>
    <w:tbl>
      <w:tblPr>
        <w:tblW w:w="5305" w:type="dxa"/>
        <w:jc w:val="left"/>
        <w:tblInd w:w="0" w:type="dxa"/>
        <w:tblCellMar>
          <w:top w:w="0" w:type="dxa"/>
          <w:left w:w="0" w:type="dxa"/>
          <w:bottom w:w="0" w:type="dxa"/>
          <w:right w:w="0" w:type="dxa"/>
        </w:tblCellMar>
      </w:tblPr>
      <w:tblGrid>
        <w:gridCol w:w="60"/>
        <w:gridCol w:w="110"/>
        <w:gridCol w:w="51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1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successfully defend litigation brought against us;</w:t>
            </w:r>
          </w:p>
        </w:tc>
      </w:tr>
    </w:tbl>
    <w:tbl>
      <w:tblPr>
        <w:tblW w:w="4255" w:type="dxa"/>
        <w:jc w:val="left"/>
        <w:tblInd w:w="0" w:type="dxa"/>
        <w:tblCellMar>
          <w:top w:w="0" w:type="dxa"/>
          <w:left w:w="0" w:type="dxa"/>
          <w:bottom w:w="0" w:type="dxa"/>
          <w:right w:w="0" w:type="dxa"/>
        </w:tblCellMar>
      </w:tblPr>
      <w:tblGrid>
        <w:gridCol w:w="60"/>
        <w:gridCol w:w="110"/>
        <w:gridCol w:w="408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08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indemnify our directors and officers;</w:t>
            </w:r>
          </w:p>
        </w:tc>
      </w:tr>
    </w:tbl>
    <w:tbl>
      <w:tblPr>
        <w:tblW w:w="5545" w:type="dxa"/>
        <w:jc w:val="left"/>
        <w:tblInd w:w="0" w:type="dxa"/>
        <w:tblCellMar>
          <w:top w:w="0" w:type="dxa"/>
          <w:left w:w="0" w:type="dxa"/>
          <w:bottom w:w="0" w:type="dxa"/>
          <w:right w:w="0" w:type="dxa"/>
        </w:tblCellMar>
      </w:tblPr>
      <w:tblGrid>
        <w:gridCol w:w="60"/>
        <w:gridCol w:w="110"/>
        <w:gridCol w:w="537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37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repay indebtedness and have indebtedness forgiven;</w:t>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650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successfully expand in our existing markets and into new markets;</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64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sufficiency of cash to meet cash needs for at least the next 12 months;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comply with laws, policies, and regulations that currently apply or become applicable to our business both in the United States and internationally;</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75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attract and retain qualified employees and key personnel, and source suppliers;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rPr/>
      </w:pPr>
      <w:r>
        <w:rPr/>
        <w:t> </w:t>
      </w:r>
    </w:p>
    <w:tbl>
      <w:tblPr>
        <w:tblW w:w="3220" w:type="dxa"/>
        <w:jc w:val="left"/>
        <w:tblInd w:w="0" w:type="dxa"/>
        <w:tblCellMar>
          <w:top w:w="0" w:type="dxa"/>
          <w:left w:w="0" w:type="dxa"/>
          <w:bottom w:w="0" w:type="dxa"/>
          <w:right w:w="0" w:type="dxa"/>
        </w:tblCellMar>
      </w:tblPr>
      <w:tblGrid>
        <w:gridCol w:w="60"/>
        <w:gridCol w:w="110"/>
        <w:gridCol w:w="305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05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raise additional capital;</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1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future trading prices of our common stock; and</w:t>
            </w:r>
          </w:p>
        </w:tc>
      </w:tr>
    </w:tbl>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4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ability to pay dividends in the future.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statements that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we believe</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Risk Factors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used in this Quarterly Report on Form 10-Q, the terms “Company,” “IRIDEX,” “we,” “us” and “our” refer to IRIDEX Corporation, and its consolidated subsidiaries.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2" w:name="PART_I_FINANCIAL_INFORMATION"/>
      <w:bookmarkEnd w:id="2"/>
      <w:r>
        <w:rPr>
          <w:rFonts w:ascii="Times New Roman" w:hAnsi="Times New Roman"/>
          <w:b/>
          <w:i w:val="false"/>
          <w:caps w:val="false"/>
          <w:smallCaps w:val="false"/>
          <w:sz w:val="20"/>
        </w:rPr>
        <w:t>PART I. FINANCIAL INFORMATION</w:t>
      </w:r>
    </w:p>
    <w:p>
      <w:pPr>
        <w:pStyle w:val="TextBody"/>
        <w:spacing w:before="120" w:after="0"/>
        <w:rPr>
          <w:rFonts w:ascii="Times New Roman" w:hAnsi="Times New Roman"/>
          <w:b/>
          <w:i w:val="false"/>
          <w:caps w:val="false"/>
          <w:smallCaps w:val="false"/>
          <w:sz w:val="20"/>
        </w:rPr>
      </w:pPr>
      <w:bookmarkStart w:id="3" w:name="ITEM_1_CONDENSED_CONSOLIDATED_FINANCIAL_"/>
      <w:bookmarkEnd w:id="3"/>
      <w:r>
        <w:rPr>
          <w:rFonts w:ascii="Times New Roman" w:hAnsi="Times New Roman"/>
          <w:b/>
          <w:i w:val="false"/>
          <w:caps w:val="false"/>
          <w:smallCaps w:val="false"/>
          <w:sz w:val="20"/>
        </w:rPr>
        <w:t>Item 1. Condensed Consolidated Financial Statements (Unaudited)</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4" w:name="CONDENSED_CONSOLIDATED_BALANCE_SHEETS"/>
      <w:bookmarkEnd w:id="4"/>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share and per share data)</w:t>
      </w:r>
    </w:p>
    <w:p>
      <w:pPr>
        <w:pStyle w:val="TextBody"/>
        <w:spacing w:before="0" w:after="0"/>
        <w:rPr/>
      </w:pPr>
      <w:r>
        <w:rPr/>
        <w:t> </w:t>
      </w:r>
    </w:p>
    <w:tbl>
      <w:tblPr>
        <w:tblW w:w="8513" w:type="dxa"/>
        <w:jc w:val="left"/>
        <w:tblInd w:w="0" w:type="dxa"/>
        <w:tblCellMar>
          <w:top w:w="0" w:type="dxa"/>
          <w:left w:w="0" w:type="dxa"/>
          <w:bottom w:w="28" w:type="dxa"/>
          <w:right w:w="0" w:type="dxa"/>
        </w:tblCellMar>
      </w:tblPr>
      <w:tblGrid>
        <w:gridCol w:w="5780"/>
        <w:gridCol w:w="60"/>
        <w:gridCol w:w="158"/>
        <w:gridCol w:w="821"/>
        <w:gridCol w:w="80"/>
        <w:gridCol w:w="60"/>
        <w:gridCol w:w="237"/>
        <w:gridCol w:w="1237"/>
        <w:gridCol w:w="80"/>
      </w:tblGrid>
      <w:tr>
        <w:trPr/>
        <w:tc>
          <w:tcPr>
            <w:tcW w:w="57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January 1, 2022 (1)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 net of allowance for doubtful accounts of</w:t>
            </w:r>
          </w:p>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 as of April 2, 2022 and $268 as of January 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6,610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Receivable from related party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9,091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41,929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42,253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48,024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48,687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Payable to related party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warranty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12,646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warranty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26,698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$0.01 par value, 2,000,000 shares authorized, no shares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issued and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$0.01 par value: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Authorized: 30,000,000 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Issued and outstanding 15,885,307 and 15,876,171 shares</w:t>
            </w:r>
          </w:p>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April 2, 2022 and January 1, 2022, respectively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85,645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85,255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(64,560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(62,169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7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21,326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23,299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48,024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48,687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7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Derived from the audited consolidated financial statements included in the Annual Report on Form 10-K filed with the SEC for the year ended January 1, 2022.</w:t>
            </w:r>
          </w:p>
        </w:tc>
      </w:tr>
    </w:tbl>
    <w:p>
      <w:pPr>
        <w:pStyle w:val="TextBody"/>
        <w:spacing w:before="8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 w:name="IRIDEX_CORPORATION"/>
      <w:bookmarkEnd w:id="5"/>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6" w:name="CONDENSED_CONSOLIDATED_STATEMENTS_OPERAT"/>
      <w:bookmarkEnd w:id="6"/>
      <w:r>
        <w:rPr>
          <w:rFonts w:ascii="Times New Roman" w:hAnsi="Times New Roman"/>
          <w:b/>
          <w:i w:val="false"/>
          <w:caps w:val="false"/>
          <w:smallCaps w:val="false"/>
          <w:sz w:val="20"/>
        </w:rPr>
        <w:t>Condensed Consolidated Statements of Operations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per share data)</w:t>
      </w:r>
    </w:p>
    <w:p>
      <w:pPr>
        <w:pStyle w:val="TextBody"/>
        <w:spacing w:before="0" w:after="0"/>
        <w:rPr/>
      </w:pPr>
      <w:r>
        <w:rPr/>
        <w:t> </w:t>
      </w:r>
    </w:p>
    <w:tbl>
      <w:tblPr>
        <w:tblW w:w="6713" w:type="dxa"/>
        <w:jc w:val="left"/>
        <w:tblInd w:w="0" w:type="dxa"/>
        <w:tblCellMar>
          <w:top w:w="0" w:type="dxa"/>
          <w:left w:w="0" w:type="dxa"/>
          <w:bottom w:w="28" w:type="dxa"/>
          <w:right w:w="0" w:type="dxa"/>
        </w:tblCellMar>
      </w:tblPr>
      <w:tblGrid>
        <w:gridCol w:w="4475"/>
        <w:gridCol w:w="60"/>
        <w:gridCol w:w="171"/>
        <w:gridCol w:w="808"/>
        <w:gridCol w:w="80"/>
        <w:gridCol w:w="60"/>
        <w:gridCol w:w="171"/>
        <w:gridCol w:w="808"/>
        <w:gridCol w:w="80"/>
      </w:tblGrid>
      <w:tr>
        <w:trPr/>
        <w:tc>
          <w:tcPr>
            <w:tcW w:w="44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revenues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7,410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profit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4,939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2,633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8,254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6,780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 before provision for income taxes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(2,371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used in computing net loss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per common share: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15,881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14,346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14,346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7" w:name="CONDENSED_CONSOLIDATED_STATEMENTS_COMPRE"/>
      <w:bookmarkEnd w:id="7"/>
      <w:r>
        <w:rPr>
          <w:rFonts w:ascii="Times New Roman" w:hAnsi="Times New Roman"/>
          <w:b/>
          <w:i w:val="false"/>
          <w:caps w:val="false"/>
          <w:smallCaps w:val="false"/>
          <w:sz w:val="20"/>
        </w:rPr>
        <w:t>Condensed Consolidated Statements of Comprehensive Income</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w:t>
      </w:r>
    </w:p>
    <w:p>
      <w:pPr>
        <w:pStyle w:val="TextBody"/>
        <w:spacing w:before="0" w:after="0"/>
        <w:rPr/>
      </w:pPr>
      <w:r>
        <w:rPr/>
        <w:t> </w:t>
      </w:r>
    </w:p>
    <w:tbl>
      <w:tblPr>
        <w:tblW w:w="5576" w:type="dxa"/>
        <w:jc w:val="left"/>
        <w:tblInd w:w="0" w:type="dxa"/>
        <w:tblCellMar>
          <w:top w:w="0" w:type="dxa"/>
          <w:left w:w="0" w:type="dxa"/>
          <w:bottom w:w="28" w:type="dxa"/>
          <w:right w:w="0" w:type="dxa"/>
        </w:tblCellMar>
      </w:tblPr>
      <w:tblGrid>
        <w:gridCol w:w="3335"/>
        <w:gridCol w:w="60"/>
        <w:gridCol w:w="182"/>
        <w:gridCol w:w="797"/>
        <w:gridCol w:w="82"/>
        <w:gridCol w:w="61"/>
        <w:gridCol w:w="182"/>
        <w:gridCol w:w="797"/>
        <w:gridCol w:w="8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0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(2,391</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translation adjustments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(2,363</w:t>
            </w:r>
          </w:p>
        </w:tc>
        <w:tc>
          <w:tcPr>
            <w:tcW w:w="82"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8" w:name="CONDENSED_CONSOLIDATED_STATEMENTS_STOCKH"/>
      <w:bookmarkEnd w:id="8"/>
      <w:r>
        <w:rPr>
          <w:rFonts w:ascii="Times New Roman" w:hAnsi="Times New Roman"/>
          <w:b/>
          <w:i w:val="false"/>
          <w:caps w:val="false"/>
          <w:smallCaps w:val="false"/>
          <w:sz w:val="20"/>
        </w:rPr>
        <w:t>Condensed Consolidated Statements of Stockholders' Equity</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share data)</w:t>
      </w:r>
    </w:p>
    <w:p>
      <w:pPr>
        <w:pStyle w:val="TextBody"/>
        <w:spacing w:before="0" w:after="0"/>
        <w:rPr/>
      </w:pPr>
      <w:r>
        <w:rPr/>
        <w:t> </w:t>
      </w:r>
    </w:p>
    <w:tbl>
      <w:tblPr>
        <w:tblW w:w="9400" w:type="dxa"/>
        <w:jc w:val="left"/>
        <w:tblInd w:w="0" w:type="dxa"/>
        <w:tblCellMar>
          <w:top w:w="0" w:type="dxa"/>
          <w:left w:w="0" w:type="dxa"/>
          <w:bottom w:w="28" w:type="dxa"/>
          <w:right w:w="0" w:type="dxa"/>
        </w:tblCellMar>
      </w:tblPr>
      <w:tblGrid>
        <w:gridCol w:w="3620"/>
        <w:gridCol w:w="60"/>
        <w:gridCol w:w="60"/>
        <w:gridCol w:w="830"/>
        <w:gridCol w:w="60"/>
        <w:gridCol w:w="60"/>
        <w:gridCol w:w="166"/>
        <w:gridCol w:w="439"/>
        <w:gridCol w:w="60"/>
        <w:gridCol w:w="60"/>
        <w:gridCol w:w="138"/>
        <w:gridCol w:w="647"/>
        <w:gridCol w:w="80"/>
        <w:gridCol w:w="60"/>
        <w:gridCol w:w="400"/>
        <w:gridCol w:w="730"/>
        <w:gridCol w:w="60"/>
        <w:gridCol w:w="60"/>
        <w:gridCol w:w="154"/>
        <w:gridCol w:w="811"/>
        <w:gridCol w:w="80"/>
        <w:gridCol w:w="60"/>
        <w:gridCol w:w="110"/>
        <w:gridCol w:w="515"/>
        <w:gridCol w:w="80"/>
      </w:tblGrid>
      <w:tr>
        <w:trPr/>
        <w:tc>
          <w:tcPr>
            <w:tcW w:w="362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April 2,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January 1, 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15,876,171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85,255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(62,169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23,299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under stock option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6,063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Release of restricted stock, net of taxes paid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comprehensive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(2,391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(2,391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6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April 2,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15,885,307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85,645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(64,560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21,326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9420" w:type="dxa"/>
        <w:jc w:val="left"/>
        <w:tblInd w:w="0" w:type="dxa"/>
        <w:tblCellMar>
          <w:top w:w="0" w:type="dxa"/>
          <w:left w:w="0" w:type="dxa"/>
          <w:bottom w:w="28" w:type="dxa"/>
          <w:right w:w="0" w:type="dxa"/>
        </w:tblCellMar>
      </w:tblPr>
      <w:tblGrid>
        <w:gridCol w:w="3620"/>
        <w:gridCol w:w="60"/>
        <w:gridCol w:w="60"/>
        <w:gridCol w:w="830"/>
        <w:gridCol w:w="60"/>
        <w:gridCol w:w="60"/>
        <w:gridCol w:w="166"/>
        <w:gridCol w:w="439"/>
        <w:gridCol w:w="60"/>
        <w:gridCol w:w="60"/>
        <w:gridCol w:w="138"/>
        <w:gridCol w:w="647"/>
        <w:gridCol w:w="80"/>
        <w:gridCol w:w="60"/>
        <w:gridCol w:w="335"/>
        <w:gridCol w:w="795"/>
        <w:gridCol w:w="80"/>
        <w:gridCol w:w="60"/>
        <w:gridCol w:w="154"/>
        <w:gridCol w:w="811"/>
        <w:gridCol w:w="80"/>
        <w:gridCol w:w="60"/>
        <w:gridCol w:w="110"/>
        <w:gridCol w:w="515"/>
        <w:gridCol w:w="80"/>
      </w:tblGrid>
      <w:tr>
        <w:trPr/>
        <w:tc>
          <w:tcPr>
            <w:tcW w:w="362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April 3,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 (Loss)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January 2,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13,899,683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74,181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(56,944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17,366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net of issuance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1,618,122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9,862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9,878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under stock option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366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366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Release of restricted stock, net of taxes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6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comprehensive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(2,010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(2,010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62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April 3,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15,522,809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84,419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(58,954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25,649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9" w:name="CONDENSED_CONSOLIDATED_STATEMENTS_CASH_F"/>
      <w:bookmarkEnd w:id="9"/>
      <w:r>
        <w:rPr>
          <w:rFonts w:ascii="Times New Roman" w:hAnsi="Times New Roman"/>
          <w:b/>
          <w:i w:val="false"/>
          <w:caps w:val="false"/>
          <w:smallCaps w:val="false"/>
          <w:sz w:val="20"/>
        </w:rPr>
        <w:t>Condensed Consolidated Statements of Cash Flows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w:t>
      </w:r>
    </w:p>
    <w:p>
      <w:pPr>
        <w:pStyle w:val="TextBody"/>
        <w:spacing w:before="0" w:after="0"/>
        <w:rPr/>
      </w:pPr>
      <w:r>
        <w:rPr/>
        <w:t> </w:t>
      </w:r>
    </w:p>
    <w:tbl>
      <w:tblPr>
        <w:tblW w:w="9323" w:type="dxa"/>
        <w:jc w:val="left"/>
        <w:tblInd w:w="0" w:type="dxa"/>
        <w:tblCellMar>
          <w:top w:w="0" w:type="dxa"/>
          <w:left w:w="0" w:type="dxa"/>
          <w:bottom w:w="28" w:type="dxa"/>
          <w:right w:w="0" w:type="dxa"/>
        </w:tblCellMar>
      </w:tblPr>
      <w:tblGrid>
        <w:gridCol w:w="7085"/>
        <w:gridCol w:w="60"/>
        <w:gridCol w:w="171"/>
        <w:gridCol w:w="808"/>
        <w:gridCol w:w="80"/>
        <w:gridCol w:w="60"/>
        <w:gridCol w:w="171"/>
        <w:gridCol w:w="808"/>
        <w:gridCol w:w="80"/>
      </w:tblGrid>
      <w:tr>
        <w:trPr/>
        <w:tc>
          <w:tcPr>
            <w:tcW w:w="70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provided by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Receivable from related party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Payable to related party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warranty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 operating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(3,253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11,830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Acquisition of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business combination,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(5,343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(5,416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common stock, 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stock option exercise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Taxes paid related to net share settlements of equity awards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9,889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foreign exchange rate changes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(decrease) increase in 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beginning of period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23,852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20,621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29,020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non-cash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Transfer of inventory (from) to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10" w:name="NOTES_TO_UNAUDITED_CONDENSED_CONSOLIDATE"/>
      <w:bookmarkEnd w:id="10"/>
      <w:r>
        <w:rPr>
          <w:rFonts w:ascii="Times New Roman" w:hAnsi="Times New Roman"/>
          <w:b/>
          <w:i w:val="false"/>
          <w:caps w:val="false"/>
          <w:smallCaps w:val="false"/>
          <w:sz w:val="20"/>
        </w:rPr>
        <w:t>Notes to Unaudited Condensed Consolidated Financial Statements</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 Basis of Presentation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1, 2022, which was filed with the Securities and Exchange Commission (“SEC”) on March 15, 2022. The results of operations for the three months ended April 2, 2022 and April 3, 2021 are not necessarily indicative of the results for the fiscal year ending December 31, 2022 or any future interim period. The three months ended April 2, 2022 and April 3, 2021,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2. Summary of Significant Accounting Policies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significant accounting policies are disclosed in our Annual Report on Form 10-K for the year ended January 1, 2022, which was filed with the SEC on March 15, 2022.</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Financial Statement Presentation.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unaudited condensed consolidated financial statements include the accounts of the Company and our wholly owned subsidiaries. All significant intercompany accounts and transactions have been eliminated in consolidation.</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Use of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Revenue Recognition.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the following revenue transaction types: (1) Product Sale Only, (2) Service Contracts, (3) System Repairs (outside of warranty), (4) Royalty Revenue and (5) Exclusive Distribution Rights. </w:t>
      </w:r>
    </w:p>
    <w:tbl>
      <w:tblPr>
        <w:tblW w:w="10205" w:type="dxa"/>
        <w:jc w:val="left"/>
        <w:tblInd w:w="0" w:type="dxa"/>
        <w:tblCellMar>
          <w:top w:w="0" w:type="dxa"/>
          <w:left w:w="0" w:type="dxa"/>
          <w:bottom w:w="0" w:type="dxa"/>
          <w:right w:w="0" w:type="dxa"/>
        </w:tblCellMar>
      </w:tblPr>
      <w:tblGrid>
        <w:gridCol w:w="60"/>
        <w:gridCol w:w="226"/>
        <w:gridCol w:w="991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26"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19"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recognizes revenue from product sale at a point in time subject to the allocation of transaction price to additional performance obligations, if any. </w:t>
      </w:r>
    </w:p>
    <w:tbl>
      <w:tblPr>
        <w:tblW w:w="10205" w:type="dxa"/>
        <w:jc w:val="left"/>
        <w:tblInd w:w="0" w:type="dxa"/>
        <w:tblCellMar>
          <w:top w:w="0" w:type="dxa"/>
          <w:left w:w="0" w:type="dxa"/>
          <w:bottom w:w="0" w:type="dxa"/>
          <w:right w:w="0" w:type="dxa"/>
        </w:tblCellMar>
      </w:tblPr>
      <w:tblGrid>
        <w:gridCol w:w="60"/>
        <w:gridCol w:w="201"/>
        <w:gridCol w:w="9944"/>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01" w:type="dxa"/>
            <w:tcBorders/>
            <w:shd w:fill="auto" w:val="clear"/>
          </w:tcPr>
          <w:p>
            <w:pPr>
              <w:pStyle w:val="TableContents"/>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(2)</w:t>
            </w:r>
          </w:p>
        </w:tc>
        <w:tc>
          <w:tcPr>
            <w:tcW w:w="9944"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Service Contracts: </w:t>
            </w:r>
            <w:r>
              <w:rPr>
                <w:rFonts w:ascii="Times New Roman" w:hAnsi="Times New Roman"/>
                <w:b w:val="false"/>
                <w:i w:val="false"/>
                <w:caps w:val="false"/>
                <w:smallCaps w:val="false"/>
                <w:color w:val="000000"/>
                <w:spacing w:val="0"/>
                <w:sz w:val="20"/>
                <w:highlight w:val="white"/>
              </w:rPr>
              <w:t>The Company offers a standard two-year warranty on all system sales. The Company also offers a service contract which is sold to customers in incremental,</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highlight w:val="white"/>
              </w:rPr>
              <w:t>one-year</w:t>
            </w:r>
            <w:r>
              <w:rPr>
                <w:rFonts w:ascii="Times New Roman" w:hAnsi="Times New Roman"/>
                <w:b w:val="false"/>
                <w:i w:val="false"/>
                <w:caps w:val="false"/>
                <w:smallCaps w:val="false"/>
                <w:color w:val="000000"/>
                <w:spacing w:val="0"/>
                <w:sz w:val="20"/>
              </w:rPr>
              <w:t xml:space="preserve"> periods which begin subsequent to the expiration of the standard two-year warranty. The customer can opt to purchase the service contract at the time of the system sale or after the initial system sale.</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recognizes revenue from service contracts ratably over the service period. Revenue recognition for the sale of a service contract is largely dependent on the timing of the sale as follows:</w:t>
      </w:r>
    </w:p>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85"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tc>
      </w:tr>
    </w:tbl>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tc>
      </w:tr>
    </w:tbl>
    <w:tbl>
      <w:tblPr>
        <w:tblW w:w="10205" w:type="dxa"/>
        <w:jc w:val="left"/>
        <w:tblInd w:w="0" w:type="dxa"/>
        <w:tblCellMar>
          <w:top w:w="0" w:type="dxa"/>
          <w:left w:w="0" w:type="dxa"/>
          <w:bottom w:w="0" w:type="dxa"/>
          <w:right w:w="0" w:type="dxa"/>
        </w:tblCellMar>
      </w:tblPr>
      <w:tblGrid>
        <w:gridCol w:w="60"/>
        <w:gridCol w:w="254"/>
        <w:gridCol w:w="9891"/>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5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891"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System Repairs (outside of warranty): Customers will occasionally request repairs from the Company subsequent to the expiration of the standard warranty and outside of a service contract.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 </w:t>
      </w:r>
    </w:p>
    <w:tbl>
      <w:tblPr>
        <w:tblW w:w="10205" w:type="dxa"/>
        <w:jc w:val="left"/>
        <w:tblInd w:w="0" w:type="dxa"/>
        <w:tblCellMar>
          <w:top w:w="0" w:type="dxa"/>
          <w:left w:w="0" w:type="dxa"/>
          <w:bottom w:w="0" w:type="dxa"/>
          <w:right w:w="0" w:type="dxa"/>
        </w:tblCellMar>
      </w:tblPr>
      <w:tblGrid>
        <w:gridCol w:w="60"/>
        <w:gridCol w:w="246"/>
        <w:gridCol w:w="989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46"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899"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 xml:space="preserve">Royalty Revenue: </w:t>
            </w:r>
            <w:r>
              <w:rPr>
                <w:b w:val="false"/>
                <w:i w:val="false"/>
                <w:caps w:val="false"/>
                <w:smallCaps w:val="false"/>
                <w:color w:val="000000"/>
                <w:highlight w:val="white"/>
              </w:rPr>
              <w:t>The Company has royalty agreements with three customers related to sale of the Company’s intellectual property. Under the terms of these agreements, the customer is to remit a percentage of its sales to the Company.</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88" w:type="dxa"/>
            <w:tcBorders/>
            <w:shd w:fill="auto" w:val="clear"/>
          </w:tcPr>
          <w:p>
            <w:pPr>
              <w:pStyle w:val="TableContents"/>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(5)</w:t>
            </w:r>
          </w:p>
        </w:tc>
        <w:tc>
          <w:tcPr>
            <w:tcW w:w="9957"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Exclusive Distribution Rights: The Company has a distribution agreement with Topcon Corporation (“Topcon”),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relationships was not feasible.  As of April 2, 2022, $0.3 million in revenue related to the exclusive distribution rights was recorded for the three months then ended.</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recognized an asset from the costs incurred to fulfill a contract. These costs relate directly and must be incurred to satisfy performance obligations on certain specific contact with a customer. These costs are expected to be recovered over time and will be amortized on a systematic basis that is consistent with the recognition of revenue to which it relates. As of April 2, 2022, recognized deferred costs incurred to fulfill a contract with a customer amounted to $0.3 million, included in Prepaid expenses and other current assets and Other long-term assets in the Company’s condensed consolidated balance sheets. There were no amortization during the three months ended April 2, 2022.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Leases.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determine if an arrangement is a lease at inception. Operating leases are included in Operating lease right-of-use (“ROU”) assets, net and Operating lease liabilities in our condensed consolidated balance sheets. As of April 2, 2022 and as of January 1, 2022, the Company was not a party to finance lease arrangements.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available practical expedient, we account for the lease and non-lease components as a single lease component.</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Concentration of Credit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cash and cash equivalents are deposited in demand and money market accounts. Deposits held with banks may exceed the amount of insurance provided on such deposits. Generally, these deposits may be redeemed upon demand and therefore, bear minimal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April 2, 2022, one customer, Topcon, accounted for more than 10% of total revenues, representing 30%. For the three months ended April 3, 2021, no single customer accounted for more than 10% of total revenues. As of April 2, 2022, one customer, Topcon, accounted for over 10% of our accounts receivable, representing 33%. As of January 1, 2022, two customers, including Topcon, accounted for more than 10% of our accounts receivable, representing 31% and 11%, respectively.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Taxes Collected from Customers and Remitted to Governmental Authorities.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Taxes collected from customers and remitted to governmental authorities are recognized on a net basis in the accompanying condensed consolidated statements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Shipping and Handling Costs.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shipping and handling costs billed to customers are included in revenues and the associated expense is recorded in cost of revenues for all periods presented.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Deferred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changes in the Company’s deferred revenue balance for the three months ended April 2, 2022 and April 3, 2021 is as follows:</w:t>
      </w:r>
    </w:p>
    <w:p>
      <w:pPr>
        <w:pStyle w:val="TextBody"/>
        <w:spacing w:before="0" w:after="0"/>
        <w:rPr/>
      </w:pPr>
      <w:r>
        <w:rPr/>
        <w:t> </w:t>
      </w:r>
    </w:p>
    <w:tbl>
      <w:tblPr>
        <w:tblW w:w="5483" w:type="dxa"/>
        <w:jc w:val="left"/>
        <w:tblInd w:w="0" w:type="dxa"/>
        <w:tblCellMar>
          <w:top w:w="0" w:type="dxa"/>
          <w:left w:w="0" w:type="dxa"/>
          <w:bottom w:w="28" w:type="dxa"/>
          <w:right w:w="0" w:type="dxa"/>
        </w:tblCellMar>
      </w:tblPr>
      <w:tblGrid>
        <w:gridCol w:w="3245"/>
        <w:gridCol w:w="60"/>
        <w:gridCol w:w="171"/>
        <w:gridCol w:w="808"/>
        <w:gridCol w:w="80"/>
        <w:gridCol w:w="60"/>
        <w:gridCol w:w="171"/>
        <w:gridCol w:w="808"/>
        <w:gridCol w:w="80"/>
      </w:tblGrid>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 to deferral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 recognized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end of period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Non-current portion of deferred revenue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12,531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portion of deferred revenue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both the three months ended April 2, 2022 and April 3, 2021, approximately $0.4 million were recognized pertaining to amounts deferred as of January 1, 2022 and January 2, 2021, respectively. As of April 2, 2022, approximately $12.3 million and $1.5 million of the non-current portion of deferred revenue and current portion of deferred revenue, respectively, pertains to exclusivity fee deferred revenue.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Warranty.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changes in the Company’s warranty liability for the three months ended April 2, 2022 and April 3, 2021 is as follows:</w:t>
      </w:r>
    </w:p>
    <w:p>
      <w:pPr>
        <w:pStyle w:val="TextBody"/>
        <w:spacing w:before="0" w:after="0"/>
        <w:rPr/>
      </w:pPr>
      <w:r>
        <w:rPr/>
        <w:t> </w:t>
      </w:r>
    </w:p>
    <w:tbl>
      <w:tblPr>
        <w:tblW w:w="5363" w:type="dxa"/>
        <w:jc w:val="left"/>
        <w:tblInd w:w="0" w:type="dxa"/>
        <w:tblCellMar>
          <w:top w:w="0" w:type="dxa"/>
          <w:left w:w="0" w:type="dxa"/>
          <w:bottom w:w="28" w:type="dxa"/>
          <w:right w:w="0" w:type="dxa"/>
        </w:tblCellMar>
      </w:tblPr>
      <w:tblGrid>
        <w:gridCol w:w="3065"/>
        <w:gridCol w:w="60"/>
        <w:gridCol w:w="266"/>
        <w:gridCol w:w="713"/>
        <w:gridCol w:w="114"/>
        <w:gridCol w:w="86"/>
        <w:gridCol w:w="266"/>
        <w:gridCol w:w="713"/>
        <w:gridCol w:w="80"/>
      </w:tblGrid>
      <w:tr>
        <w:trPr/>
        <w:tc>
          <w:tcPr>
            <w:tcW w:w="3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Accruals for product warranties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warranty claims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tc>
        <w:tc>
          <w:tcPr>
            <w:tcW w:w="1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 to pre-existing warranties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1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w:t>
            </w:r>
          </w:p>
        </w:tc>
        <w:tc>
          <w:tcPr>
            <w:tcW w:w="11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Reclassifications.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3. Related Party - Topcon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Topcon holds 10.2% voting interest in the Company, which qualifies it to be a principal owner considered a related party, even though it currently does not have significant influence over the Company’s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Topcon resells certain of our products as our exclusive distributor in certain international regions. At the same time, the Company also purchases certain raw materials from Topcon. During the three months ended April 2, 2022, the Company’s revenues related to Topcon amounted to approximately $4.0 million, including $0.3 million recognized exclusive distribution rights revenue. During the three months ended April 3, 2021, the Company’s revenues related to Topcon amounted to approximately $1.1 million. The Company’s purchases from Topcon during the three months ended April 2, 2022 amounted to approximately $0.4 million. As of April 2, 2022, the amounts receivable from and payable to Topcon were $3.4 million and $0.9 million, respectively. As of January 1, 2022, the amounts receivable from and payable to Topcon were $3.1 million and $0.6 million, respectively.</w:t>
      </w:r>
    </w:p>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4. Inventories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components of the Company’s inventories as of April 2, 2022 and January 1, 2022 are as follows:</w:t>
      </w:r>
    </w:p>
    <w:p>
      <w:pPr>
        <w:pStyle w:val="TextBody"/>
        <w:spacing w:before="0" w:after="0"/>
        <w:rPr/>
      </w:pPr>
      <w:r>
        <w:rPr/>
        <w:t> </w:t>
      </w:r>
    </w:p>
    <w:tbl>
      <w:tblPr>
        <w:tblW w:w="3853" w:type="dxa"/>
        <w:jc w:val="left"/>
        <w:tblInd w:w="0" w:type="dxa"/>
        <w:tblCellMar>
          <w:top w:w="0" w:type="dxa"/>
          <w:left w:w="0" w:type="dxa"/>
          <w:bottom w:w="28" w:type="dxa"/>
          <w:right w:w="0" w:type="dxa"/>
        </w:tblCellMar>
      </w:tblPr>
      <w:tblGrid>
        <w:gridCol w:w="1415"/>
        <w:gridCol w:w="60"/>
        <w:gridCol w:w="200"/>
        <w:gridCol w:w="779"/>
        <w:gridCol w:w="60"/>
        <w:gridCol w:w="60"/>
        <w:gridCol w:w="249"/>
        <w:gridCol w:w="970"/>
        <w:gridCol w:w="60"/>
      </w:tblGrid>
      <w:tr>
        <w:trPr/>
        <w:tc>
          <w:tcPr>
            <w:tcW w:w="141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January 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Raw materials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Work in process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Finished goods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4,535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9,091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7,614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5. Goodwill and Intangible Assets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Goodwill.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carrying value of goodwill was $1.0 million as of April 2, 2022 and January 1, 2022, respectively.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2021 and determined that its goodwill was not impaired.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April 2, 2022, the Company had not identified any factors that indicated there was an impairment of its goodwill and determined that no additional impairment analysis was then required.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Intangible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components of gross and net of intangible assets carrying amounts (in thousands):</w:t>
      </w:r>
    </w:p>
    <w:p>
      <w:pPr>
        <w:pStyle w:val="TextBody"/>
        <w:spacing w:before="0" w:after="0"/>
        <w:rPr/>
      </w:pPr>
      <w:r>
        <w:rPr/>
        <w:t> </w:t>
      </w:r>
    </w:p>
    <w:tbl>
      <w:tblPr>
        <w:tblW w:w="8770" w:type="dxa"/>
        <w:jc w:val="left"/>
        <w:tblInd w:w="0" w:type="dxa"/>
        <w:tblCellMar>
          <w:top w:w="0" w:type="dxa"/>
          <w:left w:w="0" w:type="dxa"/>
          <w:bottom w:w="28" w:type="dxa"/>
          <w:right w:w="0" w:type="dxa"/>
        </w:tblCellMar>
      </w:tblPr>
      <w:tblGrid>
        <w:gridCol w:w="1895"/>
        <w:gridCol w:w="60"/>
        <w:gridCol w:w="142"/>
        <w:gridCol w:w="553"/>
        <w:gridCol w:w="60"/>
        <w:gridCol w:w="60"/>
        <w:gridCol w:w="270"/>
        <w:gridCol w:w="725"/>
        <w:gridCol w:w="60"/>
        <w:gridCol w:w="60"/>
        <w:gridCol w:w="142"/>
        <w:gridCol w:w="553"/>
        <w:gridCol w:w="60"/>
        <w:gridCol w:w="60"/>
        <w:gridCol w:w="1325"/>
        <w:gridCol w:w="60"/>
        <w:gridCol w:w="142"/>
        <w:gridCol w:w="553"/>
        <w:gridCol w:w="60"/>
        <w:gridCol w:w="60"/>
        <w:gridCol w:w="270"/>
        <w:gridCol w:w="725"/>
        <w:gridCol w:w="60"/>
        <w:gridCol w:w="60"/>
        <w:gridCol w:w="142"/>
        <w:gridCol w:w="553"/>
        <w:gridCol w:w="60"/>
      </w:tblGrid>
      <w:tr>
        <w:trPr/>
        <w:tc>
          <w:tcPr>
            <w:tcW w:w="18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January 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 Life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Customer relationships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Developed technology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5.92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Trade names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7.92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In-process R&amp;D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single" w:sz="6" w:space="0" w:color="000000"/>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three months ended April 2, 2022 and April 3, 2021, amortization expense totaled $48 thousand and $19 thousand, respectively.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amortizations of customer relationships and trade names were charged to sales and marketing expense. The amortization for developed technology was charged to research and development expense. Future estimated amortization expense excluding in-process R&amp;D (in thousands):</w:t>
      </w:r>
    </w:p>
    <w:p>
      <w:pPr>
        <w:pStyle w:val="TextBody"/>
        <w:spacing w:before="0" w:after="0"/>
        <w:rPr/>
      </w:pPr>
      <w:r>
        <w:rPr/>
        <w:t> </w:t>
      </w:r>
    </w:p>
    <w:tbl>
      <w:tblPr>
        <w:tblW w:w="2340" w:type="dxa"/>
        <w:jc w:val="left"/>
        <w:tblInd w:w="0" w:type="dxa"/>
        <w:tblCellMar>
          <w:top w:w="0" w:type="dxa"/>
          <w:left w:w="0" w:type="dxa"/>
          <w:bottom w:w="0" w:type="dxa"/>
          <w:right w:w="0" w:type="dxa"/>
        </w:tblCellMar>
      </w:tblPr>
      <w:tblGrid>
        <w:gridCol w:w="1610"/>
        <w:gridCol w:w="60"/>
        <w:gridCol w:w="125"/>
        <w:gridCol w:w="485"/>
        <w:gridCol w:w="60"/>
      </w:tblGrid>
      <w:tr>
        <w:trPr/>
        <w:tc>
          <w:tcPr>
            <w:tcW w:w="16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Fiscal Year:</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 (nine months)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Thereafter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0" w:type="dxa"/>
            <w:tcBorders>
              <w:bottom w:val="doub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6. Fair Value Measurements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Level 1: Quoted prices (unadjusted) in active markets that are accessible at the measurement date for assets or liabilities.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carrying amounts of the Company’s financial assets and liabilities, including cash and cash equivalents, accounts receivable, accounts payable, and accrued expenses as of April 2, 2022 and January 1, 2022, approximate fair value because of the short maturity of these instruments.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April 2, 2022 and January 1, 2022, financial assets measured and recognized at fair value on a recurring basis and classified under the appropriate level of the fair value hierarchy as described above were as follows:</w:t>
      </w:r>
    </w:p>
    <w:p>
      <w:pPr>
        <w:pStyle w:val="TextBody"/>
        <w:spacing w:before="0" w:after="0"/>
        <w:rPr/>
      </w:pPr>
      <w:r>
        <w:rPr/>
        <w:t> </w:t>
      </w:r>
    </w:p>
    <w:tbl>
      <w:tblPr>
        <w:tblW w:w="7696" w:type="dxa"/>
        <w:jc w:val="left"/>
        <w:tblInd w:w="0" w:type="dxa"/>
        <w:tblCellMar>
          <w:top w:w="0" w:type="dxa"/>
          <w:left w:w="0" w:type="dxa"/>
          <w:bottom w:w="28" w:type="dxa"/>
          <w:right w:w="0" w:type="dxa"/>
        </w:tblCellMar>
      </w:tblPr>
      <w:tblGrid>
        <w:gridCol w:w="1700"/>
        <w:gridCol w:w="60"/>
        <w:gridCol w:w="125"/>
        <w:gridCol w:w="590"/>
        <w:gridCol w:w="60"/>
        <w:gridCol w:w="60"/>
        <w:gridCol w:w="176"/>
        <w:gridCol w:w="368"/>
        <w:gridCol w:w="60"/>
        <w:gridCol w:w="60"/>
        <w:gridCol w:w="176"/>
        <w:gridCol w:w="368"/>
        <w:gridCol w:w="60"/>
        <w:gridCol w:w="60"/>
        <w:gridCol w:w="125"/>
        <w:gridCol w:w="590"/>
        <w:gridCol w:w="60"/>
        <w:gridCol w:w="60"/>
        <w:gridCol w:w="125"/>
        <w:gridCol w:w="590"/>
        <w:gridCol w:w="60"/>
        <w:gridCol w:w="60"/>
        <w:gridCol w:w="176"/>
        <w:gridCol w:w="368"/>
        <w:gridCol w:w="60"/>
        <w:gridCol w:w="60"/>
        <w:gridCol w:w="176"/>
        <w:gridCol w:w="368"/>
        <w:gridCol w:w="60"/>
        <w:gridCol w:w="60"/>
        <w:gridCol w:w="125"/>
        <w:gridCol w:w="590"/>
        <w:gridCol w:w="60"/>
      </w:tblGrid>
      <w:tr>
        <w:trPr/>
        <w:tc>
          <w:tcPr>
            <w:tcW w:w="17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April 2,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January 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Level 1 financial assets are money market funds whose fair values are based on quoted market prices. The Company does not have any Level 2 and Level 3 financial assets or liabilities.</w:t>
      </w:r>
    </w:p>
    <w:p>
      <w:pPr>
        <w:pStyle w:val="TextBody"/>
        <w:spacing w:before="12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7. Commitments and Contingencies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Operating Lease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operating lease commitments consist of facility and office equipment leases. Operating lease expenses for the three months ended April 2, 2022 and April 3, 2021 were approximately $0.3 million during each period. The weighted average discount rate used in calculating the present value of lease payments was 4.8%. As of April 2, 2022, the weighted average remaining lease term for our operating leases was 2.4 years.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represents maturities of operating lease liabilities as of April 2, 2022 (in thousands):</w:t>
      </w:r>
    </w:p>
    <w:p>
      <w:pPr>
        <w:pStyle w:val="TextBody"/>
        <w:spacing w:before="0" w:after="0"/>
        <w:rPr/>
      </w:pPr>
      <w:r>
        <w:rPr/>
        <w:t> </w:t>
      </w:r>
    </w:p>
    <w:tbl>
      <w:tblPr>
        <w:tblW w:w="3809" w:type="dxa"/>
        <w:jc w:val="left"/>
        <w:tblInd w:w="0" w:type="dxa"/>
        <w:tblCellMar>
          <w:top w:w="0" w:type="dxa"/>
          <w:left w:w="0" w:type="dxa"/>
          <w:bottom w:w="28" w:type="dxa"/>
          <w:right w:w="0" w:type="dxa"/>
        </w:tblCellMar>
      </w:tblPr>
      <w:tblGrid>
        <w:gridCol w:w="2495"/>
        <w:gridCol w:w="60"/>
        <w:gridCol w:w="239"/>
        <w:gridCol w:w="935"/>
        <w:gridCol w:w="80"/>
      </w:tblGrid>
      <w:tr>
        <w:trPr/>
        <w:tc>
          <w:tcPr>
            <w:tcW w:w="24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Fiscal Year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Operating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Lease Payments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Remainder of 2022 (9 months)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payments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49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Purchase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purchase commitments consist primarily of non-cancellable purchase commitments with vendors to manufacture certain components and ophthalmic instrumentation. As of April 2, 2022, our future minimum payments through fiscal year 2024 for our purchase commitments were approximately $18.8 million.</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Indemnities.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w:t>
      </w:r>
      <w:r>
        <w:rPr>
          <w:rFonts w:ascii="Times New Roman" w:hAnsi="Times New Roman"/>
          <w:b w:val="false"/>
          <w:i w:val="false"/>
          <w:caps w:val="false"/>
          <w:smallCaps w:val="false"/>
          <w:color w:val="000000"/>
          <w:sz w:val="20"/>
          <w:highlight w:val="white"/>
        </w:rPr>
        <w:t xml:space="preserv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w:t>
      </w:r>
      <w:r>
        <w:rPr>
          <w:rFonts w:ascii="Times New Roman" w:hAnsi="Times New Roman"/>
          <w:b w:val="false"/>
          <w:i w:val="false"/>
          <w:caps w:val="false"/>
          <w:smallCaps w:val="false"/>
          <w:sz w:val="20"/>
        </w:rPr>
        <w:t xml:space="preserve">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entered into </w:t>
      </w:r>
      <w:r>
        <w:rPr>
          <w:rFonts w:ascii="Times New Roman" w:hAnsi="Times New Roman"/>
          <w:b w:val="false"/>
          <w:i w:val="false"/>
          <w:caps w:val="false"/>
          <w:smallCaps w:val="false"/>
          <w:color w:val="000000"/>
          <w:sz w:val="20"/>
          <w:highlight w:val="white"/>
        </w:rPr>
        <w:t>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highlight w:val="white"/>
        </w:rPr>
        <w:t>Legal Proceedings</w:t>
      </w:r>
      <w:r>
        <w:rPr>
          <w:rFonts w:ascii="Times New Roman" w:hAnsi="Times New Roman"/>
          <w:b w:val="false"/>
          <w:i w:val="false"/>
          <w:caps w:val="false"/>
          <w:smallCaps w:val="false"/>
          <w:color w:val="000000"/>
          <w:sz w:val="20"/>
        </w:rPr>
        <w: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8. Stockholders’ Equity and Stock-Based Compensation</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Stock-Based Compensation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stock-based compensation granted to employees and directors, including employees stock option awards, restricted stock and restricted stock units (“RSUs”) in accordance with ASC 718</w:t>
      </w:r>
      <w:r>
        <w:rPr>
          <w:rFonts w:ascii="Times New Roman" w:hAnsi="Times New Roman"/>
          <w:b w:val="false"/>
          <w:i/>
          <w:caps w:val="false"/>
          <w:smallCaps w:val="false"/>
          <w:sz w:val="20"/>
        </w:rPr>
        <w:t>, “Compensation – Stock Compensation”</w:t>
      </w:r>
      <w:r>
        <w:rPr>
          <w:rFonts w:ascii="Times New Roman" w:hAnsi="Times New Roman"/>
          <w:b w:val="false"/>
          <w:i w:val="false"/>
          <w:caps w:val="false"/>
          <w:smallCaps w:val="false"/>
          <w:sz w:val="20"/>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2008 Equity Incentive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terms of awards granted during the three months ended April 2, 2022 were consistent with those described in the consolidated financial statements included in our Annual Report on Form 10-K for the year ended January 1, 2022.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shows stock-based compensation expense included in the condensed consolidated statements of operations for the three months ended April 2, 2022 and April 3, 2021:</w:t>
      </w:r>
    </w:p>
    <w:p>
      <w:pPr>
        <w:pStyle w:val="TextBody"/>
        <w:spacing w:before="0" w:after="0"/>
        <w:rPr/>
      </w:pPr>
      <w:r>
        <w:rPr/>
        <w:t> </w:t>
      </w:r>
    </w:p>
    <w:tbl>
      <w:tblPr>
        <w:tblW w:w="4462" w:type="dxa"/>
        <w:jc w:val="left"/>
        <w:tblInd w:w="0" w:type="dxa"/>
        <w:tblCellMar>
          <w:top w:w="0" w:type="dxa"/>
          <w:left w:w="0" w:type="dxa"/>
          <w:bottom w:w="28" w:type="dxa"/>
          <w:right w:w="0" w:type="dxa"/>
        </w:tblCellMar>
      </w:tblPr>
      <w:tblGrid>
        <w:gridCol w:w="2210"/>
        <w:gridCol w:w="60"/>
        <w:gridCol w:w="265"/>
        <w:gridCol w:w="714"/>
        <w:gridCol w:w="87"/>
        <w:gridCol w:w="87"/>
        <w:gridCol w:w="265"/>
        <w:gridCol w:w="714"/>
        <w:gridCol w:w="60"/>
      </w:tblGrid>
      <w:tr>
        <w:trPr/>
        <w:tc>
          <w:tcPr>
            <w:tcW w:w="22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384</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expense capitalized to inventory was immaterial for the three months ended April 2, 2022 and April 3, 2021.</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April 2, 2022, there was $2.4 million of total unrecognized compensation cost, net of expected forfeitures, related to non-vested stock-based compensation arrangements. The cost is expected to be recognized over a weighted average period of 1.84 years.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Summary of Stock Options.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stock options information during the three months ended April 2, 2022:</w:t>
      </w:r>
    </w:p>
    <w:p>
      <w:pPr>
        <w:pStyle w:val="TextBody"/>
        <w:spacing w:before="0" w:after="0"/>
        <w:rPr/>
      </w:pPr>
      <w:r>
        <w:rPr/>
        <w:t> </w:t>
      </w:r>
    </w:p>
    <w:tbl>
      <w:tblPr>
        <w:tblW w:w="5963" w:type="dxa"/>
        <w:jc w:val="left"/>
        <w:tblInd w:w="0" w:type="dxa"/>
        <w:tblCellMar>
          <w:top w:w="0" w:type="dxa"/>
          <w:left w:w="0" w:type="dxa"/>
          <w:bottom w:w="28" w:type="dxa"/>
          <w:right w:w="0" w:type="dxa"/>
        </w:tblCellMar>
      </w:tblPr>
      <w:tblGrid>
        <w:gridCol w:w="2780"/>
        <w:gridCol w:w="60"/>
        <w:gridCol w:w="60"/>
        <w:gridCol w:w="845"/>
        <w:gridCol w:w="80"/>
        <w:gridCol w:w="60"/>
        <w:gridCol w:w="256"/>
        <w:gridCol w:w="783"/>
        <w:gridCol w:w="60"/>
        <w:gridCol w:w="60"/>
        <w:gridCol w:w="175"/>
        <w:gridCol w:w="684"/>
        <w:gridCol w:w="60"/>
      </w:tblGrid>
      <w:tr>
        <w:trPr/>
        <w:tc>
          <w:tcPr>
            <w:tcW w:w="27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January 1, 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1,772,621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42,200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Canceled or 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(66,841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April 2,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1,741,917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4"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weighted average grant date fair value of the options granted was $2.85 and $2.74 per share for the three months ended April 2, 2022 and April 3, 2021, respectively.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uses the Black-Scholes option-pricing model to estimate the fair value of stock-based awards (options) with the following weighted average assumptions:</w:t>
      </w:r>
    </w:p>
    <w:p>
      <w:pPr>
        <w:pStyle w:val="TextBody"/>
        <w:spacing w:before="0" w:after="0"/>
        <w:rPr/>
      </w:pPr>
      <w:r>
        <w:rPr/>
        <w:t> </w:t>
      </w:r>
    </w:p>
    <w:tbl>
      <w:tblPr>
        <w:tblW w:w="4908" w:type="dxa"/>
        <w:jc w:val="left"/>
        <w:tblInd w:w="0" w:type="dxa"/>
        <w:tblCellMar>
          <w:top w:w="0" w:type="dxa"/>
          <w:left w:w="0" w:type="dxa"/>
          <w:bottom w:w="28" w:type="dxa"/>
          <w:right w:w="0" w:type="dxa"/>
        </w:tblCellMar>
      </w:tblPr>
      <w:tblGrid>
        <w:gridCol w:w="2375"/>
        <w:gridCol w:w="60"/>
        <w:gridCol w:w="133"/>
        <w:gridCol w:w="846"/>
        <w:gridCol w:w="249"/>
        <w:gridCol w:w="81"/>
        <w:gridCol w:w="133"/>
        <w:gridCol w:w="846"/>
        <w:gridCol w:w="185"/>
      </w:tblGrid>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Average risk 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2.43</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0.74</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life (in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4.45</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Average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p>
        </w:tc>
        <w:tc>
          <w:tcPr>
            <w:tcW w:w="2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regarding stock options outstanding, vested, expected to vest, and exercisable as of April 2, 2022 is summarized below:</w:t>
      </w:r>
    </w:p>
    <w:p>
      <w:pPr>
        <w:pStyle w:val="TextBody"/>
        <w:spacing w:before="0" w:after="0"/>
        <w:rPr/>
      </w:pPr>
      <w:r>
        <w:rPr/>
        <w:t> </w:t>
      </w:r>
    </w:p>
    <w:tbl>
      <w:tblPr>
        <w:tblW w:w="7359" w:type="dxa"/>
        <w:jc w:val="left"/>
        <w:tblInd w:w="0" w:type="dxa"/>
        <w:tblCellMar>
          <w:top w:w="0" w:type="dxa"/>
          <w:left w:w="0" w:type="dxa"/>
          <w:bottom w:w="28" w:type="dxa"/>
          <w:right w:w="0" w:type="dxa"/>
        </w:tblCellMar>
      </w:tblPr>
      <w:tblGrid>
        <w:gridCol w:w="2945"/>
        <w:gridCol w:w="60"/>
        <w:gridCol w:w="60"/>
        <w:gridCol w:w="845"/>
        <w:gridCol w:w="60"/>
        <w:gridCol w:w="60"/>
        <w:gridCol w:w="256"/>
        <w:gridCol w:w="783"/>
        <w:gridCol w:w="60"/>
        <w:gridCol w:w="60"/>
        <w:gridCol w:w="123"/>
        <w:gridCol w:w="782"/>
        <w:gridCol w:w="60"/>
        <w:gridCol w:w="60"/>
        <w:gridCol w:w="222"/>
        <w:gridCol w:w="863"/>
        <w:gridCol w:w="60"/>
      </w:tblGrid>
      <w:tr>
        <w:trPr/>
        <w:tc>
          <w:tcPr>
            <w:tcW w:w="294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Life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 Value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outstanding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1,741,917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vested and expected to vest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1,637,953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exercisable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662,311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intrinsic value in the table above represents the pre-tax intrinsic value, based on the Company’s closing price as of April 2, 2022, that would have been received by option holders had all option holders exercised their stock options as of that date. This amount changes based on the fair market value of the Company’s common stock. The total intrinsic value of options exercised for the three months ended April 2, 2022 and April 3, 2021 was approximately $19 thousand and $6 thousand, respectively.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Summary of RSUs and Awards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regarding RSUs activity for the three months ended April 2, 2022 is summarized below:</w:t>
      </w:r>
    </w:p>
    <w:p>
      <w:pPr>
        <w:pStyle w:val="TextBody"/>
        <w:spacing w:before="0" w:after="0"/>
        <w:rPr/>
      </w:pPr>
      <w:r>
        <w:rPr/>
        <w:t> </w:t>
      </w:r>
    </w:p>
    <w:tbl>
      <w:tblPr>
        <w:tblW w:w="3675" w:type="dxa"/>
        <w:jc w:val="left"/>
        <w:tblInd w:w="0" w:type="dxa"/>
        <w:tblCellMar>
          <w:top w:w="0" w:type="dxa"/>
          <w:left w:w="0" w:type="dxa"/>
          <w:bottom w:w="28" w:type="dxa"/>
          <w:right w:w="0" w:type="dxa"/>
        </w:tblCellMar>
      </w:tblPr>
      <w:tblGrid>
        <w:gridCol w:w="2780"/>
        <w:gridCol w:w="60"/>
        <w:gridCol w:w="60"/>
        <w:gridCol w:w="695"/>
        <w:gridCol w:w="80"/>
      </w:tblGrid>
      <w:tr>
        <w:trPr/>
        <w:tc>
          <w:tcPr>
            <w:tcW w:w="278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January 1, 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253,761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released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(4,937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April 2,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248,824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9. Income Taxes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Provision for Income Tax.</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calculates its interim tax provision in accordance with the provisions of ASC 740-270, </w:t>
      </w:r>
      <w:r>
        <w:rPr>
          <w:rFonts w:ascii="Times New Roman" w:hAnsi="Times New Roman"/>
          <w:b w:val="false"/>
          <w:i/>
          <w:caps w:val="false"/>
          <w:smallCaps w:val="false"/>
          <w:color w:val="000000"/>
          <w:sz w:val="20"/>
        </w:rPr>
        <w:t>Income Taxes; Interim Reporting</w:t>
      </w:r>
      <w:r>
        <w:rPr>
          <w:rFonts w:ascii="Times New Roman" w:hAnsi="Times New Roman"/>
          <w:b w:val="false"/>
          <w:i w:val="false"/>
          <w:caps w:val="false"/>
          <w:smallCaps w:val="false"/>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$20 thousand and $8 thousand for the three months ended April 2, 2022 and April 3, 2021, respectively.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Deferred Income Taxes.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accounts for income taxes in accordance with ASC topic 740, </w:t>
      </w:r>
      <w:r>
        <w:rPr>
          <w:rFonts w:ascii="Times New Roman" w:hAnsi="Times New Roman"/>
          <w:b w:val="false"/>
          <w:i/>
          <w:caps w:val="false"/>
          <w:smallCaps w:val="false"/>
          <w:color w:val="000000"/>
          <w:sz w:val="20"/>
        </w:rPr>
        <w:t>Income Taxes</w:t>
      </w:r>
      <w:r>
        <w:rPr>
          <w:rFonts w:ascii="Times New Roman" w:hAnsi="Times New Roman"/>
          <w:b w:val="false"/>
          <w:i w:val="false"/>
          <w:caps w:val="false"/>
          <w:smallCaps w:val="false"/>
          <w:color w:val="000000"/>
          <w:sz w:val="20"/>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first quarter of fiscal year 2022,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Uncertain Tax Positions.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its uncertain tax positions in accordance with ASC 740. As of January 1, 2022, the Company had $1.3 million of unrecognized tax benefits, none of the unrecognized tax benefits would result in a change in the Company’s effective tax rate if recognized in future years.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not aware of any other uncertain tax positions that could result in significant additional payments, accruals, or other material deviation in this estimate during the fiscal year.</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subject to United States federal income tax as well as to income taxes in state jurisdictions. The Company’s federal and state income tax returns are open to examination by tax authorities for three years and three-to-five years, respectively.   </w:t>
      </w:r>
    </w:p>
    <w:p>
      <w:pPr>
        <w:pStyle w:val="TextBody"/>
        <w:spacing w:before="0" w:after="12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10. Computation of Basic and Diluted Net Loss Per Common Share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three months ended April 2, 2022 and April 3, 2021, potential shares from stock options and RSUs totaling 1,707,698 and 1,635,558 shares, respectively, were excluded from the computation of diluted weighted average shares outstanding.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numerator and denominator of basic and diluted net loss per common share is provided as follows:</w:t>
      </w:r>
    </w:p>
    <w:p>
      <w:pPr>
        <w:pStyle w:val="TextBody"/>
        <w:spacing w:before="0" w:after="0"/>
        <w:rPr/>
      </w:pPr>
      <w:r>
        <w:rPr/>
        <w:t> </w:t>
      </w:r>
    </w:p>
    <w:tbl>
      <w:tblPr>
        <w:tblW w:w="6458" w:type="dxa"/>
        <w:jc w:val="left"/>
        <w:tblInd w:w="0" w:type="dxa"/>
        <w:tblCellMar>
          <w:top w:w="0" w:type="dxa"/>
          <w:left w:w="0" w:type="dxa"/>
          <w:bottom w:w="28" w:type="dxa"/>
          <w:right w:w="0" w:type="dxa"/>
        </w:tblCellMar>
      </w:tblPr>
      <w:tblGrid>
        <w:gridCol w:w="4220"/>
        <w:gridCol w:w="60"/>
        <w:gridCol w:w="171"/>
        <w:gridCol w:w="808"/>
        <w:gridCol w:w="80"/>
        <w:gridCol w:w="60"/>
        <w:gridCol w:w="171"/>
        <w:gridCol w:w="808"/>
        <w:gridCol w:w="80"/>
      </w:tblGrid>
      <w:tr>
        <w:trPr/>
        <w:tc>
          <w:tcPr>
            <w:tcW w:w="422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 except per share data)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Numerator: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Denominator: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of common stock (basic)</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15,881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14,346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of common stock (diluted)</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14,346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 share data: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FFFFFF"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top w:val="double" w:sz="6" w:space="0" w:color="000000"/>
            </w:tcBorders>
            <w:shd w:fill="FFFFFF"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net loss per share</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 net loss per share</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11. Business Segments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operates in one segment, ophthalmology. The Company develops, manufactures and markets medical devices. Our revenues arise from the sale of consoles, delivery devices, consumables, service, and support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 information shown by product group is as follows: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3678"/>
        <w:gridCol w:w="530"/>
        <w:gridCol w:w="2505"/>
        <w:gridCol w:w="197"/>
        <w:gridCol w:w="197"/>
        <w:gridCol w:w="530"/>
        <w:gridCol w:w="2505"/>
        <w:gridCol w:w="63"/>
      </w:tblGrid>
      <w:tr>
        <w:trPr/>
        <w:tc>
          <w:tcPr>
            <w:tcW w:w="3678"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46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7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30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0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78"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Cyclo G6</w:t>
            </w:r>
          </w:p>
        </w:tc>
        <w:tc>
          <w:tcPr>
            <w:tcW w:w="5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5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3,540</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5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3,349</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7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Retina</w:t>
            </w:r>
          </w:p>
        </w:tc>
        <w:tc>
          <w:tcPr>
            <w:tcW w:w="5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7,301</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6,660</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78"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Other(1)</w:t>
            </w:r>
          </w:p>
        </w:tc>
        <w:tc>
          <w:tcPr>
            <w:tcW w:w="5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2,546</w:t>
            </w:r>
          </w:p>
        </w:tc>
        <w:tc>
          <w:tcPr>
            <w:tcW w:w="19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1,950</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78"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5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5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13,387</w:t>
            </w:r>
          </w:p>
        </w:tc>
        <w:tc>
          <w:tcPr>
            <w:tcW w:w="19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5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11,959</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142" w:type="dxa"/>
            <w:gridSpan w:val="7"/>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Includes service contract revenues of $362 and $299 recognized during the three months ended April 2, 2022 and April 3, 2021, respectively. Includes $277 recognized revenue related to the exclusive distribution rights during the three ended April 2, 2022. Other also includes revenues from paid service, royalty, freight and legacy G probes.</w:t>
            </w:r>
          </w:p>
        </w:tc>
        <w:tc>
          <w:tcPr>
            <w:tcW w:w="6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 information shown by geographic region, based on the sales destination, is as follows:</w:t>
      </w:r>
    </w:p>
    <w:p>
      <w:pPr>
        <w:pStyle w:val="TextBody"/>
        <w:spacing w:before="0" w:after="0"/>
        <w:rPr/>
      </w:pPr>
      <w:r>
        <w:rPr/>
        <w:t> </w:t>
      </w:r>
    </w:p>
    <w:tbl>
      <w:tblPr>
        <w:tblW w:w="3523" w:type="dxa"/>
        <w:jc w:val="left"/>
        <w:tblInd w:w="0" w:type="dxa"/>
        <w:tblCellMar>
          <w:top w:w="0" w:type="dxa"/>
          <w:left w:w="0" w:type="dxa"/>
          <w:bottom w:w="28" w:type="dxa"/>
          <w:right w:w="0" w:type="dxa"/>
        </w:tblCellMar>
      </w:tblPr>
      <w:tblGrid>
        <w:gridCol w:w="1385"/>
        <w:gridCol w:w="171"/>
        <w:gridCol w:w="808"/>
        <w:gridCol w:w="60"/>
        <w:gridCol w:w="60"/>
        <w:gridCol w:w="171"/>
        <w:gridCol w:w="808"/>
        <w:gridCol w:w="60"/>
      </w:tblGrid>
      <w:tr>
        <w:trPr/>
        <w:tc>
          <w:tcPr>
            <w:tcW w:w="13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07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Europe</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Asia/Pacific Rim</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 of Americas</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13,387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11,959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Revenues are attributed to countries based on the location of end customers.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than the United States, Japan and the Netherlands accounted for at least 10% of the Company’s revenues during the three months ended April 2, 2022, representing 12% and 10%, respectively. Other than the United States, Japan accounted for more than 10% of the Company’s revenues during the three months ended April 3, 2021, representing 17%. The United States accounted for 50.9% and 46.5% of revenues for the three months ended April 2, 2022 and April 3, 2021, respectively.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1" w:name="ITEM_2_MANAGEMENTS_DISCUSSION_ANALYSIS_F"/>
      <w:bookmarkEnd w:id="11"/>
      <w:r>
        <w:rPr>
          <w:rFonts w:ascii="Times New Roman" w:hAnsi="Times New Roman"/>
          <w:b/>
          <w:i w:val="false"/>
          <w:caps w:val="false"/>
          <w:smallCaps w:val="false"/>
          <w:sz w:val="20"/>
        </w:rPr>
        <w:t>Item 2. Management’s Discussion and Analysis of Financial Condition and Results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hd w:fill="FFFFFF" w:val="clear"/>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laser consoles consist of the following product lines: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lineRule="auto" w:line="288" w:before="120" w:after="0"/>
              <w:jc w:val="left"/>
              <w:rPr>
                <w:b w:val="false"/>
                <w:i w:val="false"/>
                <w:caps w:val="false"/>
                <w:smallCaps w:val="false"/>
              </w:rPr>
            </w:pPr>
            <w:r>
              <w:rPr>
                <w:b/>
                <w:i w:val="false"/>
                <w:caps w:val="false"/>
                <w:smallCaps w:val="false"/>
                <w:color w:val="000000"/>
              </w:rPr>
              <w:t>Glaucoma</w:t>
            </w:r>
            <w:r>
              <w:rPr>
                <w:b w:val="false"/>
                <w:i w:val="false"/>
                <w:caps w:val="false"/>
                <w:smallCaps w:val="false"/>
                <w:color w:val="000000"/>
              </w:rPr>
              <w:t> – This product line includes our Cyclo G6® Laser and delivery devices used for the treatment of glaucoma;</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lineRule="auto" w:line="288" w:before="120" w:after="0"/>
              <w:jc w:val="left"/>
              <w:rPr>
                <w:b w:val="false"/>
                <w:i w:val="false"/>
                <w:caps w:val="false"/>
                <w:smallCaps w:val="false"/>
              </w:rPr>
            </w:pPr>
            <w:r>
              <w:rPr>
                <w:b/>
                <w:i w:val="false"/>
                <w:caps w:val="false"/>
                <w:smallCaps w:val="false"/>
                <w:color w:val="000000"/>
              </w:rPr>
              <w:t>Medical Retina</w:t>
            </w:r>
            <w:r>
              <w:rPr>
                <w:b w:val="false"/>
                <w:i w:val="false"/>
                <w:caps w:val="false"/>
                <w:smallCaps w:val="false"/>
                <w:color w:val="000000"/>
              </w:rPr>
              <w:t> – Our medical retina product line includes our IQ 532® Laser and IQ 577® Laser photocoagulation systems, which are used for the treatment of diabetic macular edema and other retinal diseases, and our PASCAL® Synthesis Photocoagulator for the treatment of retinal diseases;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120" w:after="0"/>
              <w:jc w:val="left"/>
              <w:rPr>
                <w:caps w:val="false"/>
                <w:smallCaps w:val="false"/>
              </w:rPr>
            </w:pPr>
            <w:r>
              <w:rPr>
                <w:caps w:val="false"/>
                <w:smallCaps w:val="false"/>
              </w:rPr>
              <w:t> </w:t>
            </w:r>
          </w:p>
        </w:tc>
        <w:tc>
          <w:tcPr>
            <w:tcW w:w="110" w:type="dxa"/>
            <w:tcBorders/>
            <w:shd w:fill="auto" w:val="clear"/>
          </w:tcPr>
          <w:p>
            <w:pPr>
              <w:pStyle w:val="TableContents"/>
              <w:shd w:fill="FFFFFF" w:val="clear"/>
              <w:spacing w:before="120" w:after="0"/>
              <w:jc w:val="left"/>
              <w:rPr>
                <w:caps w:val="false"/>
                <w:smallCaps w:val="false"/>
              </w:rPr>
            </w:pPr>
            <w:r>
              <w:rPr>
                <w:caps w:val="false"/>
                <w:smallCaps w:val="false"/>
              </w:rPr>
              <w:t>•</w:t>
            </w:r>
          </w:p>
        </w:tc>
        <w:tc>
          <w:tcPr>
            <w:tcW w:w="10035" w:type="dxa"/>
            <w:tcBorders/>
            <w:shd w:fill="auto" w:val="clear"/>
          </w:tcPr>
          <w:p>
            <w:pPr>
              <w:pStyle w:val="TableContents"/>
              <w:shd w:fill="FFFFFF" w:val="clear"/>
              <w:spacing w:lineRule="auto" w:line="288" w:before="120" w:after="0"/>
              <w:jc w:val="left"/>
              <w:rPr>
                <w:b w:val="false"/>
                <w:i w:val="false"/>
                <w:caps w:val="false"/>
                <w:smallCaps w:val="false"/>
              </w:rPr>
            </w:pPr>
            <w:r>
              <w:rPr>
                <w:b/>
                <w:i w:val="false"/>
                <w:caps w:val="false"/>
                <w:smallCaps w:val="false"/>
                <w:color w:val="000000"/>
              </w:rPr>
              <w:t>Surgical Retina</w:t>
            </w:r>
            <w:r>
              <w:rPr>
                <w:b w:val="false"/>
                <w:i w:val="false"/>
                <w:caps w:val="false"/>
                <w:smallCaps w:val="false"/>
                <w:color w:val="000000"/>
              </w:rPr>
              <w:t> – Our surgical retina line of products includes our OcuLight® TX, OcuLight SL, OcuLight SLx, OcuLight GL and OcuLight GLx laser photocoagulation systems. The OcuLight systems are often used in vitrectomy procedures, which are used to treat proliferative diabetic retinopathy, macular holes, retinal tears and detachments.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lineRule="auto" w:line="288" w:before="120" w:after="0"/>
              <w:jc w:val="left"/>
              <w:rPr>
                <w:b w:val="false"/>
                <w:i w:val="false"/>
                <w:caps w:val="false"/>
                <w:smallCaps w:val="false"/>
              </w:rPr>
            </w:pPr>
            <w:r>
              <w:rPr>
                <w:b/>
                <w:i w:val="false"/>
                <w:caps w:val="false"/>
                <w:smallCaps w:val="false"/>
                <w:color w:val="000000"/>
              </w:rPr>
              <w:t>Glaucoma</w:t>
            </w:r>
            <w:r>
              <w:rPr>
                <w:b w:val="false"/>
                <w:i w:val="false"/>
                <w:caps w:val="false"/>
                <w:smallCaps w:val="false"/>
                <w:color w:val="000000"/>
              </w:rPr>
              <w:t> – Probes used in our glaucoma product line include our patented MicroPulse P3® Probe, G-Probe® and G-Probe Illuminate®;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lineRule="auto" w:line="288" w:before="120" w:after="0"/>
              <w:jc w:val="left"/>
              <w:rPr>
                <w:b w:val="false"/>
                <w:i w:val="false"/>
                <w:caps w:val="false"/>
                <w:smallCaps w:val="false"/>
              </w:rPr>
            </w:pPr>
            <w:r>
              <w:rPr>
                <w:b/>
                <w:i w:val="false"/>
                <w:caps w:val="false"/>
                <w:smallCaps w:val="false"/>
                <w:color w:val="000000"/>
              </w:rPr>
              <w:t>Surgical Retina</w:t>
            </w:r>
            <w:r>
              <w:rPr>
                <w:b w:val="false"/>
                <w:i w:val="false"/>
                <w:caps w:val="false"/>
                <w:smallCaps w:val="false"/>
                <w:color w:val="000000"/>
              </w:rPr>
              <w:t> – Our surgical retina probes include our EndoProbe® family of products used in vitrectomy procedures.</w:t>
            </w:r>
          </w:p>
        </w:tc>
      </w:tr>
    </w:tbl>
    <w:p>
      <w:pPr>
        <w:pStyle w:val="TextBody"/>
        <w:shd w:fill="FFFFFF" w:val="clear"/>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Ophthalmologists typically use our laser systems in hospital operating rooms (“ORs”) and ambulatory surgical centers (“ASCs”), as well as their offices and clinics. In ORs and ASCs, ophthalmologists use our laser systems with either an indirect laser ophthalmoscope or a consumable, single use MicroPulse P3 probe, G-Probe, G-Probe Illuminate or EndoProbe.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products are sold in the United States and Germany predominantly through a direct sales force and internationally (aside from Germany) primarily through independent distributors.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and marketing expenses consist primarily of costs of personnel, sales commissions, travel expenses, advertising and promotional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primarily of costs of personnel, legal, accounting and other public company costs, insurance and other expenses not allocated to other departments.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Impact of COVID-19 to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results of operations to be impacted for so long as the COVID-19 pandemic continues.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more information on risks associated with the COVID-19 outbreak, see the section titled “Risk Factors” in Item 1A of Part II.</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certain operating data as a percentage of revenues:</w:t>
      </w:r>
    </w:p>
    <w:p>
      <w:pPr>
        <w:pStyle w:val="TextBody"/>
        <w:spacing w:before="0" w:after="0"/>
        <w:rPr/>
      </w:pPr>
      <w:r>
        <w:rPr/>
        <w:t> </w:t>
      </w:r>
    </w:p>
    <w:tbl>
      <w:tblPr>
        <w:tblW w:w="5959" w:type="dxa"/>
        <w:jc w:val="left"/>
        <w:tblInd w:w="0" w:type="dxa"/>
        <w:tblCellMar>
          <w:top w:w="0" w:type="dxa"/>
          <w:left w:w="0" w:type="dxa"/>
          <w:bottom w:w="28" w:type="dxa"/>
          <w:right w:w="0" w:type="dxa"/>
        </w:tblCellMar>
      </w:tblPr>
      <w:tblGrid>
        <w:gridCol w:w="3365"/>
        <w:gridCol w:w="60"/>
        <w:gridCol w:w="107"/>
        <w:gridCol w:w="872"/>
        <w:gridCol w:w="266"/>
        <w:gridCol w:w="65"/>
        <w:gridCol w:w="107"/>
        <w:gridCol w:w="872"/>
        <w:gridCol w:w="245"/>
      </w:tblGrid>
      <w:tr>
        <w:trPr/>
        <w:tc>
          <w:tcPr>
            <w:tcW w:w="33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89"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2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revenues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55.4</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58.7</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margin</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44.6</w:t>
            </w:r>
          </w:p>
        </w:tc>
        <w:tc>
          <w:tcPr>
            <w:tcW w:w="26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w:t>
            </w:r>
          </w:p>
        </w:tc>
        <w:tc>
          <w:tcPr>
            <w:tcW w:w="26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w:t>
            </w:r>
          </w:p>
        </w:tc>
        <w:tc>
          <w:tcPr>
            <w:tcW w:w="26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61.6</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net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 before provision for</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income taxes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taxes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26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2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The following comparisons are between the three months ended April 2, 2022 and April 3, 2021:</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Revenues.</w:t>
      </w:r>
    </w:p>
    <w:p>
      <w:pPr>
        <w:pStyle w:val="TextBody"/>
        <w:spacing w:before="0" w:after="0"/>
        <w:rPr/>
      </w:pPr>
      <w:r>
        <w:rPr/>
        <w:t> </w:t>
      </w:r>
    </w:p>
    <w:tbl>
      <w:tblPr>
        <w:tblW w:w="6718" w:type="dxa"/>
        <w:jc w:val="left"/>
        <w:tblInd w:w="0" w:type="dxa"/>
        <w:tblCellMar>
          <w:top w:w="0" w:type="dxa"/>
          <w:left w:w="0" w:type="dxa"/>
          <w:bottom w:w="0" w:type="dxa"/>
          <w:right w:w="0" w:type="dxa"/>
        </w:tblCellMar>
      </w:tblPr>
      <w:tblGrid>
        <w:gridCol w:w="1220"/>
        <w:gridCol w:w="60"/>
        <w:gridCol w:w="265"/>
        <w:gridCol w:w="1255"/>
        <w:gridCol w:w="60"/>
        <w:gridCol w:w="60"/>
        <w:gridCol w:w="265"/>
        <w:gridCol w:w="1255"/>
        <w:gridCol w:w="60"/>
        <w:gridCol w:w="60"/>
        <w:gridCol w:w="182"/>
        <w:gridCol w:w="707"/>
        <w:gridCol w:w="60"/>
        <w:gridCol w:w="60"/>
        <w:gridCol w:w="130"/>
        <w:gridCol w:w="834"/>
        <w:gridCol w:w="185"/>
      </w:tblGrid>
      <w:tr>
        <w:trPr/>
        <w:tc>
          <w:tcPr>
            <w:tcW w:w="12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2, 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April 3,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in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in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Cyclo G6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3,540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Retina</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6,660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13,387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11,959</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1,428</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total revenues increased by $1.4 million, or 11.9%, from $12.0 million to $13.4 million. The increase in revenue was driven by higher Cyclo G6 product revenue, continued strength of the Retina product line in both domestic and international markets, including full quarter sales of the PASCAL product line, an increase in service revenues and the revenue related to exclusive distribution rights.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other variants. Until this pandemic subsides, we anticipate capital expenditures may continue to be deferred.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Gross Profit and Gross Margin.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Gross profit increased by $1.1 million, or 21.0%, from $4.9 million to $6.0 million. Gross margin increased by 3.3% from 41.3% to 44.6%. The increase in gross margin </w:t>
      </w:r>
      <w:r>
        <w:rPr>
          <w:rFonts w:ascii="Times New Roman" w:hAnsi="Times New Roman"/>
          <w:b w:val="false"/>
          <w:i w:val="false"/>
          <w:caps w:val="false"/>
          <w:smallCaps w:val="false"/>
          <w:color w:val="000000"/>
          <w:sz w:val="20"/>
        </w:rPr>
        <w:t>was driven by the longer-term strategic focus to increase higher margin probes within the product mix, continuing pricing discipline and inclusion of recognized revenue from the sale of distribution rights to Topcon</w:t>
      </w:r>
      <w:r>
        <w:rPr>
          <w:rFonts w:ascii="Times New Roman" w:hAnsi="Times New Roman"/>
          <w:b w:val="false"/>
          <w:i w:val="false"/>
          <w:caps w:val="false"/>
          <w:smallCaps w:val="false"/>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(“R&amp;D”) expenses increased by $0.9 million, or 81.6%, from $1.2 million to $2.1 million. The increase in spending was primarily attributable to an increased level of spending on new product development initiatives and on development of PASCAL product line.</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and marketing expenses increased by $1.3 million, or 44.2%, from $3.0 million to $4.3 million. The increase was primarily attributable to the targeted expansion of our sales and marketing programs.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decreased by $0.8 million, or 30.2%, from $2.6 million to $1.8 million. The decrease in spending was primarily attributable to lower legal and consulting expenses with prior year’s spending mainly related to the acquisition of the PASCAL Business and execution of the Exclusive Distribution Agreement with Topcon.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Other Expense,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expense, net was $0.1 million, compared to $0.2 million. Other expense, net, consisted primarily of foreign currency gain or loss and interest income or expense.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Income Taxes.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recorded an income tax provision of $20 thousand and $8 thousand, respectively.</w:t>
      </w:r>
    </w:p>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Liquidity and Capital Resources.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Liquidity is our ability to generate sufficient cash flows from operating activities to meet our obligations and commitments. In addition, liquidity includes the ability to obtain appropriate financing or to raise capital.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April 2, 2022, we had cash and cash equivalents of $20.6 million and working capital of $29.3 million compared to cash and cash equivalents of $23.9 million and working capital of $29.6 million as of January 1, 2022.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operating activities was $3.3 million in the three months ended April 2, 2022 compared to net cash provided by operating activities of $11.8 million in the three months ended April 3, 2021. The increase in net cash used operating activities, expressed in direct cash flow terms, was primarily due to the receipt of distribution exclusivity fee during the prior year period, an increase in vendor payments consistent with increased manufacturing activities and increase in payroll due to higher headcount and higher bonus payout, partially offset by increase in cash receipts from customers.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three months ended April 2, 2022, net cash used in investing activities was $26 thousand for capital expenditures. Net cash used in investing activities for the three months ended April 3, 2021 was $5.4 million, which consisted primarily of the purchase of PASCAL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three months ended April 2, 2022, net cash provided by financing activities was $6 thousand, primarily from </w:t>
      </w:r>
      <w:r>
        <w:rPr>
          <w:rFonts w:ascii="Times New Roman" w:hAnsi="Times New Roman"/>
          <w:b w:val="false"/>
          <w:i w:val="false"/>
          <w:caps w:val="false"/>
          <w:smallCaps w:val="false"/>
          <w:color w:val="000000"/>
          <w:sz w:val="20"/>
        </w:rPr>
        <w:t>proceeds from stock option exercises</w:t>
      </w:r>
      <w:r>
        <w:rPr>
          <w:rFonts w:ascii="Times New Roman" w:hAnsi="Times New Roman"/>
          <w:b w:val="false"/>
          <w:i w:val="false"/>
          <w:caps w:val="false"/>
          <w:smallCaps w:val="false"/>
          <w:sz w:val="20"/>
        </w:rPr>
        <w:t>. For the three months ended April 3, 2021, net cash provided by financing activities was $9.9 million, primarily from the net proceeds arising from the issuance of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historically funded our operations primarily through sales of our products to customers, and through common stock and borrowing arrangements. As of April 2, 2022, our principal sources of liquidity consisted of cash and cash equivalents of $20.6 million. We have incurred net losses over the last several years, and as of April 2, 2022, have an accumulated deficit of approximately $64.6 million. We expect to continue to incur operating losses and negative cash flows from operations through April 1, 2023.</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Off-Balance Sheet Arrangements.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2" w:name="ITEM_3_QUANTITATIVE_QUALITATIVE_DISCLOSU"/>
      <w:bookmarkEnd w:id="12"/>
      <w:r>
        <w:rPr>
          <w:rFonts w:ascii="Times New Roman" w:hAnsi="Times New Roman"/>
          <w:b/>
          <w:i w:val="false"/>
          <w:caps w:val="false"/>
          <w:smallCaps w:val="false"/>
          <w:sz w:val="20"/>
        </w:rPr>
        <w:t xml:space="preserve">Item 3. Quantitative and Qualitative Disclosure about Market Risk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“smaller reporting company,” as defined in Rule 12b-2 of the Exchange Act, we are not required to provide the information called for by this Item.</w:t>
      </w:r>
    </w:p>
    <w:p>
      <w:pPr>
        <w:pStyle w:val="TextBody"/>
        <w:spacing w:before="120" w:after="0"/>
        <w:rPr>
          <w:rFonts w:ascii="Times New Roman" w:hAnsi="Times New Roman"/>
          <w:b/>
          <w:i w:val="false"/>
          <w:caps w:val="false"/>
          <w:smallCaps w:val="false"/>
          <w:sz w:val="20"/>
        </w:rPr>
      </w:pPr>
      <w:bookmarkStart w:id="13" w:name="ITEM_4_CONTROLS_PROCEDURES"/>
      <w:bookmarkEnd w:id="13"/>
      <w:r>
        <w:rPr>
          <w:rFonts w:ascii="Times New Roman" w:hAnsi="Times New Roman"/>
          <w:b/>
          <w:i w:val="false"/>
          <w:caps w:val="false"/>
          <w:smallCaps w:val="false"/>
          <w:sz w:val="20"/>
        </w:rPr>
        <w:t>Item 4. Controls and Procedures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Evaluation of Disclosure Controls and Procedures.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April 2, 2022. Based on the foregoing, our Principal Executive Officer and our Principal Financial Officer concluded that our disclosure controls and procedures were effective at the reasonable assurance level.</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Changes in Internal Control over Financial Reporting.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4" w:name="PART_II_OR_INFORMATION"/>
      <w:bookmarkEnd w:id="14"/>
      <w:r>
        <w:rPr>
          <w:rFonts w:ascii="Times New Roman" w:hAnsi="Times New Roman"/>
          <w:b/>
          <w:i w:val="false"/>
          <w:caps w:val="false"/>
          <w:smallCaps w:val="false"/>
          <w:sz w:val="20"/>
        </w:rPr>
        <w:t>PART II. OTHER INFORMATION</w:t>
      </w:r>
    </w:p>
    <w:p>
      <w:pPr>
        <w:pStyle w:val="TextBody"/>
        <w:spacing w:before="120" w:after="0"/>
        <w:rPr>
          <w:rFonts w:ascii="Times New Roman" w:hAnsi="Times New Roman"/>
          <w:b/>
          <w:i w:val="false"/>
          <w:caps w:val="false"/>
          <w:smallCaps w:val="false"/>
          <w:sz w:val="20"/>
        </w:rPr>
      </w:pPr>
      <w:bookmarkStart w:id="15" w:name="ITEM_1_LEGAL_PROCEEDINGS"/>
      <w:bookmarkEnd w:id="15"/>
      <w:r>
        <w:rPr>
          <w:rFonts w:ascii="Times New Roman" w:hAnsi="Times New Roman"/>
          <w:b/>
          <w:i w:val="false"/>
          <w:caps w:val="false"/>
          <w:smallCaps w:val="false"/>
          <w:sz w:val="20"/>
        </w:rPr>
        <w:t>Item 1. Legal Proceedings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spacing w:before="120" w:after="0"/>
        <w:rPr>
          <w:rFonts w:ascii="Times New Roman" w:hAnsi="Times New Roman"/>
          <w:b/>
          <w:i w:val="false"/>
          <w:caps w:val="false"/>
          <w:smallCaps w:val="false"/>
          <w:sz w:val="20"/>
        </w:rPr>
      </w:pPr>
      <w:bookmarkStart w:id="16" w:name="ITEM_1A_RISK_FACTORS"/>
      <w:bookmarkEnd w:id="16"/>
      <w:r>
        <w:rPr>
          <w:rFonts w:ascii="Times New Roman" w:hAnsi="Times New Roman"/>
          <w:b/>
          <w:i w:val="false"/>
          <w:caps w:val="false"/>
          <w:smallCaps w:val="false"/>
          <w:sz w:val="20"/>
        </w:rPr>
        <w:t>Item 1A. Risk Factors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spacing w:before="12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Risk Factor Summary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business operations are subject to numerous risks, factors and uncertainties outside of our control that could cause our actual results to be harmed, including risks regarding the following:</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General economic factors</w:t>
      </w:r>
    </w:p>
    <w:tbl>
      <w:tblPr>
        <w:tblW w:w="4345" w:type="dxa"/>
        <w:jc w:val="left"/>
        <w:tblInd w:w="0" w:type="dxa"/>
        <w:tblCellMar>
          <w:top w:w="0" w:type="dxa"/>
          <w:left w:w="0" w:type="dxa"/>
          <w:bottom w:w="0" w:type="dxa"/>
          <w:right w:w="0" w:type="dxa"/>
        </w:tblCellMar>
      </w:tblPr>
      <w:tblGrid>
        <w:gridCol w:w="60"/>
        <w:gridCol w:w="110"/>
        <w:gridCol w:w="41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1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COVID-19 pandemic and responsive measures; </w:t>
            </w:r>
          </w:p>
        </w:tc>
      </w:tr>
    </w:tbl>
    <w:tbl>
      <w:tblPr>
        <w:tblW w:w="4060" w:type="dxa"/>
        <w:jc w:val="left"/>
        <w:tblInd w:w="0" w:type="dxa"/>
        <w:tblCellMar>
          <w:top w:w="0" w:type="dxa"/>
          <w:left w:w="0" w:type="dxa"/>
          <w:bottom w:w="0" w:type="dxa"/>
          <w:right w:w="0" w:type="dxa"/>
        </w:tblCellMar>
      </w:tblPr>
      <w:tblGrid>
        <w:gridCol w:w="60"/>
        <w:gridCol w:w="110"/>
        <w:gridCol w:w="3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success of our partnership with Topcon; and</w:t>
            </w:r>
          </w:p>
        </w:tc>
      </w:tr>
    </w:tbl>
    <w:tbl>
      <w:tblPr>
        <w:tblW w:w="6430" w:type="dxa"/>
        <w:jc w:val="left"/>
        <w:tblInd w:w="0" w:type="dxa"/>
        <w:tblCellMar>
          <w:top w:w="0" w:type="dxa"/>
          <w:left w:w="0" w:type="dxa"/>
          <w:bottom w:w="0" w:type="dxa"/>
          <w:right w:w="0" w:type="dxa"/>
        </w:tblCellMar>
      </w:tblPr>
      <w:tblGrid>
        <w:gridCol w:w="60"/>
        <w:gridCol w:w="110"/>
        <w:gridCol w:w="62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2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natural disasters, economic downturns, public health crises or political crises.</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Operational factors</w:t>
      </w:r>
    </w:p>
    <w:tbl>
      <w:tblPr>
        <w:tblW w:w="6025" w:type="dxa"/>
        <w:jc w:val="left"/>
        <w:tblInd w:w="0" w:type="dxa"/>
        <w:tblCellMar>
          <w:top w:w="0" w:type="dxa"/>
          <w:left w:w="0" w:type="dxa"/>
          <w:bottom w:w="0" w:type="dxa"/>
          <w:right w:w="0" w:type="dxa"/>
        </w:tblCellMar>
      </w:tblPr>
      <w:tblGrid>
        <w:gridCol w:w="60"/>
        <w:gridCol w:w="110"/>
        <w:gridCol w:w="58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8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relationship with our strategic partner and main distributor, Topcon;</w:t>
            </w:r>
          </w:p>
        </w:tc>
      </w:tr>
    </w:tbl>
    <w:tbl>
      <w:tblPr>
        <w:tblW w:w="3280" w:type="dxa"/>
        <w:jc w:val="left"/>
        <w:tblInd w:w="0" w:type="dxa"/>
        <w:tblCellMar>
          <w:top w:w="0" w:type="dxa"/>
          <w:left w:w="0" w:type="dxa"/>
          <w:bottom w:w="0" w:type="dxa"/>
          <w:right w:w="0" w:type="dxa"/>
        </w:tblCellMar>
      </w:tblPr>
      <w:tblGrid>
        <w:gridCol w:w="60"/>
        <w:gridCol w:w="110"/>
        <w:gridCol w:w="31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quality control and production issues;</w:t>
            </w:r>
          </w:p>
        </w:tc>
      </w:tr>
    </w:tbl>
    <w:tbl>
      <w:tblPr>
        <w:tblW w:w="3100" w:type="dxa"/>
        <w:jc w:val="left"/>
        <w:tblInd w:w="0" w:type="dxa"/>
        <w:tblCellMar>
          <w:top w:w="0" w:type="dxa"/>
          <w:left w:w="0" w:type="dxa"/>
          <w:bottom w:w="0" w:type="dxa"/>
          <w:right w:w="0" w:type="dxa"/>
        </w:tblCellMar>
      </w:tblPr>
      <w:tblGrid>
        <w:gridCol w:w="60"/>
        <w:gridCol w:w="110"/>
        <w:gridCol w:w="29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9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complexity of our laser systems;</w:t>
            </w:r>
          </w:p>
        </w:tc>
      </w:tr>
    </w:tbl>
    <w:tbl>
      <w:tblPr>
        <w:tblW w:w="2440" w:type="dxa"/>
        <w:jc w:val="left"/>
        <w:tblInd w:w="0" w:type="dxa"/>
        <w:tblCellMar>
          <w:top w:w="0" w:type="dxa"/>
          <w:left w:w="0" w:type="dxa"/>
          <w:bottom w:w="0" w:type="dxa"/>
          <w:right w:w="0" w:type="dxa"/>
        </w:tblCellMar>
      </w:tblPr>
      <w:tblGrid>
        <w:gridCol w:w="60"/>
        <w:gridCol w:w="110"/>
        <w:gridCol w:w="22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defects in our laser systems;</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costs, sales volumes, results of operations, and revenues;</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9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direct and independent sales forces and a network of international distributors to sell our products;</w:t>
            </w:r>
          </w:p>
        </w:tc>
      </w:tr>
    </w:tbl>
    <w:tbl>
      <w:tblPr>
        <w:tblW w:w="1135" w:type="dxa"/>
        <w:jc w:val="left"/>
        <w:tblInd w:w="0" w:type="dxa"/>
        <w:tblCellMar>
          <w:top w:w="0" w:type="dxa"/>
          <w:left w:w="0" w:type="dxa"/>
          <w:bottom w:w="0" w:type="dxa"/>
          <w:right w:w="0" w:type="dxa"/>
        </w:tblCellMar>
      </w:tblPr>
      <w:tblGrid>
        <w:gridCol w:w="60"/>
        <w:gridCol w:w="110"/>
        <w:gridCol w:w="9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growth;</w:t>
            </w:r>
          </w:p>
        </w:tc>
      </w:tr>
    </w:tbl>
    <w:tbl>
      <w:tblPr>
        <w:tblW w:w="3010" w:type="dxa"/>
        <w:jc w:val="left"/>
        <w:tblInd w:w="0" w:type="dxa"/>
        <w:tblCellMar>
          <w:top w:w="0" w:type="dxa"/>
          <w:left w:w="0" w:type="dxa"/>
          <w:bottom w:w="0" w:type="dxa"/>
          <w:right w:w="0" w:type="dxa"/>
        </w:tblCellMar>
      </w:tblPr>
      <w:tblGrid>
        <w:gridCol w:w="60"/>
        <w:gridCol w:w="110"/>
        <w:gridCol w:w="28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8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dependence on international sales;</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new products and applications and improving existing products;</w:t>
            </w:r>
          </w:p>
        </w:tc>
      </w:tr>
    </w:tbl>
    <w:tbl>
      <w:tblPr>
        <w:tblW w:w="3925" w:type="dxa"/>
        <w:jc w:val="left"/>
        <w:tblInd w:w="0" w:type="dxa"/>
        <w:tblCellMar>
          <w:top w:w="0" w:type="dxa"/>
          <w:left w:w="0" w:type="dxa"/>
          <w:bottom w:w="0" w:type="dxa"/>
          <w:right w:w="0" w:type="dxa"/>
        </w:tblCellMar>
      </w:tblPr>
      <w:tblGrid>
        <w:gridCol w:w="60"/>
        <w:gridCol w:w="110"/>
        <w:gridCol w:w="37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7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fluctuations in our sales and operating results;</w:t>
            </w:r>
          </w:p>
        </w:tc>
      </w:tr>
    </w:tbl>
    <w:tbl>
      <w:tblPr>
        <w:tblW w:w="2410" w:type="dxa"/>
        <w:jc w:val="left"/>
        <w:tblInd w:w="0" w:type="dxa"/>
        <w:tblCellMar>
          <w:top w:w="0" w:type="dxa"/>
          <w:left w:w="0" w:type="dxa"/>
          <w:bottom w:w="0" w:type="dxa"/>
          <w:right w:w="0" w:type="dxa"/>
        </w:tblCellMar>
      </w:tblPr>
      <w:tblGrid>
        <w:gridCol w:w="60"/>
        <w:gridCol w:w="110"/>
        <w:gridCol w:w="22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ophthalmology market;</w:t>
            </w:r>
          </w:p>
        </w:tc>
      </w:tr>
    </w:tbl>
    <w:tbl>
      <w:tblPr>
        <w:tblW w:w="2485" w:type="dxa"/>
        <w:jc w:val="left"/>
        <w:tblInd w:w="0" w:type="dxa"/>
        <w:tblCellMar>
          <w:top w:w="0" w:type="dxa"/>
          <w:left w:w="0" w:type="dxa"/>
          <w:bottom w:w="0" w:type="dxa"/>
          <w:right w:w="0" w:type="dxa"/>
        </w:tblCellMar>
      </w:tblPr>
      <w:tblGrid>
        <w:gridCol w:w="60"/>
        <w:gridCol w:w="110"/>
        <w:gridCol w:w="23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3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competition in our industry;</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0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collaborative relationships used to enhance products and applications;</w:t>
            </w:r>
          </w:p>
        </w:tc>
      </w:tr>
    </w:tbl>
    <w:tbl>
      <w:tblPr>
        <w:tblW w:w="2260" w:type="dxa"/>
        <w:jc w:val="left"/>
        <w:tblInd w:w="0" w:type="dxa"/>
        <w:tblCellMar>
          <w:top w:w="0" w:type="dxa"/>
          <w:left w:w="0" w:type="dxa"/>
          <w:bottom w:w="0" w:type="dxa"/>
          <w:right w:w="0" w:type="dxa"/>
        </w:tblCellMar>
      </w:tblPr>
      <w:tblGrid>
        <w:gridCol w:w="60"/>
        <w:gridCol w:w="110"/>
        <w:gridCol w:w="20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0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loss of key personnel;</w:t>
            </w:r>
          </w:p>
        </w:tc>
      </w:tr>
    </w:tbl>
    <w:tbl>
      <w:tblPr>
        <w:tblW w:w="2275" w:type="dxa"/>
        <w:jc w:val="left"/>
        <w:tblInd w:w="0" w:type="dxa"/>
        <w:tblCellMar>
          <w:top w:w="0" w:type="dxa"/>
          <w:left w:w="0" w:type="dxa"/>
          <w:bottom w:w="0" w:type="dxa"/>
          <w:right w:w="0" w:type="dxa"/>
        </w:tblCellMar>
      </w:tblPr>
      <w:tblGrid>
        <w:gridCol w:w="60"/>
        <w:gridCol w:w="110"/>
        <w:gridCol w:w="21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1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meeting product demand;</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dependence on sole source and limited source suppliers;</w:t>
            </w:r>
          </w:p>
        </w:tc>
      </w:tr>
    </w:tbl>
    <w:tbl>
      <w:tblPr>
        <w:tblW w:w="6655" w:type="dxa"/>
        <w:jc w:val="left"/>
        <w:tblInd w:w="0" w:type="dxa"/>
        <w:tblCellMar>
          <w:top w:w="0" w:type="dxa"/>
          <w:left w:w="0" w:type="dxa"/>
          <w:bottom w:w="0" w:type="dxa"/>
          <w:right w:w="0" w:type="dxa"/>
        </w:tblCellMar>
      </w:tblPr>
      <w:tblGrid>
        <w:gridCol w:w="60"/>
        <w:gridCol w:w="110"/>
        <w:gridCol w:w="64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4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disruptions to our information technology system and breaches of data security;</w:t>
            </w:r>
          </w:p>
        </w:tc>
      </w:tr>
    </w:tbl>
    <w:tbl>
      <w:tblPr>
        <w:tblW w:w="4480" w:type="dxa"/>
        <w:jc w:val="left"/>
        <w:tblInd w:w="0" w:type="dxa"/>
        <w:tblCellMar>
          <w:top w:w="0" w:type="dxa"/>
          <w:left w:w="0" w:type="dxa"/>
          <w:bottom w:w="0" w:type="dxa"/>
          <w:right w:w="0" w:type="dxa"/>
        </w:tblCellMar>
      </w:tblPr>
      <w:tblGrid>
        <w:gridCol w:w="60"/>
        <w:gridCol w:w="110"/>
        <w:gridCol w:w="43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maintaining relationships with health care providers;</w:t>
            </w:r>
          </w:p>
        </w:tc>
      </w:tr>
    </w:tbl>
    <w:tbl>
      <w:tblPr>
        <w:tblW w:w="2380" w:type="dxa"/>
        <w:jc w:val="left"/>
        <w:tblInd w:w="0" w:type="dxa"/>
        <w:tblCellMar>
          <w:top w:w="0" w:type="dxa"/>
          <w:left w:w="0" w:type="dxa"/>
          <w:bottom w:w="0" w:type="dxa"/>
          <w:right w:w="0" w:type="dxa"/>
        </w:tblCellMar>
      </w:tblPr>
      <w:tblGrid>
        <w:gridCol w:w="60"/>
        <w:gridCol w:w="110"/>
        <w:gridCol w:w="22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misuse of our products;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0" w:after="0"/>
        <w:rPr/>
      </w:pPr>
      <w:r>
        <w:rPr/>
        <w:t> </w:t>
      </w:r>
    </w:p>
    <w:tbl>
      <w:tblPr>
        <w:tblW w:w="2260" w:type="dxa"/>
        <w:jc w:val="left"/>
        <w:tblInd w:w="0" w:type="dxa"/>
        <w:tblCellMar>
          <w:top w:w="0" w:type="dxa"/>
          <w:left w:w="0" w:type="dxa"/>
          <w:bottom w:w="0" w:type="dxa"/>
          <w:right w:w="0" w:type="dxa"/>
        </w:tblCellMar>
      </w:tblPr>
      <w:tblGrid>
        <w:gridCol w:w="60"/>
        <w:gridCol w:w="110"/>
        <w:gridCol w:w="20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0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reputation and brand;</w:t>
            </w:r>
          </w:p>
        </w:tc>
      </w:tr>
    </w:tbl>
    <w:tbl>
      <w:tblPr>
        <w:tblW w:w="7240" w:type="dxa"/>
        <w:jc w:val="left"/>
        <w:tblInd w:w="0" w:type="dxa"/>
        <w:tblCellMar>
          <w:top w:w="0" w:type="dxa"/>
          <w:left w:w="0" w:type="dxa"/>
          <w:bottom w:w="0" w:type="dxa"/>
          <w:right w:w="0" w:type="dxa"/>
        </w:tblCellMar>
      </w:tblPr>
      <w:tblGrid>
        <w:gridCol w:w="60"/>
        <w:gridCol w:w="110"/>
        <w:gridCol w:w="70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inability of our customers to obtain credit or material increases in interest rates; and</w:t>
            </w:r>
          </w:p>
        </w:tc>
      </w:tr>
    </w:tbl>
    <w:tbl>
      <w:tblPr>
        <w:tblW w:w="2035" w:type="dxa"/>
        <w:jc w:val="left"/>
        <w:tblInd w:w="0" w:type="dxa"/>
        <w:tblCellMar>
          <w:top w:w="0" w:type="dxa"/>
          <w:left w:w="0" w:type="dxa"/>
          <w:bottom w:w="0" w:type="dxa"/>
          <w:right w:w="0" w:type="dxa"/>
        </w:tblCellMar>
      </w:tblPr>
      <w:tblGrid>
        <w:gridCol w:w="60"/>
        <w:gridCol w:w="110"/>
        <w:gridCol w:w="18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8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recalls of our products.</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Regulatory and legal factors</w:t>
      </w:r>
    </w:p>
    <w:tbl>
      <w:tblPr>
        <w:tblW w:w="2440" w:type="dxa"/>
        <w:jc w:val="left"/>
        <w:tblInd w:w="0" w:type="dxa"/>
        <w:tblCellMar>
          <w:top w:w="0" w:type="dxa"/>
          <w:left w:w="0" w:type="dxa"/>
          <w:bottom w:w="0" w:type="dxa"/>
          <w:right w:w="0" w:type="dxa"/>
        </w:tblCellMar>
      </w:tblPr>
      <w:tblGrid>
        <w:gridCol w:w="60"/>
        <w:gridCol w:w="110"/>
        <w:gridCol w:w="22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healthcare reform measures;</w:t>
            </w:r>
          </w:p>
        </w:tc>
      </w:tr>
    </w:tbl>
    <w:tbl>
      <w:tblPr>
        <w:tblW w:w="4180" w:type="dxa"/>
        <w:jc w:val="left"/>
        <w:tblInd w:w="0" w:type="dxa"/>
        <w:tblCellMar>
          <w:top w:w="0" w:type="dxa"/>
          <w:left w:w="0" w:type="dxa"/>
          <w:bottom w:w="0" w:type="dxa"/>
          <w:right w:w="0" w:type="dxa"/>
        </w:tblCellMar>
      </w:tblPr>
      <w:tblGrid>
        <w:gridCol w:w="60"/>
        <w:gridCol w:w="110"/>
        <w:gridCol w:w="40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0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third-party coverage and reimbursement policies;</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7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compliance with healthcare laws;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compliance with potential governmental, regulatory and other legal proceedings relative to advertising, promotion and marketing;</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patents and proprietary rights related to our intellectual property;</w:t>
            </w:r>
          </w:p>
        </w:tc>
      </w:tr>
    </w:tbl>
    <w:tbl>
      <w:tblPr>
        <w:tblW w:w="10060" w:type="dxa"/>
        <w:jc w:val="left"/>
        <w:tblInd w:w="0" w:type="dxa"/>
        <w:tblCellMar>
          <w:top w:w="0" w:type="dxa"/>
          <w:left w:w="0" w:type="dxa"/>
          <w:bottom w:w="0" w:type="dxa"/>
          <w:right w:w="0" w:type="dxa"/>
        </w:tblCellMar>
      </w:tblPr>
      <w:tblGrid>
        <w:gridCol w:w="60"/>
        <w:gridCol w:w="110"/>
        <w:gridCol w:w="9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government regulations, including the FDA’s quality system regulation and laser performance standards;</w:t>
            </w:r>
          </w:p>
        </w:tc>
      </w:tr>
    </w:tbl>
    <w:tbl>
      <w:tblPr>
        <w:tblW w:w="3235" w:type="dxa"/>
        <w:jc w:val="left"/>
        <w:tblInd w:w="0" w:type="dxa"/>
        <w:tblCellMar>
          <w:top w:w="0" w:type="dxa"/>
          <w:left w:w="0" w:type="dxa"/>
          <w:bottom w:w="0" w:type="dxa"/>
          <w:right w:w="0" w:type="dxa"/>
        </w:tblCellMar>
      </w:tblPr>
      <w:tblGrid>
        <w:gridCol w:w="60"/>
        <w:gridCol w:w="110"/>
        <w:gridCol w:w="30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0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regulatory approval for clinical trials;</w:t>
            </w:r>
          </w:p>
        </w:tc>
      </w:tr>
    </w:tbl>
    <w:tbl>
      <w:tblPr>
        <w:tblW w:w="3550" w:type="dxa"/>
        <w:jc w:val="left"/>
        <w:tblInd w:w="0" w:type="dxa"/>
        <w:tblCellMar>
          <w:top w:w="0" w:type="dxa"/>
          <w:left w:w="0" w:type="dxa"/>
          <w:bottom w:w="0" w:type="dxa"/>
          <w:right w:w="0" w:type="dxa"/>
        </w:tblCellMar>
      </w:tblPr>
      <w:tblGrid>
        <w:gridCol w:w="60"/>
        <w:gridCol w:w="110"/>
        <w:gridCol w:w="33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3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product liability claims;</w:t>
            </w:r>
          </w:p>
        </w:tc>
      </w:tr>
    </w:tbl>
    <w:tbl>
      <w:tblPr>
        <w:tblW w:w="2740" w:type="dxa"/>
        <w:jc w:val="left"/>
        <w:tblInd w:w="0" w:type="dxa"/>
        <w:tblCellMar>
          <w:top w:w="0" w:type="dxa"/>
          <w:left w:w="0" w:type="dxa"/>
          <w:bottom w:w="0" w:type="dxa"/>
          <w:right w:w="0" w:type="dxa"/>
        </w:tblCellMar>
      </w:tblPr>
      <w:tblGrid>
        <w:gridCol w:w="60"/>
        <w:gridCol w:w="110"/>
        <w:gridCol w:w="25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5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developments in trade policies;</w:t>
            </w:r>
          </w:p>
        </w:tc>
      </w:tr>
    </w:tbl>
    <w:tbl>
      <w:tblPr>
        <w:tblW w:w="910" w:type="dxa"/>
        <w:jc w:val="left"/>
        <w:tblInd w:w="0" w:type="dxa"/>
        <w:tblCellMar>
          <w:top w:w="0" w:type="dxa"/>
          <w:left w:w="0" w:type="dxa"/>
          <w:bottom w:w="0" w:type="dxa"/>
          <w:right w:w="0" w:type="dxa"/>
        </w:tblCellMar>
      </w:tblPr>
      <w:tblGrid>
        <w:gridCol w:w="60"/>
        <w:gridCol w:w="110"/>
        <w:gridCol w:w="7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tax laws;</w:t>
            </w:r>
          </w:p>
        </w:tc>
      </w:tr>
    </w:tbl>
    <w:tbl>
      <w:tblPr>
        <w:tblW w:w="5680" w:type="dxa"/>
        <w:jc w:val="left"/>
        <w:tblInd w:w="0" w:type="dxa"/>
        <w:tblCellMar>
          <w:top w:w="0" w:type="dxa"/>
          <w:left w:w="0" w:type="dxa"/>
          <w:bottom w:w="0" w:type="dxa"/>
          <w:right w:w="0" w:type="dxa"/>
        </w:tblCellMar>
      </w:tblPr>
      <w:tblGrid>
        <w:gridCol w:w="60"/>
        <w:gridCol w:w="110"/>
        <w:gridCol w:w="55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5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federal, state and foreign laws, including changes to those laws; and</w:t>
            </w:r>
          </w:p>
        </w:tc>
      </w:tr>
    </w:tbl>
    <w:tbl>
      <w:tblPr>
        <w:tblW w:w="2515" w:type="dxa"/>
        <w:jc w:val="left"/>
        <w:tblInd w:w="0" w:type="dxa"/>
        <w:tblCellMar>
          <w:top w:w="0" w:type="dxa"/>
          <w:left w:w="0" w:type="dxa"/>
          <w:bottom w:w="0" w:type="dxa"/>
          <w:right w:w="0" w:type="dxa"/>
        </w:tblCellMar>
      </w:tblPr>
      <w:tblGrid>
        <w:gridCol w:w="60"/>
        <w:gridCol w:w="110"/>
        <w:gridCol w:w="23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3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environmental requirements.</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Financing and transactional risks</w:t>
      </w:r>
    </w:p>
    <w:tbl>
      <w:tblPr>
        <w:tblW w:w="2920" w:type="dxa"/>
        <w:jc w:val="left"/>
        <w:tblInd w:w="0" w:type="dxa"/>
        <w:tblCellMar>
          <w:top w:w="0" w:type="dxa"/>
          <w:left w:w="0" w:type="dxa"/>
          <w:bottom w:w="0" w:type="dxa"/>
          <w:right w:w="0" w:type="dxa"/>
        </w:tblCellMar>
      </w:tblPr>
      <w:tblGrid>
        <w:gridCol w:w="60"/>
        <w:gridCol w:w="110"/>
        <w:gridCol w:w="27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7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repay indebtedness;</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efforts to acquire additional companies or product lines;</w:t>
            </w:r>
          </w:p>
        </w:tc>
      </w:tr>
    </w:tbl>
    <w:tbl>
      <w:tblPr>
        <w:tblW w:w="3940" w:type="dxa"/>
        <w:jc w:val="left"/>
        <w:tblInd w:w="0" w:type="dxa"/>
        <w:tblCellMar>
          <w:top w:w="0" w:type="dxa"/>
          <w:left w:w="0" w:type="dxa"/>
          <w:bottom w:w="0" w:type="dxa"/>
          <w:right w:w="0" w:type="dxa"/>
        </w:tblCellMar>
      </w:tblPr>
      <w:tblGrid>
        <w:gridCol w:w="60"/>
        <w:gridCol w:w="110"/>
        <w:gridCol w:w="37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7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divestitures of our businesses or product lines;</w:t>
            </w:r>
          </w:p>
        </w:tc>
      </w:tr>
    </w:tbl>
    <w:tbl>
      <w:tblPr>
        <w:tblW w:w="2635" w:type="dxa"/>
        <w:jc w:val="left"/>
        <w:tblInd w:w="0" w:type="dxa"/>
        <w:tblCellMar>
          <w:top w:w="0" w:type="dxa"/>
          <w:left w:w="0" w:type="dxa"/>
          <w:bottom w:w="0" w:type="dxa"/>
          <w:right w:w="0" w:type="dxa"/>
        </w:tblCellMar>
      </w:tblPr>
      <w:tblGrid>
        <w:gridCol w:w="60"/>
        <w:gridCol w:w="110"/>
        <w:gridCol w:w="24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4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raising additional capital;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provisions in our charter documents, Delaware law and contractual provisions that could delay or prevent an acquisition or sale of our company.</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Governance risks and risks related to ownership of our common stock</w:t>
      </w:r>
    </w:p>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volatility of the trading price of our common stock;</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intention not to pay dividends for the foreseeable future;</w:t>
            </w:r>
          </w:p>
        </w:tc>
      </w:tr>
    </w:tbl>
    <w:tbl>
      <w:tblPr>
        <w:tblW w:w="4105" w:type="dxa"/>
        <w:jc w:val="left"/>
        <w:tblInd w:w="0" w:type="dxa"/>
        <w:tblCellMar>
          <w:top w:w="0" w:type="dxa"/>
          <w:left w:w="0" w:type="dxa"/>
          <w:bottom w:w="0" w:type="dxa"/>
          <w:right w:w="0" w:type="dxa"/>
        </w:tblCellMar>
      </w:tblPr>
      <w:tblGrid>
        <w:gridCol w:w="60"/>
        <w:gridCol w:w="110"/>
        <w:gridCol w:w="39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9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publication of research about us by analysts;</w:t>
            </w:r>
          </w:p>
        </w:tc>
      </w:tr>
    </w:tbl>
    <w:tbl>
      <w:tblPr>
        <w:tblW w:w="4870" w:type="dxa"/>
        <w:jc w:val="left"/>
        <w:tblInd w:w="0" w:type="dxa"/>
        <w:tblCellMar>
          <w:top w:w="0" w:type="dxa"/>
          <w:left w:w="0" w:type="dxa"/>
          <w:bottom w:w="0" w:type="dxa"/>
          <w:right w:w="0" w:type="dxa"/>
        </w:tblCellMar>
      </w:tblPr>
      <w:tblGrid>
        <w:gridCol w:w="60"/>
        <w:gridCol w:w="110"/>
        <w:gridCol w:w="47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7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concentration of ownership of our common stock; and</w:t>
            </w:r>
          </w:p>
        </w:tc>
      </w:tr>
    </w:tbl>
    <w:tbl>
      <w:tblPr>
        <w:tblW w:w="7135" w:type="dxa"/>
        <w:jc w:val="left"/>
        <w:tblInd w:w="0" w:type="dxa"/>
        <w:tblCellMar>
          <w:top w:w="0" w:type="dxa"/>
          <w:left w:w="0" w:type="dxa"/>
          <w:bottom w:w="0" w:type="dxa"/>
          <w:right w:w="0" w:type="dxa"/>
        </w:tblCellMar>
      </w:tblPr>
      <w:tblGrid>
        <w:gridCol w:w="60"/>
        <w:gridCol w:w="110"/>
        <w:gridCol w:w="69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9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maintain an effective system of internal control over financial reporting.</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Factors That May Affect Future Results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Relating to our Business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Times New Roman" w:hAnsi="Times New Roman"/>
          <w:b/>
          <w:i/>
          <w:caps w:val="false"/>
          <w:smallCaps w:val="false"/>
          <w:color w:val="212529"/>
          <w:sz w:val="20"/>
          <w:highlight w:val="white"/>
        </w:rPr>
        <w:t>We are unable to predict the extent to which the pandemic and related impacts will continue to adversely impact our business operations, financial performance, results of operations, financial position and the achievement of our strategic objectives.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business, results of operation and financial performance have been negatively impacted by the COVID-19 pandemic and related public health responses, such as social distancing protocols, and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the near term, we expect COVID-19 will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the COVID-19 outbreak around the world, we have adopted several measures including allowing employees to work from home, slowing our manufacturing operations, and restricting non-critical business travel by our employees. 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Times New Roman" w:hAnsi="Times New Roman"/>
          <w:b w:val="false"/>
          <w:i w:val="false"/>
          <w:caps w:val="false"/>
          <w:smallCaps w:val="false"/>
          <w:color w:val="212529"/>
          <w:sz w:val="20"/>
          <w:highlight w:val="white"/>
        </w:rPr>
        <w:t xml:space="preserve">The 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Times New Roman" w:hAnsi="Times New Roman"/>
          <w:b w:val="false"/>
          <w:i w:val="false"/>
          <w:caps w:val="false"/>
          <w:smallCaps w:val="false"/>
          <w:sz w:val="20"/>
        </w:rPr>
        <w:t>Although the magnitude of the impact of COVID-19 on our business operations remains 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pStyle w:val="TextBody"/>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March 2, 2021, we entered into a series of strategic transactions with Topcon, Topcon America Corporation (the “Investor”) and Topcon Medical Laser Systems, Inc., a subsidiary of Topcon ( “TMLS”), which included an asset purchase agreement with TMLS, pursuant to which we acquired substantially all the assets (except for cash and cash equivalents) of TMLS, including rights to the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face quality control and other production issues that could materially and adversely impact our sales and financial results and the acceptance of our products.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manufacture of our infrared and visible laser consoles and related delivery devices is a highly complex and precise process. We may experience manufacturing difficulties, quality control issues or assembly constraints.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Some of our laser systems are complex in design and may contain defects that are not detected until deployed by our customers, which could increase our costs and reduce our revenues.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tbl>
      <w:tblPr>
        <w:tblW w:w="1930" w:type="dxa"/>
        <w:jc w:val="left"/>
        <w:tblInd w:w="0" w:type="dxa"/>
        <w:tblCellMar>
          <w:top w:w="0" w:type="dxa"/>
          <w:left w:w="0" w:type="dxa"/>
          <w:bottom w:w="0" w:type="dxa"/>
          <w:right w:w="0" w:type="dxa"/>
        </w:tblCellMar>
      </w:tblPr>
      <w:tblGrid>
        <w:gridCol w:w="60"/>
        <w:gridCol w:w="110"/>
        <w:gridCol w:w="17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7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loss of customers; </w:t>
            </w:r>
          </w:p>
        </w:tc>
      </w:tr>
    </w:tbl>
    <w:tbl>
      <w:tblPr>
        <w:tblW w:w="5680" w:type="dxa"/>
        <w:jc w:val="left"/>
        <w:tblInd w:w="0" w:type="dxa"/>
        <w:tblCellMar>
          <w:top w:w="0" w:type="dxa"/>
          <w:left w:w="0" w:type="dxa"/>
          <w:bottom w:w="0" w:type="dxa"/>
          <w:right w:w="0" w:type="dxa"/>
        </w:tblCellMar>
      </w:tblPr>
      <w:tblGrid>
        <w:gridCol w:w="60"/>
        <w:gridCol w:w="110"/>
        <w:gridCol w:w="55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increased costs of product returns and warranty expenses; </w:t>
            </w:r>
          </w:p>
        </w:tc>
      </w:tr>
    </w:tbl>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damage to our brand reputation; </w:t>
            </w:r>
          </w:p>
        </w:tc>
      </w:tr>
    </w:tbl>
    <w:tbl>
      <w:tblPr>
        <w:tblW w:w="6085" w:type="dxa"/>
        <w:jc w:val="left"/>
        <w:tblInd w:w="0" w:type="dxa"/>
        <w:tblCellMar>
          <w:top w:w="0" w:type="dxa"/>
          <w:left w:w="0" w:type="dxa"/>
          <w:bottom w:w="0" w:type="dxa"/>
          <w:right w:w="0" w:type="dxa"/>
        </w:tblCellMar>
      </w:tblPr>
      <w:tblGrid>
        <w:gridCol w:w="60"/>
        <w:gridCol w:w="110"/>
        <w:gridCol w:w="59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failure to attract new customers or achieve market acceptance; </w:t>
            </w:r>
          </w:p>
        </w:tc>
      </w:tr>
    </w:tbl>
    <w:tbl>
      <w:tblPr>
        <w:tblW w:w="5635" w:type="dxa"/>
        <w:jc w:val="left"/>
        <w:tblInd w:w="0" w:type="dxa"/>
        <w:tblCellMar>
          <w:top w:w="0" w:type="dxa"/>
          <w:left w:w="0" w:type="dxa"/>
          <w:bottom w:w="0" w:type="dxa"/>
          <w:right w:w="0" w:type="dxa"/>
        </w:tblCellMar>
      </w:tblPr>
      <w:tblGrid>
        <w:gridCol w:w="60"/>
        <w:gridCol w:w="110"/>
        <w:gridCol w:w="54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diversion of development and engineering resources; and </w:t>
            </w:r>
          </w:p>
        </w:tc>
      </w:tr>
    </w:tbl>
    <w:tbl>
      <w:tblPr>
        <w:tblW w:w="3160" w:type="dxa"/>
        <w:jc w:val="left"/>
        <w:tblInd w:w="0" w:type="dxa"/>
        <w:tblCellMar>
          <w:top w:w="0" w:type="dxa"/>
          <w:left w:w="0" w:type="dxa"/>
          <w:bottom w:w="0" w:type="dxa"/>
          <w:right w:w="0" w:type="dxa"/>
        </w:tblCellMar>
      </w:tblPr>
      <w:tblGrid>
        <w:gridCol w:w="60"/>
        <w:gridCol w:w="110"/>
        <w:gridCol w:w="29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9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legal actions by our customers.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occurrence of any one or more of the foregoing factors could seriously harm our business, financial condition and results of operations.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our direct and independent sales forces and international distributors to sell our products and if we lose our sales force or distributor relationships, it could harm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24 employees and two independent representative, respectively and our direct sales force in Germany consists of one employee. Our international independent distributors are managed by a team of five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travel is restricted and some services are being performed from home, all of which could have an impact on our ability to sell and distribute our products.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Growth in our sales and marketing organization may create operational challenges without immediately offsetting benefits.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depend on international sales for a significant portion of our operating results.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derive, and expect to continue to derive, a large portion of our revenues from international sales. For the first fiscal quarter of fiscal year 2022, our international sales were $6.6 million, or 49.1% of total revenues. We anticipate that international sales will continue to account for a significant portion of our revenues in the foreseeable future. All of our international revenues and costs for the first fiscal quarter of fiscal year 2022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tbl>
      <w:tblPr>
        <w:tblW w:w="8245" w:type="dxa"/>
        <w:jc w:val="left"/>
        <w:tblInd w:w="0" w:type="dxa"/>
        <w:tblCellMar>
          <w:top w:w="0" w:type="dxa"/>
          <w:left w:w="0" w:type="dxa"/>
          <w:bottom w:w="0" w:type="dxa"/>
          <w:right w:w="0" w:type="dxa"/>
        </w:tblCellMar>
      </w:tblPr>
      <w:tblGrid>
        <w:gridCol w:w="60"/>
        <w:gridCol w:w="110"/>
        <w:gridCol w:w="80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impact of the COVID-19 pandemic on the global economy and financial markets;</w:t>
            </w:r>
          </w:p>
        </w:tc>
      </w:tr>
    </w:tbl>
    <w:tbl>
      <w:tblPr>
        <w:tblW w:w="4720" w:type="dxa"/>
        <w:jc w:val="left"/>
        <w:tblInd w:w="0" w:type="dxa"/>
        <w:tblCellMar>
          <w:top w:w="0" w:type="dxa"/>
          <w:left w:w="0" w:type="dxa"/>
          <w:bottom w:w="0" w:type="dxa"/>
          <w:right w:w="0" w:type="dxa"/>
        </w:tblCellMar>
      </w:tblPr>
      <w:tblGrid>
        <w:gridCol w:w="60"/>
        <w:gridCol w:w="110"/>
        <w:gridCol w:w="45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5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fluctuations in foreign currency exchange rates; </w:t>
            </w:r>
          </w:p>
        </w:tc>
      </w:tr>
    </w:tbl>
    <w:tbl>
      <w:tblPr>
        <w:tblW w:w="3070" w:type="dxa"/>
        <w:jc w:val="left"/>
        <w:tblInd w:w="0" w:type="dxa"/>
        <w:tblCellMar>
          <w:top w:w="0" w:type="dxa"/>
          <w:left w:w="0" w:type="dxa"/>
          <w:bottom w:w="0" w:type="dxa"/>
          <w:right w:w="0" w:type="dxa"/>
        </w:tblCellMar>
      </w:tblPr>
      <w:tblGrid>
        <w:gridCol w:w="60"/>
        <w:gridCol w:w="110"/>
        <w:gridCol w:w="29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9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product and production issues;</w:t>
            </w:r>
          </w:p>
        </w:tc>
      </w:tr>
    </w:tbl>
    <w:tbl>
      <w:tblPr>
        <w:tblW w:w="5515" w:type="dxa"/>
        <w:jc w:val="left"/>
        <w:tblInd w:w="0" w:type="dxa"/>
        <w:tblCellMar>
          <w:top w:w="0" w:type="dxa"/>
          <w:left w:w="0" w:type="dxa"/>
          <w:bottom w:w="0" w:type="dxa"/>
          <w:right w:w="0" w:type="dxa"/>
        </w:tblCellMar>
      </w:tblPr>
      <w:tblGrid>
        <w:gridCol w:w="60"/>
        <w:gridCol w:w="110"/>
        <w:gridCol w:w="53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performance of our international channel of distributors; </w:t>
            </w:r>
          </w:p>
        </w:tc>
      </w:tr>
    </w:tbl>
    <w:tbl>
      <w:tblPr>
        <w:tblW w:w="4540" w:type="dxa"/>
        <w:jc w:val="left"/>
        <w:tblInd w:w="0" w:type="dxa"/>
        <w:tblCellMar>
          <w:top w:w="0" w:type="dxa"/>
          <w:left w:w="0" w:type="dxa"/>
          <w:bottom w:w="0" w:type="dxa"/>
          <w:right w:w="0" w:type="dxa"/>
        </w:tblCellMar>
      </w:tblPr>
      <w:tblGrid>
        <w:gridCol w:w="60"/>
        <w:gridCol w:w="110"/>
        <w:gridCol w:w="43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longer accounts receivable collection periods; </w:t>
            </w:r>
          </w:p>
        </w:tc>
      </w:tr>
    </w:tbl>
    <w:tbl>
      <w:tblPr>
        <w:tblW w:w="6505" w:type="dxa"/>
        <w:jc w:val="left"/>
        <w:tblInd w:w="0" w:type="dxa"/>
        <w:tblCellMar>
          <w:top w:w="0" w:type="dxa"/>
          <w:left w:w="0" w:type="dxa"/>
          <w:bottom w:w="0" w:type="dxa"/>
          <w:right w:w="0" w:type="dxa"/>
        </w:tblCellMar>
      </w:tblPr>
      <w:tblGrid>
        <w:gridCol w:w="60"/>
        <w:gridCol w:w="110"/>
        <w:gridCol w:w="63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impact of recessions in global economies and availability of credit; </w:t>
            </w:r>
          </w:p>
        </w:tc>
      </w:tr>
    </w:tbl>
    <w:tbl>
      <w:tblPr>
        <w:tblW w:w="3415" w:type="dxa"/>
        <w:jc w:val="left"/>
        <w:tblInd w:w="0" w:type="dxa"/>
        <w:tblCellMar>
          <w:top w:w="0" w:type="dxa"/>
          <w:left w:w="0" w:type="dxa"/>
          <w:bottom w:w="0" w:type="dxa"/>
          <w:right w:w="0" w:type="dxa"/>
        </w:tblCellMar>
      </w:tblPr>
      <w:tblGrid>
        <w:gridCol w:w="60"/>
        <w:gridCol w:w="110"/>
        <w:gridCol w:w="32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2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political and economic instability;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50"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change in international regulatory agreements and requirements</w:t>
            </w:r>
            <w:r>
              <w:rPr>
                <w:b w:val="false"/>
                <w:i w:val="false"/>
                <w:caps w:val="false"/>
                <w:smallCaps w:val="false"/>
                <w:color w:val="FF0000"/>
              </w:rPr>
              <w:t>;</w:t>
            </w:r>
          </w:p>
        </w:tc>
      </w:tr>
    </w:tbl>
    <w:tbl>
      <w:tblPr>
        <w:tblW w:w="3130" w:type="dxa"/>
        <w:jc w:val="left"/>
        <w:tblInd w:w="0" w:type="dxa"/>
        <w:tblCellMar>
          <w:top w:w="0" w:type="dxa"/>
          <w:left w:w="0" w:type="dxa"/>
          <w:bottom w:w="0" w:type="dxa"/>
          <w:right w:w="0" w:type="dxa"/>
        </w:tblCellMar>
      </w:tblPr>
      <w:tblGrid>
        <w:gridCol w:w="60"/>
        <w:gridCol w:w="110"/>
        <w:gridCol w:w="29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9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trade sanctions and embargoes;</w:t>
            </w:r>
          </w:p>
        </w:tc>
      </w:tr>
    </w:tbl>
    <w:tbl>
      <w:tblPr>
        <w:tblW w:w="7210" w:type="dxa"/>
        <w:jc w:val="left"/>
        <w:tblInd w:w="0" w:type="dxa"/>
        <w:tblCellMar>
          <w:top w:w="0" w:type="dxa"/>
          <w:left w:w="0" w:type="dxa"/>
          <w:bottom w:w="0" w:type="dxa"/>
          <w:right w:w="0" w:type="dxa"/>
        </w:tblCellMar>
      </w:tblPr>
      <w:tblGrid>
        <w:gridCol w:w="60"/>
        <w:gridCol w:w="110"/>
        <w:gridCol w:w="70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impact of international conflicts, terrorist and military activity, civil unrest;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foreign certification requirements, including continued ability to use the “CE” mark in Europe, and other local regulatory requirements; </w:t>
            </w:r>
          </w:p>
        </w:tc>
      </w:tr>
    </w:tbl>
    <w:tbl>
      <w:tblPr>
        <w:tblW w:w="6010" w:type="dxa"/>
        <w:jc w:val="left"/>
        <w:tblInd w:w="0" w:type="dxa"/>
        <w:tblCellMar>
          <w:top w:w="0" w:type="dxa"/>
          <w:left w:w="0" w:type="dxa"/>
          <w:bottom w:w="0" w:type="dxa"/>
          <w:right w:w="0" w:type="dxa"/>
        </w:tblCellMar>
      </w:tblPr>
      <w:tblGrid>
        <w:gridCol w:w="60"/>
        <w:gridCol w:w="110"/>
        <w:gridCol w:w="58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8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differing local product preferences and product requirements; </w:t>
            </w:r>
          </w:p>
        </w:tc>
      </w:tr>
    </w:tbl>
    <w:tbl>
      <w:tblPr>
        <w:tblW w:w="2110" w:type="dxa"/>
        <w:jc w:val="left"/>
        <w:tblInd w:w="0" w:type="dxa"/>
        <w:tblCellMar>
          <w:top w:w="0" w:type="dxa"/>
          <w:left w:w="0" w:type="dxa"/>
          <w:bottom w:w="0" w:type="dxa"/>
          <w:right w:w="0" w:type="dxa"/>
        </w:tblCellMar>
      </w:tblPr>
      <w:tblGrid>
        <w:gridCol w:w="60"/>
        <w:gridCol w:w="110"/>
        <w:gridCol w:w="19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9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cultural differences; </w:t>
            </w:r>
          </w:p>
        </w:tc>
      </w:tr>
    </w:tbl>
    <w:tbl>
      <w:tblPr>
        <w:tblW w:w="7750" w:type="dxa"/>
        <w:jc w:val="left"/>
        <w:tblInd w:w="0" w:type="dxa"/>
        <w:tblCellMar>
          <w:top w:w="0" w:type="dxa"/>
          <w:left w:w="0" w:type="dxa"/>
          <w:bottom w:w="0" w:type="dxa"/>
          <w:right w:w="0" w:type="dxa"/>
        </w:tblCellMar>
      </w:tblPr>
      <w:tblGrid>
        <w:gridCol w:w="60"/>
        <w:gridCol w:w="110"/>
        <w:gridCol w:w="75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foreign medical reimbursement and coverage policies and programs; </w:t>
            </w:r>
          </w:p>
        </w:tc>
      </w:tr>
    </w:tbl>
    <w:tbl>
      <w:tblPr>
        <w:tblW w:w="9730" w:type="dxa"/>
        <w:jc w:val="left"/>
        <w:tblInd w:w="0" w:type="dxa"/>
        <w:tblCellMar>
          <w:top w:w="0" w:type="dxa"/>
          <w:left w:w="0" w:type="dxa"/>
          <w:bottom w:w="0" w:type="dxa"/>
          <w:right w:w="0" w:type="dxa"/>
        </w:tblCellMar>
      </w:tblPr>
      <w:tblGrid>
        <w:gridCol w:w="60"/>
        <w:gridCol w:w="110"/>
        <w:gridCol w:w="95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reduced or limited protections of intellectual property rights in jurisdictions outside the United States;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potentially adverse tax consequences, such as those related to changes in tax laws or tax rates or their interpretations; </w:t>
            </w:r>
          </w:p>
        </w:tc>
      </w:tr>
    </w:tbl>
    <w:tbl>
      <w:tblPr>
        <w:tblW w:w="7660" w:type="dxa"/>
        <w:jc w:val="left"/>
        <w:tblInd w:w="0" w:type="dxa"/>
        <w:tblCellMar>
          <w:top w:w="0" w:type="dxa"/>
          <w:left w:w="0" w:type="dxa"/>
          <w:bottom w:w="0" w:type="dxa"/>
          <w:right w:w="0" w:type="dxa"/>
        </w:tblCellMar>
      </w:tblPr>
      <w:tblGrid>
        <w:gridCol w:w="60"/>
        <w:gridCol w:w="110"/>
        <w:gridCol w:w="74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protectionist, adverse and changing foreign governmental laws and regulations;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greater risk of our employees failing to comply with both U.S. and foreign laws, including anti-trust regulations, the U.S. Foreign Corrupt Practices Act, the U.K. Bribery Act of 2010 and any trade regulations designed to ensure fair trade practices;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compliance costs and risks of non-compliance with multiple regulatory regimes governing the production, marketing, sale and use of our products.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one or more of these factors stated above could have a material adverse effect on our business, financial condition or results of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develop and successfully introduce new products and applications or fail to improve our existing products, our business prospects and operating results may suffer.</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delayed due to the impact of COVID-19, and should COVID-19 economic restrictions worsen, it could delay and disrupt our research and development processes even further.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are exposed to risks associated with worldwide economic slowdowns and related uncertainties.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such as that occurring in Russia and Ukraine, and terrorist acts may put further pressure on economic conditions in the United States and abroad.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economic uncertainty persisted, or if the economy entered a prolonged period of decelerating growth, our results of operations may be harmed.</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fluctuate from quarter to quarter and year to year.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general economic uncertainties, inflationary pressures and political concerns, including the impact of COVID-19 and the war between Russia and Ukraine;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the prices at which we can sell our products, including the impact of changes in exchange rates;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introduction of new products, product enhancements and new applications by our competitors, including new drugs, entry of new competitors into our markets, pricing pressures and other competitive factors;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any delays or reductions in product shipments, or product recalls, resulting from manufacturing, distribution or other operational issues;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timing of the introduction and market acceptance of new products, product enhancements and new applications; </w:t>
            </w:r>
          </w:p>
        </w:tc>
      </w:tr>
    </w:tbl>
    <w:tbl>
      <w:tblPr>
        <w:tblW w:w="6640" w:type="dxa"/>
        <w:jc w:val="left"/>
        <w:tblInd w:w="0" w:type="dxa"/>
        <w:tblCellMar>
          <w:top w:w="0" w:type="dxa"/>
          <w:left w:w="0" w:type="dxa"/>
          <w:bottom w:w="0" w:type="dxa"/>
          <w:right w:w="0" w:type="dxa"/>
        </w:tblCellMar>
      </w:tblPr>
      <w:tblGrid>
        <w:gridCol w:w="60"/>
        <w:gridCol w:w="110"/>
        <w:gridCol w:w="64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demand for our existing line of ophthalmology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 and availability of components and subassemblies, including the willingness and ability of our sole or limited source suppliers to timely deliver components at the times and prices that we have planned;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maintain sales volumes at a level sufficient to cover fixed manufacturing and operating costs; </w:t>
            </w:r>
          </w:p>
        </w:tc>
      </w:tr>
    </w:tbl>
    <w:tbl>
      <w:tblPr>
        <w:tblW w:w="9190" w:type="dxa"/>
        <w:jc w:val="left"/>
        <w:tblInd w:w="0" w:type="dxa"/>
        <w:tblCellMar>
          <w:top w:w="0" w:type="dxa"/>
          <w:left w:w="0" w:type="dxa"/>
          <w:bottom w:w="0" w:type="dxa"/>
          <w:right w:w="0" w:type="dxa"/>
        </w:tblCellMar>
      </w:tblPr>
      <w:tblGrid>
        <w:gridCol w:w="60"/>
        <w:gridCol w:w="110"/>
        <w:gridCol w:w="90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fluctuations in our product mix within ophthalmology products and foreign and domestic sales; </w:t>
            </w:r>
          </w:p>
        </w:tc>
      </w:tr>
    </w:tbl>
    <w:tbl>
      <w:tblPr>
        <w:tblW w:w="9235" w:type="dxa"/>
        <w:jc w:val="left"/>
        <w:tblInd w:w="0" w:type="dxa"/>
        <w:tblCellMar>
          <w:top w:w="0" w:type="dxa"/>
          <w:left w:w="0" w:type="dxa"/>
          <w:bottom w:w="0" w:type="dxa"/>
          <w:right w:w="0" w:type="dxa"/>
        </w:tblCellMar>
      </w:tblPr>
      <w:tblGrid>
        <w:gridCol w:w="60"/>
        <w:gridCol w:w="110"/>
        <w:gridCol w:w="90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effect of regulatory approvals and changes in domestic and foreign regulatory requirements; </w:t>
            </w:r>
          </w:p>
        </w:tc>
      </w:tr>
    </w:tbl>
    <w:tbl>
      <w:tblPr>
        <w:tblW w:w="4045" w:type="dxa"/>
        <w:jc w:val="left"/>
        <w:tblInd w:w="0" w:type="dxa"/>
        <w:tblCellMar>
          <w:top w:w="0" w:type="dxa"/>
          <w:left w:w="0" w:type="dxa"/>
          <w:bottom w:w="0" w:type="dxa"/>
          <w:right w:w="0" w:type="dxa"/>
        </w:tblCellMar>
      </w:tblPr>
      <w:tblGrid>
        <w:gridCol w:w="60"/>
        <w:gridCol w:w="110"/>
        <w:gridCol w:w="38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long and highly variable sales cycle;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customers’ or potential customers’ budgets as a result of, among other things, reimbursement policies of government programs and private insurers for treatments that use our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variances in shipment volumes as a result of product, supply chain due to global constraints or other factors and training issues;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tbl>
      <w:tblPr>
        <w:tblW w:w="3565" w:type="dxa"/>
        <w:jc w:val="left"/>
        <w:tblInd w:w="0" w:type="dxa"/>
        <w:tblCellMar>
          <w:top w:w="0" w:type="dxa"/>
          <w:left w:w="0" w:type="dxa"/>
          <w:bottom w:w="0" w:type="dxa"/>
          <w:right w:w="0" w:type="dxa"/>
        </w:tblCellMar>
      </w:tblPr>
      <w:tblGrid>
        <w:gridCol w:w="60"/>
        <w:gridCol w:w="110"/>
        <w:gridCol w:w="33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3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increased product innovation costs.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rely on continued market acceptance of our existing products and any decline in sales of our existing products would adversely affect our business and results of operations.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tbl>
      <w:tblPr>
        <w:tblW w:w="7960" w:type="dxa"/>
        <w:jc w:val="left"/>
        <w:tblInd w:w="0" w:type="dxa"/>
        <w:tblCellMar>
          <w:top w:w="0" w:type="dxa"/>
          <w:left w:w="0" w:type="dxa"/>
          <w:bottom w:w="0" w:type="dxa"/>
          <w:right w:w="0" w:type="dxa"/>
        </w:tblCellMar>
      </w:tblPr>
      <w:tblGrid>
        <w:gridCol w:w="60"/>
        <w:gridCol w:w="110"/>
        <w:gridCol w:w="77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impact of COVID-19 pandemic on timing of ophthalmic treatment procedures;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acceptance of product performance, features, ease of use, scalability and durability, including with respect to our MicroPulse laser photocoagulation systems and our PASCAL product;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recommendations and opinions by ophthalmologists, other clinicians, and their associated opinion leaders; </w:t>
            </w:r>
          </w:p>
        </w:tc>
      </w:tr>
    </w:tbl>
    <w:tbl>
      <w:tblPr>
        <w:tblW w:w="3865" w:type="dxa"/>
        <w:jc w:val="left"/>
        <w:tblInd w:w="0" w:type="dxa"/>
        <w:tblCellMar>
          <w:top w:w="0" w:type="dxa"/>
          <w:left w:w="0" w:type="dxa"/>
          <w:bottom w:w="0" w:type="dxa"/>
          <w:right w:w="0" w:type="dxa"/>
        </w:tblCellMar>
      </w:tblPr>
      <w:tblGrid>
        <w:gridCol w:w="60"/>
        <w:gridCol w:w="110"/>
        <w:gridCol w:w="36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6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marketing and clinical study outcomes;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price of our products and prices of competing products and technologies, particularly in light of the current macro-economic environment where healthcare systems and healthcare operators are becoming increasingly price sensitive;</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availability of competing products, technologies and alternative treatments; and </w:t>
            </w:r>
          </w:p>
        </w:tc>
      </w:tr>
    </w:tbl>
    <w:tbl>
      <w:tblPr>
        <w:tblW w:w="6805" w:type="dxa"/>
        <w:jc w:val="left"/>
        <w:tblInd w:w="0" w:type="dxa"/>
        <w:tblCellMar>
          <w:top w:w="0" w:type="dxa"/>
          <w:left w:w="0" w:type="dxa"/>
          <w:bottom w:w="0" w:type="dxa"/>
          <w:right w:w="0" w:type="dxa"/>
        </w:tblCellMar>
      </w:tblPr>
      <w:tblGrid>
        <w:gridCol w:w="60"/>
        <w:gridCol w:w="110"/>
        <w:gridCol w:w="66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level of reimbursement for treatments administered with our products.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spacing w:before="120" w:after="0"/>
        <w:rPr>
          <w:rFonts w:ascii="Times New Roman" w:hAnsi="Times New Roman"/>
          <w:b/>
          <w:i/>
          <w:caps w:val="false"/>
          <w:smallCaps w:val="false"/>
          <w:spacing w:val="-2"/>
          <w:sz w:val="20"/>
        </w:rPr>
      </w:pPr>
      <w:r>
        <w:rPr>
          <w:rFonts w:ascii="Times New Roman" w:hAnsi="Times New Roman"/>
          <w:b/>
          <w:i/>
          <w:caps w:val="false"/>
          <w:smallCaps w:val="false"/>
          <w:spacing w:val="-2"/>
          <w:sz w:val="20"/>
        </w:rPr>
        <w:t xml:space="preserve">We face strong competition in our markets and expect the level of competition to grow in the foreseeable future.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be adversely affected by uncertainty regarding healthcare reform measures and changes in third-party coverage and reimbursement policies.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Times New Roman" w:hAnsi="Times New Roman"/>
          <w:b w:val="false"/>
          <w:i/>
          <w:caps w:val="false"/>
          <w:smallCaps w:val="false"/>
          <w:color w:val="000000"/>
          <w:sz w:val="20"/>
        </w:rPr>
        <w:t xml:space="preserve">California v. Texas </w:t>
      </w:r>
      <w:r>
        <w:rPr>
          <w:rFonts w:ascii="Times New Roman" w:hAnsi="Times New Roman"/>
          <w:b w:val="false"/>
          <w:i w:val="false"/>
          <w:caps w:val="false"/>
          <w:smallCaps w:val="false"/>
          <w:color w:val="000000"/>
          <w:sz w:val="20"/>
        </w:rPr>
        <w:t>case). Denial of coverage and reimbursement of our products, or the revocation or changes to coverage and reimbursement policies, could have a material adverse effect on our business, results of operations and financial condition.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healthcare laws, we could face substantial penalties and financial exposure, and our business, operations and financial condition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depend on collaborative relationships to develop, introduce and market new products, product enhancements and new applications.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cannot increase our sales volumes, reduce our costs or introduce higher margin products to offset potential reductions in the average unit price of our products, our operating results may suffer.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promotional practices are subject to extensive government scrutiny. We may be subject to governmental, regulatory and other legal proceedings relative to advertising, promotion and marketing that could have a significant negative effect on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manage growth effectively, our business could be disrupted which could harm our operating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patents and proprietary rights to protect our intellectual property and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April 2, 2022, our patent portfolio includes 59 active United States patents and 96 active international patents on the technologies related to our products and processes. In addition, as of April 2, 2022, we have 11 patent applications pending in the United States and 23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lose key personnel or fail to integrate replacement personnel successfully, our ability to manage our business could be impaired.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8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difficulties integrating any acquired products into our existing business;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difficulties in integrating an acquired company’s technologies, services, employees, customers, partners, business operations and administrative and software management systems with ours;</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realizing the benefits of the acquired products;</w:t>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5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diversion of our management’s time and attention from other business concerns;</w:t>
            </w:r>
          </w:p>
        </w:tc>
      </w:tr>
    </w:tbl>
    <w:tbl>
      <w:tblPr>
        <w:tblW w:w="4840" w:type="dxa"/>
        <w:jc w:val="left"/>
        <w:tblInd w:w="0" w:type="dxa"/>
        <w:tblCellMar>
          <w:top w:w="0" w:type="dxa"/>
          <w:left w:w="0" w:type="dxa"/>
          <w:bottom w:w="0" w:type="dxa"/>
          <w:right w:w="0" w:type="dxa"/>
        </w:tblCellMar>
      </w:tblPr>
      <w:tblGrid>
        <w:gridCol w:w="60"/>
        <w:gridCol w:w="110"/>
        <w:gridCol w:w="46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6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adverse customer reaction to the product acquisition; and</w:t>
            </w:r>
          </w:p>
        </w:tc>
      </w:tr>
    </w:tbl>
    <w:tbl>
      <w:tblPr>
        <w:tblW w:w="1960" w:type="dxa"/>
        <w:jc w:val="left"/>
        <w:tblInd w:w="0" w:type="dxa"/>
        <w:tblCellMar>
          <w:top w:w="0" w:type="dxa"/>
          <w:left w:w="0" w:type="dxa"/>
          <w:bottom w:w="0" w:type="dxa"/>
          <w:right w:w="0" w:type="dxa"/>
        </w:tblCellMar>
      </w:tblPr>
      <w:tblGrid>
        <w:gridCol w:w="60"/>
        <w:gridCol w:w="110"/>
        <w:gridCol w:w="17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7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increases in expenses.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depend on sole source or limited source suppliers.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tbl>
      <w:tblPr>
        <w:tblW w:w="5890" w:type="dxa"/>
        <w:jc w:val="left"/>
        <w:tblInd w:w="0" w:type="dxa"/>
        <w:tblCellMar>
          <w:top w:w="0" w:type="dxa"/>
          <w:left w:w="0" w:type="dxa"/>
          <w:bottom w:w="0" w:type="dxa"/>
          <w:right w:w="0" w:type="dxa"/>
        </w:tblCellMar>
      </w:tblPr>
      <w:tblGrid>
        <w:gridCol w:w="60"/>
        <w:gridCol w:w="110"/>
        <w:gridCol w:w="57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7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 of COVID-19 on global supply chains and market stability;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unavailability of shortages or limitations on the ability to obtain supplies of components and products in the quantities that we require, or that satisfy the environmental requirements to which we are subject;</w:t>
            </w:r>
          </w:p>
        </w:tc>
      </w:tr>
    </w:tbl>
    <w:tbl>
      <w:tblPr>
        <w:tblW w:w="8950" w:type="dxa"/>
        <w:jc w:val="left"/>
        <w:tblInd w:w="0" w:type="dxa"/>
        <w:tblCellMar>
          <w:top w:w="0" w:type="dxa"/>
          <w:left w:w="0" w:type="dxa"/>
          <w:bottom w:w="0" w:type="dxa"/>
          <w:right w:w="0" w:type="dxa"/>
        </w:tblCellMar>
      </w:tblPr>
      <w:tblGrid>
        <w:gridCol w:w="60"/>
        <w:gridCol w:w="110"/>
        <w:gridCol w:w="87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delivery or failure of suppliers to deliver critical components and products on the dates we require;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failure of suppliers to manufacture and assemble components and products to our specifications, and potentially reduced quality;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inability to obtain components and products in a timely manner or at acceptable prices due to global supply chain constraints or other factors.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our facilities were to experience catastrophic loss, our operations would be seriously harmed.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experience a significant disruption in our information technology systems or breaches of data security, our business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w:t>
      </w:r>
      <w:r>
        <w:rPr>
          <w:rFonts w:ascii="Times New Roman" w:hAnsi="Times New Roman"/>
          <w:b w:val="false"/>
          <w:i w:val="false"/>
          <w:caps w:val="false"/>
          <w:smallCaps w:val="false"/>
          <w:color w:val="1F497D"/>
          <w:sz w:val="20"/>
        </w:rPr>
        <w:t> </w:t>
      </w:r>
      <w:r>
        <w:rPr>
          <w:rFonts w:ascii="Times New Roman" w:hAnsi="Times New Roman"/>
          <w:b w:val="false"/>
          <w:i w:val="false"/>
          <w:caps w:val="false"/>
          <w:smallCaps w:val="false"/>
          <w:color w:val="000000"/>
          <w:sz w:val="20"/>
        </w:rPr>
        <w:t xml:space="preserve">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due to the COVID-19 pandemic. If we were to experience a prolonged system disruption in our information technology systems, it could negatively impact the coordination of our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subject to government regulations which may cause us to delay or withdraw the introduction of new products or new applications for our products.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such as Iridex to contract with a Swiss Authorized Representative. Additionally, the new revision 4 of the clinical evaluation report guidance document (MEDDEV 2.7.1) severely restricts the use of substantial equivalence for new products, resulting in the need for formal clinical trial data for many products. These changes will increase the cost for compliance and for product development, and they lengthen product introduction cycles. Failure to comply with these changes can have an adverse effect on our ability to release new products in a timely manner.</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the FDA’s quality system regulation and laser performance standards, our manufacturing operations could be halted, and our business would suffer.</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products may be misused, which could harm our reputation and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Inability of customers to obtain credit or material increases in interest rates may harm our sales.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products could be subject to recalls even after receiving FDA approval or clearance. A recall would harm our reputation and adversely affect our operating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a follow up request for termination on September 29, 2021. Our termination request is pending.</w:t>
      </w:r>
    </w:p>
    <w:p>
      <w:pPr>
        <w:pStyle w:val="TextBody"/>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product liability claims are successfully asserted against us, we may incur substantial liabilities that may adversely affect our business or results of operations.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highlight w:val="white"/>
        </w:rPr>
      </w:pPr>
      <w:r>
        <w:rPr>
          <w:rFonts w:ascii="Times New Roman" w:hAnsi="Times New Roman"/>
          <w:b/>
          <w:i/>
          <w:caps w:val="false"/>
          <w:smallCaps w:val="false"/>
          <w:color w:val="000000"/>
          <w:sz w:val="20"/>
          <w:highlight w:val="white"/>
        </w:rPr>
        <w:t>Significant developments resulting from recent and potential changes in U.S. trade policies could have a material adverse effect on us.</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Changes in U.S. tax laws could have a material adverse effect on our business, cash flow, results of operations or financial conditions.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ability to raise capital in the future may be limited, and future sales and issuances of securities could negatively affect our stock price and dilute the ownership interest of our existing investors.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environmental requirements, our business, financial condition, operating results and reputation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Relating to Ownership of Our Common Stock</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stock price has been and may continue to be volatile and an investment in our common stock could suffer a decline in value.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 and Ukraine. During the first quarter of fiscal year 2022, the trading price of our common stock fluctuated from a low of $3.99 per share to a high of $6.42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Because we do not intend to pay dividends, stockholders will benefit from an investment in our common stock only if it appreciates in value.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securities or industry analysts do not continue to publish research or publish incorrect or unfavorable research about our business, our stock price and trading volume could decline.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charter documents, anti-takeover provisions of Delaware law, and contractual provisions could delay or prevent an acquisition or sale of our company.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tbl>
      <w:tblPr>
        <w:tblW w:w="7945" w:type="dxa"/>
        <w:jc w:val="left"/>
        <w:tblInd w:w="0" w:type="dxa"/>
        <w:tblCellMar>
          <w:top w:w="0" w:type="dxa"/>
          <w:left w:w="0" w:type="dxa"/>
          <w:bottom w:w="0" w:type="dxa"/>
          <w:right w:w="0" w:type="dxa"/>
        </w:tblCellMar>
      </w:tblPr>
      <w:tblGrid>
        <w:gridCol w:w="60"/>
        <w:gridCol w:w="110"/>
        <w:gridCol w:w="77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7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authorized number of directors may be changed only by resolution of our board of directors;</w:t>
            </w:r>
          </w:p>
        </w:tc>
      </w:tr>
    </w:tbl>
    <w:tbl>
      <w:tblPr>
        <w:tblW w:w="8170" w:type="dxa"/>
        <w:jc w:val="left"/>
        <w:tblInd w:w="0" w:type="dxa"/>
        <w:tblCellMar>
          <w:top w:w="0" w:type="dxa"/>
          <w:left w:w="0" w:type="dxa"/>
          <w:bottom w:w="0" w:type="dxa"/>
          <w:right w:w="0" w:type="dxa"/>
        </w:tblCellMar>
      </w:tblPr>
      <w:tblGrid>
        <w:gridCol w:w="60"/>
        <w:gridCol w:w="110"/>
        <w:gridCol w:w="80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0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only our board of directors is authorized to fill vacant directorships, including newly created seats;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special meetings of our stockholders may be called only by our board of directors, the chairman of the board, chief executive officer or president, thus prohibiting a stockholder from calling a special meeting;</w:t>
            </w:r>
          </w:p>
        </w:tc>
      </w:tr>
    </w:tbl>
    <w:tbl>
      <w:tblPr>
        <w:tblW w:w="7615" w:type="dxa"/>
        <w:jc w:val="left"/>
        <w:tblInd w:w="0" w:type="dxa"/>
        <w:tblCellMar>
          <w:top w:w="0" w:type="dxa"/>
          <w:left w:w="0" w:type="dxa"/>
          <w:bottom w:w="0" w:type="dxa"/>
          <w:right w:w="0" w:type="dxa"/>
        </w:tblCellMar>
      </w:tblPr>
      <w:tblGrid>
        <w:gridCol w:w="60"/>
        <w:gridCol w:w="110"/>
        <w:gridCol w:w="74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4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stockholders must give advance notice to nominate directors or propose other business; and</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1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stockholders are not permitted to cumulate votes in the election of directors.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7" w:name="ITEM_2_UNREGISTERED_SALES_EQUITY_SECURIT"/>
      <w:bookmarkEnd w:id="17"/>
      <w:r>
        <w:rPr>
          <w:rFonts w:ascii="Times New Roman" w:hAnsi="Times New Roman"/>
          <w:b/>
          <w:i w:val="false"/>
          <w:caps w:val="false"/>
          <w:smallCaps w:val="false"/>
          <w:sz w:val="20"/>
        </w:rPr>
        <w:t>Item 2. Unregistered Sales of Equity Securities and Use of Proceeds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Sales of Unregistered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120" w:after="0"/>
        <w:rPr>
          <w:rFonts w:ascii="Times New Roman" w:hAnsi="Times New Roman"/>
          <w:b/>
          <w:i w:val="false"/>
          <w:caps w:val="false"/>
          <w:smallCaps w:val="false"/>
          <w:sz w:val="20"/>
        </w:rPr>
      </w:pPr>
      <w:bookmarkStart w:id="18" w:name="ITEM_3_DEFAULTS_UPON_SENIOR_SECURITIES"/>
      <w:bookmarkEnd w:id="18"/>
      <w:r>
        <w:rPr>
          <w:rFonts w:ascii="Times New Roman" w:hAnsi="Times New Roman"/>
          <w:b/>
          <w:i w:val="false"/>
          <w:caps w:val="false"/>
          <w:smallCaps w:val="false"/>
          <w:sz w:val="20"/>
        </w:rPr>
        <w:t>Item 3. Defaults Upon Senior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120" w:after="0"/>
        <w:rPr>
          <w:rFonts w:ascii="Times New Roman" w:hAnsi="Times New Roman"/>
          <w:b/>
          <w:i w:val="false"/>
          <w:caps w:val="false"/>
          <w:smallCaps w:val="false"/>
          <w:sz w:val="20"/>
        </w:rPr>
      </w:pPr>
      <w:bookmarkStart w:id="19" w:name="ITEM_4_MINE_SAFETY_DISCLOSURES"/>
      <w:bookmarkEnd w:id="19"/>
      <w:r>
        <w:rPr>
          <w:rFonts w:ascii="Times New Roman" w:hAnsi="Times New Roman"/>
          <w:b/>
          <w:i w:val="false"/>
          <w:caps w:val="false"/>
          <w:smallCaps w:val="false"/>
          <w:sz w:val="20"/>
        </w:rPr>
        <w:t>Item 4. Mine Safety Disclosures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120" w:after="0"/>
        <w:rPr>
          <w:rFonts w:ascii="Times New Roman" w:hAnsi="Times New Roman"/>
          <w:b/>
          <w:i w:val="false"/>
          <w:caps w:val="false"/>
          <w:smallCaps w:val="false"/>
          <w:sz w:val="20"/>
        </w:rPr>
      </w:pPr>
      <w:bookmarkStart w:id="20" w:name="ITEM_5_OR_INFORMATION"/>
      <w:bookmarkEnd w:id="20"/>
      <w:r>
        <w:rPr>
          <w:rFonts w:ascii="Times New Roman" w:hAnsi="Times New Roman"/>
          <w:b/>
          <w:i w:val="false"/>
          <w:caps w:val="false"/>
          <w:smallCaps w:val="false"/>
          <w:sz w:val="20"/>
        </w:rPr>
        <w:t>Item 5. Other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21" w:name="ITEM_6_EXHIBITS"/>
      <w:bookmarkEnd w:id="21"/>
      <w:r>
        <w:rPr>
          <w:rFonts w:ascii="Times New Roman" w:hAnsi="Times New Roman"/>
          <w:b/>
          <w:i w:val="false"/>
          <w:caps w:val="false"/>
          <w:smallCaps w:val="false"/>
          <w:sz w:val="20"/>
        </w:rPr>
        <w:t>Item 6. Exhibits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86"/>
        <w:gridCol w:w="120"/>
        <w:gridCol w:w="9299"/>
      </w:tblGrid>
      <w:tr>
        <w:trPr/>
        <w:tc>
          <w:tcPr>
            <w:tcW w:w="786" w:type="dxa"/>
            <w:tcBorders>
              <w:bottom w:val="sing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No.</w:t>
            </w:r>
          </w:p>
        </w:tc>
        <w:tc>
          <w:tcPr>
            <w:tcW w:w="120" w:type="dxa"/>
            <w:tcBorders>
              <w:bottom w:val="single" w:sz="6" w:space="0" w:color="000000"/>
            </w:tcBorders>
            <w:shd w:fill="auto" w:val="clear"/>
            <w:vAlign w:val="bottom"/>
          </w:tcPr>
          <w:p>
            <w:pPr>
              <w:pStyle w:val="TableContents"/>
              <w:spacing w:before="0" w:after="0"/>
              <w:ind w:left="0" w:right="0" w:hanging="0"/>
              <w:rPr/>
            </w:pPr>
            <w:r>
              <w:rPr/>
              <w:t> </w:t>
            </w:r>
          </w:p>
        </w:tc>
        <w:tc>
          <w:tcPr>
            <w:tcW w:w="9299" w:type="dxa"/>
            <w:tcBorders>
              <w:bottom w:val="sing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Exhibit Title</w:t>
            </w:r>
          </w:p>
        </w:tc>
      </w:tr>
      <w:tr>
        <w:trPr/>
        <w:tc>
          <w:tcPr>
            <w:tcW w:w="786"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vAlign w:val="bottom"/>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hyperlink w:anchor="irix-ex311_6.htm">
              <w:r>
                <w:rPr>
                  <w:rStyle w:val="InternetLink"/>
                  <w:rFonts w:ascii="Times New Roman" w:hAnsi="Times New Roman"/>
                  <w:b w:val="false"/>
                  <w:i w:val="false"/>
                  <w:caps w:val="false"/>
                  <w:smallCaps w:val="false"/>
                  <w:sz w:val="20"/>
                  <w:u w:val="single"/>
                </w:rPr>
                <w:t>Certification of Principal Executive Officer pursuant to Securities Exchange Act Rules 13a-14(a) and 15d-14(a).</w:t>
              </w:r>
            </w:hyperlink>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31.2</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caps w:val="false"/>
                <w:smallCaps w:val="false"/>
              </w:rPr>
              <w:t> </w:t>
            </w:r>
            <w:hyperlink w:anchor="irix-ex312_8.htm">
              <w:r>
                <w:rPr>
                  <w:rStyle w:val="InternetLink"/>
                  <w:rFonts w:ascii="Times New Roman" w:hAnsi="Times New Roman"/>
                  <w:b w:val="false"/>
                  <w:i w:val="false"/>
                  <w:caps w:val="false"/>
                  <w:smallCaps w:val="false"/>
                  <w:sz w:val="20"/>
                  <w:u w:val="single"/>
                </w:rPr>
                <w:t>Certification of Principal Financial Officer pursuant to Securities Exchange Act Rules 13a-14(a) and 15d-14(a).</w:t>
              </w:r>
            </w:hyperlink>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32.1*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hyperlink w:anchor="irix-ex321_9.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32.2*</w:t>
            </w:r>
          </w:p>
        </w:tc>
        <w:tc>
          <w:tcPr>
            <w:tcW w:w="120" w:type="dxa"/>
            <w:tcBorders/>
            <w:shd w:fill="auto"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299" w:type="dxa"/>
            <w:tcBorders/>
            <w:shd w:fill="auto" w:val="clear"/>
            <w:tcMar>
              <w:bottom w:w="0" w:type="dxa"/>
            </w:tcMar>
          </w:tcPr>
          <w:p>
            <w:pPr>
              <w:pStyle w:val="TableContents"/>
              <w:spacing w:before="0" w:after="0"/>
              <w:ind w:left="0" w:right="0" w:hanging="0"/>
              <w:rPr/>
            </w:pPr>
            <w:hyperlink w:anchor="irix-ex322_7.htm">
              <w:r>
                <w:rPr>
                  <w:rStyle w:val="InternetLink"/>
                  <w:rFonts w:ascii="Times New Roman" w:hAnsi="Times New Roman"/>
                  <w:b w:val="false"/>
                  <w:i w:val="false"/>
                  <w:caps w:val="false"/>
                  <w:smallCaps w:val="false"/>
                  <w:sz w:val="20"/>
                  <w:u w:val="single"/>
                </w:rPr>
                <w:t>Certification of Principal Financial Officer pursuant to 18 U.S.C. Section 1350, as adopted pursuant to Section 906 of the Sarbanes-Oxley Act of 2002.</w:t>
              </w:r>
            </w:hyperlink>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101.INS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Instance Document.</w:t>
            </w:r>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101.SCH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Schema Document.</w:t>
            </w:r>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101.CAL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Calculation Linkbase Document.</w:t>
            </w:r>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101.CAL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Definition Linkbase Document.</w:t>
            </w:r>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101.LAB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Label Linkbase Document.</w:t>
            </w:r>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101.PRE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Presentation Linkbase Document.</w:t>
            </w:r>
          </w:p>
        </w:tc>
      </w:tr>
      <w:tr>
        <w:trPr/>
        <w:tc>
          <w:tcPr>
            <w:tcW w:w="786"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pPr>
            <w:r>
              <w:rPr/>
              <w:t> </w:t>
            </w:r>
          </w:p>
        </w:tc>
      </w:tr>
      <w:tr>
        <w:trPr/>
        <w:tc>
          <w:tcPr>
            <w:tcW w:w="786"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104 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29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(embedded within the Inline XBRL document).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Trademark Acknowledgments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2" w:name="SIGNATURES"/>
      <w:bookmarkEnd w:id="22"/>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5765" w:type="dxa"/>
        <w:jc w:val="left"/>
        <w:tblInd w:w="0" w:type="dxa"/>
        <w:tblCellMar>
          <w:top w:w="0" w:type="dxa"/>
          <w:left w:w="0" w:type="dxa"/>
          <w:bottom w:w="0" w:type="dxa"/>
          <w:right w:w="0" w:type="dxa"/>
        </w:tblCellMar>
      </w:tblPr>
      <w:tblGrid>
        <w:gridCol w:w="1640"/>
        <w:gridCol w:w="60"/>
        <w:gridCol w:w="320"/>
        <w:gridCol w:w="60"/>
        <w:gridCol w:w="545"/>
        <w:gridCol w:w="60"/>
        <w:gridCol w:w="3080"/>
      </w:tblGrid>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685" w:type="dxa"/>
            <w:gridSpan w:val="3"/>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IRIDEX Corporation</w:t>
            </w:r>
          </w:p>
        </w:tc>
      </w:tr>
      <w:tr>
        <w:trPr/>
        <w:tc>
          <w:tcPr>
            <w:tcW w:w="164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3685" w:type="dxa"/>
            <w:gridSpan w:val="3"/>
            <w:tcBorders/>
            <w:shd w:fill="auto" w:val="clear"/>
            <w:vAlign w:val="center"/>
          </w:tcPr>
          <w:p>
            <w:pPr>
              <w:pStyle w:val="TableContents"/>
              <w:spacing w:before="0" w:after="0"/>
              <w:ind w:left="0" w:right="0" w:hanging="0"/>
              <w:rPr/>
            </w:pPr>
            <w:r>
              <w:rPr/>
              <w:t> </w:t>
            </w:r>
          </w:p>
        </w:tc>
      </w:tr>
      <w:tr>
        <w:trPr/>
        <w:tc>
          <w:tcPr>
            <w:tcW w:w="164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2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Mar>
              <w:bottom w:w="28" w:type="dxa"/>
            </w:tcMar>
          </w:tcPr>
          <w:p>
            <w:pPr>
              <w:pStyle w:val="TableContents"/>
              <w:spacing w:before="0" w:after="0"/>
              <w:ind w:left="0" w:right="0" w:hanging="0"/>
              <w:rPr>
                <w:caps w:val="false"/>
                <w:smallCaps w:val="false"/>
              </w:rPr>
            </w:pPr>
            <w:r>
              <w:rPr>
                <w:caps w:val="false"/>
                <w:smallCaps w:val="false"/>
              </w:rPr>
              <w:t> </w:t>
            </w:r>
          </w:p>
        </w:tc>
        <w:tc>
          <w:tcPr>
            <w:tcW w:w="3685" w:type="dxa"/>
            <w:gridSpan w:val="3"/>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DAVID I. BRUCE</w:t>
            </w:r>
          </w:p>
        </w:tc>
      </w:tr>
      <w:tr>
        <w:trPr/>
        <w:tc>
          <w:tcPr>
            <w:tcW w:w="16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545"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60" w:type="dxa"/>
            <w:tcBorders>
              <w:top w:val="single" w:sz="6" w:space="0" w:color="000000"/>
            </w:tcBorders>
            <w:shd w:fill="auto" w:val="clear"/>
            <w:tcMar>
              <w:top w:w="28" w:type="dxa"/>
            </w:tcMar>
          </w:tcPr>
          <w:p>
            <w:pPr>
              <w:pStyle w:val="TableContents"/>
              <w:spacing w:before="0" w:after="0"/>
              <w:ind w:left="0" w:right="0" w:hanging="0"/>
              <w:rPr>
                <w:caps w:val="false"/>
                <w:smallCaps w:val="false"/>
              </w:rPr>
            </w:pPr>
            <w:r>
              <w:rPr>
                <w:caps w:val="false"/>
                <w:smallCaps w:val="false"/>
              </w:rPr>
              <w:t> </w:t>
            </w:r>
          </w:p>
        </w:tc>
        <w:tc>
          <w:tcPr>
            <w:tcW w:w="308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David I. Bruce</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Executive Officer</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bl>
    <w:p>
      <w:pPr>
        <w:pStyle w:val="TextBody"/>
        <w:spacing w:before="0" w:after="0"/>
        <w:rPr/>
      </w:pPr>
      <w:r>
        <w:rPr/>
        <w:t> </w:t>
      </w:r>
    </w:p>
    <w:tbl>
      <w:tblPr>
        <w:tblW w:w="5195" w:type="dxa"/>
        <w:jc w:val="left"/>
        <w:tblInd w:w="0" w:type="dxa"/>
        <w:tblCellMar>
          <w:top w:w="0" w:type="dxa"/>
          <w:left w:w="0" w:type="dxa"/>
          <w:bottom w:w="28" w:type="dxa"/>
          <w:right w:w="0" w:type="dxa"/>
        </w:tblCellMar>
      </w:tblPr>
      <w:tblGrid>
        <w:gridCol w:w="1640"/>
        <w:gridCol w:w="60"/>
        <w:gridCol w:w="320"/>
        <w:gridCol w:w="60"/>
        <w:gridCol w:w="545"/>
        <w:gridCol w:w="60"/>
        <w:gridCol w:w="2510"/>
      </w:tblGrid>
      <w:tr>
        <w:trPr/>
        <w:tc>
          <w:tcPr>
            <w:tcW w:w="164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60" w:type="dxa"/>
            <w:tcBorders>
              <w:bottom w:val="single" w:sz="6" w:space="0" w:color="000000"/>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Pr>
          <w:p>
            <w:pPr>
              <w:pStyle w:val="TableContents"/>
              <w:spacing w:before="0" w:after="0"/>
              <w:ind w:left="0" w:right="0" w:hanging="0"/>
              <w:rPr>
                <w:caps w:val="false"/>
                <w:smallCaps w:val="false"/>
              </w:rPr>
            </w:pPr>
            <w:r>
              <w:rPr>
                <w:caps w:val="false"/>
                <w:smallCaps w:val="false"/>
              </w:rPr>
              <w:t> </w:t>
            </w:r>
          </w:p>
        </w:tc>
        <w:tc>
          <w:tcPr>
            <w:tcW w:w="3115" w:type="dxa"/>
            <w:gridSpan w:val="3"/>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FUAD AHMAD</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25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Fuad Ahmad</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25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Interim Chief Financial Officer</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Officer)</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r>
        <w:br w:type="page"/>
      </w:r>
    </w:p>
    <w:p>
      <w:pPr>
        <w:pStyle w:val="TextBody"/>
        <w:spacing w:before="0" w:after="0"/>
        <w:jc w:val="right"/>
        <w:rPr>
          <w:rFonts w:ascii="Times New Roman" w:hAnsi="Times New Roman"/>
          <w:b/>
          <w:i w:val="false"/>
          <w:caps w:val="false"/>
          <w:smallCaps w:val="false"/>
          <w:color w:val="000000"/>
          <w:sz w:val="20"/>
        </w:rPr>
      </w:pPr>
      <w:bookmarkStart w:id="23" w:name="irix-ex311_6.htm"/>
      <w:bookmarkStart w:id="24" w:name="ksirixex311_6"/>
      <w:bookmarkEnd w:id="23"/>
      <w:bookmarkEnd w:id="24"/>
      <w:r>
        <w:rPr>
          <w:rFonts w:ascii="Times New Roman" w:hAnsi="Times New Roman"/>
          <w:b/>
          <w:i w:val="false"/>
          <w:caps w:val="false"/>
          <w:smallCaps w:val="false"/>
          <w:color w:val="000000"/>
          <w:sz w:val="20"/>
        </w:rPr>
        <w:t>Exhibit 31.1</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OF PRINCIPAL EXECUTIVE OFFICER</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SECTION 13(a) or 15(d) OF THE SECURITIES EXCHANGE ACT OF 1934</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302 OF THE SARBANES-OXLEY ACT OF 2002</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David I. Bruce, certify that:</w:t>
      </w:r>
    </w:p>
    <w:tbl>
      <w:tblPr>
        <w:tblW w:w="6340" w:type="dxa"/>
        <w:jc w:val="left"/>
        <w:tblInd w:w="0" w:type="dxa"/>
        <w:tblCellMar>
          <w:top w:w="0" w:type="dxa"/>
          <w:left w:w="0" w:type="dxa"/>
          <w:bottom w:w="0" w:type="dxa"/>
          <w:right w:w="0" w:type="dxa"/>
        </w:tblCellMar>
      </w:tblPr>
      <w:tblGrid>
        <w:gridCol w:w="60"/>
        <w:gridCol w:w="170"/>
        <w:gridCol w:w="61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1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have reviewed this quarterly report on Form 10-Q of IRIDEX Corporation;</w:t>
            </w:r>
          </w:p>
        </w:tc>
      </w:tr>
    </w:tbl>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000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000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28"/>
        <w:gridCol w:w="10017"/>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1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w:t>
            </w:r>
          </w:p>
        </w:tc>
        <w:tc>
          <w:tcPr>
            <w:tcW w:w="100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000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0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6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997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p>
      <w:pPr>
        <w:pStyle w:val="TextBody"/>
        <w:spacing w:before="0" w:after="0"/>
        <w:rPr/>
      </w:pPr>
      <w:r>
        <w:rPr/>
        <w:t> </w:t>
      </w:r>
    </w:p>
    <w:tbl>
      <w:tblPr>
        <w:tblW w:w="3625" w:type="dxa"/>
        <w:jc w:val="right"/>
        <w:tblInd w:w="0" w:type="dxa"/>
        <w:tblCellMar>
          <w:top w:w="0" w:type="dxa"/>
          <w:left w:w="0" w:type="dxa"/>
          <w:bottom w:w="28" w:type="dxa"/>
          <w:right w:w="0" w:type="dxa"/>
        </w:tblCellMar>
      </w:tblPr>
      <w:tblGrid>
        <w:gridCol w:w="545"/>
        <w:gridCol w:w="3080"/>
      </w:tblGrid>
      <w:tr>
        <w:trPr/>
        <w:tc>
          <w:tcPr>
            <w:tcW w:w="545" w:type="dxa"/>
            <w:tcBorders>
              <w:bottom w:val="single" w:sz="6" w:space="0" w:color="FFFFFF"/>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80" w:type="dxa"/>
            <w:tcBorders>
              <w:bottom w:val="single" w:sz="6" w:space="0" w:color="000000"/>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DAVID I. BRUCE</w:t>
            </w:r>
          </w:p>
        </w:tc>
      </w:tr>
      <w:tr>
        <w:trPr/>
        <w:tc>
          <w:tcPr>
            <w:tcW w:w="545"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3080" w:type="dxa"/>
            <w:tcBorders>
              <w:top w:val="single" w:sz="6" w:space="0" w:color="000000"/>
            </w:tcBorders>
            <w:shd w:fill="auto" w:val="clear"/>
            <w:tcMar>
              <w:top w:w="28" w:type="dxa"/>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I. Bruce</w:t>
            </w:r>
          </w:p>
        </w:tc>
      </w:tr>
      <w:tr>
        <w:trPr/>
        <w:tc>
          <w:tcPr>
            <w:tcW w:w="545"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3080"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tc>
      </w:tr>
      <w:tr>
        <w:trPr/>
        <w:tc>
          <w:tcPr>
            <w:tcW w:w="545" w:type="dxa"/>
            <w:tcBorders/>
            <w:shd w:fill="auto" w:val="clear"/>
            <w:tcMar>
              <w:bottom w:w="0" w:type="dxa"/>
            </w:tcMar>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080"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jc w:val="right"/>
        <w:rPr/>
      </w:pPr>
      <w:bookmarkStart w:id="25" w:name="doc_1_3"/>
      <w:bookmarkEnd w:id="25"/>
      <w:r>
        <w:rPr/>
        <w:t> </w:t>
      </w:r>
    </w:p>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color w:val="000000"/>
          <w:sz w:val="20"/>
        </w:rPr>
      </w:pPr>
      <w:bookmarkStart w:id="26" w:name="_Hlk6845582"/>
      <w:bookmarkStart w:id="27" w:name="irix-ex312_8.htm"/>
      <w:bookmarkStart w:id="28" w:name="ksirixex312_8"/>
      <w:bookmarkEnd w:id="26"/>
      <w:bookmarkEnd w:id="27"/>
      <w:bookmarkEnd w:id="28"/>
      <w:r>
        <w:rPr>
          <w:rFonts w:ascii="Times New Roman" w:hAnsi="Times New Roman"/>
          <w:b/>
          <w:i w:val="false"/>
          <w:caps w:val="false"/>
          <w:smallCaps w:val="false"/>
          <w:color w:val="000000"/>
          <w:sz w:val="20"/>
        </w:rPr>
        <w:t>Exhibit 31.2</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OF PRINCIPAL FINANCIAL OFFICER</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SECTION 13(a) or 15(d) OF THE SECURITIES EXCHANGE ACT OF 1934</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302 OF THE SARBANES-OXLEY ACT OF 2002</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Fuad Ahmad, certify that:</w:t>
      </w:r>
    </w:p>
    <w:tbl>
      <w:tblPr>
        <w:tblW w:w="6340" w:type="dxa"/>
        <w:jc w:val="left"/>
        <w:tblInd w:w="0" w:type="dxa"/>
        <w:tblCellMar>
          <w:top w:w="0" w:type="dxa"/>
          <w:left w:w="0" w:type="dxa"/>
          <w:bottom w:w="0" w:type="dxa"/>
          <w:right w:w="0" w:type="dxa"/>
        </w:tblCellMar>
      </w:tblPr>
      <w:tblGrid>
        <w:gridCol w:w="60"/>
        <w:gridCol w:w="170"/>
        <w:gridCol w:w="61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1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have reviewed this quarterly report on Form 10-Q of IRIDEX Corporation;</w:t>
            </w:r>
          </w:p>
        </w:tc>
      </w:tr>
    </w:tbl>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000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000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28"/>
        <w:gridCol w:w="10017"/>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1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w:t>
            </w:r>
          </w:p>
        </w:tc>
        <w:tc>
          <w:tcPr>
            <w:tcW w:w="100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000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0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6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997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p>
      <w:pPr>
        <w:pStyle w:val="TextBody"/>
        <w:spacing w:before="0" w:after="0"/>
        <w:rPr/>
      </w:pPr>
      <w:r>
        <w:rPr/>
        <w:t> </w:t>
      </w:r>
    </w:p>
    <w:tbl>
      <w:tblPr>
        <w:tblW w:w="3055" w:type="dxa"/>
        <w:jc w:val="right"/>
        <w:tblInd w:w="0" w:type="dxa"/>
        <w:tblCellMar>
          <w:top w:w="0" w:type="dxa"/>
          <w:left w:w="0" w:type="dxa"/>
          <w:bottom w:w="0" w:type="dxa"/>
          <w:right w:w="0" w:type="dxa"/>
        </w:tblCellMar>
      </w:tblPr>
      <w:tblGrid>
        <w:gridCol w:w="545"/>
        <w:gridCol w:w="2510"/>
      </w:tblGrid>
      <w:tr>
        <w:trPr/>
        <w:tc>
          <w:tcPr>
            <w:tcW w:w="545"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r>
      <w:tr>
        <w:trPr/>
        <w:tc>
          <w:tcPr>
            <w:tcW w:w="545" w:type="dxa"/>
            <w:tcBorders>
              <w:bottom w:val="single" w:sz="6" w:space="0" w:color="FFFFFF"/>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FUAD AHMAD</w:t>
            </w:r>
          </w:p>
        </w:tc>
      </w:tr>
      <w:tr>
        <w:trPr/>
        <w:tc>
          <w:tcPr>
            <w:tcW w:w="545"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510" w:type="dxa"/>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Fuad Ahmad</w:t>
            </w:r>
          </w:p>
        </w:tc>
      </w:tr>
      <w:tr>
        <w:trPr/>
        <w:tc>
          <w:tcPr>
            <w:tcW w:w="545"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2510"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Interim Chief Financial Officer</w:t>
            </w:r>
          </w:p>
        </w:tc>
      </w:tr>
      <w:tr>
        <w:trPr/>
        <w:tc>
          <w:tcPr>
            <w:tcW w:w="545" w:type="dxa"/>
            <w:tcBorders/>
            <w:shd w:fill="auto" w:val="clear"/>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2510"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jc w:val="right"/>
        <w:rPr/>
      </w:pPr>
      <w:bookmarkStart w:id="29" w:name="doc_1_7"/>
      <w:bookmarkStart w:id="30" w:name="gmnh1doc_1_4"/>
      <w:bookmarkStart w:id="31" w:name="doc_1_4"/>
      <w:bookmarkEnd w:id="29"/>
      <w:bookmarkEnd w:id="30"/>
      <w:bookmarkEnd w:id="31"/>
      <w:r>
        <w:rPr/>
        <w:t> </w:t>
      </w:r>
    </w:p>
    <w:p>
      <w:pPr>
        <w:pStyle w:val="TextBody"/>
        <w:spacing w:before="0" w:after="0"/>
        <w:rPr/>
      </w:pPr>
      <w:r>
        <w:rPr/>
        <w:t> </w:t>
      </w:r>
      <w:r>
        <w:br w:type="page"/>
      </w:r>
    </w:p>
    <w:p>
      <w:pPr>
        <w:pStyle w:val="TextBody"/>
        <w:spacing w:before="0" w:after="0"/>
        <w:rPr/>
      </w:pPr>
      <w:bookmarkStart w:id="32" w:name="irix-ex321_9.htm"/>
      <w:bookmarkStart w:id="33" w:name="ksirixex321_9"/>
      <w:bookmarkEnd w:id="32"/>
      <w:bookmarkEnd w:id="33"/>
      <w:r>
        <w:rPr/>
        <w:t> </w:t>
      </w:r>
    </w:p>
    <w:p>
      <w:pPr>
        <w:pStyle w:val="TextBody"/>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32.1</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CERTIFICATION OF PRINCIPAL EXECUTIVE OFFICER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18 U.S.C. SECTION 1350,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David I. Bruce, pursuant to 18 U.S.C. Section 1350, as adopted pursuant to Section 906 of the Sarbanes-Oxley Act of 2002, certify that the Quarterly Report of IRIDEX Corporation on Form 10-Q for the fiscal quarter ended April 2, 2022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p>
      <w:pPr>
        <w:pStyle w:val="TextBody"/>
        <w:spacing w:before="0" w:after="0"/>
        <w:rPr/>
      </w:pPr>
      <w:r>
        <w:rPr/>
        <w:t> </w:t>
      </w:r>
    </w:p>
    <w:tbl>
      <w:tblPr>
        <w:tblW w:w="3685" w:type="dxa"/>
        <w:jc w:val="center"/>
        <w:tblInd w:w="0" w:type="dxa"/>
        <w:tblCellMar>
          <w:top w:w="0" w:type="dxa"/>
          <w:left w:w="0" w:type="dxa"/>
          <w:bottom w:w="28" w:type="dxa"/>
          <w:right w:w="0" w:type="dxa"/>
        </w:tblCellMar>
      </w:tblPr>
      <w:tblGrid>
        <w:gridCol w:w="60"/>
        <w:gridCol w:w="545"/>
        <w:gridCol w:w="3080"/>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545"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8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DAVID I. BRUCE</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308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I. Bruce</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308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rPr/>
      </w:pPr>
      <w:bookmarkStart w:id="34" w:name="doc_1_8"/>
      <w:bookmarkStart w:id="35" w:name="doc_1_5"/>
      <w:bookmarkEnd w:id="34"/>
      <w:bookmarkEnd w:id="35"/>
      <w:r>
        <w:rPr/>
        <w:t> </w:t>
      </w:r>
    </w:p>
    <w:p>
      <w:pPr>
        <w:pStyle w:val="TextBody"/>
        <w:spacing w:before="240" w:after="0"/>
        <w:rPr/>
      </w:pPr>
      <w:r>
        <w:rPr/>
        <w:t> </w:t>
      </w:r>
      <w:r>
        <w:br w:type="page"/>
      </w:r>
    </w:p>
    <w:p>
      <w:pPr>
        <w:pStyle w:val="TextBody"/>
        <w:spacing w:before="0" w:after="0"/>
        <w:rPr/>
      </w:pPr>
      <w:bookmarkStart w:id="36" w:name="irix-ex322_7.htm"/>
      <w:bookmarkStart w:id="37" w:name="ksirixex322_7"/>
      <w:bookmarkEnd w:id="36"/>
      <w:bookmarkEnd w:id="37"/>
      <w:r>
        <w:rPr/>
        <w:t> </w:t>
      </w:r>
    </w:p>
    <w:p>
      <w:pPr>
        <w:pStyle w:val="TextBody"/>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32.2</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CERTIFICATION OF PRINCIPAL FINANCIAL OFFICER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18 U.S.C. SECTION 1350,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Fuad Ahmad, pursuant to 18 U.S.C. Section 1350, as adopted pursuant to Section 906 of the Sarbanes-Oxley Act of 2002, certify that the Quarterly Report of IRIDEX Corporation on Form 10-Q for the fiscal quarter ended April 2, 2022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p>
      <w:pPr>
        <w:pStyle w:val="TextBody"/>
        <w:spacing w:before="0" w:after="0"/>
        <w:rPr/>
      </w:pPr>
      <w:r>
        <w:rPr/>
        <w:t> </w:t>
      </w:r>
    </w:p>
    <w:tbl>
      <w:tblPr>
        <w:tblW w:w="3115" w:type="dxa"/>
        <w:jc w:val="center"/>
        <w:tblInd w:w="0" w:type="dxa"/>
        <w:tblCellMar>
          <w:top w:w="0" w:type="dxa"/>
          <w:left w:w="0" w:type="dxa"/>
          <w:bottom w:w="28" w:type="dxa"/>
          <w:right w:w="0" w:type="dxa"/>
        </w:tblCellMar>
      </w:tblPr>
      <w:tblGrid>
        <w:gridCol w:w="60"/>
        <w:gridCol w:w="545"/>
        <w:gridCol w:w="2510"/>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545"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FUAD AHMAD</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51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Fuad Ahmad</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25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Interim Chief Financial Officer</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rPr/>
      </w:pPr>
      <w:bookmarkStart w:id="38" w:name="doc_1_81"/>
      <w:bookmarkStart w:id="39" w:name="doc_1_51"/>
      <w:bookmarkEnd w:id="38"/>
      <w:bookmarkEnd w:id="39"/>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28616</Words>
  <CharactersWithSpaces>188285</CharactersWithSpaces>
  <Paragraphs>4196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