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81280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118110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0" w:right="960" w:hanging="436"/>
        <w:spacing w:after="0" w:line="243" w:lineRule="auto"/>
        <w:tabs>
          <w:tab w:leader="none" w:pos="431"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40" w:right="940" w:hanging="436"/>
        <w:spacing w:after="0" w:line="256" w:lineRule="auto"/>
        <w:tabs>
          <w:tab w:leader="none" w:pos="431"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2660"/>
        <w:spacing w:after="0"/>
        <w:tabs>
          <w:tab w:leader="none" w:pos="5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111760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2"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3900" w:type="dxa"/>
            <w:vAlign w:val="bottom"/>
          </w:tcPr>
          <w:p>
            <w:pPr>
              <w:jc w:val="center"/>
              <w:ind w:right="14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77-0210467</w:t>
            </w:r>
          </w:p>
        </w:tc>
      </w:tr>
      <w:tr>
        <w:trPr>
          <w:trHeight w:val="153"/>
        </w:trPr>
        <w:tc>
          <w:tcPr>
            <w:tcW w:w="3900" w:type="dxa"/>
            <w:vAlign w:val="bottom"/>
          </w:tcPr>
          <w:p>
            <w:pPr>
              <w:jc w:val="center"/>
              <w:ind w:right="145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44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4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461"/>
              <w:spacing w:after="0"/>
              <w:rPr>
                <w:sz w:val="20"/>
                <w:szCs w:val="20"/>
                <w:color w:val="auto"/>
              </w:rPr>
            </w:pPr>
            <w:r>
              <w:rPr>
                <w:rFonts w:ascii="Arial" w:cs="Arial" w:eastAsia="Arial" w:hAnsi="Arial"/>
                <w:sz w:val="14"/>
                <w:szCs w:val="14"/>
                <w:b w:val="1"/>
                <w:bCs w:val="1"/>
                <w:color w:val="auto"/>
                <w:w w:val="95"/>
              </w:rPr>
              <w:t>Identification Number)</w:t>
            </w:r>
          </w:p>
        </w:tc>
      </w:tr>
      <w:tr>
        <w:trPr>
          <w:trHeight w:val="358"/>
        </w:trPr>
        <w:tc>
          <w:tcPr>
            <w:tcW w:w="3900" w:type="dxa"/>
            <w:vAlign w:val="bottom"/>
          </w:tcPr>
          <w:p>
            <w:pPr>
              <w:jc w:val="center"/>
              <w:ind w:right="1459"/>
              <w:spacing w:after="0"/>
              <w:rPr>
                <w:sz w:val="20"/>
                <w:szCs w:val="20"/>
                <w:color w:val="auto"/>
              </w:rPr>
            </w:pPr>
            <w:r>
              <w:rPr>
                <w:rFonts w:ascii="Arial" w:cs="Arial" w:eastAsia="Arial" w:hAnsi="Arial"/>
                <w:sz w:val="18"/>
                <w:szCs w:val="18"/>
                <w:b w:val="1"/>
                <w:bCs w:val="1"/>
                <w:color w:val="auto"/>
                <w:w w:val="90"/>
              </w:rPr>
              <w:t>1212 Terra Bella Avenue</w:t>
            </w:r>
          </w:p>
        </w:tc>
        <w:tc>
          <w:tcPr>
            <w:tcW w:w="2960" w:type="dxa"/>
            <w:vAlign w:val="bottom"/>
          </w:tcPr>
          <w:p>
            <w:pPr>
              <w:spacing w:after="0"/>
              <w:rPr>
                <w:sz w:val="24"/>
                <w:szCs w:val="24"/>
                <w:color w:val="auto"/>
              </w:rPr>
            </w:pPr>
          </w:p>
        </w:tc>
      </w:tr>
      <w:tr>
        <w:trPr>
          <w:trHeight w:val="234"/>
        </w:trPr>
        <w:tc>
          <w:tcPr>
            <w:tcW w:w="3900" w:type="dxa"/>
            <w:vAlign w:val="bottom"/>
          </w:tcPr>
          <w:p>
            <w:pPr>
              <w:jc w:val="center"/>
              <w:ind w:right="1439"/>
              <w:spacing w:after="0"/>
              <w:rPr>
                <w:sz w:val="20"/>
                <w:szCs w:val="20"/>
                <w:color w:val="auto"/>
              </w:rPr>
            </w:pPr>
            <w:r>
              <w:rPr>
                <w:rFonts w:ascii="Arial" w:cs="Arial" w:eastAsia="Arial" w:hAnsi="Arial"/>
                <w:sz w:val="18"/>
                <w:szCs w:val="18"/>
                <w:b w:val="1"/>
                <w:bCs w:val="1"/>
                <w:color w:val="auto"/>
                <w:w w:val="94"/>
              </w:rPr>
              <w:t>Mountain View, California</w:t>
            </w:r>
          </w:p>
        </w:tc>
        <w:tc>
          <w:tcPr>
            <w:tcW w:w="296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94043-1824</w:t>
            </w:r>
          </w:p>
        </w:tc>
      </w:tr>
      <w:tr>
        <w:trPr>
          <w:trHeight w:val="190"/>
        </w:trPr>
        <w:tc>
          <w:tcPr>
            <w:tcW w:w="3900" w:type="dxa"/>
            <w:vAlign w:val="bottom"/>
          </w:tcPr>
          <w:p>
            <w:pPr>
              <w:jc w:val="center"/>
              <w:ind w:right="1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461"/>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24"/>
        </w:trPr>
        <w:tc>
          <w:tcPr>
            <w:tcW w:w="4240" w:type="dxa"/>
            <w:vAlign w:val="bottom"/>
            <w:gridSpan w:val="4"/>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03"/>
        </w:trPr>
        <w:tc>
          <w:tcPr>
            <w:tcW w:w="4240" w:type="dxa"/>
            <w:vAlign w:val="bottom"/>
            <w:gridSpan w:val="4"/>
          </w:tcPr>
          <w:p>
            <w:pPr>
              <w:jc w:val="center"/>
              <w:ind w:right="1020"/>
              <w:spacing w:after="0"/>
              <w:rPr>
                <w:sz w:val="20"/>
                <w:szCs w:val="20"/>
                <w:color w:val="auto"/>
              </w:rPr>
            </w:pPr>
            <w:r>
              <w:rPr>
                <w:rFonts w:ascii="Arial" w:cs="Arial" w:eastAsia="Arial" w:hAnsi="Arial"/>
                <w:sz w:val="18"/>
                <w:szCs w:val="18"/>
                <w:color w:val="auto"/>
                <w:w w:val="94"/>
              </w:rPr>
              <w:t>Title of Class</w:t>
            </w: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1"/>
              </w:rPr>
              <w:t>Trading Symbol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p>
        </w:tc>
        <w:tc>
          <w:tcPr>
            <w:tcW w:w="160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rPr>
              <w:t>IRIX</w:t>
            </w: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79"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060" w:type="dxa"/>
            <w:vAlign w:val="bottom"/>
          </w:tcPr>
          <w:p>
            <w:pPr>
              <w:spacing w:after="0"/>
              <w:rPr>
                <w:sz w:val="20"/>
                <w:szCs w:val="20"/>
                <w:color w:val="auto"/>
              </w:rPr>
            </w:pPr>
            <w:r>
              <w:rPr>
                <w:rFonts w:ascii="Arial" w:cs="Arial" w:eastAsia="Arial" w:hAnsi="Arial"/>
                <w:sz w:val="18"/>
                <w:szCs w:val="18"/>
                <w:color w:val="auto"/>
                <w:w w:val="95"/>
              </w:rPr>
              <w:t>Emerging growth company</w:t>
            </w:r>
          </w:p>
        </w:tc>
        <w:tc>
          <w:tcPr>
            <w:tcW w:w="2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9" w:lineRule="exact"/>
        <w:rPr>
          <w:sz w:val="24"/>
          <w:szCs w:val="24"/>
          <w:color w:val="auto"/>
        </w:rPr>
      </w:pPr>
    </w:p>
    <w:p>
      <w:pPr>
        <w:ind w:right="480"/>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60"/>
        <w:spacing w:after="0" w:line="28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November 14, 2023 was 16,247,813.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347980</wp:posOffset>
            </wp:positionV>
            <wp:extent cx="619760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665" w:right="10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331"/>
        </w:trPr>
        <w:tc>
          <w:tcPr>
            <w:tcW w:w="20" w:type="dxa"/>
            <w:vAlign w:val="bottom"/>
            <w:tcBorders>
              <w:bottom w:val="single" w:sz="8" w:color="0000EE"/>
            </w:tcBorders>
          </w:tcPr>
          <w:p>
            <w:pPr>
              <w:spacing w:after="0"/>
              <w:rPr>
                <w:sz w:val="24"/>
                <w:szCs w:val="24"/>
                <w:color w:val="auto"/>
              </w:rPr>
            </w:pP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7"/>
              </w:rPr>
              <w:t>PART I. FINANCIAL INFORMATION</w:t>
            </w:r>
          </w:p>
        </w:tc>
        <w:tc>
          <w:tcPr>
            <w:tcW w:w="20" w:type="dxa"/>
            <w:vAlign w:val="bottom"/>
            <w:tcBorders>
              <w:bottom w:val="single" w:sz="8" w:color="0000EE"/>
            </w:tcBorders>
          </w:tcPr>
          <w:p>
            <w:pPr>
              <w:spacing w:after="0"/>
              <w:rPr>
                <w:sz w:val="24"/>
                <w:szCs w:val="24"/>
                <w:color w:val="auto"/>
              </w:rPr>
            </w:pPr>
          </w:p>
        </w:tc>
        <w:tc>
          <w:tcPr>
            <w:tcW w:w="616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20" w:type="dxa"/>
            <w:vAlign w:val="bottom"/>
          </w:tcPr>
          <w:p>
            <w:pPr>
              <w:spacing w:after="0"/>
              <w:rPr>
                <w:sz w:val="24"/>
                <w:szCs w:val="24"/>
                <w:color w:val="auto"/>
              </w:rPr>
            </w:pPr>
          </w:p>
        </w:tc>
        <w:tc>
          <w:tcPr>
            <w:tcW w:w="42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388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8"/>
              </w:rPr>
              <w:t>Unaudited Condensed Consolidated Balance Sheets as of September 30, 2023 and December 31, 2022</w:t>
            </w:r>
          </w:p>
        </w:tc>
        <w:tc>
          <w:tcPr>
            <w:tcW w:w="20" w:type="dxa"/>
            <w:vAlign w:val="bottom"/>
            <w:tcBorders>
              <w:bottom w:val="single" w:sz="8" w:color="0000EE"/>
            </w:tcBorders>
          </w:tcPr>
          <w:p>
            <w:pPr>
              <w:spacing w:after="0"/>
              <w:rPr>
                <w:sz w:val="24"/>
                <w:szCs w:val="24"/>
                <w:color w:val="auto"/>
              </w:rPr>
            </w:pPr>
          </w:p>
        </w:tc>
        <w:tc>
          <w:tcPr>
            <w:tcW w:w="76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and nine months ended September</w:t>
            </w:r>
          </w:p>
        </w:tc>
        <w:tc>
          <w:tcPr>
            <w:tcW w:w="2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25"/>
          </w:tcPr>
          <w:p>
            <w:pPr>
              <w:spacing w:after="0" w:line="196" w:lineRule="exact"/>
              <w:rPr>
                <w:sz w:val="20"/>
                <w:szCs w:val="20"/>
                <w:color w:val="auto"/>
              </w:rPr>
            </w:pPr>
            <w:r>
              <w:rPr>
                <w:rFonts w:ascii="Arial" w:cs="Arial" w:eastAsia="Arial" w:hAnsi="Arial"/>
                <w:sz w:val="18"/>
                <w:szCs w:val="18"/>
                <w:color w:val="0000FF"/>
              </w:rPr>
              <w:t>30, 2023 and October 1, 2022</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9"/>
              </w:rPr>
              <w:t>Unaudited Condensed Consolidated Statements of Comprehensive Loss for the three and nine months ended</w:t>
            </w:r>
          </w:p>
        </w:tc>
        <w:tc>
          <w:tcPr>
            <w:tcW w:w="30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25"/>
          </w:tcPr>
          <w:p>
            <w:pPr>
              <w:spacing w:after="0" w:line="196" w:lineRule="exact"/>
              <w:rPr>
                <w:sz w:val="20"/>
                <w:szCs w:val="20"/>
                <w:color w:val="auto"/>
              </w:rPr>
            </w:pPr>
            <w:r>
              <w:rPr>
                <w:rFonts w:ascii="Arial" w:cs="Arial" w:eastAsia="Arial" w:hAnsi="Arial"/>
                <w:sz w:val="18"/>
                <w:szCs w:val="18"/>
                <w:color w:val="0000FF"/>
              </w:rPr>
              <w:t>September 30, 2023 and October 1, 2022</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Unaudited Condensed Consolidated Statements of Stockholders’ Equity for the three and nine months ended</w:t>
            </w:r>
          </w:p>
        </w:tc>
        <w:tc>
          <w:tcPr>
            <w:tcW w:w="30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25"/>
          </w:tcPr>
          <w:p>
            <w:pPr>
              <w:spacing w:after="0" w:line="196" w:lineRule="exact"/>
              <w:rPr>
                <w:sz w:val="20"/>
                <w:szCs w:val="20"/>
                <w:color w:val="auto"/>
              </w:rPr>
            </w:pPr>
            <w:r>
              <w:rPr>
                <w:rFonts w:ascii="Arial" w:cs="Arial" w:eastAsia="Arial" w:hAnsi="Arial"/>
                <w:sz w:val="18"/>
                <w:szCs w:val="18"/>
                <w:color w:val="0000FF"/>
              </w:rPr>
              <w:t>September 30, 2023 and October 1, 2022</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89"/>
              </w:rPr>
              <w:t>Unaudited Condensed Consolidated Statements of Cash Flows for the nine months ended September 30, 2023</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8"/>
              </w:rPr>
              <w:t>and October 1, 2022</w:t>
            </w:r>
          </w:p>
        </w:tc>
        <w:tc>
          <w:tcPr>
            <w:tcW w:w="20" w:type="dxa"/>
            <w:vAlign w:val="bottom"/>
            <w:tcBorders>
              <w:bottom w:val="single" w:sz="8" w:color="0000EE"/>
            </w:tcBorders>
          </w:tcPr>
          <w:p>
            <w:pPr>
              <w:spacing w:after="0"/>
              <w:rPr>
                <w:sz w:val="17"/>
                <w:szCs w:val="17"/>
                <w:color w:val="auto"/>
              </w:rPr>
            </w:pPr>
          </w:p>
        </w:tc>
        <w:tc>
          <w:tcPr>
            <w:tcW w:w="66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25"/>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20" w:type="dxa"/>
            <w:vAlign w:val="bottom"/>
          </w:tcPr>
          <w:p>
            <w:pPr>
              <w:spacing w:after="0"/>
              <w:rPr>
                <w:sz w:val="24"/>
                <w:szCs w:val="24"/>
                <w:color w:val="auto"/>
              </w:rPr>
            </w:pPr>
          </w:p>
        </w:tc>
        <w:tc>
          <w:tcPr>
            <w:tcW w:w="6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70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20" w:type="dxa"/>
            <w:vAlign w:val="bottom"/>
          </w:tcPr>
          <w:p>
            <w:pPr>
              <w:spacing w:after="0"/>
              <w:rPr>
                <w:sz w:val="24"/>
                <w:szCs w:val="24"/>
                <w:color w:val="auto"/>
              </w:rPr>
            </w:pPr>
          </w:p>
        </w:tc>
        <w:tc>
          <w:tcPr>
            <w:tcW w:w="8160" w:type="dxa"/>
            <w:vAlign w:val="bottom"/>
            <w:gridSpan w:val="2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1"/>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2520" w:type="dxa"/>
            <w:vAlign w:val="bottom"/>
            <w:tcBorders>
              <w:top w:val="single" w:sz="8" w:color="0000FF"/>
            </w:tcBorders>
            <w:gridSpan w:val="8"/>
          </w:tcPr>
          <w:p>
            <w:pPr>
              <w:spacing w:after="0"/>
              <w:rPr>
                <w:sz w:val="24"/>
                <w:szCs w:val="24"/>
                <w:color w:val="auto"/>
              </w:rPr>
            </w:pPr>
          </w:p>
        </w:tc>
        <w:tc>
          <w:tcPr>
            <w:tcW w:w="38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20" w:type="dxa"/>
            <w:vAlign w:val="bottom"/>
          </w:tcPr>
          <w:p>
            <w:pPr>
              <w:spacing w:after="0"/>
              <w:rPr>
                <w:sz w:val="24"/>
                <w:szCs w:val="24"/>
                <w:color w:val="auto"/>
              </w:rPr>
            </w:pPr>
          </w:p>
        </w:tc>
        <w:tc>
          <w:tcPr>
            <w:tcW w:w="9060" w:type="dxa"/>
            <w:vAlign w:val="bottom"/>
            <w:gridSpan w:val="28"/>
          </w:tcPr>
          <w:p>
            <w:pPr>
              <w:spacing w:after="0"/>
              <w:rPr>
                <w:sz w:val="20"/>
                <w:szCs w:val="20"/>
                <w:color w:val="auto"/>
              </w:rPr>
            </w:pPr>
            <w:r>
              <w:rPr>
                <w:rFonts w:ascii="Arial" w:cs="Arial" w:eastAsia="Arial" w:hAnsi="Arial"/>
                <w:sz w:val="18"/>
                <w:szCs w:val="18"/>
                <w:color w:val="0000FF"/>
              </w:rPr>
              <w:t>PART II. 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20" w:type="dxa"/>
            <w:vAlign w:val="bottom"/>
            <w:tcBorders>
              <w:top w:val="single" w:sz="8" w:color="0000FF"/>
            </w:tcBorders>
          </w:tcPr>
          <w:p>
            <w:pPr>
              <w:spacing w:after="0"/>
              <w:rPr>
                <w:sz w:val="24"/>
                <w:szCs w:val="24"/>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320" w:type="dxa"/>
            <w:vAlign w:val="bottom"/>
            <w:tcBorders>
              <w:top w:val="single" w:sz="8" w:color="0000FF"/>
            </w:tcBorders>
            <w:gridSpan w:val="3"/>
          </w:tcPr>
          <w:p>
            <w:pPr>
              <w:spacing w:after="0"/>
              <w:rPr>
                <w:sz w:val="24"/>
                <w:szCs w:val="24"/>
                <w:color w:val="auto"/>
              </w:rPr>
            </w:pPr>
          </w:p>
        </w:tc>
        <w:tc>
          <w:tcPr>
            <w:tcW w:w="650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1"/>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0" w:type="dxa"/>
            <w:vAlign w:val="bottom"/>
          </w:tcPr>
          <w:p>
            <w:pPr>
              <w:spacing w:after="0"/>
              <w:rPr>
                <w:sz w:val="24"/>
                <w:szCs w:val="24"/>
                <w:color w:val="auto"/>
              </w:rPr>
            </w:pPr>
          </w:p>
        </w:tc>
        <w:tc>
          <w:tcPr>
            <w:tcW w:w="816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20" w:type="dxa"/>
            <w:vAlign w:val="bottom"/>
          </w:tcPr>
          <w:p>
            <w:pPr>
              <w:spacing w:after="0"/>
              <w:rPr>
                <w:sz w:val="24"/>
                <w:szCs w:val="24"/>
                <w:color w:val="auto"/>
              </w:rPr>
            </w:pPr>
          </w:p>
        </w:tc>
        <w:tc>
          <w:tcPr>
            <w:tcW w:w="8160" w:type="dxa"/>
            <w:vAlign w:val="bottom"/>
            <w:gridSpan w:val="2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20" w:type="dxa"/>
            <w:vAlign w:val="bottom"/>
          </w:tcPr>
          <w:p>
            <w:pPr>
              <w:spacing w:after="0"/>
              <w:rPr>
                <w:sz w:val="24"/>
                <w:szCs w:val="24"/>
                <w:color w:val="auto"/>
              </w:rPr>
            </w:pPr>
          </w:p>
        </w:tc>
        <w:tc>
          <w:tcPr>
            <w:tcW w:w="434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Defaults Upon Senior Securities</w:t>
            </w:r>
          </w:p>
        </w:tc>
        <w:tc>
          <w:tcPr>
            <w:tcW w:w="382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1"/>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4"/>
          </w:tcPr>
          <w:p>
            <w:pPr>
              <w:spacing w:after="0"/>
              <w:rPr>
                <w:sz w:val="24"/>
                <w:szCs w:val="24"/>
                <w:color w:val="auto"/>
              </w:rPr>
            </w:pPr>
          </w:p>
        </w:tc>
        <w:tc>
          <w:tcPr>
            <w:tcW w:w="584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0" w:type="dxa"/>
            <w:vAlign w:val="bottom"/>
          </w:tcPr>
          <w:p>
            <w:pPr>
              <w:spacing w:after="0"/>
              <w:rPr>
                <w:sz w:val="24"/>
                <w:szCs w:val="24"/>
                <w:color w:val="auto"/>
              </w:rPr>
            </w:pP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6840" w:type="dxa"/>
            <w:vAlign w:val="bottom"/>
            <w:gridSpan w:val="2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1"/>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0" w:type="dxa"/>
            <w:vAlign w:val="bottom"/>
          </w:tcPr>
          <w:p>
            <w:pPr>
              <w:spacing w:after="0"/>
              <w:rPr>
                <w:sz w:val="24"/>
                <w:szCs w:val="24"/>
                <w:color w:val="auto"/>
              </w:rPr>
            </w:pPr>
          </w:p>
        </w:tc>
        <w:tc>
          <w:tcPr>
            <w:tcW w:w="8160" w:type="dxa"/>
            <w:vAlign w:val="bottom"/>
            <w:gridSpan w:val="25"/>
          </w:tcPr>
          <w:p>
            <w:pPr>
              <w:spacing w:after="0"/>
              <w:rPr>
                <w:sz w:val="20"/>
                <w:szCs w:val="20"/>
                <w:color w:val="auto"/>
              </w:rPr>
            </w:pPr>
            <w:r>
              <w:rPr>
                <w:rFonts w:ascii="Arial" w:cs="Arial" w:eastAsia="Arial" w:hAnsi="Arial"/>
                <w:sz w:val="18"/>
                <w:szCs w:val="18"/>
                <w:color w:val="0000FF"/>
              </w:rPr>
              <w:t>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w w:val="88"/>
              </w:rPr>
              <w:t>Signatures</w:t>
            </w:r>
          </w:p>
        </w:tc>
        <w:tc>
          <w:tcPr>
            <w:tcW w:w="1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68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5"/>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0"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4" w:lineRule="exact"/>
        <w:rPr>
          <w:sz w:val="20"/>
          <w:szCs w:val="20"/>
          <w:color w:val="auto"/>
        </w:rPr>
      </w:pPr>
    </w:p>
    <w:p>
      <w:pPr>
        <w:ind w:left="880" w:right="140" w:hanging="436"/>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57" w:lineRule="exact"/>
        <w:rPr>
          <w:rFonts w:ascii="Arial" w:cs="Arial" w:eastAsia="Arial" w:hAnsi="Arial"/>
          <w:sz w:val="17"/>
          <w:szCs w:val="17"/>
          <w:color w:val="auto"/>
        </w:rPr>
      </w:pPr>
    </w:p>
    <w:p>
      <w:pPr>
        <w:ind w:left="880" w:hanging="436"/>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conditions, including impact of global pandemics or other public health emergencies or outbreaks, foreign exchange fluctuation, inflation concerns, rising interest rates and recessionary fears and uncertainty in the global banking and financial services market, on our business and results of operations;</w:t>
      </w:r>
    </w:p>
    <w:p>
      <w:pPr>
        <w:spacing w:after="0" w:line="75"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pace of change and innovation in the markets in which we participate and the competitive nature of those markets;</w:t>
      </w:r>
    </w:p>
    <w:p>
      <w:pPr>
        <w:spacing w:after="0" w:line="140" w:lineRule="exact"/>
        <w:rPr>
          <w:rFonts w:ascii="Arial" w:cs="Arial" w:eastAsia="Arial" w:hAnsi="Arial"/>
          <w:sz w:val="16"/>
          <w:szCs w:val="16"/>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strategic partnership with Topcon Corporation;</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17" w:lineRule="exact"/>
        <w:rPr>
          <w:rFonts w:ascii="Arial" w:cs="Arial" w:eastAsia="Arial" w:hAnsi="Arial"/>
          <w:sz w:val="18"/>
          <w:szCs w:val="18"/>
          <w:color w:val="auto"/>
        </w:rPr>
      </w:pPr>
    </w:p>
    <w:p>
      <w:pPr>
        <w:ind w:left="880" w:right="20" w:hanging="436"/>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3" w:name="page4"/>
    <w:bookmarkEnd w:id="3"/>
    <w:p>
      <w:pPr>
        <w:ind w:left="880" w:hanging="43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131"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7"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2"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7"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4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September 30, 2023</w:t>
            </w:r>
          </w:p>
        </w:tc>
        <w:tc>
          <w:tcPr>
            <w:tcW w:w="1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 xml:space="preserve">December 31, 2022 </w:t>
            </w:r>
            <w:r>
              <w:rPr>
                <w:rFonts w:ascii="Arial" w:cs="Arial" w:eastAsia="Arial" w:hAnsi="Arial"/>
                <w:sz w:val="19"/>
                <w:szCs w:val="19"/>
                <w:b w:val="1"/>
                <w:bCs w:val="1"/>
                <w:color w:val="auto"/>
                <w:w w:val="92"/>
                <w:vertAlign w:val="superscript"/>
              </w:rPr>
              <w:t>(1)</w:t>
            </w:r>
          </w:p>
        </w:tc>
      </w:tr>
      <w:tr>
        <w:trPr>
          <w:trHeight w:val="237"/>
        </w:trPr>
        <w:tc>
          <w:tcPr>
            <w:tcW w:w="6640" w:type="dxa"/>
            <w:vAlign w:val="bottom"/>
            <w:shd w:val="clear" w:color="auto" w:fill="CFF0FC"/>
          </w:tcPr>
          <w:p>
            <w:pPr>
              <w:ind w:left="290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FF0FC"/>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13,922</w:t>
            </w:r>
          </w:p>
        </w:tc>
        <w:tc>
          <w:tcPr>
            <w:tcW w:w="100" w:type="dxa"/>
            <w:vAlign w:val="bottom"/>
            <w:shd w:val="clear" w:color="auto" w:fill="CFF0FC"/>
          </w:tcPr>
          <w:p>
            <w:pPr>
              <w:spacing w:after="0"/>
              <w:rPr>
                <w:sz w:val="21"/>
                <w:szCs w:val="21"/>
                <w:color w:val="auto"/>
              </w:rPr>
            </w:pPr>
          </w:p>
        </w:tc>
      </w:tr>
      <w:tr>
        <w:trPr>
          <w:trHeight w:val="193"/>
        </w:trPr>
        <w:tc>
          <w:tcPr>
            <w:tcW w:w="6640" w:type="dxa"/>
            <w:vAlign w:val="bottom"/>
          </w:tcPr>
          <w:p>
            <w:pPr>
              <w:ind w:left="200"/>
              <w:spacing w:after="0" w:line="193" w:lineRule="exact"/>
              <w:rPr>
                <w:sz w:val="20"/>
                <w:szCs w:val="20"/>
                <w:color w:val="auto"/>
              </w:rPr>
            </w:pPr>
            <w:r>
              <w:rPr>
                <w:rFonts w:ascii="Arial" w:cs="Arial" w:eastAsia="Arial" w:hAnsi="Arial"/>
                <w:sz w:val="18"/>
                <w:szCs w:val="18"/>
                <w:color w:val="auto"/>
              </w:rPr>
              <w:t>Accounts receivable, net of provision for credit losses of $146 as of</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6"/>
        </w:trPr>
        <w:tc>
          <w:tcPr>
            <w:tcW w:w="6640" w:type="dxa"/>
            <w:vAlign w:val="bottom"/>
          </w:tcPr>
          <w:p>
            <w:pPr>
              <w:ind w:left="340"/>
              <w:spacing w:after="0" w:line="266" w:lineRule="exact"/>
              <w:rPr>
                <w:sz w:val="20"/>
                <w:szCs w:val="20"/>
                <w:color w:val="auto"/>
              </w:rPr>
            </w:pPr>
            <w:r>
              <w:rPr>
                <w:rFonts w:ascii="Arial" w:cs="Arial" w:eastAsia="Arial" w:hAnsi="Arial"/>
                <w:sz w:val="18"/>
                <w:szCs w:val="18"/>
                <w:color w:val="auto"/>
              </w:rPr>
              <w:t>September 30, 2023 and $0 as of December 31, 2022</w:t>
            </w:r>
            <w:r>
              <w:rPr>
                <w:rFonts w:ascii="Arial" w:cs="Arial" w:eastAsia="Arial" w:hAnsi="Arial"/>
                <w:sz w:val="24"/>
                <w:szCs w:val="24"/>
                <w:color w:val="auto"/>
                <w:vertAlign w:val="superscript"/>
              </w:rPr>
              <w:t>(2)</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6,109</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3"/>
                <w:szCs w:val="23"/>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 from related party</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10,118</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27,342</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2,789</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34,949</w:t>
            </w:r>
          </w:p>
        </w:tc>
        <w:tc>
          <w:tcPr>
            <w:tcW w:w="240" w:type="dxa"/>
            <w:vAlign w:val="bottom"/>
          </w:tcPr>
          <w:p>
            <w:pPr>
              <w:spacing w:after="0"/>
              <w:rPr>
                <w:sz w:val="20"/>
                <w:szCs w:val="20"/>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42,290</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128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FF0FC"/>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Payable to related party</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Accrued warranty</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10,348</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10,472</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22,885</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6640" w:type="dxa"/>
            <w:vAlign w:val="bottom"/>
          </w:tcPr>
          <w:p>
            <w:pPr>
              <w:ind w:left="200"/>
              <w:spacing w:after="0"/>
              <w:rPr>
                <w:sz w:val="20"/>
                <w:szCs w:val="20"/>
                <w:color w:val="auto"/>
              </w:rPr>
            </w:pPr>
            <w:r>
              <w:rPr>
                <w:rFonts w:ascii="Arial" w:cs="Arial" w:eastAsia="Arial" w:hAnsi="Arial"/>
                <w:sz w:val="18"/>
                <w:szCs w:val="18"/>
                <w:color w:val="auto"/>
              </w:rPr>
              <w:t>Preferred stock, $0.01 par value, 2,000,000 shares authorized, no shares issued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and outstanding</w:t>
            </w:r>
          </w:p>
        </w:tc>
        <w:tc>
          <w:tcPr>
            <w:tcW w:w="4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$0.01 par value:</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Authorized: 30,000,000 shares;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2"/>
              </w:rPr>
              <w:t>Issued and outstanding 16,232,473 and 15,989,662 shares as of September 30, 2023</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2022, respectively</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87,993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86,802</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(19 )</w:t>
            </w:r>
          </w:p>
        </w:tc>
        <w:tc>
          <w:tcPr>
            <w:tcW w:w="4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(24 )</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(76,082 )</w:t>
            </w:r>
          </w:p>
        </w:tc>
        <w:tc>
          <w:tcPr>
            <w:tcW w:w="4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(69,716 )</w:t>
            </w: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12,064</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34,949</w:t>
            </w:r>
          </w:p>
        </w:tc>
        <w:tc>
          <w:tcPr>
            <w:tcW w:w="240" w:type="dxa"/>
            <w:vAlign w:val="bottom"/>
          </w:tcPr>
          <w:p>
            <w:pPr>
              <w:spacing w:after="0"/>
              <w:rPr>
                <w:sz w:val="20"/>
                <w:szCs w:val="20"/>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42,290</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5068570</wp:posOffset>
            </wp:positionH>
            <wp:positionV relativeFrom="paragraph">
              <wp:posOffset>-5785485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-5785485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-4851400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-4851400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-2022475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-2022475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-187960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-187960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8" w:lineRule="exact"/>
        <w:rPr>
          <w:sz w:val="20"/>
          <w:szCs w:val="20"/>
          <w:color w:val="auto"/>
        </w:rPr>
      </w:pPr>
    </w:p>
    <w:p>
      <w:pPr>
        <w:ind w:left="440" w:right="540" w:hanging="436"/>
        <w:spacing w:after="0" w:line="233"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Derived from the audited consolidated financial statements included in the Annual Report on Form 10-K filed with the SEC for the year ended December 31, 2022.</w:t>
      </w:r>
    </w:p>
    <w:p>
      <w:pPr>
        <w:spacing w:after="0" w:line="1" w:lineRule="exact"/>
        <w:rPr>
          <w:rFonts w:ascii="Arial" w:cs="Arial" w:eastAsia="Arial" w:hAnsi="Arial"/>
          <w:sz w:val="15"/>
          <w:szCs w:val="15"/>
          <w:color w:val="auto"/>
        </w:rPr>
      </w:pPr>
    </w:p>
    <w:p>
      <w:pPr>
        <w:ind w:left="440" w:right="140" w:hanging="436"/>
        <w:spacing w:after="0" w:line="234"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Prior to our adoption of Accounting Standard Update 2016-13, “Financial Instruments-Credit Losses (Topic 326): Measurement of Credit Losses on Financial Instruments” on January 1, 2023, the provision for credit losses related to accounts receivable was not applicable and is therefore presented as $0 at December 31, 2022. See Note 3 for additional details.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42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October 1,</w:t>
            </w:r>
          </w:p>
        </w:tc>
        <w:tc>
          <w:tcPr>
            <w:tcW w:w="200" w:type="dxa"/>
            <w:vAlign w:val="bottom"/>
          </w:tcPr>
          <w:p>
            <w:pPr>
              <w:spacing w:after="0"/>
              <w:rPr>
                <w:sz w:val="11"/>
                <w:szCs w:val="11"/>
                <w:color w:val="auto"/>
              </w:rPr>
            </w:pPr>
          </w:p>
        </w:tc>
        <w:tc>
          <w:tcPr>
            <w:tcW w:w="120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7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October 1,</w:t>
            </w:r>
          </w:p>
        </w:tc>
        <w:tc>
          <w:tcPr>
            <w:tcW w:w="100" w:type="dxa"/>
            <w:vAlign w:val="bottom"/>
          </w:tcPr>
          <w:p>
            <w:pPr>
              <w:spacing w:after="0"/>
              <w:rPr>
                <w:sz w:val="11"/>
                <w:szCs w:val="11"/>
                <w:color w:val="auto"/>
              </w:rPr>
            </w:pPr>
          </w:p>
        </w:tc>
      </w:tr>
      <w:tr>
        <w:trPr>
          <w:trHeight w:val="185"/>
        </w:trPr>
        <w:tc>
          <w:tcPr>
            <w:tcW w:w="5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41,777</w:t>
            </w:r>
          </w:p>
        </w:tc>
        <w:tc>
          <w:tcPr>
            <w:tcW w:w="100" w:type="dxa"/>
            <w:vAlign w:val="bottom"/>
            <w:shd w:val="clear" w:color="auto" w:fill="CFF0FC"/>
          </w:tcPr>
          <w:p>
            <w:pPr>
              <w:spacing w:after="0"/>
              <w:rPr>
                <w:sz w:val="20"/>
                <w:szCs w:val="20"/>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w:t>
            </w:r>
          </w:p>
        </w:tc>
        <w:tc>
          <w:tcPr>
            <w:tcW w:w="100" w:type="dxa"/>
            <w:vAlign w:val="bottom"/>
          </w:tcPr>
          <w:p>
            <w:pPr>
              <w:spacing w:after="0"/>
              <w:rPr>
                <w:sz w:val="20"/>
                <w:szCs w:val="20"/>
                <w:color w:val="auto"/>
              </w:rPr>
            </w:pPr>
          </w:p>
        </w:tc>
      </w:tr>
      <w:tr>
        <w:trPr>
          <w:trHeight w:val="236"/>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FF0FC"/>
          </w:tcPr>
          <w:p>
            <w:pPr>
              <w:spacing w:after="0"/>
              <w:rPr>
                <w:sz w:val="21"/>
                <w:szCs w:val="21"/>
                <w:color w:val="auto"/>
              </w:rPr>
            </w:pP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13,352</w:t>
            </w:r>
          </w:p>
        </w:tc>
        <w:tc>
          <w:tcPr>
            <w:tcW w:w="100" w:type="dxa"/>
            <w:vAlign w:val="bottom"/>
          </w:tcPr>
          <w:p>
            <w:pPr>
              <w:spacing w:after="0"/>
              <w:rPr>
                <w:sz w:val="20"/>
                <w:szCs w:val="20"/>
                <w:color w:val="auto"/>
              </w:rPr>
            </w:pPr>
          </w:p>
        </w:tc>
      </w:tr>
      <w:tr>
        <w:trPr>
          <w:trHeight w:val="243"/>
        </w:trPr>
        <w:tc>
          <w:tcPr>
            <w:tcW w:w="5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20"/>
                <w:szCs w:val="20"/>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(1,688 )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(1,695 )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(6,926 )</w:t>
            </w:r>
          </w:p>
        </w:tc>
        <w:tc>
          <w:tcPr>
            <w:tcW w:w="1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(6,132 )</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(58 )</w:t>
            </w: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(216 )</w:t>
            </w:r>
          </w:p>
        </w:tc>
      </w:tr>
      <w:tr>
        <w:trPr>
          <w:trHeight w:val="20"/>
        </w:trPr>
        <w:tc>
          <w:tcPr>
            <w:tcW w:w="5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 before provision for income taxes</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(1,746 )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(1,753 )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(6,580 )</w:t>
            </w:r>
          </w:p>
        </w:tc>
        <w:tc>
          <w:tcPr>
            <w:tcW w:w="1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(6,348 )</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r>
      <w:tr>
        <w:trPr>
          <w:trHeight w:val="28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(1,767 )</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(6,610 )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(6,399 )</w:t>
            </w:r>
          </w:p>
        </w:tc>
      </w:tr>
      <w:tr>
        <w:trPr>
          <w:trHeight w:val="217"/>
        </w:trPr>
        <w:tc>
          <w:tcPr>
            <w:tcW w:w="5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loss per share:</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3"/>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(0.11 )</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(0.40 )</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4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(0.11 )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(0.11 )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(0.41 )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(0.40 )</w:t>
            </w: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used in computing net loss per share:</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15,986</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-2639695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-2639695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-2639695</wp:posOffset>
            </wp:positionV>
            <wp:extent cx="59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-2639695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-2013585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-2013585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-2013585</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-1053465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-1036320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-1053465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-1036320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-1053465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-1036320</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-1053465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-1036320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-719455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-702310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-719455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-702310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-719455</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-702310</wp:posOffset>
            </wp:positionV>
            <wp:extent cx="59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-719455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-702310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-24765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-7620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-24765</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-7620</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220" w:type="dxa"/>
            <w:vAlign w:val="bottom"/>
          </w:tcPr>
          <w:p>
            <w:pPr>
              <w:spacing w:after="0"/>
              <w:rPr>
                <w:sz w:val="11"/>
                <w:szCs w:val="11"/>
                <w:color w:val="auto"/>
              </w:rPr>
            </w:pPr>
          </w:p>
        </w:tc>
        <w:tc>
          <w:tcPr>
            <w:tcW w:w="118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October 1,</w:t>
            </w:r>
          </w:p>
        </w:tc>
        <w:tc>
          <w:tcPr>
            <w:tcW w:w="240" w:type="dxa"/>
            <w:vAlign w:val="bottom"/>
          </w:tcPr>
          <w:p>
            <w:pPr>
              <w:spacing w:after="0"/>
              <w:rPr>
                <w:sz w:val="11"/>
                <w:szCs w:val="11"/>
                <w:color w:val="auto"/>
              </w:rPr>
            </w:pPr>
          </w:p>
        </w:tc>
        <w:tc>
          <w:tcPr>
            <w:tcW w:w="114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1"/>
                <w:szCs w:val="11"/>
                <w:color w:val="auto"/>
              </w:rPr>
            </w:pPr>
          </w:p>
        </w:tc>
      </w:t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(1,754 )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(1,767 )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(6,610 )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(6,399 )</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r>
      <w:tr>
        <w:trPr>
          <w:trHeight w:val="25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(1,708 )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(6,605 )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(6,256 )</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-25400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-7620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2"/>
              </w:rPr>
              <w:t>For the three months ended September 30,</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vMerge w:val="continue"/>
          </w:tcPr>
          <w:p>
            <w:pPr>
              <w:spacing w:after="0"/>
              <w:rPr>
                <w:sz w:val="12"/>
                <w:szCs w:val="12"/>
                <w:color w:val="auto"/>
              </w:rPr>
            </w:pPr>
          </w:p>
        </w:tc>
        <w:tc>
          <w:tcPr>
            <w:tcW w:w="2140" w:type="dxa"/>
            <w:vAlign w:val="bottom"/>
            <w:gridSpan w:val="4"/>
            <w:vMerge w:val="restart"/>
          </w:tcPr>
          <w:p>
            <w:pPr>
              <w:jc w:val="right"/>
              <w:ind w:right="52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2023</w:t>
            </w:r>
          </w:p>
        </w:tc>
        <w:tc>
          <w:tcPr>
            <w:tcW w:w="21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e</w:t>
            </w: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July 1, 2023</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16,206,382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87,647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(40 )</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(74,328 )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Release of restricted stock, net of taxes paid</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26,091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(25 )</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(1,754 )</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(1,754 )</w:t>
            </w:r>
          </w:p>
        </w:tc>
        <w:tc>
          <w:tcPr>
            <w:tcW w:w="0" w:type="dxa"/>
            <w:vAlign w:val="bottom"/>
          </w:tcPr>
          <w:p>
            <w:pPr>
              <w:spacing w:after="0"/>
              <w:rPr>
                <w:sz w:val="1"/>
                <w:szCs w:val="1"/>
                <w:color w:val="auto"/>
              </w:rPr>
            </w:pPr>
          </w:p>
        </w:tc>
      </w:tr>
      <w:tr>
        <w:trPr>
          <w:trHeight w:val="23"/>
        </w:trPr>
        <w:tc>
          <w:tcPr>
            <w:tcW w:w="304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6"/>
                <w:szCs w:val="16"/>
                <w:color w:val="auto"/>
              </w:rPr>
              <w:t>Balances, September 30, 2023</w:t>
            </w:r>
          </w:p>
        </w:tc>
        <w:tc>
          <w:tcPr>
            <w:tcW w:w="980" w:type="dxa"/>
            <w:vAlign w:val="bottom"/>
          </w:tcPr>
          <w:p>
            <w:pPr>
              <w:jc w:val="right"/>
              <w:spacing w:after="0"/>
              <w:rPr>
                <w:sz w:val="20"/>
                <w:szCs w:val="20"/>
                <w:color w:val="auto"/>
              </w:rPr>
            </w:pPr>
            <w:r>
              <w:rPr>
                <w:rFonts w:ascii="Arial" w:cs="Arial" w:eastAsia="Arial" w:hAnsi="Arial"/>
                <w:sz w:val="16"/>
                <w:szCs w:val="16"/>
                <w:color w:val="auto"/>
              </w:rPr>
              <w:t>16,232,473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(19 )</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(76,082 )</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5"/>
              </w:rPr>
              <w:t>For the nine months ended September 30, 2023</w:t>
            </w:r>
          </w:p>
        </w:tc>
        <w:tc>
          <w:tcPr>
            <w:tcW w:w="2140" w:type="dxa"/>
            <w:vAlign w:val="bottom"/>
            <w:gridSpan w:val="4"/>
            <w:vMerge w:val="restart"/>
          </w:tcPr>
          <w:p>
            <w:pPr>
              <w:jc w:val="right"/>
              <w:ind w:right="52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e</w:t>
            </w: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December 31, 2022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15,989,662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86,802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(24 )</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(69,716 )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Adoption of ASU 2016-13</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stock</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 plan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Release of restricted stock, net of taxes paid</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225,312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(90 )</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(6,610 )</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(6,610 )</w:t>
            </w:r>
          </w:p>
        </w:tc>
        <w:tc>
          <w:tcPr>
            <w:tcW w:w="0" w:type="dxa"/>
            <w:vAlign w:val="bottom"/>
          </w:tcPr>
          <w:p>
            <w:pPr>
              <w:spacing w:after="0"/>
              <w:rPr>
                <w:sz w:val="1"/>
                <w:szCs w:val="1"/>
                <w:color w:val="auto"/>
              </w:rPr>
            </w:pPr>
          </w:p>
        </w:tc>
      </w:tr>
      <w:tr>
        <w:trPr>
          <w:trHeight w:val="23"/>
        </w:trPr>
        <w:tc>
          <w:tcPr>
            <w:tcW w:w="304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6"/>
                <w:szCs w:val="16"/>
                <w:color w:val="auto"/>
              </w:rPr>
              <w:t>Balances, September 30, 2023</w:t>
            </w:r>
          </w:p>
        </w:tc>
        <w:tc>
          <w:tcPr>
            <w:tcW w:w="980" w:type="dxa"/>
            <w:vAlign w:val="bottom"/>
          </w:tcPr>
          <w:p>
            <w:pPr>
              <w:jc w:val="right"/>
              <w:spacing w:after="0"/>
              <w:rPr>
                <w:sz w:val="20"/>
                <w:szCs w:val="20"/>
                <w:color w:val="auto"/>
              </w:rPr>
            </w:pPr>
            <w:r>
              <w:rPr>
                <w:rFonts w:ascii="Arial" w:cs="Arial" w:eastAsia="Arial" w:hAnsi="Arial"/>
                <w:sz w:val="16"/>
                <w:szCs w:val="16"/>
                <w:color w:val="auto"/>
              </w:rPr>
              <w:t>16,232,473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(19 )</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(76,082 )</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October 1, 2022</w:t>
            </w:r>
          </w:p>
        </w:tc>
        <w:tc>
          <w:tcPr>
            <w:tcW w:w="2140" w:type="dxa"/>
            <w:vAlign w:val="bottom"/>
            <w:gridSpan w:val="4"/>
            <w:vMerge w:val="restart"/>
          </w:tcPr>
          <w:p>
            <w:pPr>
              <w:jc w:val="right"/>
              <w:ind w:right="52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e</w:t>
            </w: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July 2, 2022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15,955,536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85,935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(66,801 )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Issuance of common stock under stock</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option plan</w:t>
            </w:r>
          </w:p>
        </w:tc>
        <w:tc>
          <w:tcPr>
            <w:tcW w:w="980" w:type="dxa"/>
            <w:vAlign w:val="bottom"/>
          </w:tcPr>
          <w:p>
            <w:pPr>
              <w:jc w:val="right"/>
              <w:spacing w:after="0"/>
              <w:rPr>
                <w:sz w:val="20"/>
                <w:szCs w:val="20"/>
                <w:color w:val="auto"/>
              </w:rPr>
            </w:pPr>
            <w:r>
              <w:rPr>
                <w:rFonts w:ascii="Arial" w:cs="Arial" w:eastAsia="Arial" w:hAnsi="Arial"/>
                <w:sz w:val="16"/>
                <w:szCs w:val="16"/>
                <w:color w:val="auto"/>
              </w:rPr>
              <w:t>3,629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w w:val="95"/>
              </w:rPr>
              <w:t>Release of restricted stock, net of taxes paid</w:t>
            </w:r>
          </w:p>
        </w:tc>
        <w:tc>
          <w:tcPr>
            <w:tcW w:w="980" w:type="dxa"/>
            <w:vAlign w:val="bottom"/>
          </w:tcPr>
          <w:p>
            <w:pPr>
              <w:jc w:val="right"/>
              <w:spacing w:after="0"/>
              <w:rPr>
                <w:sz w:val="20"/>
                <w:szCs w:val="20"/>
                <w:color w:val="auto"/>
              </w:rPr>
            </w:pPr>
            <w:r>
              <w:rPr>
                <w:rFonts w:ascii="Arial" w:cs="Arial" w:eastAsia="Arial" w:hAnsi="Arial"/>
                <w:sz w:val="16"/>
                <w:szCs w:val="16"/>
                <w:color w:val="auto"/>
              </w:rPr>
              <w:t>30,360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(33 )</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3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(1,767 )</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(1,767 )</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October 1, 2022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15,989,525</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86,286</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(68,568 )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56"/>
        </w:trPr>
        <w:tc>
          <w:tcPr>
            <w:tcW w:w="30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nine months ended October 1, 2022</w:t>
            </w:r>
          </w:p>
        </w:tc>
        <w:tc>
          <w:tcPr>
            <w:tcW w:w="2140" w:type="dxa"/>
            <w:vAlign w:val="bottom"/>
            <w:gridSpan w:val="4"/>
            <w:vMerge w:val="restart"/>
          </w:tcPr>
          <w:p>
            <w:pPr>
              <w:jc w:val="right"/>
              <w:ind w:right="52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e</w:t>
            </w: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January 1, 2022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15,876,171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85,255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(62,169 )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Issuance of common stock under stock</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option plan</w:t>
            </w:r>
          </w:p>
        </w:tc>
        <w:tc>
          <w:tcPr>
            <w:tcW w:w="980" w:type="dxa"/>
            <w:vAlign w:val="bottom"/>
          </w:tcPr>
          <w:p>
            <w:pPr>
              <w:jc w:val="right"/>
              <w:spacing w:after="0"/>
              <w:rPr>
                <w:sz w:val="20"/>
                <w:szCs w:val="20"/>
                <w:color w:val="auto"/>
              </w:rPr>
            </w:pPr>
            <w:r>
              <w:rPr>
                <w:rFonts w:ascii="Arial" w:cs="Arial" w:eastAsia="Arial" w:hAnsi="Arial"/>
                <w:sz w:val="16"/>
                <w:szCs w:val="16"/>
                <w:color w:val="auto"/>
              </w:rPr>
              <w:t>9,692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w w:val="95"/>
              </w:rPr>
              <w:t>Release of restricted stock, net of taxes paid</w:t>
            </w:r>
          </w:p>
        </w:tc>
        <w:tc>
          <w:tcPr>
            <w:tcW w:w="980" w:type="dxa"/>
            <w:vAlign w:val="bottom"/>
          </w:tcPr>
          <w:p>
            <w:pPr>
              <w:jc w:val="right"/>
              <w:spacing w:after="0"/>
              <w:rPr>
                <w:sz w:val="20"/>
                <w:szCs w:val="20"/>
                <w:color w:val="auto"/>
              </w:rPr>
            </w:pPr>
            <w:r>
              <w:rPr>
                <w:rFonts w:ascii="Arial" w:cs="Arial" w:eastAsia="Arial" w:hAnsi="Arial"/>
                <w:sz w:val="16"/>
                <w:szCs w:val="16"/>
                <w:color w:val="auto"/>
              </w:rPr>
              <w:t>103,662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(95 )</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3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(6,399 )</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(6,399 )</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October 1, 2022</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15,989,525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(68,568 )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-5991225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-5991225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-5991225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-5991225</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-5991225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-5991225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-4002405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-4002405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-4002405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-4002405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-4002405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-4002405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-1868170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-1851025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-1868170</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-1851025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-1868170</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-1851025</wp:posOffset>
            </wp:positionV>
            <wp:extent cx="59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-1868170</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-1851025</wp:posOffset>
            </wp:positionV>
            <wp:extent cx="59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-1868170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-1851025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-1868170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-1851025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-24765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-8255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-24765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-8255</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-24765</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-8255</wp:posOffset>
            </wp:positionV>
            <wp:extent cx="59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-24765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-8255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6800" w:type="dxa"/>
            <w:vAlign w:val="bottom"/>
          </w:tcPr>
          <w:p>
            <w:pPr>
              <w:spacing w:after="0"/>
              <w:rPr>
                <w:sz w:val="14"/>
                <w:szCs w:val="14"/>
                <w:color w:val="auto"/>
              </w:rPr>
            </w:pPr>
          </w:p>
        </w:tc>
        <w:tc>
          <w:tcPr>
            <w:tcW w:w="158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4"/>
              </w:rPr>
              <w:t>September 30, 2023</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3"/>
              </w:rPr>
              <w:t>October 1, 2022</w:t>
            </w:r>
          </w:p>
        </w:tc>
        <w:tc>
          <w:tcPr>
            <w:tcW w:w="100" w:type="dxa"/>
            <w:vAlign w:val="bottom"/>
          </w:tcPr>
          <w:p>
            <w:pPr>
              <w:spacing w:after="0"/>
              <w:rPr>
                <w:sz w:val="14"/>
                <w:szCs w:val="14"/>
                <w:color w:val="auto"/>
              </w:rPr>
            </w:pPr>
          </w:p>
        </w:tc>
      </w:tr>
      <w:tr>
        <w:trPr>
          <w:trHeight w:val="237"/>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4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(6,610 )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(6,399 )</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operating lease right-of-use assets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0"/>
                <w:szCs w:val="20"/>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credit losses</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Receivable from related party</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(481 )</w:t>
            </w: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(3,214 )</w:t>
            </w: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(913 )</w:t>
            </w: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assets</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(1,078 )</w:t>
            </w: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(1,247 )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0"/>
                <w:szCs w:val="20"/>
                <w:color w:val="auto"/>
              </w:rPr>
            </w:pP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Payable to related party</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(526 )</w:t>
            </w: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4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(328 )</w:t>
            </w: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(377 )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Accrued warranty</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(1,442 )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(774 )</w:t>
            </w: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(682 )</w:t>
            </w:r>
          </w:p>
        </w:tc>
      </w:tr>
      <w:tr>
        <w:trPr>
          <w:trHeight w:val="243"/>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(255 )</w:t>
            </w:r>
          </w:p>
        </w:tc>
      </w:tr>
      <w:tr>
        <w:trPr>
          <w:trHeight w:val="20"/>
        </w:trPr>
        <w:tc>
          <w:tcPr>
            <w:tcW w:w="68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(5,766 )</w:t>
            </w: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(7,929 )</w:t>
            </w:r>
          </w:p>
        </w:tc>
      </w:tr>
      <w:tr>
        <w:trPr>
          <w:trHeight w:val="243"/>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4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4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(203 )</w:t>
            </w:r>
          </w:p>
        </w:tc>
      </w:tr>
      <w:tr>
        <w:trPr>
          <w:trHeight w:val="20"/>
        </w:trPr>
        <w:tc>
          <w:tcPr>
            <w:tcW w:w="6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(141 )</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(203 )</w:t>
            </w:r>
          </w:p>
        </w:tc>
      </w:tr>
      <w:tr>
        <w:trPr>
          <w:trHeight w:val="236"/>
        </w:trPr>
        <w:tc>
          <w:tcPr>
            <w:tcW w:w="6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Financing activities:</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9"/>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stock option exercises</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Taxes paid related to net share settlements of equity awards</w:t>
            </w:r>
          </w:p>
        </w:tc>
        <w:tc>
          <w:tcPr>
            <w:tcW w:w="4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(94 )</w:t>
            </w:r>
          </w:p>
        </w:tc>
      </w:tr>
      <w:tr>
        <w:trPr>
          <w:trHeight w:val="20"/>
        </w:trPr>
        <w:tc>
          <w:tcPr>
            <w:tcW w:w="6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(73 )</w:t>
            </w:r>
          </w:p>
        </w:tc>
      </w:tr>
      <w:tr>
        <w:trPr>
          <w:trHeight w:val="237"/>
        </w:trPr>
        <w:tc>
          <w:tcPr>
            <w:tcW w:w="6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FF0FC"/>
            </w:tcBorders>
          </w:tcPr>
          <w:p>
            <w:pPr>
              <w:spacing w:after="0"/>
              <w:rPr>
                <w:sz w:val="20"/>
                <w:szCs w:val="20"/>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(5,941 )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(7,996 )</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tcPr>
          <w:p>
            <w:pPr>
              <w:spacing w:after="0"/>
              <w:rPr>
                <w:sz w:val="20"/>
                <w:szCs w:val="20"/>
                <w:color w:val="auto"/>
              </w:rPr>
            </w:pPr>
          </w:p>
        </w:tc>
      </w:tr>
      <w:tr>
        <w:trPr>
          <w:trHeight w:val="276"/>
        </w:trPr>
        <w:tc>
          <w:tcPr>
            <w:tcW w:w="6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shd w:val="clear" w:color="auto" w:fill="CFF0FC"/>
          </w:tcPr>
          <w:p>
            <w:pPr>
              <w:jc w:val="right"/>
              <w:ind w:right="25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440" w:type="dxa"/>
            <w:vAlign w:val="bottom"/>
            <w:shd w:val="clear" w:color="auto" w:fill="CFF0FC"/>
          </w:tcPr>
          <w:p>
            <w:pPr>
              <w:jc w:val="right"/>
              <w:ind w:right="25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Transfer of inventory to (from) property and equipment</w:t>
            </w:r>
          </w:p>
        </w:tc>
        <w:tc>
          <w:tcPr>
            <w:tcW w:w="440" w:type="dxa"/>
            <w:vAlign w:val="bottom"/>
            <w:shd w:val="clear" w:color="auto" w:fill="CFF0FC"/>
          </w:tcPr>
          <w:p>
            <w:pPr>
              <w:jc w:val="right"/>
              <w:ind w:right="25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ROU assets obtained with extension of operating lease</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-2708910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-2708910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-2065655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-2065655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-1431290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-1431290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-788670</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-771525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-788670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-771525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31, 2022, which was filed with the SEC on March 9, 2023. The results of operations for the three and nine months ended September 30, 2023 and October 1, 2022 are not necessarily indicative of the results for the fiscal year ending December 30, 2023 or any future interim period. The three and nine months ended September 30, 2023 and October 1, 2022 each had 13 weeks and 39 weeks, respectively.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31, 2022, which was filed with the SEC on March 9,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600" w:firstLine="441"/>
        <w:spacing w:after="0" w:line="308" w:lineRule="auto"/>
        <w:rPr>
          <w:sz w:val="20"/>
          <w:szCs w:val="20"/>
          <w:color w:val="auto"/>
        </w:rPr>
      </w:pPr>
      <w:r>
        <w:rPr>
          <w:rFonts w:ascii="Arial" w:cs="Arial" w:eastAsia="Arial" w:hAnsi="Arial"/>
          <w:sz w:val="17"/>
          <w:szCs w:val="17"/>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8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Service Contracts, (3) System Repairs (outside of warranty), (4) Royalty Revenue, and (5) Exclusive Distribution Rights.</w:t>
      </w:r>
    </w:p>
    <w:p>
      <w:pPr>
        <w:spacing w:after="0" w:line="62" w:lineRule="exact"/>
        <w:rPr>
          <w:sz w:val="20"/>
          <w:szCs w:val="20"/>
          <w:color w:val="auto"/>
        </w:rPr>
      </w:pPr>
    </w:p>
    <w:p>
      <w:pPr>
        <w:ind w:left="880" w:right="40" w:hanging="435"/>
        <w:spacing w:after="0" w:line="255"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84" w:lineRule="exact"/>
        <w:rPr>
          <w:rFonts w:ascii="Arial" w:cs="Arial" w:eastAsia="Arial" w:hAnsi="Arial"/>
          <w:sz w:val="18"/>
          <w:szCs w:val="18"/>
          <w:color w:val="auto"/>
        </w:rPr>
      </w:pPr>
    </w:p>
    <w:p>
      <w:pPr>
        <w:ind w:left="880" w:right="400"/>
        <w:spacing w:after="0" w:line="277" w:lineRule="auto"/>
        <w:rPr>
          <w:rFonts w:ascii="Arial" w:cs="Arial" w:eastAsia="Arial" w:hAnsi="Arial"/>
          <w:sz w:val="18"/>
          <w:szCs w:val="18"/>
          <w:color w:val="auto"/>
        </w:rPr>
      </w:pPr>
      <w:r>
        <w:rPr>
          <w:rFonts w:ascii="Arial" w:cs="Arial" w:eastAsia="Arial" w:hAnsi="Arial"/>
          <w:sz w:val="18"/>
          <w:szCs w:val="18"/>
          <w:color w:val="auto"/>
        </w:rPr>
        <w:t>The Company recognizes revenue from product sale at a point in time subject to the allocation of transaction price to additional performance obligations, if any.</w:t>
      </w:r>
    </w:p>
    <w:p>
      <w:pPr>
        <w:spacing w:after="0" w:line="62" w:lineRule="exact"/>
        <w:rPr>
          <w:rFonts w:ascii="Arial" w:cs="Arial" w:eastAsia="Arial" w:hAnsi="Arial"/>
          <w:sz w:val="18"/>
          <w:szCs w:val="18"/>
          <w:color w:val="auto"/>
        </w:rPr>
      </w:pPr>
    </w:p>
    <w:p>
      <w:pPr>
        <w:ind w:left="880" w:right="160" w:hanging="435"/>
        <w:spacing w:after="0" w:line="342"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Service Contracts: The Company offers a standard two-year warranty on all system sales. The Company also offers a service contract which is sold to customers in incremental, one-year periods which begin subsequent to the expiration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364" w:right="1119" w:bottom="1440" w:gutter="0" w:footer="0" w:header="0"/>
        </w:sectPr>
      </w:pPr>
    </w:p>
    <w:bookmarkStart w:id="10" w:name="page11"/>
    <w:bookmarkEnd w:id="10"/>
    <w:p>
      <w:pPr>
        <w:ind w:left="880" w:right="320"/>
        <w:spacing w:after="0" w:line="277" w:lineRule="auto"/>
        <w:rPr>
          <w:sz w:val="20"/>
          <w:szCs w:val="20"/>
          <w:color w:val="auto"/>
        </w:rPr>
      </w:pPr>
      <w:r>
        <w:rPr>
          <w:rFonts w:ascii="Arial" w:cs="Arial" w:eastAsia="Arial" w:hAnsi="Arial"/>
          <w:sz w:val="18"/>
          <w:szCs w:val="18"/>
          <w:color w:val="auto"/>
        </w:rPr>
        <w:t>the standard two-year warranty. The customer can opt to purchase the service contract at the time of the system sale or after the initial system sale.</w:t>
      </w:r>
    </w:p>
    <w:p>
      <w:pPr>
        <w:spacing w:after="0" w:line="62" w:lineRule="exact"/>
        <w:rPr>
          <w:sz w:val="20"/>
          <w:szCs w:val="20"/>
          <w:color w:val="auto"/>
        </w:rPr>
      </w:pPr>
    </w:p>
    <w:p>
      <w:pPr>
        <w:ind w:left="880" w:right="80"/>
        <w:spacing w:after="0" w:line="277" w:lineRule="auto"/>
        <w:rPr>
          <w:sz w:val="20"/>
          <w:szCs w:val="20"/>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62" w:lineRule="exact"/>
        <w:rPr>
          <w:sz w:val="20"/>
          <w:szCs w:val="20"/>
          <w:color w:val="auto"/>
        </w:rPr>
      </w:pPr>
    </w:p>
    <w:p>
      <w:pPr>
        <w:ind w:left="1340" w:right="220" w:hanging="445"/>
        <w:spacing w:after="0" w:line="279" w:lineRule="auto"/>
        <w:tabs>
          <w:tab w:leader="none" w:pos="1340" w:val="left"/>
        </w:tabs>
        <w:numPr>
          <w:ilvl w:val="2"/>
          <w:numId w:val="7"/>
        </w:numPr>
        <w:rPr>
          <w:rFonts w:ascii="Arial" w:cs="Arial" w:eastAsia="Arial" w:hAnsi="Arial"/>
          <w:sz w:val="17"/>
          <w:szCs w:val="17"/>
          <w:color w:val="auto"/>
        </w:rPr>
      </w:pPr>
      <w:r>
        <w:rPr>
          <w:rFonts w:ascii="Arial" w:cs="Arial" w:eastAsia="Arial" w:hAnsi="Arial"/>
          <w:sz w:val="17"/>
          <w:szCs w:val="17"/>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63" w:lineRule="exact"/>
        <w:rPr>
          <w:rFonts w:ascii="Arial" w:cs="Arial" w:eastAsia="Arial" w:hAnsi="Arial"/>
          <w:sz w:val="17"/>
          <w:szCs w:val="17"/>
          <w:color w:val="auto"/>
        </w:rPr>
      </w:pPr>
    </w:p>
    <w:p>
      <w:pPr>
        <w:ind w:left="1340" w:right="20" w:hanging="445"/>
        <w:spacing w:after="0" w:line="290" w:lineRule="auto"/>
        <w:tabs>
          <w:tab w:leader="none" w:pos="1340" w:val="left"/>
        </w:tabs>
        <w:numPr>
          <w:ilvl w:val="2"/>
          <w:numId w:val="7"/>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57" w:lineRule="exact"/>
        <w:rPr>
          <w:rFonts w:ascii="Arial" w:cs="Arial" w:eastAsia="Arial" w:hAnsi="Arial"/>
          <w:sz w:val="16"/>
          <w:szCs w:val="16"/>
          <w:color w:val="auto"/>
        </w:rPr>
      </w:pPr>
    </w:p>
    <w:p>
      <w:pPr>
        <w:ind w:left="880" w:right="220" w:hanging="435"/>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62" w:lineRule="exact"/>
        <w:rPr>
          <w:rFonts w:ascii="Arial" w:cs="Arial" w:eastAsia="Arial" w:hAnsi="Arial"/>
          <w:sz w:val="18"/>
          <w:szCs w:val="18"/>
          <w:color w:val="auto"/>
        </w:rPr>
      </w:pPr>
    </w:p>
    <w:p>
      <w:pPr>
        <w:ind w:left="88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78" w:lineRule="exact"/>
        <w:rPr>
          <w:rFonts w:ascii="Arial" w:cs="Arial" w:eastAsia="Arial" w:hAnsi="Arial"/>
          <w:sz w:val="18"/>
          <w:szCs w:val="18"/>
          <w:color w:val="auto"/>
        </w:rPr>
      </w:pPr>
    </w:p>
    <w:p>
      <w:pPr>
        <w:ind w:left="880" w:right="60" w:hanging="435"/>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four customers related to sale of the Company’s intellectual property. Under the terms of these agreements, two customers are to remit a percentage of sales to the Company as the sales occur and one customer made an upfront prepayment for royalties.</w:t>
      </w:r>
    </w:p>
    <w:p>
      <w:pPr>
        <w:spacing w:after="0" w:line="75" w:lineRule="exact"/>
        <w:rPr>
          <w:rFonts w:ascii="Arial" w:cs="Arial" w:eastAsia="Arial" w:hAnsi="Arial"/>
          <w:sz w:val="18"/>
          <w:szCs w:val="18"/>
          <w:color w:val="auto"/>
        </w:rPr>
      </w:pPr>
    </w:p>
    <w:p>
      <w:pPr>
        <w:ind w:left="880" w:right="40"/>
        <w:spacing w:after="0" w:line="254" w:lineRule="auto"/>
        <w:rPr>
          <w:rFonts w:ascii="Arial" w:cs="Arial" w:eastAsia="Arial" w:hAnsi="Arial"/>
          <w:sz w:val="18"/>
          <w:szCs w:val="18"/>
          <w:color w:val="auto"/>
        </w:rPr>
      </w:pPr>
      <w:r>
        <w:rPr>
          <w:rFonts w:ascii="Arial" w:cs="Arial" w:eastAsia="Arial" w:hAnsi="Arial"/>
          <w:sz w:val="18"/>
          <w:szCs w:val="18"/>
          <w:color w:val="auto"/>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spacing w:after="0" w:line="83" w:lineRule="exact"/>
        <w:rPr>
          <w:rFonts w:ascii="Arial" w:cs="Arial" w:eastAsia="Arial" w:hAnsi="Arial"/>
          <w:sz w:val="18"/>
          <w:szCs w:val="18"/>
          <w:color w:val="auto"/>
        </w:rPr>
      </w:pPr>
    </w:p>
    <w:p>
      <w:pPr>
        <w:ind w:left="900" w:hanging="410"/>
        <w:spacing w:after="0" w:line="267"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the three and nine months ended September 30, 2023 and October 1, 2022, $0.4 million and $1.1 million and $0.4 million and $1.0 million in revenue related to the exclusive distribution rights were recorded,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Revenue Contracts</w:t>
      </w:r>
    </w:p>
    <w:p>
      <w:pPr>
        <w:spacing w:after="0" w:line="11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The Company recognized assets from certain costs incurred to obtain revenue contracts. These costs relate to sales commissions arising from the sale of our products. The costs are considered incremental and recoverable of obtaining revenue contracts with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customers. These deferred costs are amortized on a straight-line basis over the estimated period of benefit, which typically ranges from 2 to 3 years. As of September 30, 2023, the Company recognized deferred costs incurred to obtain revenue contracts with customers, net of accumulated amortization, of $111 thousand, and included these amounts in Prepaid expenses and other current assets and Other long-term assets in the Company’s condensed consolidated balance sheets. Amortization expense was $19 thousand for both the three months ended September 30, 2023 and October 1, 2022. Amortization expense was $57 thousand and $19 thousand for the nine months ended September 30, 2023 and October 1, 2022. There were no impairment expenses for both the three and nine months ended September 30, 2023, respectively.</w:t>
      </w:r>
    </w:p>
    <w:p>
      <w:pPr>
        <w:spacing w:after="0" w:line="69"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September 30, 2023, the Company recognized deferred costs incurred to fulfill a contract with a customer, net of accumulated amortization, of $701 thousand, and included these amounts in Prepaid expenses and other current assets and Other long-term assets in the Company’s condensed consolidated balance sheets. Amortization expense was $21 thousand and $20 thousand and $62 thousand and $42 thousand for the three and nine months ended September 30, 2023 and October 1, 2022, respectively. There were no impairment expenses for both the three and nine months ended September 30, 2023 and October 1, 2022,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160" w:firstLine="441"/>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September 30, 2023 and December 31, 2022, the Company was not a party to any finance lease arrangements.</w:t>
      </w:r>
    </w:p>
    <w:p>
      <w:pPr>
        <w:spacing w:after="0" w:line="76"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8" w:lineRule="exact"/>
        <w:rPr>
          <w:sz w:val="20"/>
          <w:szCs w:val="20"/>
          <w:color w:val="auto"/>
        </w:rPr>
      </w:pPr>
    </w:p>
    <w:p>
      <w:pPr>
        <w:ind w:right="580" w:firstLine="441"/>
        <w:spacing w:after="0" w:line="375" w:lineRule="auto"/>
        <w:rPr>
          <w:sz w:val="20"/>
          <w:szCs w:val="20"/>
          <w:color w:val="auto"/>
        </w:rPr>
      </w:pPr>
      <w:r>
        <w:rPr>
          <w:rFonts w:ascii="Arial" w:cs="Arial" w:eastAsia="Arial" w:hAnsi="Arial"/>
          <w:sz w:val="18"/>
          <w:szCs w:val="18"/>
          <w:color w:val="auto"/>
        </w:rPr>
        <w:t xml:space="preserve">Under the available practical expedient, we account for the lease and non-lease components as a single lease component. </w:t>
      </w:r>
      <w:r>
        <w:rPr>
          <w:rFonts w:ascii="Arial" w:cs="Arial" w:eastAsia="Arial" w:hAnsi="Arial"/>
          <w:sz w:val="18"/>
          <w:szCs w:val="18"/>
          <w:i w:val="1"/>
          <w:iCs w:val="1"/>
          <w:color w:val="auto"/>
        </w:rPr>
        <w:t>Concentration of Credit Risk</w:t>
      </w:r>
    </w:p>
    <w:p>
      <w:pPr>
        <w:spacing w:after="0" w:line="1"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w:t>
      </w:r>
    </w:p>
    <w:p>
      <w:pPr>
        <w:spacing w:after="0" w:line="3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 provision for potential credit losses. Historically, we have not experienced any significant losses related to individual customers or a group of customers in any particular geographic area. For the three and nine months ended September 30, 2023, one customer, Topcon, accounted for more than 10% of total revenues, representing 34% and 29%, respectively. For the three and nine months ended October 1, 2022, one customer, Topcon, accounted for more than 10% of total revenues, representing 31% and 29%, respectively. As of September 30, 2023, one customer, Topcon, accounted for over 10% of our accounts receivable, representing 25%. As of December 31, 2022, one customer, Topcon, accounted for more than 10% of our accounts receivable, representing 37%.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80" w:firstLine="441"/>
        <w:spacing w:after="0" w:line="311" w:lineRule="auto"/>
        <w:rPr>
          <w:sz w:val="20"/>
          <w:szCs w:val="20"/>
          <w:color w:val="auto"/>
        </w:rPr>
      </w:pPr>
      <w:r>
        <w:rPr>
          <w:rFonts w:ascii="Arial" w:cs="Arial" w:eastAsia="Arial" w:hAnsi="Arial"/>
          <w:sz w:val="16"/>
          <w:szCs w:val="16"/>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2" w:name="page13"/>
    <w:bookmarkEnd w:id="12"/>
    <w:p>
      <w:pPr>
        <w:ind w:left="440"/>
        <w:spacing w:after="0"/>
        <w:rPr>
          <w:sz w:val="20"/>
          <w:szCs w:val="20"/>
          <w:color w:val="auto"/>
        </w:rPr>
      </w:pPr>
      <w:r>
        <w:rPr>
          <w:rFonts w:ascii="Arial" w:cs="Arial" w:eastAsia="Arial" w:hAnsi="Arial"/>
          <w:sz w:val="16"/>
          <w:szCs w:val="16"/>
          <w:color w:val="auto"/>
        </w:rPr>
        <w:t>A reconciliation of the changes in the Company’s deferred revenue balance for the nine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1, 2022 is as follows:</w:t>
      </w:r>
    </w:p>
    <w:p>
      <w:pPr>
        <w:spacing w:after="0" w:line="216" w:lineRule="exact"/>
        <w:rPr>
          <w:sz w:val="20"/>
          <w:szCs w:val="20"/>
          <w:color w:val="auto"/>
        </w:rPr>
      </w:pPr>
    </w:p>
    <w:tbl>
      <w:tblPr>
        <w:tblLayout w:type="fixed"/>
        <w:tblInd w:w="146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680" w:type="dxa"/>
            <w:vAlign w:val="bottom"/>
          </w:tcPr>
          <w:p>
            <w:pPr>
              <w:spacing w:after="0"/>
              <w:rPr>
                <w:sz w:val="11"/>
                <w:szCs w:val="11"/>
                <w:color w:val="auto"/>
              </w:rPr>
            </w:pPr>
          </w:p>
        </w:tc>
        <w:tc>
          <w:tcPr>
            <w:tcW w:w="112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1"/>
                <w:szCs w:val="11"/>
                <w:color w:val="auto"/>
              </w:rPr>
            </w:pPr>
          </w:p>
        </w:tc>
      </w:tr>
      <w:tr>
        <w:trPr>
          <w:trHeight w:val="185"/>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0" w:type="dxa"/>
            <w:vAlign w:val="bottom"/>
          </w:tcPr>
          <w:p>
            <w:pPr>
              <w:spacing w:after="0"/>
              <w:rPr>
                <w:sz w:val="20"/>
                <w:szCs w:val="20"/>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Additions to deferral</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3,656</w:t>
            </w:r>
          </w:p>
        </w:tc>
        <w:tc>
          <w:tcPr>
            <w:tcW w:w="20" w:type="dxa"/>
            <w:vAlign w:val="bottom"/>
          </w:tcPr>
          <w:p>
            <w:pPr>
              <w:spacing w:after="0"/>
              <w:rPr>
                <w:sz w:val="20"/>
                <w:szCs w:val="20"/>
                <w:color w:val="auto"/>
              </w:rPr>
            </w:pP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recognized</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(2,380 )</w:t>
            </w:r>
          </w:p>
        </w:tc>
        <w:tc>
          <w:tcPr>
            <w:tcW w:w="1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(2,338 )</w:t>
            </w:r>
          </w:p>
        </w:tc>
        <w:tc>
          <w:tcPr>
            <w:tcW w:w="20" w:type="dxa"/>
            <w:vAlign w:val="bottom"/>
          </w:tcPr>
          <w:p>
            <w:pPr>
              <w:spacing w:after="0"/>
              <w:rPr>
                <w:sz w:val="21"/>
                <w:szCs w:val="21"/>
                <w:color w:val="auto"/>
              </w:rPr>
            </w:pPr>
          </w:p>
        </w:tc>
      </w:tr>
      <w:tr>
        <w:trPr>
          <w:trHeight w:val="236"/>
        </w:trPr>
        <w:tc>
          <w:tcPr>
            <w:tcW w:w="4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12,711</w:t>
            </w: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20" w:type="dxa"/>
            <w:vAlign w:val="bottom"/>
          </w:tcPr>
          <w:p>
            <w:pPr>
              <w:spacing w:after="0"/>
              <w:rPr>
                <w:sz w:val="20"/>
                <w:szCs w:val="20"/>
                <w:color w:val="auto"/>
              </w:rPr>
            </w:pPr>
          </w:p>
        </w:tc>
      </w:tr>
      <w:tr>
        <w:trPr>
          <w:trHeight w:val="243"/>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portion of deferred revenue</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10,472</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12,172</w:t>
            </w:r>
          </w:p>
        </w:tc>
        <w:tc>
          <w:tcPr>
            <w:tcW w:w="20" w:type="dxa"/>
            <w:vAlign w:val="bottom"/>
          </w:tcPr>
          <w:p>
            <w:pPr>
              <w:spacing w:after="0"/>
              <w:rPr>
                <w:sz w:val="21"/>
                <w:szCs w:val="2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-504825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-504825</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-187960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-187960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During the nine months ended September 30, 2023 and October 1, 2022, approximately $1.3 million and $0.9 million were recognized pertaining to amounts deferred as of December 31, 2022 and January 1, 2022, respectively. As of September 30, 2023, approximately $10.1 million of the non-current portion of deferred revenue and $1.5 million of the current portion of deferred revenue pertain to exclusivity distribution rights deferred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7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 reconciliation of the changes in the Company’s warranty liability for the nine months ended September 30, 2023 and October 1, 2022 is as follows:</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280" w:type="dxa"/>
            <w:vAlign w:val="bottom"/>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October 1, 2022</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(215 )</w:t>
            </w:r>
          </w:p>
        </w:tc>
        <w:tc>
          <w:tcPr>
            <w:tcW w:w="62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-24765</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-7620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a Cloud Computing Service Arrangement</w:t>
      </w:r>
    </w:p>
    <w:p>
      <w:pPr>
        <w:spacing w:after="0" w:line="117"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The Company has implemented a new enterprise resource planning (“ERP”) system. The ERP system operates in a cloud-based environment. The Company concluded that this cloud computing arrangement does not include a license, and therefore, will account for this arrangement as one that is a service contract. As of September 30, 2023, the Company capitalized $1.1 million in implementation costs, included in Prepaid expenses and other current assets and Other long-term assets, net of accumulated amortization, in the Company’s condensed consolidated balance sheets. The Company began utilizing the ERP system near the end of the third quarter of 2023 and is recognizing amortization of the capitalized implementation costs over five years on a straight-line basis. For the three and nine months ended September 30, 2023, approximately $12 thousand of amortization expenses were recorded. There were no amortization expenses for both the for the three and nine months ended October 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440" w:firstLine="441"/>
        <w:spacing w:after="0" w:line="263" w:lineRule="auto"/>
        <w:rPr>
          <w:sz w:val="20"/>
          <w:szCs w:val="20"/>
          <w:color w:val="auto"/>
        </w:rPr>
      </w:pPr>
      <w:r>
        <w:rPr>
          <w:rFonts w:ascii="Arial" w:cs="Arial" w:eastAsia="Arial" w:hAnsi="Arial"/>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“Measurement of Credit Losses on Financial Instruments,” which amended the current approach to estimate credit losses on certain financial assets, including trade and other receivables, available-for-sale securities, and other financial instruments. Generally, this amendment requires entities to establish a valuation allowance for the expected lifetime losses of these certain financial assets. In November 2019, the FASB issued ASU No. 2019-10, “Financial Instruments - Credit Losses (Topic 326), Derivatives and Hedging (Topic 815), and Leases (Topic 842),” which amended the effective date for certain qualified entities to fiscal years beginning after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680"/>
          </w:cols>
          <w:pgMar w:left="1080" w:top="476" w:right="1139" w:bottom="1440" w:gutter="0" w:footer="0" w:header="0"/>
        </w:sectPr>
      </w:pPr>
    </w:p>
    <w:bookmarkStart w:id="13" w:name="page14"/>
    <w:bookmarkEnd w:id="13"/>
    <w:p>
      <w:pPr>
        <w:ind w:right="440"/>
        <w:spacing w:after="0" w:line="277" w:lineRule="auto"/>
        <w:rPr>
          <w:sz w:val="20"/>
          <w:szCs w:val="20"/>
          <w:color w:val="auto"/>
        </w:rPr>
      </w:pPr>
      <w:r>
        <w:rPr>
          <w:rFonts w:ascii="Arial" w:cs="Arial" w:eastAsia="Arial" w:hAnsi="Arial"/>
          <w:sz w:val="18"/>
          <w:szCs w:val="18"/>
          <w:color w:val="auto"/>
        </w:rPr>
        <w:t>December 15, 2022. On January 1, 2023, the Company adopted ASU No. 2016-13, using the modified retrospective approach by applying a cumulative effect adjustment of $0.2 million to the opening balance of accumulated deficit.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3. Accounts Receivable and Provision for Credit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Trade Receivables</w:t>
      </w:r>
    </w:p>
    <w:p>
      <w:pPr>
        <w:spacing w:after="0" w:line="11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spacing w:after="0" w:line="4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provision for credit losses represents an estimate of the lifetime expected credit losses inherent in trade receivables as of the condensed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spacing w:after="0" w:line="6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spacing w:after="0" w:line="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the activity in the provision for credit losses for accounts receivable by pool type for nine months ended September 30, 2023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Domestic</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9"/>
              </w:rPr>
              <w:t>(235 )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(390 )</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Impact of adoption of ASU 2016-13</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r>
      <w:tr>
        <w:trPr>
          <w:trHeight w:val="25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end of period</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(146 )</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-25400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-8255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-25400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-8255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4. Related Party - Topcon</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Topcon holds a 10.0% voting interest in the Company, which qualifies it to be a principal owner considered a related party, even though it currently does not have significant influence over the Company’s operations.</w:t>
      </w:r>
    </w:p>
    <w:p>
      <w:pPr>
        <w:spacing w:after="0" w:line="6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Topcon resells certain of our products as our exclusive distributor in certain international regions. At the same time, the Company also purchases certain raw materials from Topcon. During the three and nine months ended September 30, 2023, the Company’s revenues related to Topcon amounted to approximately $4.3 million and $11.2 million, respectively, including $0.4 million and $1.1 million, respectively, in recognized exclusive distribution rights revenue. During the three and nine months ended October 1, 2022, the Company’s revenues related to Topcon amounted to approximately $4.5 million and $12.1 million, respectively, including $0.4 million and $1.0 million, respectively, in recognized exclusive distribution rights revenue. The Company’s purchases from Topcon during the three and nine months ended September 30, 2023 amounted to approximately $45 thousand and $210 thousand, respectively. As of September 30, 2023, the amounts receivable from and payable to Topcon were $2.0 million and $0.1 million, respectively. As of December 31, 2022, the amounts receivable from and payable to Topcon were $3.5 million and $15 thousand,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Company’s inventories as of September 30, 2023 and December 31, 2022 are as follows:</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Pr>
          <w:p>
            <w:pPr>
              <w:spacing w:after="0"/>
              <w:rPr>
                <w:sz w:val="16"/>
                <w:szCs w:val="16"/>
                <w:color w:val="auto"/>
              </w:rPr>
            </w:pPr>
          </w:p>
        </w:tc>
      </w:tr>
      <w:tr>
        <w:trPr>
          <w:trHeight w:val="23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w:t>
            </w:r>
          </w:p>
        </w:tc>
        <w:tc>
          <w:tcPr>
            <w:tcW w:w="80" w:type="dxa"/>
            <w:vAlign w:val="bottom"/>
            <w:shd w:val="clear" w:color="auto" w:fill="CFF0FC"/>
          </w:tcPr>
          <w:p>
            <w:pPr>
              <w:spacing w:after="0"/>
              <w:rPr>
                <w:sz w:val="20"/>
                <w:szCs w:val="20"/>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r>
      <w:tr>
        <w:trPr>
          <w:trHeight w:val="24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300" w:type="dxa"/>
            <w:vAlign w:val="bottom"/>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10,118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10,608</w:t>
            </w:r>
          </w:p>
        </w:tc>
        <w:tc>
          <w:tcPr>
            <w:tcW w:w="80" w:type="dxa"/>
            <w:vAlign w:val="bottom"/>
          </w:tcPr>
          <w:p>
            <w:pPr>
              <w:spacing w:after="0"/>
              <w:rPr>
                <w:sz w:val="20"/>
                <w:szCs w:val="20"/>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-187960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-187960</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value of goodwill was $1.0 million as of both September 30, 2023 and December 31,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4" w:name="page15"/>
    <w:bookmarkEnd w:id="14"/>
    <w:p>
      <w:pPr>
        <w:ind w:right="20" w:firstLine="441"/>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2023 and determined that its goodwill was not impaired.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components of gross and net of intangible assets carrying amounts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Accumulate</w:t>
            </w: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Amortizatio</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56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3.61 Years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46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5.37 Years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6.42 Years</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Arial" w:cs="Arial" w:eastAsia="Arial" w:hAnsi="Arial"/>
                <w:sz w:val="18"/>
                <w:szCs w:val="18"/>
                <w:color w:val="auto"/>
              </w:rPr>
              <w:t>Patents</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2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-25400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-8255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-25400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-8255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-25400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-8255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For the nine months ended September 30, 2023 and October 1, 2022, amortization expense totaled $251 thousand and $144 thousand, respectively.</w:t>
      </w:r>
    </w:p>
    <w:p>
      <w:pPr>
        <w:spacing w:after="0" w:line="62"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w:t>
      </w:r>
    </w:p>
    <w:p>
      <w:pPr>
        <w:spacing w:after="0" w:line="198" w:lineRule="exact"/>
        <w:rPr>
          <w:sz w:val="20"/>
          <w:szCs w:val="20"/>
          <w:color w:val="auto"/>
        </w:rPr>
      </w:pPr>
    </w:p>
    <w:tbl>
      <w:tblPr>
        <w:tblLayout w:type="fixed"/>
        <w:tblInd w:w="1460" w:type="dxa"/>
        <w:tblCellMar>
          <w:top w:w="0" w:type="dxa"/>
          <w:left w:w="0" w:type="dxa"/>
          <w:bottom w:w="0" w:type="dxa"/>
          <w:right w:w="0" w:type="dxa"/>
        </w:tblCellMar>
      </w:tblP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Year:</w:t>
            </w: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Remainder of 2023 (three months)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0"/>
                <w:szCs w:val="20"/>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FF0FC"/>
          </w:tcPr>
          <w:p>
            <w:pPr>
              <w:spacing w:after="0"/>
              <w:rPr>
                <w:sz w:val="21"/>
                <w:szCs w:val="2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0"/>
                <w:szCs w:val="20"/>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FF0FC"/>
          </w:tcPr>
          <w:p>
            <w:pPr>
              <w:spacing w:after="0"/>
              <w:rPr>
                <w:sz w:val="21"/>
                <w:szCs w:val="2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2027</w:t>
            </w: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0"/>
                <w:szCs w:val="20"/>
                <w:color w:val="auto"/>
              </w:rPr>
            </w:pPr>
          </w:p>
        </w:tc>
      </w:tr>
      <w:tr>
        <w:trPr>
          <w:trHeight w:val="24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5120" w:type="dxa"/>
            <w:vAlign w:val="bottom"/>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6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-187960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180" w:firstLine="441"/>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7" w:lineRule="exact"/>
        <w:rPr>
          <w:sz w:val="20"/>
          <w:szCs w:val="20"/>
          <w:color w:val="auto"/>
        </w:rPr>
      </w:pPr>
    </w:p>
    <w:p>
      <w:pPr>
        <w:ind w:left="880" w:hanging="435"/>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1: Quoted prices (unadjusted) in active markets that are accessible at the measurement date for assets or liabilities.</w:t>
      </w:r>
    </w:p>
    <w:p>
      <w:pPr>
        <w:spacing w:after="0" w:line="140" w:lineRule="exact"/>
        <w:rPr>
          <w:rFonts w:ascii="Arial" w:cs="Arial" w:eastAsia="Arial" w:hAnsi="Arial"/>
          <w:sz w:val="16"/>
          <w:szCs w:val="16"/>
          <w:color w:val="auto"/>
        </w:rPr>
      </w:pPr>
    </w:p>
    <w:p>
      <w:pPr>
        <w:ind w:left="880" w:right="220" w:hanging="435"/>
        <w:spacing w:after="0" w:line="255"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5" w:name="page16"/>
    <w:bookmarkEnd w:id="15"/>
    <w:p>
      <w:pPr>
        <w:ind w:left="880" w:right="340" w:hanging="435"/>
        <w:spacing w:after="0" w:line="26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6"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6"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The carrying amounts of the Company’s financial assets and liabilities, including cash and cash equivalents, accounts receivable, accounts payable, and accrued expenses as of September 30, 2023 and December 31, 2022, approximate fair value because of the short maturity of these instruments.</w:t>
      </w:r>
    </w:p>
    <w:p>
      <w:pPr>
        <w:spacing w:after="0" w:line="76"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As of September 30, 2023 and December 31, 2022, financial assets measured and recognized at fair value on a recurring basis and classified under the appropriate level of the fair value hierarchy as described above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As of September 30, 2023</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r>
      <w:tr>
        <w:trPr>
          <w:trHeight w:val="236"/>
        </w:trPr>
        <w:tc>
          <w:tcPr>
            <w:tcW w:w="2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21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3,708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3,708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$ 12,496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12,496</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and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operating leases consist of facility and office equipment leases. Operating lease expenses for the nine months ended September 30, 2023 and October 1, 2022 were $0.8 million and $0.8 million, respectively. The weighted average discount rate used in calculating the present value of lease payments was 7%. As of September 30, 2023, the weighted average remaining lease term for our operating leases was 1.6 years.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maturities of operating lease liabilities as of September 30, 2023 (in thousands):</w:t>
      </w:r>
    </w:p>
    <w:p>
      <w:pPr>
        <w:spacing w:after="0" w:line="21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5"/>
        </w:trPr>
        <w:tc>
          <w:tcPr>
            <w:tcW w:w="6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Lease Payments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2023 (three months)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Non-current portion of lease liabilities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(1,901 )</w:t>
            </w:r>
          </w:p>
        </w:tc>
        <w:tc>
          <w:tcPr>
            <w:tcW w:w="0" w:type="dxa"/>
            <w:vAlign w:val="bottom"/>
          </w:tcPr>
          <w:p>
            <w:pPr>
              <w:spacing w:after="0"/>
              <w:rPr>
                <w:sz w:val="1"/>
                <w:szCs w:val="1"/>
                <w:color w:val="auto"/>
              </w:rPr>
            </w:pPr>
          </w:p>
        </w:tc>
      </w:tr>
      <w:tr>
        <w:trPr>
          <w:trHeight w:val="277"/>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-24765</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-7620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right="200" w:firstLine="441"/>
        <w:spacing w:after="0" w:line="311" w:lineRule="auto"/>
        <w:rPr>
          <w:sz w:val="20"/>
          <w:szCs w:val="20"/>
          <w:color w:val="auto"/>
        </w:rPr>
      </w:pPr>
      <w:r>
        <w:rPr>
          <w:rFonts w:ascii="Arial" w:cs="Arial" w:eastAsia="Arial" w:hAnsi="Arial"/>
          <w:sz w:val="16"/>
          <w:szCs w:val="16"/>
          <w:color w:val="auto"/>
        </w:rPr>
        <w:t>Our purchase commitments consist primarily of non-cancellable purchase commitments with vendors to manufacture certain components and ophthalmic instrumentation. As of September 30, 2023, our future minimum payments through fiscal year 2025 for our purchase commitments were approximately $23.0 million, with $21.4 million committed for the next 12 months.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8" w:lineRule="exact"/>
        <w:rPr>
          <w:sz w:val="20"/>
          <w:szCs w:val="20"/>
          <w:color w:val="auto"/>
        </w:rPr>
      </w:pPr>
    </w:p>
    <w:p>
      <w:pPr>
        <w:ind w:right="120" w:firstLine="441"/>
        <w:spacing w:after="0" w:line="311" w:lineRule="auto"/>
        <w:rPr>
          <w:sz w:val="20"/>
          <w:szCs w:val="20"/>
          <w:color w:val="auto"/>
        </w:rPr>
      </w:pPr>
      <w:r>
        <w:rPr>
          <w:rFonts w:ascii="Arial" w:cs="Arial" w:eastAsia="Arial" w:hAnsi="Arial"/>
          <w:sz w:val="16"/>
          <w:szCs w:val="16"/>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6" w:name="page17"/>
    <w:bookmarkEnd w:id="16"/>
    <w:p>
      <w:pPr>
        <w:ind w:right="180"/>
        <w:spacing w:after="0" w:line="308" w:lineRule="auto"/>
        <w:rPr>
          <w:sz w:val="20"/>
          <w:szCs w:val="20"/>
          <w:color w:val="auto"/>
        </w:rPr>
      </w:pPr>
      <w:r>
        <w:rPr>
          <w:rFonts w:ascii="Arial" w:cs="Arial" w:eastAsia="Arial" w:hAnsi="Arial"/>
          <w:sz w:val="17"/>
          <w:szCs w:val="17"/>
          <w:color w:val="auto"/>
        </w:rPr>
        <w:t>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Company accounts for stock-based compensation granted to employees and directors, including stock option awards, restricted stock and restricted stock units (“RSUs”) in accordance with FASB ASC Topic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80"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 as amended.</w:t>
      </w:r>
    </w:p>
    <w:p>
      <w:pPr>
        <w:spacing w:after="0" w:line="117"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The terms of awards granted during the nine months ended September 30, 2023 were consistent with those described in the consolidated financial statements included in our Annual Report on Form 10-K for the year ended December 31, 2022.</w:t>
      </w:r>
    </w:p>
    <w:p>
      <w:pPr>
        <w:spacing w:after="0" w:line="16" w:lineRule="exact"/>
        <w:rPr>
          <w:sz w:val="20"/>
          <w:szCs w:val="20"/>
          <w:color w:val="auto"/>
        </w:rPr>
      </w:pPr>
    </w:p>
    <w:p>
      <w:pPr>
        <w:jc w:val="both"/>
        <w:ind w:right="140" w:firstLine="441"/>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nine months ended September 30, 2023 and October 1, 2022 (in thousands):</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60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5"/>
              <w:spacing w:after="0" w:line="133" w:lineRule="exact"/>
              <w:rPr>
                <w:sz w:val="20"/>
                <w:szCs w:val="20"/>
                <w:color w:val="auto"/>
              </w:rPr>
            </w:pPr>
            <w:r>
              <w:rPr>
                <w:rFonts w:ascii="Arial" w:cs="Arial" w:eastAsia="Arial" w:hAnsi="Arial"/>
                <w:sz w:val="14"/>
                <w:szCs w:val="14"/>
                <w:b w:val="1"/>
                <w:bCs w:val="1"/>
                <w:color w:val="auto"/>
              </w:rPr>
              <w:t>September</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0"/>
              <w:spacing w:after="0" w:line="13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5"/>
              <w:spacing w:after="0" w:line="133" w:lineRule="exact"/>
              <w:rPr>
                <w:sz w:val="20"/>
                <w:szCs w:val="20"/>
                <w:color w:val="auto"/>
              </w:rPr>
            </w:pPr>
            <w:r>
              <w:rPr>
                <w:rFonts w:ascii="Arial" w:cs="Arial" w:eastAsia="Arial" w:hAnsi="Arial"/>
                <w:sz w:val="14"/>
                <w:szCs w:val="14"/>
                <w:b w:val="1"/>
                <w:bCs w:val="1"/>
                <w:color w:val="auto"/>
              </w:rPr>
              <w:t>September</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3"/>
              <w:spacing w:after="0" w:line="133"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1"/>
                <w:szCs w:val="11"/>
                <w:color w:val="auto"/>
              </w:rPr>
            </w:pPr>
          </w:p>
        </w:tc>
      </w:tr>
      <w:tr>
        <w:trPr>
          <w:trHeight w:val="185"/>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9"/>
              </w:rPr>
              <w:t>30, 2023</w:t>
            </w:r>
          </w:p>
        </w:tc>
        <w:tc>
          <w:tcPr>
            <w:tcW w:w="2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5"/>
              </w:rPr>
              <w:t>30, 2023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20"/>
                <w:szCs w:val="20"/>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r>
      <w:tr>
        <w:trPr>
          <w:trHeight w:val="24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21"/>
                <w:szCs w:val="2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20"/>
                <w:szCs w:val="20"/>
                <w:color w:val="auto"/>
              </w:rPr>
            </w:pPr>
          </w:p>
        </w:tc>
      </w:tr>
      <w:tr>
        <w:trPr>
          <w:trHeight w:val="277"/>
        </w:trPr>
        <w:tc>
          <w:tcPr>
            <w:tcW w:w="46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402"/>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377</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-24765</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-7620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-24765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-7620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-24765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-24765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Stock-based compensation expense capitalized to inventory was immaterial for the nine months ended September 30, 2023 and October 1, 2022.</w:t>
      </w:r>
    </w:p>
    <w:p>
      <w:pPr>
        <w:spacing w:after="0" w:line="62" w:lineRule="exact"/>
        <w:rPr>
          <w:sz w:val="20"/>
          <w:szCs w:val="20"/>
          <w:color w:val="auto"/>
        </w:rPr>
      </w:pPr>
    </w:p>
    <w:p>
      <w:pPr>
        <w:jc w:val="both"/>
        <w:ind w:right="140" w:firstLine="441"/>
        <w:spacing w:after="0" w:line="263" w:lineRule="auto"/>
        <w:rPr>
          <w:sz w:val="20"/>
          <w:szCs w:val="20"/>
          <w:color w:val="auto"/>
        </w:rPr>
      </w:pPr>
      <w:r>
        <w:rPr>
          <w:rFonts w:ascii="Arial" w:cs="Arial" w:eastAsia="Arial" w:hAnsi="Arial"/>
          <w:sz w:val="18"/>
          <w:szCs w:val="18"/>
          <w:color w:val="auto"/>
        </w:rPr>
        <w:t>As of September 30, 2023, there was $2.4 million of total unrecognized compensation cost, net of expected forfeitures, related to non-vested stock-based compensation arrangements. The cost is expected to be recognized over a weighted average period of 1.93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options information during the nine months ended September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left="282"/>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2,232,967</w:t>
            </w:r>
          </w:p>
        </w:tc>
        <w:tc>
          <w:tcPr>
            <w:tcW w:w="2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4.27</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808,410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(17,499 )</w:t>
            </w: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2.16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(220,776 )</w:t>
            </w: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5.14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80" w:type="dxa"/>
            <w:vAlign w:val="bottom"/>
          </w:tcPr>
          <w:p>
            <w:pPr>
              <w:spacing w:after="0"/>
              <w:rPr>
                <w:sz w:val="24"/>
                <w:szCs w:val="24"/>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2023</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2,803,102</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78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3.60</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80" w:type="dxa"/>
            <w:vAlign w:val="bottom"/>
            <w:tcBorders>
              <w:bottom w:val="single" w:sz="8" w:color="CFF0FC"/>
            </w:tcBorders>
            <w:shd w:val="clear" w:color="auto" w:fill="CFF0FC"/>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20" w:type="dxa"/>
            <w:vAlign w:val="bottom"/>
          </w:tcPr>
          <w:p>
            <w:pPr>
              <w:jc w:val="right"/>
              <w:ind w:right="635"/>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-522605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-504825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6153150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7" w:name="page18"/>
    <w:bookmarkEnd w:id="17"/>
    <w:p>
      <w:pPr>
        <w:ind w:right="400" w:firstLine="441"/>
        <w:spacing w:after="0" w:line="277" w:lineRule="auto"/>
        <w:rPr>
          <w:sz w:val="20"/>
          <w:szCs w:val="20"/>
          <w:color w:val="auto"/>
        </w:rPr>
      </w:pPr>
      <w:r>
        <w:rPr>
          <w:rFonts w:ascii="Arial" w:cs="Arial" w:eastAsia="Arial" w:hAnsi="Arial"/>
          <w:sz w:val="18"/>
          <w:szCs w:val="18"/>
          <w:color w:val="auto"/>
        </w:rPr>
        <w:t>The weighted average grant date fair value of the options granted was $1.32 and $2.18 per share for the nine months ended September 30, 2023 and October 1, 2022, respectively.</w:t>
      </w:r>
    </w:p>
    <w:p>
      <w:pPr>
        <w:spacing w:after="0" w:line="6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2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50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9"/>
              </w:rPr>
              <w:t>September</w:t>
            </w:r>
          </w:p>
        </w:tc>
        <w:tc>
          <w:tcPr>
            <w:tcW w:w="980" w:type="dxa"/>
            <w:vAlign w:val="bottom"/>
            <w:tcBorders>
              <w:top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right"/>
              <w:ind w:right="340"/>
              <w:spacing w:after="0" w:line="133" w:lineRule="exact"/>
              <w:rPr>
                <w:sz w:val="20"/>
                <w:szCs w:val="20"/>
                <w:color w:val="auto"/>
              </w:rPr>
            </w:pPr>
            <w:r>
              <w:rPr>
                <w:rFonts w:ascii="Arial" w:cs="Arial" w:eastAsia="Arial" w:hAnsi="Arial"/>
                <w:sz w:val="14"/>
                <w:szCs w:val="14"/>
                <w:b w:val="1"/>
                <w:bCs w:val="1"/>
                <w:color w:val="auto"/>
                <w:w w:val="93"/>
              </w:rPr>
              <w:t>September</w:t>
            </w:r>
          </w:p>
        </w:tc>
        <w:tc>
          <w:tcPr>
            <w:tcW w:w="900" w:type="dxa"/>
            <w:vAlign w:val="bottom"/>
            <w:tcBorders>
              <w:top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30, 2023</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30, 2023</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Average risk free interest rate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4.60 %</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3.98 %</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4.57 %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3.29 %</w:t>
            </w:r>
          </w:p>
        </w:tc>
      </w:tr>
      <w:tr>
        <w:trPr>
          <w:trHeight w:val="242"/>
        </w:trPr>
        <w:tc>
          <w:tcPr>
            <w:tcW w:w="45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Average volatility</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77 %</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76 %</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77 %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-608330</wp:posOffset>
            </wp:positionV>
            <wp:extent cx="555498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-299720</wp:posOffset>
            </wp:positionV>
            <wp:extent cx="555498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330"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Information regarding stock options outstanding, vested, expected to vest, and exercisable as of September 30, 2023 is summarized below:</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1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2,803,102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Options vested and expected to vest</w:t>
            </w:r>
          </w:p>
        </w:tc>
        <w:tc>
          <w:tcPr>
            <w:tcW w:w="1180" w:type="dxa"/>
            <w:vAlign w:val="bottom"/>
          </w:tcPr>
          <w:p>
            <w:pPr>
              <w:jc w:val="right"/>
              <w:spacing w:after="0"/>
              <w:rPr>
                <w:sz w:val="20"/>
                <w:szCs w:val="20"/>
                <w:color w:val="auto"/>
              </w:rPr>
            </w:pPr>
            <w:r>
              <w:rPr>
                <w:rFonts w:ascii="Arial" w:cs="Arial" w:eastAsia="Arial" w:hAnsi="Arial"/>
                <w:sz w:val="18"/>
                <w:szCs w:val="18"/>
                <w:color w:val="auto"/>
              </w:rPr>
              <w:t>2,695,684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1,274,102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September 30, 2023, that would have been received by option holders had all option holders exercised their stock options as of that date. This amount changes based on the fair market value of the Company’s common stock. The total intrinsic value of options exercised for the nine months ended September 30, 2023 and October 1, 2022 was approximately $4 thousand and $23 thousand,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RSUs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RSUs activity for the nine months ended September 30, 2023 is summarized below:</w:t>
      </w:r>
    </w:p>
    <w:p>
      <w:pPr>
        <w:spacing w:after="0" w:line="21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r>
      <w:tr>
        <w:trPr>
          <w:trHeight w:val="185"/>
        </w:trPr>
        <w:tc>
          <w:tcPr>
            <w:tcW w:w="476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r>
      <w:tr>
        <w:trPr>
          <w:trHeight w:val="23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473,029</w:t>
            </w:r>
          </w:p>
        </w:tc>
        <w:tc>
          <w:tcPr>
            <w:tcW w:w="20" w:type="dxa"/>
            <w:vAlign w:val="bottom"/>
          </w:tcPr>
          <w:p>
            <w:pPr>
              <w:spacing w:after="0"/>
              <w:rPr>
                <w:sz w:val="20"/>
                <w:szCs w:val="20"/>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196,335</w:t>
            </w:r>
          </w:p>
        </w:tc>
        <w:tc>
          <w:tcPr>
            <w:tcW w:w="20" w:type="dxa"/>
            <w:vAlign w:val="bottom"/>
          </w:tcPr>
          <w:p>
            <w:pPr>
              <w:spacing w:after="0"/>
              <w:rPr>
                <w:sz w:val="20"/>
                <w:szCs w:val="20"/>
                <w:color w:val="auto"/>
              </w:rPr>
            </w:pPr>
          </w:p>
        </w:tc>
      </w:tr>
      <w:tr>
        <w:trPr>
          <w:trHeight w:val="242"/>
        </w:trPr>
        <w:tc>
          <w:tcPr>
            <w:tcW w:w="4760" w:type="dxa"/>
            <w:vAlign w:val="bottom"/>
          </w:tcPr>
          <w:p>
            <w:pPr>
              <w:ind w:left="20"/>
              <w:spacing w:after="0"/>
              <w:rPr>
                <w:sz w:val="20"/>
                <w:szCs w:val="20"/>
                <w:color w:val="auto"/>
              </w:rPr>
            </w:pPr>
            <w:r>
              <w:rPr>
                <w:rFonts w:ascii="Arial" w:cs="Arial" w:eastAsia="Arial" w:hAnsi="Arial"/>
                <w:sz w:val="18"/>
                <w:szCs w:val="18"/>
                <w:color w:val="auto"/>
              </w:rPr>
              <w:t>RSUs released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(265,956 )</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RSUs forfeited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(50,196 )</w:t>
            </w:r>
          </w:p>
        </w:tc>
      </w:tr>
      <w:tr>
        <w:trPr>
          <w:trHeight w:val="277"/>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2023</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353,212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-496570</wp:posOffset>
            </wp:positionV>
            <wp:extent cx="3703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03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-25400</wp:posOffset>
            </wp:positionV>
            <wp:extent cx="34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-8255</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117" w:lineRule="exact"/>
        <w:rPr>
          <w:sz w:val="20"/>
          <w:szCs w:val="20"/>
          <w:color w:val="auto"/>
        </w:rPr>
      </w:pPr>
    </w:p>
    <w:p>
      <w:pPr>
        <w:ind w:firstLine="441"/>
        <w:spacing w:after="0" w:line="305" w:lineRule="auto"/>
        <w:rPr>
          <w:sz w:val="20"/>
          <w:szCs w:val="20"/>
          <w:color w:val="auto"/>
        </w:rPr>
      </w:pPr>
      <w:r>
        <w:rPr>
          <w:rFonts w:ascii="Arial" w:cs="Arial" w:eastAsia="Arial" w:hAnsi="Arial"/>
          <w:sz w:val="16"/>
          <w:szCs w:val="16"/>
          <w:color w:val="auto"/>
        </w:rPr>
        <w:t xml:space="preserve">The Company calculates its interim tax provision in accordance with the provisions of ASC Topic 740-270,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Interim Reporting</w:t>
      </w:r>
      <w:r>
        <w:rPr>
          <w:rFonts w:ascii="Arial" w:cs="Arial" w:eastAsia="Arial" w:hAnsi="Arial"/>
          <w:sz w:val="16"/>
          <w:szCs w:val="16"/>
          <w:color w:val="auto"/>
        </w:rPr>
        <w:t>. For interim periods, the Company estimates its annual effective income tax rate and applies the estimated rate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368" w:right="1119" w:bottom="1440" w:gutter="0" w:footer="0" w:header="0"/>
        </w:sectPr>
      </w:pPr>
    </w:p>
    <w:bookmarkStart w:id="18" w:name="page19"/>
    <w:bookmarkEnd w:id="18"/>
    <w:p>
      <w:pPr>
        <w:ind w:right="320"/>
        <w:spacing w:after="0" w:line="277" w:lineRule="auto"/>
        <w:rPr>
          <w:sz w:val="20"/>
          <w:szCs w:val="20"/>
          <w:color w:val="auto"/>
        </w:rPr>
      </w:pPr>
      <w:r>
        <w:rPr>
          <w:rFonts w:ascii="Arial" w:cs="Arial" w:eastAsia="Arial" w:hAnsi="Arial"/>
          <w:sz w:val="18"/>
          <w:szCs w:val="18"/>
          <w:color w:val="auto"/>
        </w:rPr>
        <w:t>a provision for income tax of $30 thousand and $51 thousand for the nine months ended September 30, 2023 and October 1,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third quarter of fiscal year 2023,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The Company accounts for its uncertain tax positions in accordance with ASC 740. As of December 31, 2022, the Company had $1.4 million of unrecognized tax benefits, none of the unrecognized tax benefits would result in a change in the Company’s effective tax rate if recognized in future years.</w:t>
      </w:r>
    </w:p>
    <w:p>
      <w:pPr>
        <w:spacing w:after="0" w:line="76"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62" w:lineRule="exact"/>
        <w:rPr>
          <w:sz w:val="20"/>
          <w:szCs w:val="20"/>
          <w:color w:val="auto"/>
        </w:rPr>
      </w:pPr>
    </w:p>
    <w:p>
      <w:pPr>
        <w:jc w:val="both"/>
        <w:ind w:right="300" w:firstLine="441"/>
        <w:spacing w:after="0" w:line="342" w:lineRule="auto"/>
        <w:rPr>
          <w:sz w:val="20"/>
          <w:szCs w:val="20"/>
          <w:color w:val="auto"/>
        </w:rPr>
      </w:pPr>
      <w:r>
        <w:rPr>
          <w:rFonts w:ascii="Arial" w:cs="Arial" w:eastAsia="Arial" w:hAnsi="Arial"/>
          <w:sz w:val="16"/>
          <w:szCs w:val="16"/>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Computation of Basic and Diluted Net Loss Per Share</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84"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For the three months ended September 30, 2023 and October 1, 2022, potential shares from stock options and RSUs totaling 2,272,510 and 1,717,479 shares, respectively, were excluded from the computation of diluted weighted average shares outstanding. For the nine months ended September 30, 2023 and October 1, 2022, potential shares from stock options and RSUs totaling 2,280,017 and 1,706,283 shares, respectively, were excluded from the computation of diluted weighted average shares outstanding.</w:t>
      </w:r>
    </w:p>
    <w:p>
      <w:pPr>
        <w:spacing w:after="0" w:line="4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1"/>
              </w:rPr>
              <w:t>September</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89"/>
              </w:rPr>
              <w:t>October 1,</w:t>
            </w:r>
          </w:p>
        </w:tc>
        <w:tc>
          <w:tcPr>
            <w:tcW w:w="18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9"/>
              </w:rPr>
              <w:t>September</w:t>
            </w:r>
          </w:p>
        </w:tc>
        <w:tc>
          <w:tcPr>
            <w:tcW w:w="880" w:type="dxa"/>
            <w:vAlign w:val="bottom"/>
            <w:tcBorders>
              <w:top w:val="single" w:sz="8" w:color="auto"/>
            </w:tcBorders>
            <w:gridSpan w:val="2"/>
          </w:tcPr>
          <w:p>
            <w:pPr>
              <w:jc w:val="right"/>
              <w:ind w:right="53"/>
              <w:spacing w:after="0" w:line="133"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30, 2023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30, 2023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(1,754 )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(6,610 )</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(6,399 )</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19"/>
                <w:szCs w:val="19"/>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6"/>
              </w:rPr>
              <w:t>Weighted average shares of common stock (basic)</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spacing w:after="0"/>
              <w:rPr>
                <w:sz w:val="22"/>
                <w:szCs w:val="22"/>
                <w:color w:val="auto"/>
              </w:rPr>
            </w:pPr>
          </w:p>
        </w:tc>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3"/>
              </w:rPr>
              <w:t>Weighted average shares of common stock (diluted)</w:t>
            </w:r>
          </w:p>
        </w:tc>
        <w:tc>
          <w:tcPr>
            <w:tcW w:w="4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16,231</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15,986</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16,089</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15,921</w:t>
            </w:r>
          </w:p>
        </w:tc>
        <w:tc>
          <w:tcPr>
            <w:tcW w:w="80" w:type="dxa"/>
            <w:vAlign w:val="bottom"/>
            <w:tcBorders>
              <w:bottom w:val="single" w:sz="8" w:color="CFF0FC"/>
            </w:tcBorders>
            <w:shd w:val="clear" w:color="auto" w:fill="CFF0FC"/>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0" w:type="dxa"/>
            <w:vAlign w:val="bottom"/>
          </w:tcPr>
          <w:p>
            <w:pPr>
              <w:spacing w:after="0"/>
              <w:rPr>
                <w:sz w:val="22"/>
                <w:szCs w:val="22"/>
                <w:color w:val="auto"/>
              </w:rPr>
            </w:pPr>
          </w:p>
        </w:tc>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net loss per share</w:t>
            </w: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(0.41 )</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(0.40 )</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Diluted net loss per share</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(0.11 )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(0.41 )</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(0.40 )</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-1036955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-1019175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-1036955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-1019175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-1036955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-1019175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-1036955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-1019175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-702310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-685165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-702310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-685165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-702310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-685165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-702310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-685165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Business Segments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operates in one segment: ophthalmology. The Company develops, manufactures and markets medical devices.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arise from the sale of consoles, delivery devices, consumables, service, and support activities.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information shown by product group is as follows (in thousands):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88"/>
              </w:rPr>
              <w:t>September</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6"/>
              <w:spacing w:after="0" w:line="133" w:lineRule="exact"/>
              <w:rPr>
                <w:sz w:val="20"/>
                <w:szCs w:val="20"/>
                <w:color w:val="auto"/>
              </w:rPr>
            </w:pPr>
            <w:r>
              <w:rPr>
                <w:rFonts w:ascii="Arial" w:cs="Arial" w:eastAsia="Arial" w:hAnsi="Arial"/>
                <w:sz w:val="14"/>
                <w:szCs w:val="14"/>
                <w:b w:val="1"/>
                <w:bCs w:val="1"/>
                <w:color w:val="auto"/>
              </w:rPr>
              <w:t>September</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4"/>
              <w:spacing w:after="0" w:line="133"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1"/>
                <w:szCs w:val="11"/>
                <w:color w:val="auto"/>
              </w:rPr>
            </w:pPr>
          </w:p>
        </w:tc>
      </w:tr>
      <w:tr>
        <w:trPr>
          <w:trHeight w:val="185"/>
        </w:trPr>
        <w:tc>
          <w:tcPr>
            <w:tcW w:w="4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30, 2023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30, 2023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Cyclo G6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10,477</w:t>
            </w:r>
          </w:p>
        </w:tc>
        <w:tc>
          <w:tcPr>
            <w:tcW w:w="80" w:type="dxa"/>
            <w:vAlign w:val="bottom"/>
            <w:shd w:val="clear" w:color="auto" w:fill="CFF0FC"/>
          </w:tcPr>
          <w:p>
            <w:pPr>
              <w:spacing w:after="0"/>
              <w:rPr>
                <w:sz w:val="20"/>
                <w:szCs w:val="20"/>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Retina</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21,936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23,580</w:t>
            </w:r>
          </w:p>
        </w:tc>
        <w:tc>
          <w:tcPr>
            <w:tcW w:w="80" w:type="dxa"/>
            <w:vAlign w:val="bottom"/>
          </w:tcPr>
          <w:p>
            <w:pPr>
              <w:spacing w:after="0"/>
              <w:rPr>
                <w:sz w:val="20"/>
                <w:szCs w:val="20"/>
                <w:color w:val="auto"/>
              </w:rPr>
            </w:pPr>
          </w:p>
        </w:tc>
      </w:tr>
      <w:tr>
        <w:trPr>
          <w:trHeight w:val="243"/>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Other(1)</w:t>
            </w: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39,411</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41,777</w:t>
            </w:r>
          </w:p>
        </w:tc>
        <w:tc>
          <w:tcPr>
            <w:tcW w:w="8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-187960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-187960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-187960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-187960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120" w:firstLine="445"/>
        <w:spacing w:after="0" w:line="257" w:lineRule="auto"/>
        <w:tabs>
          <w:tab w:leader="none" w:pos="6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service contract revenues of $409 thousand and $358 thousand and $1,174 thousand and $1,122 thousand recognized during the three and nine months ended September 30, 2023 and October 1, 2022, respectively. Includes $364 thousand and $351 thousand and $1,091 thousand and $985 thousand recognized revenue related to the exclusive distribution rights during the three and nine months ended September 30, 2023 and October 1, 2022, respectively. Other also includes revenues from paid service, royalty, freight and legacy G probes.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information shown by geographic region, based on the sales destination, is as follows (in thousands):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88"/>
              </w:rPr>
              <w:t>September</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5"/>
              <w:spacing w:after="0" w:line="133" w:lineRule="exact"/>
              <w:rPr>
                <w:sz w:val="20"/>
                <w:szCs w:val="20"/>
                <w:color w:val="auto"/>
              </w:rPr>
            </w:pPr>
            <w:r>
              <w:rPr>
                <w:rFonts w:ascii="Arial" w:cs="Arial" w:eastAsia="Arial" w:hAnsi="Arial"/>
                <w:sz w:val="14"/>
                <w:szCs w:val="14"/>
                <w:b w:val="1"/>
                <w:bCs w:val="1"/>
                <w:color w:val="auto"/>
              </w:rPr>
              <w:t>September</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3"/>
              <w:spacing w:after="0" w:line="133"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1"/>
                <w:szCs w:val="11"/>
                <w:color w:val="auto"/>
              </w:rPr>
            </w:pPr>
          </w:p>
        </w:tc>
      </w:tr>
      <w:tr>
        <w:trPr>
          <w:trHeight w:val="185"/>
        </w:trPr>
        <w:tc>
          <w:tcPr>
            <w:tcW w:w="4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30, 2023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5"/>
              </w:rPr>
              <w:t>30, 2023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w:t>
            </w:r>
          </w:p>
        </w:tc>
        <w:tc>
          <w:tcPr>
            <w:tcW w:w="3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20,806</w:t>
            </w:r>
          </w:p>
        </w:tc>
        <w:tc>
          <w:tcPr>
            <w:tcW w:w="80" w:type="dxa"/>
            <w:vAlign w:val="bottom"/>
            <w:shd w:val="clear" w:color="auto" w:fill="CFF0FC"/>
          </w:tcPr>
          <w:p>
            <w:pPr>
              <w:spacing w:after="0"/>
              <w:rPr>
                <w:sz w:val="20"/>
                <w:szCs w:val="20"/>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9,732</w:t>
            </w:r>
          </w:p>
        </w:tc>
        <w:tc>
          <w:tcPr>
            <w:tcW w:w="80" w:type="dxa"/>
            <w:vAlign w:val="bottom"/>
          </w:tcPr>
          <w:p>
            <w:pPr>
              <w:spacing w:after="0"/>
              <w:rPr>
                <w:sz w:val="20"/>
                <w:szCs w:val="20"/>
                <w:color w:val="auto"/>
              </w:rPr>
            </w:pP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Asia/Pacific Rim</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8,949</w:t>
            </w:r>
          </w:p>
        </w:tc>
        <w:tc>
          <w:tcPr>
            <w:tcW w:w="80" w:type="dxa"/>
            <w:vAlign w:val="bottom"/>
            <w:shd w:val="clear" w:color="auto" w:fill="CFF0FC"/>
          </w:tcPr>
          <w:p>
            <w:pPr>
              <w:spacing w:after="0"/>
              <w:rPr>
                <w:sz w:val="21"/>
                <w:szCs w:val="2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Rest of Americas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20"/>
                <w:szCs w:val="20"/>
                <w:color w:val="auto"/>
              </w:rPr>
            </w:pPr>
          </w:p>
        </w:tc>
      </w:tr>
      <w:tr>
        <w:trPr>
          <w:trHeight w:val="276"/>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12,850</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14,635</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39,411</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-24765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-24765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-7620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-24765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-7620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117"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Other than the United States, the Netherlands accounted for at least 10% of the Company’s revenues during the three and nine months ended September 30, 2023, representing 20% and 16%, respectively. Other than the United States, the Netherlands accounted for at least 10% of the Company’s revenues during the three and nine months ended October 1, 2022, representing 14% and 10%, respectively. The United States accounted for 47.8% and 50.7% of revenues for the three months ended September 30, 2023 and October 1, 2022, respectively, and 49.9% and 49.8% for the nine months ended September 30, 2023 and October 1, 2022,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ind w:right="380" w:firstLine="441"/>
        <w:spacing w:after="0" w:line="273" w:lineRule="auto"/>
        <w:rPr>
          <w:sz w:val="20"/>
          <w:szCs w:val="20"/>
          <w:color w:val="auto"/>
        </w:rPr>
      </w:pPr>
      <w:r>
        <w:rPr>
          <w:rFonts w:ascii="Arial" w:cs="Arial" w:eastAsia="Arial" w:hAnsi="Arial"/>
          <w:sz w:val="17"/>
          <w:szCs w:val="17"/>
          <w:color w:val="auto"/>
        </w:rPr>
        <w:t>On November 1, 2023, the Company filed Form 8-K that on October 26, 2023, WPS Government Health Administrators, (“WPS”), a Medicare Administrative Contractor (“MAC”) published “Local Coverage Determination L39620 Micro-Invasive Glaucoma Surgery (MIGS)” (the “LCD”), with a future effective date of December 24, 2023. WPS administers Part B Medicare benefits in Kansas, Nebraska, Missouri, Iowa, Indiana, and Michigan. In November 2023, four of the six other MACs, including Palmetto GBA, Celerian Group Company, National Government Services and Noridian Healthcare Solutions, published the same LCD. These five MACs are referred to as the “MACs” in the risk factors section below.</w:t>
      </w:r>
    </w:p>
    <w:p>
      <w:pPr>
        <w:spacing w:after="0" w:line="70"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Company has consulted with expert external reimbursement advisors in an effort to evaluate the potential impact of the LCD on the Company’s business in the United States with respect to the Cyclo G6 Laser System and Probe Delivery Devices, which has been authorized by FDA to deliver laser energy to soft and fibrous tissue, including osseous tissue incision, excision, coagulation, vaporization, ablation and vessel hemostasis in the medical specialties of, dermatology, ear, nose and throat (ENT)/otolaryngology, and ophthalmology, including for the intended use of transscleral cyclophotocoagulation of the ciliary processes and for the treatment of glaucoma, including primary open-angle, closed-angle, and refractory. Although the LCD does not deny coverage, it imposes additional requirements for reimbursement. Among the issues examined are (i) the intent of the LCD; (ii) the use and application of definitions within the LCD (e.g., how a determination expressly defined as relating to incisional surgical techniques pulled within its scope non-incisional transscleral cyclophotocoagulation); and (iii) the LCD’s failure to recognize any distinctions among (a) endo cyclophotocoagulation and (b) transscleral cyclophotocoagulation, or (x) continuous wave cyclophotocoagulation and (y) MicroPulse cyclophotocoagulation. As a result of its consultation with expert external advisors, the Company currently believes that the LCD will likely be interpreted to materially limit the patient types for which WPS will reimburse cyclophotocoagulation procedures after December 24, 2023 – that is, based the criteria set forth in the LCD.</w:t>
      </w:r>
    </w:p>
    <w:p>
      <w:pPr>
        <w:spacing w:after="0" w:line="66"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At this time, the Company cannot estimate what full impact this LCD will have on its glaucoma business in the United States. We and other stakeholders plan to challenge the LCD. Outside the U.S., where the Company currently receives approximately 50%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364" w:right="1119" w:bottom="1440" w:gutter="0" w:footer="0" w:header="0"/>
        </w:sectPr>
      </w:pPr>
    </w:p>
    <w:bookmarkStart w:id="20" w:name="page21"/>
    <w:bookmarkEnd w:id="20"/>
    <w:p>
      <w:pPr>
        <w:ind w:right="80"/>
        <w:spacing w:after="0" w:line="259" w:lineRule="auto"/>
        <w:rPr>
          <w:sz w:val="20"/>
          <w:szCs w:val="20"/>
          <w:color w:val="auto"/>
        </w:rPr>
      </w:pPr>
      <w:r>
        <w:rPr>
          <w:rFonts w:ascii="Arial" w:cs="Arial" w:eastAsia="Arial" w:hAnsi="Arial"/>
          <w:sz w:val="18"/>
          <w:szCs w:val="18"/>
          <w:color w:val="auto"/>
        </w:rPr>
        <w:t>its glaucoma revenue, neither the LCD nor any future local coverage determination are expected to materially impact that business. Reimbursement payments outside the U.S. are generally lower and more restrictive in scope, with TLT’s successful and growing penetration within those markets providing further support for the demand for our products and perceived utility and efficacy of Iridex’s offerings.</w:t>
      </w:r>
    </w:p>
    <w:p>
      <w:pPr>
        <w:spacing w:after="0" w:line="7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Iridex intends to assess and adjust its domestic glaucoma operations from time-to-time as appropriate in response to any changed reimbursement policies that materially impact its ability to maintain and expand its glaucoma business. For the past several years, sales and marketing expenses relating to the Company’s domestic glaucoma efforts have involved significantly larger expenditures compared to the Company’s retina and international operations.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our Form 8-K filed on November 1, 2023 for further details.</w:t>
      </w: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520"/>
          </w:cols>
          <w:pgMar w:left="1080" w:top="476" w:right="1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IRIDEX is an ophthalmic medical technology company focused on the development and commercialization of breakthrough products and procedures used to treat sight-threatening eye conditions, including glaucoma and retinal diseases.</w:t>
      </w:r>
    </w:p>
    <w:p>
      <w:pPr>
        <w:spacing w:after="0" w:line="21" w:lineRule="exact"/>
        <w:rPr>
          <w:sz w:val="20"/>
          <w:szCs w:val="20"/>
          <w:color w:val="auto"/>
        </w:rPr>
      </w:pPr>
    </w:p>
    <w:p>
      <w:pPr>
        <w:ind w:firstLine="441"/>
        <w:spacing w:after="0" w:line="259" w:lineRule="auto"/>
        <w:rPr>
          <w:sz w:val="20"/>
          <w:szCs w:val="20"/>
          <w:color w:val="auto"/>
        </w:rPr>
      </w:pPr>
      <w:r>
        <w:rPr>
          <w:rFonts w:ascii="Arial" w:cs="Arial" w:eastAsia="Arial" w:hAnsi="Arial"/>
          <w:sz w:val="17"/>
          <w:szCs w:val="17"/>
          <w:color w:val="auto"/>
        </w:rPr>
        <w:t>Our propriety MicroPulse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products consist of laser consoles, delivery devices and consumable probes.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Our laser consoles consist of the following product lines:</w:t>
      </w:r>
    </w:p>
    <w:p>
      <w:pPr>
        <w:spacing w:after="0" w:line="122" w:lineRule="exact"/>
        <w:rPr>
          <w:sz w:val="20"/>
          <w:szCs w:val="20"/>
          <w:color w:val="auto"/>
        </w:rPr>
      </w:pPr>
    </w:p>
    <w:p>
      <w:pPr>
        <w:ind w:left="880" w:right="140" w:hanging="436"/>
        <w:spacing w:after="0" w:line="232"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Our primary glaucoma console line is the Cyclo G6</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system with MicroPulse technology.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medical retina consoles have features supporting glaucoma laser treatments.</w:t>
      </w:r>
    </w:p>
    <w:p>
      <w:pPr>
        <w:spacing w:after="0" w:line="100" w:lineRule="exact"/>
        <w:rPr>
          <w:rFonts w:ascii="Arial" w:cs="Arial" w:eastAsia="Arial" w:hAnsi="Arial"/>
          <w:sz w:val="18"/>
          <w:szCs w:val="18"/>
          <w:color w:val="auto"/>
        </w:rPr>
      </w:pPr>
    </w:p>
    <w:p>
      <w:pPr>
        <w:ind w:left="880" w:right="120" w:hanging="436"/>
        <w:spacing w:after="0" w:line="28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Medical Retina </w:t>
      </w:r>
      <w:r>
        <w:rPr>
          <w:rFonts w:ascii="Arial" w:cs="Arial" w:eastAsia="Arial" w:hAnsi="Arial"/>
          <w:sz w:val="16"/>
          <w:szCs w:val="16"/>
          <w:color w:val="auto"/>
        </w:rPr>
        <w:t>– Our medical-retina product line includes our portable IQ 532</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IQ 577</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laser systems with</w:t>
      </w:r>
      <w:r>
        <w:rPr>
          <w:rFonts w:ascii="Arial" w:cs="Arial" w:eastAsia="Arial" w:hAnsi="Arial"/>
          <w:sz w:val="16"/>
          <w:szCs w:val="16"/>
          <w:b w:val="1"/>
          <w:bCs w:val="1"/>
          <w:color w:val="auto"/>
        </w:rPr>
        <w:t xml:space="preserve"> </w:t>
      </w:r>
      <w:r>
        <w:rPr>
          <w:rFonts w:ascii="Arial" w:cs="Arial" w:eastAsia="Arial" w:hAnsi="Arial"/>
          <w:sz w:val="16"/>
          <w:szCs w:val="16"/>
          <w:color w:val="auto"/>
        </w:rPr>
        <w:t>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66" w:lineRule="exact"/>
        <w:rPr>
          <w:rFonts w:ascii="Arial" w:cs="Arial" w:eastAsia="Arial" w:hAnsi="Arial"/>
          <w:sz w:val="16"/>
          <w:szCs w:val="16"/>
          <w:color w:val="auto"/>
        </w:rPr>
      </w:pPr>
    </w:p>
    <w:p>
      <w:pPr>
        <w:ind w:left="880" w:right="300" w:hanging="436"/>
        <w:spacing w:after="0" w:line="255"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Surgical Retina </w:t>
      </w:r>
      <w:r>
        <w:rPr>
          <w:rFonts w:ascii="Arial" w:cs="Arial" w:eastAsia="Arial" w:hAnsi="Arial"/>
          <w:sz w:val="17"/>
          <w:szCs w:val="17"/>
          <w:color w:val="auto"/>
        </w:rPr>
        <w:t>– Our surgical-retina product line includes our OcuLight</w:t>
      </w:r>
      <w:r>
        <w:rPr>
          <w:rFonts w:ascii="Arial" w:cs="Arial" w:eastAsia="Arial" w:hAnsi="Arial"/>
          <w:sz w:val="23"/>
          <w:szCs w:val="23"/>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TX and OcuLight</w:t>
      </w:r>
      <w:r>
        <w:rPr>
          <w:rFonts w:ascii="Arial" w:cs="Arial" w:eastAsia="Arial" w:hAnsi="Arial"/>
          <w:sz w:val="23"/>
          <w:szCs w:val="23"/>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SLx (with MicroPulse</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laser photocoagulation systems. These systems are often used in vitrectomy procedures, which are used to treat proliferative diabetic retinopathy, macular holes, retinal tears and detachments.</w:t>
      </w:r>
    </w:p>
    <w:p>
      <w:pPr>
        <w:spacing w:after="0" w:line="82"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Our laser probes consist of the following product lines:</w:t>
      </w:r>
    </w:p>
    <w:p>
      <w:pPr>
        <w:spacing w:after="0" w:line="122" w:lineRule="exact"/>
        <w:rPr>
          <w:sz w:val="20"/>
          <w:szCs w:val="20"/>
          <w:color w:val="auto"/>
        </w:rPr>
      </w:pPr>
    </w:p>
    <w:p>
      <w:pPr>
        <w:ind w:left="880" w:right="20" w:hanging="436"/>
        <w:spacing w:after="0" w:line="29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single-use delivery devices - MicroPulse P3</w:t>
      </w:r>
      <w:r>
        <w:rPr>
          <w:rFonts w:ascii="Arial" w:cs="Arial" w:eastAsia="Arial" w:hAnsi="Arial"/>
          <w:sz w:val="24"/>
          <w:szCs w:val="24"/>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G-Probe</w:t>
      </w:r>
      <w:r>
        <w:rPr>
          <w:rFonts w:ascii="Arial" w:cs="Arial" w:eastAsia="Arial" w:hAnsi="Arial"/>
          <w:sz w:val="24"/>
          <w:szCs w:val="24"/>
          <w:color w:val="auto"/>
          <w:vertAlign w:val="superscript"/>
        </w:rPr>
        <w:t>®</w:t>
      </w:r>
      <w:r>
        <w:rPr>
          <w:rFonts w:ascii="Arial" w:cs="Arial" w:eastAsia="Arial" w:hAnsi="Arial"/>
          <w:sz w:val="18"/>
          <w:szCs w:val="18"/>
          <w:color w:val="auto"/>
        </w:rPr>
        <w:t>, and G-Probe Illuminate</w:t>
      </w:r>
      <w:r>
        <w:rPr>
          <w:rFonts w:ascii="Arial" w:cs="Arial" w:eastAsia="Arial" w:hAnsi="Arial"/>
          <w:sz w:val="24"/>
          <w:szCs w:val="24"/>
          <w:color w:val="auto"/>
          <w:vertAlign w:val="superscript"/>
        </w:rPr>
        <w:t>®</w:t>
      </w:r>
      <w:r>
        <w:rPr>
          <w:rFonts w:ascii="Arial" w:cs="Arial" w:eastAsia="Arial" w:hAnsi="Arial"/>
          <w:sz w:val="18"/>
          <w:szCs w:val="18"/>
          <w:color w:val="auto"/>
        </w:rPr>
        <w:t>.</w:t>
      </w:r>
    </w:p>
    <w:p>
      <w:pPr>
        <w:ind w:left="880" w:right="860" w:hanging="436"/>
        <w:spacing w:after="0" w:line="232"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Probes used in our surgical-retina product line include our family of single-use EndoProbe</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handpieces.</w:t>
      </w:r>
    </w:p>
    <w:p>
      <w:pPr>
        <w:spacing w:after="0" w:line="95" w:lineRule="exact"/>
        <w:rPr>
          <w:sz w:val="20"/>
          <w:szCs w:val="20"/>
          <w:color w:val="auto"/>
        </w:rPr>
      </w:pPr>
    </w:p>
    <w:p>
      <w:pPr>
        <w:ind w:right="80" w:firstLine="441"/>
        <w:spacing w:after="0" w:line="226" w:lineRule="auto"/>
        <w:rPr>
          <w:sz w:val="20"/>
          <w:szCs w:val="20"/>
          <w:color w:val="auto"/>
        </w:rPr>
      </w:pPr>
      <w:r>
        <w:rPr>
          <w:rFonts w:ascii="Arial" w:cs="Arial" w:eastAsia="Arial" w:hAnsi="Arial"/>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Arial" w:cs="Arial" w:eastAsia="Arial" w:hAnsi="Arial"/>
          <w:sz w:val="24"/>
          <w:szCs w:val="24"/>
          <w:color w:val="auto"/>
          <w:vertAlign w:val="superscript"/>
        </w:rPr>
        <w:t>®</w:t>
      </w:r>
      <w:r>
        <w:rPr>
          <w:rFonts w:ascii="Arial" w:cs="Arial" w:eastAsia="Arial" w:hAnsi="Arial"/>
          <w:sz w:val="18"/>
          <w:szCs w:val="18"/>
          <w:color w:val="auto"/>
        </w:rPr>
        <w:t>, G-Probe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G-Probe Illuminate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delivery devices, and EndoProbe handpieces. In the offices and clinics, ophthalmologists use our laser systems with either an indirect laser ophthalmoscope or a slit-lamp adapter.</w:t>
      </w:r>
    </w:p>
    <w:p>
      <w:pPr>
        <w:spacing w:after="0" w:line="9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2" w:lineRule="exact"/>
        <w:rPr>
          <w:sz w:val="20"/>
          <w:szCs w:val="20"/>
          <w:color w:val="auto"/>
        </w:rPr>
      </w:pPr>
    </w:p>
    <w:p>
      <w:pPr>
        <w:ind w:right="20" w:firstLine="441"/>
        <w:spacing w:after="0" w:line="275" w:lineRule="auto"/>
        <w:rPr>
          <w:sz w:val="20"/>
          <w:szCs w:val="20"/>
          <w:color w:val="auto"/>
        </w:rPr>
      </w:pPr>
      <w:r>
        <w:rPr>
          <w:rFonts w:ascii="Arial" w:cs="Arial" w:eastAsia="Arial" w:hAnsi="Arial"/>
          <w:sz w:val="17"/>
          <w:szCs w:val="17"/>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spacing w:after="0" w:line="68"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Cost of revenues consists primarily of our direct manufacturing costs which include the cost of components and sub-systems, assembling, packaging, shipping and testing components at our facility, direct labor and associated overhead, warranty, royalty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22" w:name="page23"/>
    <w:bookmarkEnd w:id="22"/>
    <w:p>
      <w:pPr>
        <w:ind w:right="520"/>
        <w:spacing w:after="0" w:line="277" w:lineRule="auto"/>
        <w:rPr>
          <w:sz w:val="20"/>
          <w:szCs w:val="20"/>
          <w:color w:val="auto"/>
        </w:rPr>
      </w:pPr>
      <w:r>
        <w:rPr>
          <w:rFonts w:ascii="Arial" w:cs="Arial" w:eastAsia="Arial" w:hAnsi="Arial"/>
          <w:sz w:val="18"/>
          <w:szCs w:val="18"/>
          <w:color w:val="auto"/>
        </w:rPr>
        <w:t>amortization of intangible assets and depot service costs. For certain of our products, we are responsible for the cost of the fully assembled product that is manufactured by a third-party.</w:t>
      </w:r>
    </w:p>
    <w:p>
      <w:pPr>
        <w:spacing w:after="0" w:line="62"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Sales and marketing expenses consist primarily of costs of personnel, sales commissions, travel expenses, advertising and promotional expenses.</w:t>
      </w:r>
    </w:p>
    <w:p>
      <w:pPr>
        <w:spacing w:after="0" w:line="62"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Conditions to our Business</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Current macroeconomic conditions exhibit challenges that can affect capital equipment purchasing demand and timing, including recessionary fears, inflation concerns, rising interest rates as a result of government actions to combat inflation, and uncertainty in the global banking and financial services market,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spacing w:after="0" w:line="84" w:lineRule="exact"/>
        <w:rPr>
          <w:sz w:val="20"/>
          <w:szCs w:val="20"/>
          <w:color w:val="auto"/>
        </w:rPr>
      </w:pPr>
    </w:p>
    <w:p>
      <w:pPr>
        <w:ind w:right="400" w:firstLine="441"/>
        <w:spacing w:after="0" w:line="308" w:lineRule="auto"/>
        <w:rPr>
          <w:sz w:val="20"/>
          <w:szCs w:val="20"/>
          <w:color w:val="auto"/>
        </w:rPr>
      </w:pPr>
      <w:r>
        <w:rPr>
          <w:rFonts w:ascii="Arial" w:cs="Arial" w:eastAsia="Arial" w:hAnsi="Arial"/>
          <w:sz w:val="17"/>
          <w:szCs w:val="17"/>
          <w:color w:val="auto"/>
        </w:rPr>
        <w:t>The macroeconomic conditions on our business and operations remains uncertain, and it is not possible for us to predict the duration and extent to which they will affect our business, future results of operations, and financial condition.</w:t>
      </w:r>
    </w:p>
    <w:p>
      <w:pPr>
        <w:spacing w:after="0" w:line="38" w:lineRule="exact"/>
        <w:rPr>
          <w:sz w:val="20"/>
          <w:szCs w:val="20"/>
          <w:color w:val="auto"/>
        </w:rPr>
      </w:pPr>
    </w:p>
    <w:p>
      <w:pPr>
        <w:jc w:val="both"/>
        <w:ind w:right="160" w:firstLine="441"/>
        <w:spacing w:after="0" w:line="263" w:lineRule="auto"/>
        <w:rPr>
          <w:sz w:val="20"/>
          <w:szCs w:val="20"/>
          <w:color w:val="auto"/>
        </w:rPr>
      </w:pPr>
      <w:r>
        <w:rPr>
          <w:rFonts w:ascii="Arial" w:cs="Arial" w:eastAsia="Arial" w:hAnsi="Arial"/>
          <w:sz w:val="18"/>
          <w:szCs w:val="18"/>
          <w:color w:val="auto"/>
        </w:rPr>
        <w:t>For more information on risks associated with the current macroeconomic conditions, see the sections titled “Risk Factors” in Item 1A of Part II and “Subsequent Event” in our Notes to the Unaudited Condensed Consolidated Financial Statements in Item 1 of Part 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25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40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October 1, 2022</w:t>
            </w:r>
          </w:p>
        </w:tc>
        <w:tc>
          <w:tcPr>
            <w:tcW w:w="240" w:type="dxa"/>
            <w:vAlign w:val="bottom"/>
            <w:vMerge w:val="restart"/>
          </w:tcPr>
          <w:p>
            <w:pPr>
              <w:spacing w:after="0"/>
              <w:rPr>
                <w:sz w:val="11"/>
                <w:szCs w:val="11"/>
                <w:color w:val="auto"/>
              </w:rPr>
            </w:pPr>
          </w:p>
        </w:tc>
        <w:tc>
          <w:tcPr>
            <w:tcW w:w="128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100.0 %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2"/>
        </w:trPr>
        <w:tc>
          <w:tcPr>
            <w:tcW w:w="34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56.3 %</w:t>
            </w: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55.9 %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57.1 %</w:t>
            </w:r>
          </w:p>
        </w:tc>
        <w:tc>
          <w:tcPr>
            <w:tcW w:w="1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55.2 %</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400" w:type="dxa"/>
            <w:vAlign w:val="bottom"/>
            <w:vMerge w:val="continue"/>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43.7 %</w:t>
            </w:r>
          </w:p>
        </w:tc>
        <w:tc>
          <w:tcPr>
            <w:tcW w:w="1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44.1 %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11.5 %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30.4 %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13.8 %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vMerge w:val="continue"/>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56.9 %</w:t>
            </w:r>
          </w:p>
        </w:tc>
        <w:tc>
          <w:tcPr>
            <w:tcW w:w="1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55.7 %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60.5 %</w:t>
            </w:r>
          </w:p>
        </w:tc>
        <w:tc>
          <w:tcPr>
            <w:tcW w:w="1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59.5 %</w:t>
            </w:r>
          </w:p>
        </w:tc>
        <w:tc>
          <w:tcPr>
            <w:tcW w:w="0" w:type="dxa"/>
            <w:vAlign w:val="bottom"/>
          </w:tcPr>
          <w:p>
            <w:pPr>
              <w:spacing w:after="0"/>
              <w:rPr>
                <w:sz w:val="1"/>
                <w:szCs w:val="1"/>
                <w:color w:val="auto"/>
              </w:rPr>
            </w:pPr>
          </w:p>
        </w:tc>
      </w:tr>
      <w:tr>
        <w:trPr>
          <w:trHeight w:val="26"/>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vMerge w:val="continue"/>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(13.2 %)</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(11.6 %)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(17.6 %)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49"/>
        </w:trPr>
        <w:tc>
          <w:tcPr>
            <w:tcW w:w="34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(0.5 %)</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8"/>
                <w:szCs w:val="18"/>
                <w:color w:val="auto"/>
              </w:rPr>
              <w:t>Loss from operations before provision</w:t>
            </w: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for income taxes</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(13.7 %)</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(16.7 %)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(13.6 %)</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(12.1 %)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(16.8 %)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-2219325</wp:posOffset>
            </wp:positionV>
            <wp:extent cx="55549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-1585595</wp:posOffset>
            </wp:positionV>
            <wp:extent cx="555498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-950595</wp:posOffset>
            </wp:positionV>
            <wp:extent cx="55549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-633730</wp:posOffset>
            </wp:positionV>
            <wp:extent cx="5554980"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54980" cy="29146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-1902460</wp:posOffset>
            </wp:positionV>
            <wp:extent cx="5554980"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-1276350</wp:posOffset>
            </wp:positionV>
            <wp:extent cx="555498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-179070</wp:posOffset>
            </wp:positionV>
            <wp:extent cx="555498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54980" cy="179705"/>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The following comparisons are between the three months ended September 30, 2023 and October 1, 2022 (in thousands):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October 1,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 in $</w:t>
            </w:r>
          </w:p>
        </w:tc>
        <w:tc>
          <w:tcPr>
            <w:tcW w:w="160" w:type="dxa"/>
            <w:vAlign w:val="bottom"/>
          </w:tcPr>
          <w:p>
            <w:pPr>
              <w:spacing w:after="0"/>
              <w:rPr>
                <w:sz w:val="16"/>
                <w:szCs w:val="16"/>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 in %</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Cyclo G6</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(418 )</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Retina</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(885 )</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(482 )</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12,850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14,635</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(1,785 )</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-1148080</wp:posOffset>
            </wp:positionV>
            <wp:extent cx="555498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-839470</wp:posOffset>
            </wp:positionV>
            <wp:extent cx="5554980"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6153150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23" w:name="page24"/>
    <w:bookmarkEnd w:id="23"/>
    <w:p>
      <w:pPr>
        <w:ind w:right="80" w:firstLine="441"/>
        <w:spacing w:after="0" w:line="263" w:lineRule="auto"/>
        <w:rPr>
          <w:sz w:val="20"/>
          <w:szCs w:val="20"/>
          <w:color w:val="auto"/>
        </w:rPr>
      </w:pPr>
      <w:r>
        <w:rPr>
          <w:rFonts w:ascii="Arial" w:cs="Arial" w:eastAsia="Arial" w:hAnsi="Arial"/>
          <w:sz w:val="18"/>
          <w:szCs w:val="18"/>
          <w:color w:val="auto"/>
        </w:rPr>
        <w:t>Our total revenues decreased by $1.7 million, or 12.2%, from $14.6 million to $12.9 million. The decrease was driven by continued deferred purchase decisions in our medical retina and surgical retina product lines, and lower royalties due to the expiration of licensed patents.</w:t>
      </w:r>
    </w:p>
    <w:p>
      <w:pPr>
        <w:spacing w:after="0" w:line="76"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While we believe that demand for our products remains strong, however the overall capital expenditure landscape within hospitals, surgical centers and physician offices may continue to be negatively impacted by persistent macroeconomic concerns.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Gross profit decreased $0.9 million, or 13.0%, from $6.5 million to $5.6 million. Gross margin decreased by 0.4% from 44.1% to 43.7%. The decrease in gross margin was the result of lower overhead absorption in the current period and a more favorable product mix in the same quarter a year ago.</w:t>
      </w:r>
    </w:p>
    <w:p>
      <w:pPr>
        <w:spacing w:after="0" w:line="76" w:lineRule="exact"/>
        <w:rPr>
          <w:sz w:val="20"/>
          <w:szCs w:val="20"/>
          <w:color w:val="auto"/>
        </w:rPr>
      </w:pPr>
    </w:p>
    <w:p>
      <w:pPr>
        <w:ind w:right="280" w:firstLine="441"/>
        <w:spacing w:after="0" w:line="263" w:lineRule="auto"/>
        <w:rPr>
          <w:sz w:val="20"/>
          <w:szCs w:val="20"/>
          <w:color w:val="auto"/>
        </w:rPr>
      </w:pPr>
      <w:r>
        <w:rPr>
          <w:rFonts w:ascii="Arial" w:cs="Arial" w:eastAsia="Arial" w:hAnsi="Arial"/>
          <w:sz w:val="18"/>
          <w:szCs w:val="18"/>
          <w:color w:val="auto"/>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Research and development expenses decreased by $0.2 million, or 8.7%, from $1.7 million to $1.5 million. Spending on investment in PASCAL product line and on new and expanded product portfolio decreased as we completed these projects.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Sales and marketing expenses decreased $0.6 million, or 14.0%, from $4.4 million to $3.8 million. In the third fiscal quarter of 2022, we increased our marketing and advertising efforts to promote the release of a new system product in the fourth fiscal quarter of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General and administrative expenses decreased by $0.1 million, or 3.9%, from $2.0 million to $1.9 million. The decrease is a result of planned cost savings measures the company began in the second quarter of fiscal 2023, including a reduction in headcount to streamline operations and extend operating runway.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240" w:firstLine="441"/>
        <w:spacing w:after="0" w:line="263" w:lineRule="auto"/>
        <w:rPr>
          <w:sz w:val="20"/>
          <w:szCs w:val="20"/>
          <w:color w:val="auto"/>
        </w:rPr>
      </w:pPr>
      <w:r>
        <w:rPr>
          <w:rFonts w:ascii="Arial" w:cs="Arial" w:eastAsia="Arial" w:hAnsi="Arial"/>
          <w:sz w:val="18"/>
          <w:szCs w:val="18"/>
          <w:color w:val="auto"/>
        </w:rPr>
        <w:t>Other expense, net was $0.1 million for the three months ended September 30, 2023 compared to other expense, net, of $0.1 million for the three months ended October 1, 2022. Other income (expense), net, consisted primarily of interest income or expense and foreign currency gain or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We recorded an income tax provision of $8 thousand and $14 thousand for the three months ended September 30, 2023 and October 1,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comparisons are between the nine months ended September 30, 2023 and October 1, 2022 (in thousands):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48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14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5"/>
                <w:szCs w:val="15"/>
                <w:color w:val="auto"/>
              </w:rPr>
            </w:pPr>
          </w:p>
        </w:tc>
        <w:tc>
          <w:tcPr>
            <w:tcW w:w="14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September 30, 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October 1, 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 in $</w:t>
            </w:r>
          </w:p>
        </w:tc>
        <w:tc>
          <w:tcPr>
            <w:tcW w:w="180" w:type="dxa"/>
            <w:vAlign w:val="bottom"/>
          </w:tcPr>
          <w:p>
            <w:pPr>
              <w:spacing w:after="0"/>
              <w:rPr>
                <w:sz w:val="16"/>
                <w:szCs w:val="16"/>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20"/>
              <w:spacing w:after="0"/>
              <w:rPr>
                <w:sz w:val="20"/>
                <w:szCs w:val="20"/>
                <w:color w:val="auto"/>
              </w:rPr>
            </w:pPr>
            <w:r>
              <w:rPr>
                <w:rFonts w:ascii="Arial" w:cs="Arial" w:eastAsia="Arial" w:hAnsi="Arial"/>
                <w:sz w:val="18"/>
                <w:szCs w:val="18"/>
                <w:color w:val="auto"/>
              </w:rPr>
              <w:t>Cyclo G6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Arial" w:cs="Arial" w:eastAsia="Arial" w:hAnsi="Arial"/>
                <w:sz w:val="18"/>
                <w:szCs w:val="18"/>
                <w:color w:val="auto"/>
              </w:rPr>
              <w:t>Retina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23,580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(1,644 )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(614 )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39,411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41,777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(2,366 )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-650875</wp:posOffset>
            </wp:positionV>
            <wp:extent cx="55549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-342265</wp:posOffset>
            </wp:positionV>
            <wp:extent cx="555498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54980" cy="162560"/>
                    </a:xfrm>
                    <a:prstGeom prst="rect">
                      <a:avLst/>
                    </a:prstGeom>
                    <a:noFill/>
                  </pic:spPr>
                </pic:pic>
              </a:graphicData>
            </a:graphic>
          </wp:anchor>
        </w:drawing>
      </w:r>
    </w:p>
    <w:p>
      <w:pPr>
        <w:spacing w:after="0" w:line="182"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Our total revenues decreased by $2.4 million, or 5.7%, from $41.8 million to $39.4 million. The decrease was driven by an overall softer demand in our retina product line, and lower royalties due to the expiration of licensed patents.</w:t>
      </w:r>
    </w:p>
    <w:p>
      <w:pPr>
        <w:spacing w:after="0" w:line="38"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While we believe that demand for our products remains strong, the overall capital expenditure landscape within hospitals, surgical centers and physician offices may continue to be negatively impacted by persistent macroeconomic concerns discussed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Gross profit decreased $1.8 million, or 9.5%, from $18.7 million to $16.9 million. Gross margin decreased by 1.9% from 44.8% to 42.9%. The decrease in gross margin was the result of lower overhead absorption in the fiscal 2023 and more favorable product mix in fiscal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8" w:right="1099" w:bottom="1440" w:gutter="0" w:footer="0" w:header="0"/>
        </w:sectPr>
      </w:pPr>
    </w:p>
    <w:bookmarkStart w:id="24" w:name="page25"/>
    <w:bookmarkEnd w:id="24"/>
    <w:p>
      <w:pPr>
        <w:ind w:right="260" w:firstLine="441"/>
        <w:spacing w:after="0" w:line="263" w:lineRule="auto"/>
        <w:rPr>
          <w:sz w:val="20"/>
          <w:szCs w:val="20"/>
          <w:color w:val="auto"/>
        </w:rPr>
      </w:pPr>
      <w:r>
        <w:rPr>
          <w:rFonts w:ascii="Arial" w:cs="Arial" w:eastAsia="Arial" w:hAnsi="Arial"/>
          <w:sz w:val="18"/>
          <w:szCs w:val="18"/>
          <w:color w:val="auto"/>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Research and development expenses decreased by $0.6 million, or 10.3%, from $5.7 million to $5.1 million. Spending on investment in PASCAL product line and on new and expanded product portfolio decreased as we completed these projects.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Sales and marketing expenses decreased by $1.0 million, or 7.4%, from $13.4 million to $12.4 million. The decrease was related to lower marketing and advertising costs as we recently completed the release of a new system product in the fourth quarter of fiscal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General and administrative expenses increased by $0.5 million, or 10.1%, from $5.8 million to $6.3 million. The increase was attributable to increases in higher personnel and other related expenses, including separation costs incurred in the second fiscal quarter of fiscal year 2023 and legal expenses for general corporate matters.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auto"/>
        </w:rPr>
        <w:t>Other income, net was $0.4 million for nine months ended September 30, 2023 compared to other expense, net, of $0.2 million for the nine months ended October 1, 2022. Other income (expense), net, consisted primarily of interest income or expense and foreign currency gain or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We recorded an income tax provision of $30 thousand and $51 thousand for the nine months ended September 30, 2023 and October 1,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As of September 30, 2023, we had cash and cash equivalents of $8.0 million and working capital of $17.0 million compared to cash and cash equivalents of $13.9 million and working capital of $23.3 million as of December 31, 2022.</w:t>
      </w:r>
    </w:p>
    <w:p>
      <w:pPr>
        <w:spacing w:after="0" w:line="62"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Net cash used in operating activities was $5.8 million in the nine months ended September 30, 2023 compared to net cash used in operating activities of $7.9 million in the nine months ended October 1, 2022. The decrease in net cash used in operating activities, expressed in direct cash flow terms, was primarily due to cash provided by inventory, receivable from related party, prepaids, and other long-term assets, offset by increases in cash used in accounts payable and deferred revenue.</w:t>
      </w:r>
    </w:p>
    <w:p>
      <w:pPr>
        <w:spacing w:after="0" w:line="63" w:lineRule="exact"/>
        <w:rPr>
          <w:sz w:val="20"/>
          <w:szCs w:val="20"/>
          <w:color w:val="auto"/>
        </w:rPr>
      </w:pPr>
    </w:p>
    <w:p>
      <w:pPr>
        <w:ind w:right="360" w:firstLine="441"/>
        <w:spacing w:after="0" w:line="263" w:lineRule="auto"/>
        <w:rPr>
          <w:sz w:val="20"/>
          <w:szCs w:val="20"/>
          <w:color w:val="auto"/>
        </w:rPr>
      </w:pPr>
      <w:r>
        <w:rPr>
          <w:rFonts w:ascii="Arial" w:cs="Arial" w:eastAsia="Arial" w:hAnsi="Arial"/>
          <w:sz w:val="18"/>
          <w:szCs w:val="18"/>
          <w:color w:val="auto"/>
        </w:rPr>
        <w:t>For the nine months ended September 30, 2023, net cash used in investing activities was $141 thousand, which consisted of capital expenditures. For the nine months ended October 1, 2022, net cash used in investing activities was $203 thousand, which consisted of capital expenditures.</w:t>
      </w:r>
    </w:p>
    <w:p>
      <w:pPr>
        <w:spacing w:after="0" w:line="76" w:lineRule="exact"/>
        <w:rPr>
          <w:sz w:val="20"/>
          <w:szCs w:val="20"/>
          <w:color w:val="auto"/>
        </w:rPr>
      </w:pPr>
    </w:p>
    <w:p>
      <w:pPr>
        <w:jc w:val="both"/>
        <w:ind w:right="120" w:firstLine="441"/>
        <w:spacing w:after="0" w:line="257" w:lineRule="auto"/>
        <w:rPr>
          <w:sz w:val="20"/>
          <w:szCs w:val="20"/>
          <w:color w:val="auto"/>
        </w:rPr>
      </w:pPr>
      <w:r>
        <w:rPr>
          <w:rFonts w:ascii="Arial" w:cs="Arial" w:eastAsia="Arial" w:hAnsi="Arial"/>
          <w:sz w:val="18"/>
          <w:szCs w:val="18"/>
          <w:color w:val="auto"/>
        </w:rPr>
        <w:t>For the nine months ended September 30, 2023, net cash used in financing activities was $50 thousand, primarily from payroll taxes related to net share settlement of equity awards partially offset by the net proceeds arising from the proceeds from stock option exercises. For the nine months ended October 1, 2022, net cash used in financing activities was $73 thousand, primarily from payroll taxes related to net share settlement of equity awards partially offset by the net proceeds arising from the proceeds from stock option exercises.</w:t>
      </w:r>
    </w:p>
    <w:p>
      <w:pPr>
        <w:spacing w:after="0" w:line="80" w:lineRule="exact"/>
        <w:rPr>
          <w:sz w:val="20"/>
          <w:szCs w:val="20"/>
          <w:color w:val="auto"/>
        </w:rPr>
      </w:pPr>
    </w:p>
    <w:p>
      <w:pPr>
        <w:ind w:right="20" w:firstLine="441"/>
        <w:spacing w:after="0" w:line="301" w:lineRule="auto"/>
        <w:rPr>
          <w:sz w:val="20"/>
          <w:szCs w:val="20"/>
          <w:color w:val="auto"/>
        </w:rPr>
      </w:pPr>
      <w:r>
        <w:rPr>
          <w:rFonts w:ascii="Arial" w:cs="Arial" w:eastAsia="Arial" w:hAnsi="Arial"/>
          <w:sz w:val="16"/>
          <w:szCs w:val="16"/>
          <w:color w:val="auto"/>
        </w:rPr>
        <w:t>We have historically funded our operations primarily through sales of our products to customers, sales of our common stock and borrowing arrangements. As of September 30, 2023, our principal sources of liquidity consisted of cash and cash equivalents of $8.0 million. We have incurred net losses over the last several years, and as of September 30, 2023, have an accumulated deficit of approximately $76.1 million. We expect to continue to incur operating losses and negative cash flows from operations.</w:t>
      </w:r>
    </w:p>
    <w:p>
      <w:pPr>
        <w:spacing w:after="0" w:line="4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Company has an existing Loan and Security Agreement (“Loan Agreement”) with Silicon Valley Bank (“SVB”) providing for up to $8.0 million secured revolving loan facility (“Revolving Loan Facility”). In March 2022, the Fourth Amendment to the Loan Agreement was executed primarily to extend the term through May 31, 2022. In June 2022, the Fifth Amendment to the Loan Agreement was executed primarily to extend the term through December 1, 2023. As of September 30, 2023 and December 31, 2022, there were no amounts outstanding under the Loan Agreement.</w:t>
      </w:r>
    </w:p>
    <w:p>
      <w:pPr>
        <w:spacing w:after="0" w:line="80"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On March 10, 2023, SVB was placed into receivership by the Federal Deposit Insurance Corporation (“FDIC”). On March 13, 2023, the FDIC announced that it had transferred all insured and uninsured deposits and substantially all assets of SVB to a newly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476" w:right="1119" w:bottom="1440" w:gutter="0" w:footer="0" w:header="0"/>
        </w:sectPr>
      </w:pPr>
    </w:p>
    <w:bookmarkStart w:id="25" w:name="page26"/>
    <w:bookmarkEnd w:id="25"/>
    <w:p>
      <w:pPr>
        <w:ind w:right="20"/>
        <w:spacing w:after="0" w:line="257" w:lineRule="auto"/>
        <w:rPr>
          <w:sz w:val="20"/>
          <w:szCs w:val="20"/>
          <w:color w:val="auto"/>
        </w:rPr>
      </w:pPr>
      <w:r>
        <w:rPr>
          <w:rFonts w:ascii="Arial" w:cs="Arial" w:eastAsia="Arial" w:hAnsi="Arial"/>
          <w:sz w:val="18"/>
          <w:szCs w:val="18"/>
          <w:color w:val="auto"/>
        </w:rPr>
        <w:t>created, full-service FDIC-operated “bridge bank” called Silicon Valley Bridge Bank, N.A. (“SVBB”), where depositors would have full access to their money immediately. On March 27, 2023, First Citizens BancShares, Inc. (“First Citizens”) announced that it had entered into an agreement with the FDIC to purchase all of the assets and liabilities of SVBB. SVBB will operate as a division of First Citizens. We currently have full control of our cash and cash equivalents balance, and SVBB has confirmed its terms of our existing Revolving Loan Facility.</w:t>
      </w:r>
    </w:p>
    <w:p>
      <w:pPr>
        <w:spacing w:after="0" w:line="8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As a “smaller reporting company,” as defined in Rule 12b-2 of the Exchange Act, we are not required to provide the information called for by this Item.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September 30, 2023. Based on the foregoing, our Principal Executive Officer and our Principal Financial Officer concluded that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476" w:right="11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17" w:lineRule="exact"/>
        <w:rPr>
          <w:sz w:val="20"/>
          <w:szCs w:val="20"/>
          <w:color w:val="auto"/>
        </w:rPr>
      </w:pPr>
    </w:p>
    <w:p>
      <w:pPr>
        <w:ind w:left="880" w:right="160" w:hanging="435"/>
        <w:spacing w:after="0" w:line="263"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macroeconomic conditions, including inflationary pressures and rising interest rates, uncertainty in the global banking and financial services market, potential U.S. government shutdown, global pandemics and responsive measures and the wars between Russia-Ukraine and Israel-Hamas.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factors</w:t>
      </w:r>
    </w:p>
    <w:p>
      <w:pPr>
        <w:spacing w:after="0" w:line="117" w:lineRule="exact"/>
        <w:rPr>
          <w:sz w:val="20"/>
          <w:szCs w:val="20"/>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relationship with our strategic partner and main distributor Topcon;</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growth;</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catastrophic loss;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364" w:right="1119" w:bottom="1440" w:gutter="0" w:footer="0" w:header="0"/>
        </w:sectPr>
      </w:pPr>
    </w:p>
    <w:bookmarkStart w:id="27" w:name="page28"/>
    <w:bookmarkEnd w:id="27"/>
    <w:p>
      <w:pPr>
        <w:ind w:left="880" w:hanging="43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developments affecting financial institutions, including bank failures;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recalls of our products;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growth effectively.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17" w:lineRule="exact"/>
        <w:rPr>
          <w:sz w:val="20"/>
          <w:szCs w:val="20"/>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 reform measures and changes in third-party coverage and reimbursement policies;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17" w:lineRule="exact"/>
        <w:rPr>
          <w:rFonts w:ascii="Arial" w:cs="Arial" w:eastAsia="Arial" w:hAnsi="Arial"/>
          <w:sz w:val="18"/>
          <w:szCs w:val="18"/>
          <w:color w:val="auto"/>
        </w:rPr>
      </w:pPr>
    </w:p>
    <w:p>
      <w:pPr>
        <w:ind w:left="880" w:right="40" w:hanging="435"/>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compliance with potential governmental, regulatory and other legal proceedings relative to advertising, promotion and marketing;</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with government regulations, including the FDA’s quality system regulation and laser performance standards;</w:t>
      </w:r>
    </w:p>
    <w:p>
      <w:pPr>
        <w:spacing w:after="0" w:line="140" w:lineRule="exact"/>
        <w:rPr>
          <w:rFonts w:ascii="Arial" w:cs="Arial" w:eastAsia="Arial" w:hAnsi="Arial"/>
          <w:sz w:val="16"/>
          <w:szCs w:val="16"/>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laws;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foreign laws, including changes to those laws;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17" w:lineRule="exact"/>
        <w:rPr>
          <w:sz w:val="20"/>
          <w:szCs w:val="20"/>
          <w:color w:val="auto"/>
        </w:rPr>
      </w:pPr>
    </w:p>
    <w:p>
      <w:pPr>
        <w:ind w:left="880" w:hanging="435"/>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17" w:lineRule="exact"/>
        <w:rPr>
          <w:rFonts w:ascii="Arial" w:cs="Arial" w:eastAsia="Arial" w:hAnsi="Arial"/>
          <w:sz w:val="18"/>
          <w:szCs w:val="18"/>
          <w:color w:val="auto"/>
        </w:rPr>
      </w:pPr>
    </w:p>
    <w:p>
      <w:pPr>
        <w:ind w:left="880" w:hanging="435"/>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in our charter documents, Delaware law and contractual provisions that could delay or prevent an acquisition or sale of our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17" w:lineRule="exact"/>
        <w:rPr>
          <w:sz w:val="20"/>
          <w:szCs w:val="20"/>
          <w:color w:val="auto"/>
        </w:rPr>
      </w:pPr>
    </w:p>
    <w:p>
      <w:pPr>
        <w:ind w:left="880" w:hanging="435"/>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color w:val="auto"/>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0" w:firstLine="441"/>
        <w:spacing w:after="0" w:line="313" w:lineRule="auto"/>
        <w:rPr>
          <w:sz w:val="20"/>
          <w:szCs w:val="20"/>
          <w:color w:val="auto"/>
        </w:rPr>
      </w:pPr>
      <w:r>
        <w:rPr>
          <w:rFonts w:ascii="Arial" w:cs="Arial" w:eastAsia="Arial" w:hAnsi="Arial"/>
          <w:sz w:val="15"/>
          <w:szCs w:val="15"/>
          <w:b w:val="1"/>
          <w:bCs w:val="1"/>
          <w:i w:val="1"/>
          <w:iCs w:val="1"/>
          <w:color w:val="auto"/>
        </w:rPr>
        <w:t>The current macroeconomic conditions, including the effects of the COVID-19 pandemic and efforts to mitigate its impact have disrupted, and may continue to disrupt, our operations, including our ability to manufacture and supply products and perform research and development activities, and our customers’ usage of our products as demand declined in elective surgeries in response to the COVID-19 pandemic,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continue to adversely impact our business operations, financial performance, results of operations, financial position and the achievement of our strategic objectives</w:t>
      </w:r>
      <w:r>
        <w:rPr>
          <w:rFonts w:ascii="Arial" w:cs="Arial" w:eastAsia="Arial" w:hAnsi="Arial"/>
          <w:sz w:val="15"/>
          <w:szCs w:val="15"/>
          <w:b w:val="1"/>
          <w:bCs w:val="1"/>
          <w:i w:val="1"/>
          <w:iCs w:val="1"/>
          <w:color w:val="212529"/>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28" w:name="page29"/>
    <w:bookmarkEnd w:id="28"/>
    <w:p>
      <w:pPr>
        <w:ind w:right="60" w:firstLine="441"/>
        <w:spacing w:after="0" w:line="269" w:lineRule="auto"/>
        <w:rPr>
          <w:sz w:val="20"/>
          <w:szCs w:val="20"/>
          <w:color w:val="auto"/>
        </w:rPr>
      </w:pPr>
      <w:r>
        <w:rPr>
          <w:rFonts w:ascii="Arial" w:cs="Arial" w:eastAsia="Arial" w:hAnsi="Arial"/>
          <w:sz w:val="17"/>
          <w:szCs w:val="17"/>
          <w:color w:val="auto"/>
        </w:rPr>
        <w:t>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any future outbreak of disease, global pandemic or in response to macroeconomic disruption related to any future global pandemic. For example, during the fiscal year ended January 2, 2021, we experienced significant decline in treatment and procedure volume worldwide, as healthcare systems diverted resources to meet the increasing demands of managing COVID-19. In the near term COVID-19 pandemic may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spacing w:after="0" w:line="71"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 On May 11, 2023, the federal government ended the COVID-19 public health emergency, which ended a number of temporary changes made to federally funded programs while some continue to be in effect.</w:t>
      </w:r>
    </w:p>
    <w:p>
      <w:pPr>
        <w:spacing w:after="0" w:line="53"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The volatile macroeconomic environment, including the COVID-19 pandemic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including the COVID-19 pandemic and other public health emergencies or outbreaks,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or other public health emergencies or outbreaks (including restrictions on travel and transport and workforce pressures); the impact of the COVID-19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including the impact of the COVID-19 pandemic, subside. Although the magnitude of the impact of the COVID-19 pandemic on our business operations remains a highly dynamic situation, we have experienced and may continue to experience in subsequent periods, disruptions to our business that may adversely impact our business, financial condition and results of operations.</w:t>
      </w:r>
    </w:p>
    <w:p>
      <w:pPr>
        <w:spacing w:after="0" w:line="8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b w:val="1"/>
          <w:bCs w:val="1"/>
          <w:i w:val="1"/>
          <w:iCs w:val="1"/>
          <w:color w:val="auto"/>
        </w:rPr>
        <w:t>We may not be successful in our strategic partnership with Topcon and the relationship may divert resources away from existing operations or expose us to liabilities, which could adversely affect our business, results of operations and financial condition.</w:t>
      </w:r>
    </w:p>
    <w:p>
      <w:pPr>
        <w:spacing w:after="0" w:line="76"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spacing w:after="0" w:line="58"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29" w:name="page30"/>
    <w:bookmarkEnd w:id="29"/>
    <w:p>
      <w:pPr>
        <w:ind w:right="60" w:firstLine="441"/>
        <w:spacing w:after="0" w:line="270" w:lineRule="auto"/>
        <w:rPr>
          <w:sz w:val="20"/>
          <w:szCs w:val="20"/>
          <w:color w:val="auto"/>
        </w:rPr>
      </w:pPr>
      <w:r>
        <w:rPr>
          <w:rFonts w:ascii="Arial" w:cs="Arial" w:eastAsia="Arial" w:hAnsi="Arial"/>
          <w:sz w:val="17"/>
          <w:szCs w:val="17"/>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w:t>
      </w:r>
    </w:p>
    <w:p>
      <w:pPr>
        <w:spacing w:after="0" w:line="73" w:lineRule="exact"/>
        <w:rPr>
          <w:sz w:val="20"/>
          <w:szCs w:val="20"/>
          <w:color w:val="auto"/>
        </w:rPr>
      </w:pPr>
    </w:p>
    <w:p>
      <w:pPr>
        <w:ind w:right="60" w:firstLine="441"/>
        <w:spacing w:after="0" w:line="296" w:lineRule="auto"/>
        <w:rPr>
          <w:sz w:val="20"/>
          <w:szCs w:val="20"/>
          <w:color w:val="auto"/>
        </w:rPr>
      </w:pPr>
      <w:r>
        <w:rPr>
          <w:rFonts w:ascii="Arial" w:cs="Arial" w:eastAsia="Arial" w:hAnsi="Arial"/>
          <w:sz w:val="16"/>
          <w:szCs w:val="16"/>
          <w:color w:val="auto"/>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spacing w:after="0" w:line="53" w:lineRule="exact"/>
        <w:rPr>
          <w:sz w:val="20"/>
          <w:szCs w:val="20"/>
          <w:color w:val="auto"/>
        </w:rPr>
      </w:pPr>
    </w:p>
    <w:p>
      <w:pPr>
        <w:ind w:right="120" w:firstLine="441"/>
        <w:spacing w:after="0" w:line="275" w:lineRule="auto"/>
        <w:rPr>
          <w:sz w:val="20"/>
          <w:szCs w:val="20"/>
          <w:color w:val="auto"/>
        </w:rPr>
      </w:pPr>
      <w:r>
        <w:rPr>
          <w:rFonts w:ascii="Arial" w:cs="Arial" w:eastAsia="Arial" w:hAnsi="Arial"/>
          <w:sz w:val="17"/>
          <w:szCs w:val="17"/>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6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We may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manufacture of our infrared and visible laser consoles and related delivery devices is a highly complex and precise process.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experience manufacturing difficulties, quality control issues or assembly constraints.</w:t>
      </w:r>
    </w:p>
    <w:p>
      <w:pPr>
        <w:spacing w:after="0" w:line="103"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spacing w:after="0" w:line="6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70"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7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79" w:lineRule="exact"/>
        <w:rPr>
          <w:sz w:val="20"/>
          <w:szCs w:val="20"/>
          <w:color w:val="auto"/>
        </w:rPr>
      </w:pPr>
    </w:p>
    <w:p>
      <w:pPr>
        <w:ind w:left="880" w:hanging="435"/>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30" w:name="page31"/>
    <w:bookmarkEnd w:id="30"/>
    <w:p>
      <w:pPr>
        <w:ind w:left="880" w:hanging="435"/>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occurrence of any one or more of the foregoing factors could seriously harm our business, financial condition and results of operations.</w:t>
      </w:r>
    </w:p>
    <w:p>
      <w:pPr>
        <w:spacing w:after="0" w:line="6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62"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22 employees and one independent representatives, respectively, and our direct sales force in Germany consists of one employee. Our international independent distributors are managed by a team of six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73"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third fiscal quarter of fiscal year 2023, our international sales were $6.7 million, or 52.2% of total revenues. We anticipate that international sales will continue to account for a significant portion of our revenues in the foreseeable future. All of our international revenues and costs for the third fiscal quarter of 2023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8" w:lineRule="exact"/>
        <w:rPr>
          <w:sz w:val="20"/>
          <w:szCs w:val="20"/>
          <w:color w:val="auto"/>
        </w:rPr>
      </w:pPr>
    </w:p>
    <w:p>
      <w:pPr>
        <w:ind w:left="880" w:right="380" w:hanging="435"/>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macroeconomic conditions, including the impact of any future global pandemic on the global economy and financial markets;</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in the global banking and financial services market;</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880" w:right="60" w:hanging="435"/>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certification requirements, including continued ability to use the “CE” mark in Europe, and other local regulatory requirements;</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660"/>
          </w:cols>
          <w:pgMar w:left="1080" w:top="476" w:right="1159" w:bottom="1440" w:gutter="0" w:footer="0" w:header="0"/>
        </w:sectPr>
      </w:pPr>
    </w:p>
    <w:bookmarkStart w:id="31" w:name="page32"/>
    <w:bookmarkEnd w:id="31"/>
    <w:p>
      <w:pPr>
        <w:ind w:left="880" w:hanging="435"/>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potentially adverse tax consequences, such as those related to changes in tax laws or tax rates or their interpretations;</w:t>
      </w:r>
    </w:p>
    <w:p>
      <w:pPr>
        <w:spacing w:after="0" w:line="140" w:lineRule="exact"/>
        <w:rPr>
          <w:rFonts w:ascii="Arial" w:cs="Arial" w:eastAsia="Arial" w:hAnsi="Arial"/>
          <w:sz w:val="16"/>
          <w:szCs w:val="16"/>
          <w:color w:val="auto"/>
        </w:rPr>
      </w:pPr>
    </w:p>
    <w:p>
      <w:pPr>
        <w:ind w:left="880" w:hanging="435"/>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880" w:right="100" w:hanging="435"/>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75" w:lineRule="exact"/>
        <w:rPr>
          <w:rFonts w:ascii="Arial" w:cs="Arial" w:eastAsia="Arial" w:hAnsi="Arial"/>
          <w:sz w:val="18"/>
          <w:szCs w:val="18"/>
          <w:color w:val="auto"/>
        </w:rPr>
      </w:pPr>
    </w:p>
    <w:p>
      <w:pPr>
        <w:ind w:left="880" w:right="20" w:hanging="435"/>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one or more of these factors stated above could have a material adverse effect on our business, financial condition or results of operations.</w:t>
      </w:r>
    </w:p>
    <w:p>
      <w:pPr>
        <w:spacing w:after="0" w:line="62"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8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59" w:lineRule="exact"/>
        <w:rPr>
          <w:sz w:val="20"/>
          <w:szCs w:val="20"/>
          <w:color w:val="auto"/>
        </w:rPr>
      </w:pPr>
    </w:p>
    <w:p>
      <w:pPr>
        <w:ind w:right="80" w:firstLine="441"/>
        <w:spacing w:after="0" w:line="253"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Arial" w:cs="Arial" w:eastAsia="Arial" w:hAnsi="Arial"/>
          <w:sz w:val="18"/>
          <w:szCs w:val="18"/>
          <w:i w:val="1"/>
          <w:iCs w:val="1"/>
          <w:color w:val="auto"/>
        </w:rPr>
        <w:t>California v. Texas</w:t>
      </w:r>
      <w:r>
        <w:rPr>
          <w:rFonts w:ascii="Arial" w:cs="Arial" w:eastAsia="Arial" w:hAnsi="Arial"/>
          <w:sz w:val="18"/>
          <w:szCs w:val="18"/>
          <w:color w:val="auto"/>
        </w:rPr>
        <w:t xml:space="preserve"> 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spacing w:after="0" w:line="88" w:lineRule="exact"/>
        <w:rPr>
          <w:sz w:val="20"/>
          <w:szCs w:val="20"/>
          <w:color w:val="auto"/>
        </w:rPr>
      </w:pPr>
    </w:p>
    <w:p>
      <w:pPr>
        <w:ind w:right="180" w:firstLine="441"/>
        <w:spacing w:after="0" w:line="275" w:lineRule="auto"/>
        <w:rPr>
          <w:sz w:val="20"/>
          <w:szCs w:val="20"/>
          <w:color w:val="auto"/>
        </w:rPr>
      </w:pPr>
      <w:r>
        <w:rPr>
          <w:rFonts w:ascii="Arial" w:cs="Arial" w:eastAsia="Arial" w:hAnsi="Arial"/>
          <w:sz w:val="17"/>
          <w:szCs w:val="17"/>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6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As discussed above, the MACs have published “Local Coverage Determination L39620 Micro-Invasive Glaucoma Surgery (MIGS)” in October and November 2023. Based on our initial analysis, this LCD imposes additional requirements for reimbursement, which will likely materially limit the types of patients for which WPS will reimburse cyclophotocoagulation procedures after the effective date. A number of physicians have expressed concerns regarding the potential restriction on their patients’ access to transscleral cyclophotocoagulation laser therapy (“TLT”) under this LCD. Although this LCD does not deny coverage, it is unclear how this LCD will be interpreted or applied by the MACs in practice, or how our customers will interpret or perceive this LCD when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476" w:right="1119" w:bottom="1440" w:gutter="0" w:footer="0" w:header="0"/>
        </w:sectPr>
      </w:pPr>
    </w:p>
    <w:bookmarkStart w:id="32" w:name="page33"/>
    <w:bookmarkEnd w:id="32"/>
    <w:p>
      <w:pPr>
        <w:ind w:right="100"/>
        <w:spacing w:after="0" w:line="289" w:lineRule="auto"/>
        <w:rPr>
          <w:sz w:val="20"/>
          <w:szCs w:val="20"/>
          <w:color w:val="auto"/>
        </w:rPr>
      </w:pPr>
      <w:r>
        <w:rPr>
          <w:rFonts w:ascii="Arial" w:cs="Arial" w:eastAsia="Arial" w:hAnsi="Arial"/>
          <w:sz w:val="16"/>
          <w:szCs w:val="16"/>
          <w:color w:val="auto"/>
        </w:rPr>
        <w:t>making purchasing decisions. As such, the full impact of this LCD on our glaucoma business in the United States is unclear. We and other stakeholders intend to challenge the scope of this LCD. Additionally, we plan to work with participating physicians to collect additional data to demonstrate the value of the MicroPulse technology to patients. We can provide no assurance that the level of coverage or reimbursement, market share and demand, and/or revenues for any of our products will be maintained. We will continue to assess and adjust our domestic glaucoma operations as appropriate in response to any changes in reimbursement policies that materially impact our ability to maintain and expand our glaucoma business in the United States. If we are unable to obtain or maintain adequate levels of third-party coverage and reimbursement for the procedures using our products, if third parties rescind or modify their coverage or impose greater restrictions reimbursement criteria, or if patients are left with significant out-of-pocket costs, it would have a material adverse effect on our business, financial condition and results of operations.</w:t>
      </w:r>
    </w:p>
    <w:p>
      <w:pPr>
        <w:spacing w:after="0" w:line="5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Should the current macroeconomic conditions worsen, it could delay and disrupt our research and development processes even further.</w:t>
      </w:r>
    </w:p>
    <w:p>
      <w:pPr>
        <w:spacing w:after="0" w:line="7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6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Growth in our sales and marketing organization may increase costs and create operational challenges without immediately offsetting benefits.</w:t>
      </w:r>
    </w:p>
    <w:p>
      <w:pPr>
        <w:spacing w:after="0" w:line="62" w:lineRule="exact"/>
        <w:rPr>
          <w:sz w:val="20"/>
          <w:szCs w:val="20"/>
          <w:color w:val="auto"/>
        </w:rPr>
      </w:pPr>
    </w:p>
    <w:p>
      <w:pPr>
        <w:ind w:right="360" w:firstLine="441"/>
        <w:spacing w:after="0" w:line="293" w:lineRule="auto"/>
        <w:rPr>
          <w:sz w:val="20"/>
          <w:szCs w:val="20"/>
          <w:color w:val="auto"/>
        </w:rPr>
      </w:pPr>
      <w:r>
        <w:rPr>
          <w:rFonts w:ascii="Arial" w:cs="Arial" w:eastAsia="Arial" w:hAnsi="Arial"/>
          <w:sz w:val="16"/>
          <w:szCs w:val="16"/>
          <w:color w:val="auto"/>
        </w:rPr>
        <w:t>We continue to increase our internal sales and marketing functions. This growth may place a strain on our management, operating and financial systems and our sales, marketing and administrative resources as well as increase operating costs. For example, if we are unable to efficiently or effectively provide adequate training for our expanding sales force and marketing organization, we may not be able to immediately or fully utilize marketing resources, generate new sales and offset operational challenges such as the cost of recruiting and hiring sales and marketing personnel. If we cannot effectively manage our expanding operations and our costs, our business may not be able to grow effectively or we may grow at a slower pace.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uncertainty in the global banking and financial services market, international conflicts, terrorist and military activity, civil unrest and pandemic-related illness could reduce customer orders or cause customer order cancellations. For example, any future global pandemic or other public health emergencies may cause adverse impacts on global economic activity which could negatively impact our business. In addition, political and social turmoil related to international conflicts, such as that occurring in Russia-Ukraine and Israel-Hamas, and terrorist acts may put further pressure on economic conditions in the United States and abroad.</w:t>
      </w:r>
    </w:p>
    <w:p>
      <w:pPr>
        <w:spacing w:after="0" w:line="84"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33" w:name="page34"/>
    <w:bookmarkEnd w:id="33"/>
    <w:p>
      <w:pPr>
        <w:ind w:right="20" w:firstLine="441"/>
        <w:spacing w:after="0" w:line="277" w:lineRule="auto"/>
        <w:rPr>
          <w:sz w:val="20"/>
          <w:szCs w:val="20"/>
          <w:color w:val="auto"/>
        </w:rPr>
      </w:pPr>
      <w:r>
        <w:rPr>
          <w:rFonts w:ascii="Arial" w:cs="Arial" w:eastAsia="Arial" w:hAnsi="Arial"/>
          <w:sz w:val="18"/>
          <w:szCs w:val="18"/>
          <w:color w:val="auto"/>
        </w:rPr>
        <w:t>If economic uncertainty persisted, or if the economy entered a prolonged period of decelerating growth, our results of operations may be harmed.</w:t>
      </w:r>
    </w:p>
    <w:p>
      <w:pPr>
        <w:spacing w:after="0" w:line="62" w:lineRule="exact"/>
        <w:rPr>
          <w:sz w:val="20"/>
          <w:szCs w:val="20"/>
          <w:color w:val="auto"/>
        </w:rPr>
      </w:pPr>
    </w:p>
    <w:p>
      <w:pPr>
        <w:ind w:right="600" w:firstLine="441"/>
        <w:spacing w:after="0" w:line="308" w:lineRule="auto"/>
        <w:rPr>
          <w:sz w:val="20"/>
          <w:szCs w:val="20"/>
          <w:color w:val="auto"/>
        </w:rPr>
      </w:pPr>
      <w:r>
        <w:rPr>
          <w:rFonts w:ascii="Arial" w:cs="Arial" w:eastAsia="Arial" w:hAnsi="Arial"/>
          <w:sz w:val="17"/>
          <w:szCs w:val="17"/>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38"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76" w:lineRule="exact"/>
        <w:rPr>
          <w:sz w:val="20"/>
          <w:szCs w:val="20"/>
          <w:color w:val="auto"/>
        </w:rPr>
      </w:pPr>
    </w:p>
    <w:p>
      <w:pPr>
        <w:ind w:left="880" w:hanging="435"/>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macroeconomic conditions, including inflationary pressures and rising interest rates, uncertainty in the global banking and financial services market, potential federal government shutdown, global pandemics and responsive measures and the wars between Russia-Ukraine and Israel-Hamas;</w:t>
      </w:r>
    </w:p>
    <w:p>
      <w:pPr>
        <w:spacing w:after="0" w:line="75" w:lineRule="exact"/>
        <w:rPr>
          <w:rFonts w:ascii="Arial" w:cs="Arial" w:eastAsia="Arial" w:hAnsi="Arial"/>
          <w:sz w:val="18"/>
          <w:szCs w:val="18"/>
          <w:color w:val="auto"/>
        </w:rPr>
      </w:pPr>
    </w:p>
    <w:p>
      <w:pPr>
        <w:ind w:left="880" w:right="340" w:hanging="435"/>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foreign currency exchange rates;</w:t>
      </w:r>
    </w:p>
    <w:p>
      <w:pPr>
        <w:spacing w:after="0" w:line="62" w:lineRule="exact"/>
        <w:rPr>
          <w:rFonts w:ascii="Arial" w:cs="Arial" w:eastAsia="Arial" w:hAnsi="Arial"/>
          <w:sz w:val="18"/>
          <w:szCs w:val="18"/>
          <w:color w:val="auto"/>
        </w:rPr>
      </w:pPr>
    </w:p>
    <w:p>
      <w:pPr>
        <w:ind w:left="880" w:right="60" w:hanging="435"/>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880" w:right="440" w:hanging="435"/>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delays or reductions in product shipments, or product recalls, resulting from manufacturing, distribution or other operational issues;</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the introduction and market acceptance of new products, product enhancements and new applications;</w:t>
      </w:r>
    </w:p>
    <w:p>
      <w:pPr>
        <w:spacing w:after="0" w:line="128" w:lineRule="exact"/>
        <w:rPr>
          <w:rFonts w:ascii="Arial" w:cs="Arial" w:eastAsia="Arial" w:hAnsi="Arial"/>
          <w:sz w:val="17"/>
          <w:szCs w:val="17"/>
          <w:color w:val="auto"/>
        </w:rPr>
      </w:pPr>
    </w:p>
    <w:p>
      <w:pPr>
        <w:ind w:left="880" w:hanging="435"/>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880" w:right="360" w:hanging="435"/>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880" w:right="520" w:hanging="435"/>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customers’ or potential customers’ budgets as a result of, among other things, reimbursement policies of government programs and private insurers for treatments that use our products;</w:t>
      </w:r>
    </w:p>
    <w:p>
      <w:pPr>
        <w:spacing w:after="0" w:line="38" w:lineRule="exact"/>
        <w:rPr>
          <w:rFonts w:ascii="Arial" w:cs="Arial" w:eastAsia="Arial" w:hAnsi="Arial"/>
          <w:sz w:val="17"/>
          <w:szCs w:val="17"/>
          <w:color w:val="auto"/>
        </w:rPr>
      </w:pPr>
    </w:p>
    <w:p>
      <w:pPr>
        <w:ind w:left="880" w:right="180" w:hanging="435"/>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due to global constraints or other factors and training issues; and</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w:t>
      </w:r>
    </w:p>
    <w:p>
      <w:pPr>
        <w:spacing w:after="0" w:line="14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34" w:name="page35"/>
    <w:bookmarkEnd w:id="34"/>
    <w:p>
      <w:pPr>
        <w:ind w:right="320" w:firstLine="441"/>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76" w:lineRule="exact"/>
        <w:rPr>
          <w:sz w:val="20"/>
          <w:szCs w:val="20"/>
          <w:color w:val="auto"/>
        </w:rPr>
      </w:pPr>
    </w:p>
    <w:p>
      <w:pPr>
        <w:ind w:left="880" w:right="780" w:hanging="435"/>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any future resurgence any future global pandemic or other public health emergencies on timing of ophthalmic treatment procedures;</w:t>
      </w:r>
    </w:p>
    <w:p>
      <w:pPr>
        <w:spacing w:after="0" w:line="62" w:lineRule="exact"/>
        <w:rPr>
          <w:rFonts w:ascii="Arial" w:cs="Arial" w:eastAsia="Arial" w:hAnsi="Arial"/>
          <w:sz w:val="18"/>
          <w:szCs w:val="18"/>
          <w:color w:val="auto"/>
        </w:rPr>
      </w:pPr>
    </w:p>
    <w:p>
      <w:pPr>
        <w:ind w:left="880" w:right="720" w:hanging="435"/>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 and our PASCAL product;</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880" w:right="400" w:hanging="435"/>
        <w:spacing w:after="0" w:line="342"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15" w:lineRule="exact"/>
        <w:rPr>
          <w:rFonts w:ascii="Arial" w:cs="Arial" w:eastAsia="Arial" w:hAnsi="Arial"/>
          <w:sz w:val="16"/>
          <w:szCs w:val="16"/>
          <w:color w:val="auto"/>
        </w:rPr>
      </w:pPr>
    </w:p>
    <w:p>
      <w:pPr>
        <w:ind w:left="880" w:hanging="435"/>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face strong competition in our markets and expect the level of competition to grow in the foreseeable future.</w:t>
      </w:r>
    </w:p>
    <w:p>
      <w:pPr>
        <w:spacing w:after="0" w:line="1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7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Our principal ophthalmic laser competitors are Alcon Inc., Novartis AG, Bausch Health Companies Inc., Carl Zeiss Meditec AG, Lumenis Ltd., Nidek Co. Ltd., Lumibird, and Norlase.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0" w:lineRule="exact"/>
        <w:rPr>
          <w:sz w:val="20"/>
          <w:szCs w:val="20"/>
          <w:color w:val="auto"/>
        </w:rPr>
      </w:pPr>
    </w:p>
    <w:p>
      <w:pPr>
        <w:ind w:right="240" w:firstLine="441"/>
        <w:spacing w:after="0" w:line="375" w:lineRule="auto"/>
        <w:rPr>
          <w:sz w:val="20"/>
          <w:szCs w:val="20"/>
          <w:color w:val="auto"/>
        </w:rPr>
      </w:pPr>
      <w:r>
        <w:rPr>
          <w:rFonts w:ascii="Arial" w:cs="Arial" w:eastAsia="Arial" w:hAnsi="Arial"/>
          <w:sz w:val="15"/>
          <w:szCs w:val="15"/>
          <w:b w:val="1"/>
          <w:bCs w:val="1"/>
          <w:i w:val="1"/>
          <w:iCs w:val="1"/>
          <w:color w:val="auto"/>
        </w:rPr>
        <w:t>Divestitures of our businesses or product lines may materially and adversely affect our financial condition, results of operations or cash flows and require us to raise additional capital to replace revenue from those business units or product lines.</w:t>
      </w:r>
    </w:p>
    <w:p>
      <w:pPr>
        <w:spacing w:after="0" w:line="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476" w:right="1119" w:bottom="1440" w:gutter="0" w:footer="0" w:header="0"/>
        </w:sectPr>
      </w:pPr>
    </w:p>
    <w:bookmarkStart w:id="35" w:name="page36"/>
    <w:bookmarkEnd w:id="35"/>
    <w:p>
      <w:pPr>
        <w:ind w:right="460"/>
        <w:spacing w:after="0" w:line="263" w:lineRule="auto"/>
        <w:rPr>
          <w:sz w:val="20"/>
          <w:szCs w:val="20"/>
          <w:color w:val="auto"/>
        </w:rPr>
      </w:pPr>
      <w:r>
        <w:rPr>
          <w:rFonts w:ascii="Arial" w:cs="Arial" w:eastAsia="Arial" w:hAnsi="Arial"/>
          <w:sz w:val="18"/>
          <w:szCs w:val="18"/>
          <w:color w:val="auto"/>
        </w:rPr>
        <w:t>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76"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40" w:firstLine="441"/>
        <w:spacing w:after="0" w:line="283"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w:t>
      </w:r>
    </w:p>
    <w:p>
      <w:pPr>
        <w:spacing w:after="0" w:line="3" w:lineRule="exact"/>
        <w:rPr>
          <w:sz w:val="20"/>
          <w:szCs w:val="20"/>
          <w:color w:val="auto"/>
        </w:rPr>
      </w:pPr>
    </w:p>
    <w:p>
      <w:pPr>
        <w:ind w:right="40" w:firstLine="4"/>
        <w:spacing w:after="0" w:line="273" w:lineRule="auto"/>
        <w:tabs>
          <w:tab w:leader="none" w:pos="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8"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83"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b w:val="1"/>
          <w:bCs w:val="1"/>
          <w:i w:val="1"/>
          <w:iCs w:val="1"/>
          <w:color w:val="auto"/>
        </w:rPr>
        <w:t>We depend on collaborative relationships to develop, introduce and market new products, product enhancements and applications.</w:t>
      </w:r>
    </w:p>
    <w:p>
      <w:pPr>
        <w:spacing w:after="0" w:line="6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8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00"/>
          </w:cols>
          <w:pgMar w:left="1080" w:top="476" w:right="1119" w:bottom="1440" w:gutter="0" w:footer="0" w:header="0"/>
        </w:sectPr>
      </w:pPr>
    </w:p>
    <w:bookmarkStart w:id="36" w:name="page37"/>
    <w:bookmarkEnd w:id="36"/>
    <w:p>
      <w:pPr>
        <w:ind w:right="100" w:firstLine="441"/>
        <w:spacing w:after="0" w:line="263" w:lineRule="auto"/>
        <w:rPr>
          <w:sz w:val="20"/>
          <w:szCs w:val="20"/>
          <w:color w:val="auto"/>
        </w:rPr>
      </w:pPr>
      <w:r>
        <w:rPr>
          <w:rFonts w:ascii="Arial" w:cs="Arial" w:eastAsia="Arial" w:hAnsi="Arial"/>
          <w:sz w:val="18"/>
          <w:szCs w:val="18"/>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76"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September 30, 2023, our patent portfolio includes 62 active United States patents and 85 active international patents on the technologies related to our products and processes. In addition, as of September 30, 2023, we have 11 patent applications pending in the United States and 21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4"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56"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1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70"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5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If we lose key personnel or fail to integrate replacement personnel successfully, our ability to manage our business could be impaired.</w:t>
      </w:r>
    </w:p>
    <w:p>
      <w:pPr>
        <w:spacing w:after="0" w:line="62"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37" w:name="page38"/>
    <w:bookmarkEnd w:id="37"/>
    <w:p>
      <w:pPr>
        <w:ind w:firstLine="441"/>
        <w:spacing w:after="0" w:line="263" w:lineRule="auto"/>
        <w:rPr>
          <w:sz w:val="20"/>
          <w:szCs w:val="20"/>
          <w:color w:val="auto"/>
        </w:rPr>
      </w:pPr>
      <w:r>
        <w:rPr>
          <w:rFonts w:ascii="Arial" w:cs="Arial" w:eastAsia="Arial" w:hAnsi="Arial"/>
          <w:sz w:val="18"/>
          <w:szCs w:val="18"/>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7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80" w:firstLine="441"/>
        <w:spacing w:after="0" w:line="296"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53" w:lineRule="exact"/>
        <w:rPr>
          <w:sz w:val="20"/>
          <w:szCs w:val="20"/>
          <w:color w:val="auto"/>
        </w:rPr>
      </w:pPr>
    </w:p>
    <w:p>
      <w:pPr>
        <w:ind w:left="880" w:right="480" w:hanging="435"/>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macroeconomic conditions, including any future global pandemic and inflationary pressures on global supply chains and market stability;</w:t>
      </w:r>
    </w:p>
    <w:p>
      <w:pPr>
        <w:spacing w:after="0" w:line="62" w:lineRule="exact"/>
        <w:rPr>
          <w:rFonts w:ascii="Arial" w:cs="Arial" w:eastAsia="Arial" w:hAnsi="Arial"/>
          <w:sz w:val="18"/>
          <w:szCs w:val="18"/>
          <w:color w:val="auto"/>
        </w:rPr>
      </w:pPr>
    </w:p>
    <w:p>
      <w:pPr>
        <w:ind w:left="880" w:right="20" w:hanging="435"/>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880" w:right="180" w:hanging="435"/>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suppliers to manufacture and assemble components and products to our specifications, and potentially reduced quality; and</w:t>
      </w:r>
    </w:p>
    <w:p>
      <w:pPr>
        <w:spacing w:after="0" w:line="62" w:lineRule="exact"/>
        <w:rPr>
          <w:rFonts w:ascii="Arial" w:cs="Arial" w:eastAsia="Arial" w:hAnsi="Arial"/>
          <w:sz w:val="18"/>
          <w:szCs w:val="18"/>
          <w:color w:val="auto"/>
        </w:rPr>
      </w:pPr>
    </w:p>
    <w:p>
      <w:pPr>
        <w:ind w:left="880" w:right="680" w:hanging="435"/>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components and products in a timely manner or at acceptable prices due to global supply chain constraints or other factors.</w:t>
      </w:r>
    </w:p>
    <w:p>
      <w:pPr>
        <w:spacing w:after="0" w:line="62"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38" w:name="page39"/>
    <w:bookmarkEnd w:id="38"/>
    <w:p>
      <w:pPr>
        <w:ind w:right="260" w:firstLine="445"/>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due to the COVID-19 pandemic or due to political uncertainty and military actions associated with the significant military action against Ukraine launched by Russia.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66" w:lineRule="exact"/>
        <w:rPr>
          <w:sz w:val="20"/>
          <w:szCs w:val="20"/>
          <w:color w:val="auto"/>
        </w:rPr>
      </w:pPr>
    </w:p>
    <w:p>
      <w:pPr>
        <w:ind w:right="320" w:firstLine="441"/>
        <w:spacing w:after="0" w:line="275" w:lineRule="auto"/>
        <w:rPr>
          <w:sz w:val="20"/>
          <w:szCs w:val="20"/>
          <w:color w:val="auto"/>
        </w:rPr>
      </w:pPr>
      <w:r>
        <w:rPr>
          <w:rFonts w:ascii="Arial" w:cs="Arial" w:eastAsia="Arial" w:hAnsi="Arial"/>
          <w:sz w:val="17"/>
          <w:szCs w:val="17"/>
          <w:color w:val="auto"/>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8"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77"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84"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39" w:name="page40"/>
    <w:bookmarkEnd w:id="39"/>
    <w:p>
      <w:pPr>
        <w:ind w:firstLine="441"/>
        <w:spacing w:after="0" w:line="270"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3"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4" w:lineRule="exact"/>
        <w:rPr>
          <w:sz w:val="20"/>
          <w:szCs w:val="20"/>
          <w:color w:val="auto"/>
        </w:rPr>
      </w:pPr>
    </w:p>
    <w:p>
      <w:pPr>
        <w:ind w:right="60" w:firstLine="441"/>
        <w:spacing w:after="0" w:line="283" w:lineRule="auto"/>
        <w:rPr>
          <w:sz w:val="20"/>
          <w:szCs w:val="20"/>
          <w:color w:val="auto"/>
        </w:rPr>
      </w:pPr>
      <w:r>
        <w:rPr>
          <w:rFonts w:ascii="Arial" w:cs="Arial" w:eastAsia="Arial" w:hAnsi="Arial"/>
          <w:sz w:val="16"/>
          <w:szCs w:val="16"/>
          <w:color w:val="auto"/>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spacing w:after="0" w:line="83" w:lineRule="exact"/>
        <w:rPr>
          <w:sz w:val="20"/>
          <w:szCs w:val="20"/>
          <w:color w:val="auto"/>
        </w:rPr>
      </w:pPr>
    </w:p>
    <w:p>
      <w:pPr>
        <w:jc w:val="both"/>
        <w:ind w:right="400" w:firstLine="441"/>
        <w:spacing w:after="0" w:line="263" w:lineRule="auto"/>
        <w:rPr>
          <w:sz w:val="20"/>
          <w:szCs w:val="20"/>
          <w:color w:val="auto"/>
        </w:rPr>
      </w:pPr>
      <w:r>
        <w:rPr>
          <w:rFonts w:ascii="Arial" w:cs="Arial" w:eastAsia="Arial" w:hAnsi="Arial"/>
          <w:sz w:val="18"/>
          <w:szCs w:val="18"/>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76"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spacing w:after="0" w:line="70"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0" w:name="page41"/>
    <w:bookmarkEnd w:id="40"/>
    <w:p>
      <w:pPr>
        <w:ind w:right="40" w:firstLine="441"/>
        <w:spacing w:after="0" w:line="342" w:lineRule="auto"/>
        <w:rPr>
          <w:sz w:val="20"/>
          <w:szCs w:val="20"/>
          <w:color w:val="auto"/>
        </w:rPr>
      </w:pPr>
      <w:r>
        <w:rPr>
          <w:rFonts w:ascii="Arial" w:cs="Arial" w:eastAsia="Arial" w:hAnsi="Arial"/>
          <w:sz w:val="16"/>
          <w:szCs w:val="16"/>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16"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7" w:lineRule="exact"/>
        <w:rPr>
          <w:sz w:val="20"/>
          <w:szCs w:val="20"/>
          <w:color w:val="auto"/>
        </w:rPr>
      </w:pPr>
    </w:p>
    <w:p>
      <w:pPr>
        <w:ind w:right="400" w:firstLine="441"/>
        <w:spacing w:after="0" w:line="263" w:lineRule="auto"/>
        <w:rPr>
          <w:sz w:val="20"/>
          <w:szCs w:val="20"/>
          <w:color w:val="auto"/>
        </w:rPr>
      </w:pPr>
      <w:r>
        <w:rPr>
          <w:rFonts w:ascii="Arial" w:cs="Arial" w:eastAsia="Arial" w:hAnsi="Arial"/>
          <w:sz w:val="18"/>
          <w:szCs w:val="18"/>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76"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53" w:lineRule="exact"/>
        <w:rPr>
          <w:sz w:val="20"/>
          <w:szCs w:val="20"/>
          <w:color w:val="auto"/>
        </w:rPr>
      </w:pPr>
    </w:p>
    <w:p>
      <w:pPr>
        <w:ind w:left="880" w:hanging="435"/>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880" w:hanging="435"/>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and other service providers,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8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1" w:name="page42"/>
    <w:bookmarkEnd w:id="41"/>
    <w:p>
      <w:pPr>
        <w:ind w:right="80"/>
        <w:spacing w:after="0" w:line="277" w:lineRule="auto"/>
        <w:rPr>
          <w:sz w:val="20"/>
          <w:szCs w:val="20"/>
          <w:color w:val="auto"/>
        </w:rPr>
      </w:pPr>
      <w:r>
        <w:rPr>
          <w:rFonts w:ascii="Arial" w:cs="Arial" w:eastAsia="Arial" w:hAnsi="Arial"/>
          <w:sz w:val="18"/>
          <w:szCs w:val="18"/>
          <w:color w:val="auto"/>
        </w:rPr>
        <w:t>other cases we may determine that we will recall a product because we have determined that the product is violative, in order to avoid further enforcement action and protect the public health.</w:t>
      </w:r>
    </w:p>
    <w:p>
      <w:pPr>
        <w:spacing w:after="0" w:line="62"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68" w:lineRule="exact"/>
        <w:rPr>
          <w:sz w:val="20"/>
          <w:szCs w:val="20"/>
          <w:color w:val="auto"/>
        </w:rPr>
      </w:pPr>
    </w:p>
    <w:p>
      <w:pPr>
        <w:ind w:right="120" w:firstLine="441"/>
        <w:spacing w:after="0" w:line="260" w:lineRule="auto"/>
        <w:rPr>
          <w:sz w:val="20"/>
          <w:szCs w:val="20"/>
          <w:color w:val="auto"/>
        </w:rPr>
      </w:pPr>
      <w:r>
        <w:rPr>
          <w:rFonts w:ascii="Arial" w:cs="Arial" w:eastAsia="Arial" w:hAnsi="Arial"/>
          <w:sz w:val="17"/>
          <w:szCs w:val="17"/>
          <w:color w:val="auto"/>
        </w:rPr>
        <w:t>For example, on February 23, 2018, we initiated a worldwide voluntary recall of a specific laser accessory called the TruFocus LIO Premiere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On September 22, 2023, the FDA notified the Company that the FDA concluded that the recall has been completed, there has been proper disposition of the recalled product, and, therefore, FDA considers the recall terminated.</w:t>
      </w:r>
    </w:p>
    <w:p>
      <w:pPr>
        <w:spacing w:after="0" w:line="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fail to manage growth effectively, our business could be disrupted which could harm our operating results.</w:t>
      </w:r>
    </w:p>
    <w:p>
      <w:pPr>
        <w:spacing w:after="0" w:line="129"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56"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Significant developments resulting from recent and potential changes in U.S. trade policies could have a material adverse effect on us.</w:t>
      </w:r>
    </w:p>
    <w:p>
      <w:pPr>
        <w:spacing w:after="0" w:line="62"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Certain of our materials may be subject to the effects of various trade agreements, treaties and tariffs. The prior U.S. presidential administration has imposed tariffs on various goods from various countries, including China, Canada and the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60"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8"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2" w:name="page43"/>
    <w:bookmarkEnd w:id="42"/>
    <w:p>
      <w:pPr>
        <w:ind w:right="120"/>
        <w:spacing w:after="0" w:line="342" w:lineRule="auto"/>
        <w:rPr>
          <w:sz w:val="20"/>
          <w:szCs w:val="20"/>
          <w:color w:val="auto"/>
        </w:rPr>
      </w:pPr>
      <w:r>
        <w:rPr>
          <w:rFonts w:ascii="Arial" w:cs="Arial" w:eastAsia="Arial" w:hAnsi="Arial"/>
          <w:sz w:val="16"/>
          <w:szCs w:val="16"/>
          <w:color w:val="auto"/>
        </w:rPr>
        <w:t>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6"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b w:val="1"/>
          <w:bCs w:val="1"/>
          <w:i w:val="1"/>
          <w:iCs w:val="1"/>
          <w:color w:val="auto"/>
        </w:rPr>
        <w:t>Changes in U.S. tax laws could have a material adverse effect on our business, consolidated cash flow, results of operations or financial conditions.</w:t>
      </w:r>
    </w:p>
    <w:p>
      <w:pPr>
        <w:spacing w:after="0" w:line="6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80" w:lineRule="exact"/>
        <w:rPr>
          <w:sz w:val="20"/>
          <w:szCs w:val="20"/>
          <w:color w:val="auto"/>
        </w:rPr>
      </w:pPr>
    </w:p>
    <w:p>
      <w:pPr>
        <w:ind w:right="100" w:firstLine="441"/>
        <w:spacing w:after="0" w:line="275" w:lineRule="auto"/>
        <w:rPr>
          <w:sz w:val="20"/>
          <w:szCs w:val="20"/>
          <w:color w:val="auto"/>
        </w:rPr>
      </w:pPr>
      <w:r>
        <w:rPr>
          <w:rFonts w:ascii="Arial" w:cs="Arial" w:eastAsia="Arial" w:hAnsi="Arial"/>
          <w:sz w:val="17"/>
          <w:szCs w:val="17"/>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6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6" w:lineRule="exact"/>
        <w:rPr>
          <w:sz w:val="20"/>
          <w:szCs w:val="20"/>
          <w:color w:val="auto"/>
        </w:rPr>
      </w:pPr>
    </w:p>
    <w:p>
      <w:pPr>
        <w:ind w:right="200" w:firstLine="441"/>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3"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56"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80" w:lineRule="exact"/>
        <w:rPr>
          <w:sz w:val="20"/>
          <w:szCs w:val="20"/>
          <w:color w:val="auto"/>
        </w:rPr>
      </w:pPr>
    </w:p>
    <w:p>
      <w:pPr>
        <w:ind w:right="100" w:firstLine="441"/>
        <w:spacing w:after="0" w:line="301" w:lineRule="auto"/>
        <w:rPr>
          <w:sz w:val="20"/>
          <w:szCs w:val="20"/>
          <w:color w:val="auto"/>
        </w:rPr>
      </w:pPr>
      <w:r>
        <w:rPr>
          <w:rFonts w:ascii="Arial" w:cs="Arial" w:eastAsia="Arial" w:hAnsi="Arial"/>
          <w:sz w:val="16"/>
          <w:szCs w:val="16"/>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3" w:name="page44"/>
    <w:bookmarkEnd w:id="43"/>
    <w:p>
      <w:pPr>
        <w:ind w:right="320" w:firstLine="441"/>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74"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b w:val="1"/>
          <w:bCs w:val="1"/>
          <w:i w:val="1"/>
          <w:iCs w:val="1"/>
          <w:color w:val="auto"/>
        </w:rPr>
        <w:t>Our stock price has been and may continue to be volatile and an investment in our common stock could suffer a decline in value.</w:t>
      </w:r>
    </w:p>
    <w:p>
      <w:pPr>
        <w:spacing w:after="0" w:line="6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Russia-Ukraine and Israel-Hamas. During the third quarter of fiscal year 2023, the trading price of our common stock fluctuated from a low of $1.33 per share to a high of $2.54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73"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stockholders will benefit from an investment in our common stock only if it appreciates in value.</w:t>
      </w:r>
    </w:p>
    <w:p>
      <w:pPr>
        <w:spacing w:after="0" w:line="62"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4"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4" w:lineRule="exact"/>
        <w:rPr>
          <w:sz w:val="20"/>
          <w:szCs w:val="20"/>
          <w:color w:val="auto"/>
        </w:rPr>
      </w:pPr>
    </w:p>
    <w:p>
      <w:pPr>
        <w:ind w:right="500" w:firstLine="441"/>
        <w:spacing w:after="0" w:line="308" w:lineRule="auto"/>
        <w:rPr>
          <w:sz w:val="20"/>
          <w:szCs w:val="20"/>
          <w:color w:val="auto"/>
        </w:rPr>
      </w:pPr>
      <w:r>
        <w:rPr>
          <w:rFonts w:ascii="Arial" w:cs="Arial" w:eastAsia="Arial" w:hAnsi="Arial"/>
          <w:sz w:val="17"/>
          <w:szCs w:val="17"/>
          <w:b w:val="1"/>
          <w:bCs w:val="1"/>
          <w:i w:val="1"/>
          <w:iCs w:val="1"/>
          <w:color w:val="auto"/>
        </w:rPr>
        <w:t>Ownership of our common stock is concentrated among a few investors, which may affect the ability of a third party to acquire control of us. Substantial sales by such investors could cause our stock price to decline.</w:t>
      </w:r>
    </w:p>
    <w:p>
      <w:pPr>
        <w:spacing w:after="0" w:line="3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ind w:right="20" w:firstLine="441"/>
        <w:spacing w:after="0" w:line="381" w:lineRule="auto"/>
        <w:rPr>
          <w:sz w:val="20"/>
          <w:szCs w:val="20"/>
          <w:color w:val="auto"/>
        </w:rPr>
      </w:pPr>
      <w:r>
        <w:rPr>
          <w:rFonts w:ascii="Arial" w:cs="Arial" w:eastAsia="Arial" w:hAnsi="Arial"/>
          <w:sz w:val="15"/>
          <w:szCs w:val="15"/>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4" w:name="page45"/>
    <w:bookmarkEnd w:id="44"/>
    <w:p>
      <w:pPr>
        <w:ind w:right="40"/>
        <w:spacing w:after="0" w:line="277" w:lineRule="auto"/>
        <w:rPr>
          <w:sz w:val="20"/>
          <w:szCs w:val="20"/>
          <w:color w:val="auto"/>
        </w:rPr>
      </w:pPr>
      <w:r>
        <w:rPr>
          <w:rFonts w:ascii="Arial" w:cs="Arial" w:eastAsia="Arial" w:hAnsi="Arial"/>
          <w:sz w:val="18"/>
          <w:szCs w:val="18"/>
          <w:b w:val="1"/>
          <w:bCs w:val="1"/>
          <w:i w:val="1"/>
          <w:iCs w:val="1"/>
          <w:color w:val="auto"/>
        </w:rPr>
        <w:t>may not be determined to be effective, which may adversely affect investor confidence in our company and, as a result, the value of our common stock.</w:t>
      </w:r>
    </w:p>
    <w:p>
      <w:pPr>
        <w:spacing w:after="0" w:line="62"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7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4"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spacing w:after="0" w:line="84"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84" w:lineRule="exact"/>
        <w:rPr>
          <w:sz w:val="20"/>
          <w:szCs w:val="20"/>
          <w:color w:val="auto"/>
        </w:rPr>
      </w:pPr>
    </w:p>
    <w:p>
      <w:pPr>
        <w:ind w:left="880" w:hanging="435"/>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880" w:right="580" w:hanging="435"/>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880" w:hanging="435"/>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880" w:hanging="435"/>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476" w:right="1099" w:bottom="1440" w:gutter="0" w:footer="0" w:header="0"/>
        </w:sectPr>
      </w:pPr>
    </w:p>
    <w:bookmarkStart w:id="45" w:name="page46"/>
    <w:bookmarkEnd w:id="45"/>
    <w:p>
      <w:pPr>
        <w:ind w:right="4219"/>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Sales of Unregistered Securities</w:t>
      </w: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379"/>
          </w:cols>
          <w:pgMar w:left="1080" w:top="364"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872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872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8720" w:type="dxa"/>
            <w:vAlign w:val="bottom"/>
            <w:gridSpan w:val="8"/>
          </w:tcPr>
          <w:p>
            <w:pPr>
              <w:spacing w:after="0"/>
              <w:rPr>
                <w:rFonts w:ascii="Arial" w:cs="Arial" w:eastAsia="Arial" w:hAnsi="Arial"/>
                <w:sz w:val="18"/>
                <w:szCs w:val="18"/>
                <w:color w:val="0000FF"/>
                <w:w w:val="91"/>
              </w:rPr>
            </w:pPr>
            <w:hyperlink r:id="rId241">
              <w:r>
                <w:rPr>
                  <w:rFonts w:ascii="Arial" w:cs="Arial" w:eastAsia="Arial" w:hAnsi="Arial"/>
                  <w:sz w:val="18"/>
                  <w:szCs w:val="18"/>
                  <w:color w:val="0000FF"/>
                  <w:w w:val="91"/>
                </w:rPr>
                <w:t>Second Amendment to Triple Net Lease by and between ZIC 1212 Terra Bella LLC and the Registrant, dated on August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line="196" w:lineRule="exact"/>
              <w:rPr>
                <w:rFonts w:ascii="Arial" w:cs="Arial" w:eastAsia="Arial" w:hAnsi="Arial"/>
                <w:sz w:val="18"/>
                <w:szCs w:val="18"/>
                <w:color w:val="0000FF"/>
                <w:w w:val="85"/>
              </w:rPr>
            </w:pPr>
            <w:hyperlink r:id="rId241">
              <w:r>
                <w:rPr>
                  <w:rFonts w:ascii="Arial" w:cs="Arial" w:eastAsia="Arial" w:hAnsi="Arial"/>
                  <w:sz w:val="18"/>
                  <w:szCs w:val="18"/>
                  <w:color w:val="0000FF"/>
                  <w:w w:val="85"/>
                </w:rPr>
                <w:t>29, 2022.</w:t>
              </w:r>
            </w:hyperlink>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8720" w:type="dxa"/>
            <w:vAlign w:val="bottom"/>
            <w:gridSpan w:val="8"/>
          </w:tcPr>
          <w:p>
            <w:pPr>
              <w:spacing w:after="0"/>
              <w:rPr>
                <w:rFonts w:ascii="Arial" w:cs="Arial" w:eastAsia="Arial" w:hAnsi="Arial"/>
                <w:sz w:val="18"/>
                <w:szCs w:val="18"/>
                <w:color w:val="0000FF"/>
                <w:w w:val="99"/>
              </w:rPr>
            </w:pPr>
            <w:hyperlink r:id="rId241">
              <w:r>
                <w:rPr>
                  <w:rFonts w:ascii="Arial" w:cs="Arial" w:eastAsia="Arial" w:hAnsi="Arial"/>
                  <w:sz w:val="18"/>
                  <w:szCs w:val="18"/>
                  <w:color w:val="0000FF"/>
                  <w:w w:val="99"/>
                </w:rPr>
                <w:t>Third Amendment to Triple Net Lease by and between ZIC 1212 Terra Bella LLC and the Registrant, dated on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20" w:type="dxa"/>
            <w:vAlign w:val="bottom"/>
            <w:gridSpan w:val="8"/>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September 21, 2023.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0000FF"/>
                <w:w w:val="98"/>
              </w:rPr>
              <w:t>Certification of Principal Executive Officer pursuant to Securities Exchange Act Rules 13a-14(a) and 15d-14(a).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0000FF"/>
                <w:w w:val="99"/>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61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20" w:type="dxa"/>
            <w:vAlign w:val="bottom"/>
            <w:gridSpan w:val="8"/>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 1350, as adopted pursuant to Section 906 of</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0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20" w:type="dxa"/>
            <w:vAlign w:val="bottom"/>
            <w:gridSpan w:val="8"/>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ind w:left="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8720" w:type="dxa"/>
            <w:vAlign w:val="bottom"/>
            <w:gridSpan w:val="8"/>
          </w:tcPr>
          <w:p>
            <w:pPr>
              <w:ind w:left="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880" w:type="dxa"/>
            <w:vAlign w:val="bottom"/>
          </w:tcPr>
          <w:p>
            <w:pPr>
              <w:ind w:left="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87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880" w:type="dxa"/>
            <w:vAlign w:val="bottom"/>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87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87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87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880" w:type="dxa"/>
            <w:vAlign w:val="bottom"/>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87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40" w:hanging="978"/>
        <w:spacing w:after="0"/>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65" w:lineRule="exact"/>
        <w:rPr>
          <w:rFonts w:ascii="Arial" w:cs="Arial" w:eastAsia="Arial" w:hAnsi="Arial"/>
          <w:sz w:val="18"/>
          <w:szCs w:val="18"/>
          <w:color w:val="auto"/>
        </w:rPr>
      </w:pPr>
    </w:p>
    <w:p>
      <w:pPr>
        <w:ind w:right="20"/>
        <w:spacing w:after="0" w:line="279" w:lineRule="auto"/>
        <w:rPr>
          <w:rFonts w:ascii="Arial" w:cs="Arial" w:eastAsia="Arial" w:hAnsi="Arial"/>
          <w:sz w:val="18"/>
          <w:szCs w:val="18"/>
          <w:color w:val="auto"/>
        </w:rPr>
      </w:pPr>
      <w:r>
        <w:rPr>
          <w:rFonts w:ascii="Arial" w:cs="Arial" w:eastAsia="Arial" w:hAnsi="Arial"/>
          <w:sz w:val="17"/>
          <w:szCs w:val="17"/>
          <w:color w:val="auto"/>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441"/>
        <w:spacing w:after="0" w:line="286" w:lineRule="auto"/>
        <w:rPr>
          <w:sz w:val="20"/>
          <w:szCs w:val="20"/>
          <w:color w:val="auto"/>
        </w:rPr>
      </w:pPr>
      <w:r>
        <w:rPr>
          <w:rFonts w:ascii="Arial" w:cs="Arial" w:eastAsia="Arial" w:hAnsi="Arial"/>
          <w:sz w:val="17"/>
          <w:szCs w:val="17"/>
          <w:color w:val="auto"/>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19760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IRIDEX Corporation</w:t>
            </w:r>
          </w:p>
        </w:tc>
      </w:tr>
      <w:tr>
        <w:trPr>
          <w:trHeight w:val="520"/>
        </w:trPr>
        <w:tc>
          <w:tcPr>
            <w:tcW w:w="3340" w:type="dxa"/>
            <w:vAlign w:val="bottom"/>
          </w:tcPr>
          <w:p>
            <w:pPr>
              <w:ind w:left="20"/>
              <w:spacing w:after="0"/>
              <w:rPr>
                <w:sz w:val="20"/>
                <w:szCs w:val="20"/>
                <w:color w:val="auto"/>
              </w:rPr>
            </w:pPr>
            <w:r>
              <w:rPr>
                <w:rFonts w:ascii="Arial" w:cs="Arial" w:eastAsia="Arial" w:hAnsi="Arial"/>
                <w:sz w:val="18"/>
                <w:szCs w:val="18"/>
                <w:color w:val="auto"/>
              </w:rPr>
              <w:t>Date: November 20, 2023</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I. BRUCE</w:t>
            </w:r>
          </w:p>
        </w:tc>
      </w:tr>
      <w:tr>
        <w:trPr>
          <w:trHeight w:val="230"/>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3300" w:type="dxa"/>
            <w:vAlign w:val="bottom"/>
          </w:tcPr>
          <w:p>
            <w:pPr>
              <w:ind w:left="100"/>
              <w:spacing w:after="0"/>
              <w:rPr>
                <w:sz w:val="20"/>
                <w:szCs w:val="20"/>
                <w:color w:val="auto"/>
              </w:rPr>
            </w:pPr>
            <w:r>
              <w:rPr>
                <w:rFonts w:ascii="Arial" w:cs="Arial" w:eastAsia="Arial" w:hAnsi="Arial"/>
                <w:sz w:val="18"/>
                <w:szCs w:val="18"/>
                <w:color w:val="auto"/>
              </w:rPr>
              <w:t>David I. Bruce</w:t>
            </w:r>
          </w:p>
        </w:tc>
      </w:tr>
      <w:tr>
        <w:trPr>
          <w:trHeight w:val="228"/>
        </w:trPr>
        <w:tc>
          <w:tcPr>
            <w:tcW w:w="3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3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66"/>
        </w:trPr>
        <w:tc>
          <w:tcPr>
            <w:tcW w:w="3340" w:type="dxa"/>
            <w:vAlign w:val="bottom"/>
          </w:tcPr>
          <w:p>
            <w:pPr>
              <w:ind w:left="20"/>
              <w:spacing w:after="0"/>
              <w:rPr>
                <w:sz w:val="20"/>
                <w:szCs w:val="20"/>
                <w:color w:val="auto"/>
              </w:rPr>
            </w:pPr>
            <w:r>
              <w:rPr>
                <w:rFonts w:ascii="Arial" w:cs="Arial" w:eastAsia="Arial" w:hAnsi="Arial"/>
                <w:sz w:val="18"/>
                <w:szCs w:val="18"/>
                <w:color w:val="auto"/>
              </w:rPr>
              <w:t>Date: November 20, 2023</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FUAD AHMAD</w:t>
            </w:r>
          </w:p>
        </w:tc>
      </w:tr>
      <w:tr>
        <w:trPr>
          <w:trHeight w:val="230"/>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3300" w:type="dxa"/>
            <w:vAlign w:val="bottom"/>
          </w:tcPr>
          <w:p>
            <w:pPr>
              <w:ind w:left="100"/>
              <w:spacing w:after="0"/>
              <w:rPr>
                <w:sz w:val="20"/>
                <w:szCs w:val="20"/>
                <w:color w:val="auto"/>
              </w:rPr>
            </w:pPr>
            <w:r>
              <w:rPr>
                <w:rFonts w:ascii="Arial" w:cs="Arial" w:eastAsia="Arial" w:hAnsi="Arial"/>
                <w:sz w:val="18"/>
                <w:szCs w:val="18"/>
                <w:color w:val="auto"/>
              </w:rPr>
              <w:t>Fuad Ahmad</w:t>
            </w:r>
          </w:p>
        </w:tc>
      </w:tr>
      <w:tr>
        <w:trPr>
          <w:trHeight w:val="228"/>
        </w:trPr>
        <w:tc>
          <w:tcPr>
            <w:tcW w:w="3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300" w:type="dxa"/>
            <w:vAlign w:val="bottom"/>
          </w:tcPr>
          <w:p>
            <w:pPr>
              <w:ind w:left="10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662"/>
        </w:trPr>
        <w:tc>
          <w:tcPr>
            <w:tcW w:w="3340" w:type="dxa"/>
            <w:vAlign w:val="bottom"/>
          </w:tcPr>
          <w:p>
            <w:pPr>
              <w:spacing w:after="0"/>
              <w:rPr>
                <w:sz w:val="24"/>
                <w:szCs w:val="24"/>
                <w:color w:val="auto"/>
              </w:rPr>
            </w:pPr>
          </w:p>
        </w:tc>
        <w:tc>
          <w:tcPr>
            <w:tcW w:w="2500" w:type="dxa"/>
            <w:vAlign w:val="bottom"/>
          </w:tcPr>
          <w:p>
            <w:pPr>
              <w:jc w:val="right"/>
              <w:ind w:right="79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48" w:name="page49"/>
    <w:bookmarkEnd w:id="48"/>
    <w:p>
      <w:pPr>
        <w:jc w:val="right"/>
        <w:ind w:right="299"/>
        <w:spacing w:after="0"/>
        <w:rPr>
          <w:sz w:val="20"/>
          <w:szCs w:val="20"/>
          <w:color w:val="auto"/>
        </w:rPr>
      </w:pPr>
      <w:r>
        <w:rPr>
          <w:rFonts w:ascii="Arial" w:cs="Arial" w:eastAsia="Arial" w:hAnsi="Arial"/>
          <w:sz w:val="20"/>
          <w:szCs w:val="20"/>
          <w:color w:val="auto"/>
        </w:rPr>
        <w:t>Exhibit 10.1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LEASE</w:t>
      </w:r>
    </w:p>
    <w:p>
      <w:pPr>
        <w:spacing w:after="0" w:line="216" w:lineRule="exact"/>
        <w:rPr>
          <w:sz w:val="20"/>
          <w:szCs w:val="20"/>
          <w:color w:val="auto"/>
        </w:rPr>
      </w:pPr>
    </w:p>
    <w:p>
      <w:pPr>
        <w:jc w:val="both"/>
        <w:ind w:left="300" w:right="299" w:firstLine="648"/>
        <w:spacing w:after="0" w:line="248" w:lineRule="auto"/>
        <w:rPr>
          <w:sz w:val="20"/>
          <w:szCs w:val="20"/>
          <w:color w:val="auto"/>
        </w:rPr>
      </w:pPr>
      <w:r>
        <w:rPr>
          <w:rFonts w:ascii="Arial" w:cs="Arial" w:eastAsia="Arial" w:hAnsi="Arial"/>
          <w:sz w:val="20"/>
          <w:szCs w:val="20"/>
          <w:color w:val="auto"/>
        </w:rPr>
        <w:t>THIS SECOND AMENDMENT TO LEASE (this “</w:t>
      </w:r>
      <w:r>
        <w:rPr>
          <w:rFonts w:ascii="Arial" w:cs="Arial" w:eastAsia="Arial" w:hAnsi="Arial"/>
          <w:sz w:val="20"/>
          <w:szCs w:val="20"/>
          <w:b w:val="1"/>
          <w:bCs w:val="1"/>
          <w:color w:val="auto"/>
        </w:rPr>
        <w:t>Amendment</w:t>
      </w:r>
      <w:r>
        <w:rPr>
          <w:rFonts w:ascii="Arial" w:cs="Arial" w:eastAsia="Arial" w:hAnsi="Arial"/>
          <w:sz w:val="20"/>
          <w:szCs w:val="20"/>
          <w:color w:val="auto"/>
        </w:rPr>
        <w:t>”) is dated for reference purposes only as of August 29, 2022, and is entered into by and between ZIC 1212 Terra Bella LLC, a Delaware limited liability company (“</w:t>
      </w:r>
      <w:r>
        <w:rPr>
          <w:rFonts w:ascii="Arial" w:cs="Arial" w:eastAsia="Arial" w:hAnsi="Arial"/>
          <w:sz w:val="20"/>
          <w:szCs w:val="20"/>
          <w:b w:val="1"/>
          <w:bCs w:val="1"/>
          <w:color w:val="auto"/>
        </w:rPr>
        <w:t>Lessor</w:t>
      </w:r>
      <w:r>
        <w:rPr>
          <w:rFonts w:ascii="Arial" w:cs="Arial" w:eastAsia="Arial" w:hAnsi="Arial"/>
          <w:sz w:val="20"/>
          <w:szCs w:val="20"/>
          <w:color w:val="auto"/>
        </w:rPr>
        <w:t>”), and IRIDEX CORPORATION, a Delaware corporation (“</w:t>
      </w:r>
      <w:r>
        <w:rPr>
          <w:rFonts w:ascii="Arial" w:cs="Arial" w:eastAsia="Arial" w:hAnsi="Arial"/>
          <w:sz w:val="20"/>
          <w:szCs w:val="20"/>
          <w:b w:val="1"/>
          <w:bCs w:val="1"/>
          <w:color w:val="auto"/>
        </w:rPr>
        <w:t>Lessee</w:t>
      </w:r>
      <w:r>
        <w:rPr>
          <w:rFonts w:ascii="Arial" w:cs="Arial" w:eastAsia="Arial" w:hAnsi="Arial"/>
          <w:sz w:val="20"/>
          <w:szCs w:val="20"/>
          <w:color w:val="auto"/>
        </w:rPr>
        <w:t>”), with regard to the following facts: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left="300" w:right="299" w:firstLine="648"/>
        <w:spacing w:after="0" w:line="242" w:lineRule="auto"/>
        <w:rPr>
          <w:sz w:val="20"/>
          <w:szCs w:val="20"/>
          <w:color w:val="auto"/>
        </w:rPr>
      </w:pPr>
      <w:r>
        <w:rPr>
          <w:rFonts w:ascii="Arial" w:cs="Arial" w:eastAsia="Arial" w:hAnsi="Arial"/>
          <w:sz w:val="20"/>
          <w:szCs w:val="20"/>
          <w:color w:val="auto"/>
        </w:rPr>
        <w:t>A. Lessor and Lessee are parties to that certain Triple Net Lease dated April 26, 2017 (the “</w:t>
      </w:r>
      <w:r>
        <w:rPr>
          <w:rFonts w:ascii="Arial" w:cs="Arial" w:eastAsia="Arial" w:hAnsi="Arial"/>
          <w:sz w:val="20"/>
          <w:szCs w:val="20"/>
          <w:b w:val="1"/>
          <w:bCs w:val="1"/>
          <w:color w:val="auto"/>
        </w:rPr>
        <w:t>Original Lease</w:t>
      </w:r>
      <w:r>
        <w:rPr>
          <w:rFonts w:ascii="Arial" w:cs="Arial" w:eastAsia="Arial" w:hAnsi="Arial"/>
          <w:sz w:val="20"/>
          <w:szCs w:val="20"/>
          <w:color w:val="auto"/>
        </w:rPr>
        <w:t>”), as amended by that certain First Amendment to Lease dated April 20, 2021 (the “</w:t>
      </w:r>
      <w:r>
        <w:rPr>
          <w:rFonts w:ascii="Arial" w:cs="Arial" w:eastAsia="Arial" w:hAnsi="Arial"/>
          <w:sz w:val="20"/>
          <w:szCs w:val="20"/>
          <w:b w:val="1"/>
          <w:bCs w:val="1"/>
          <w:color w:val="auto"/>
        </w:rPr>
        <w:t>First Amendment</w:t>
      </w:r>
      <w:r>
        <w:rPr>
          <w:rFonts w:ascii="Arial" w:cs="Arial" w:eastAsia="Arial" w:hAnsi="Arial"/>
          <w:sz w:val="20"/>
          <w:szCs w:val="20"/>
          <w:color w:val="auto"/>
        </w:rPr>
        <w:t>” and collectively with the Original Lease, the “</w:t>
      </w:r>
      <w:r>
        <w:rPr>
          <w:rFonts w:ascii="Arial" w:cs="Arial" w:eastAsia="Arial" w:hAnsi="Arial"/>
          <w:sz w:val="20"/>
          <w:szCs w:val="20"/>
          <w:b w:val="1"/>
          <w:bCs w:val="1"/>
          <w:color w:val="auto"/>
        </w:rPr>
        <w:t>Lease</w:t>
      </w:r>
      <w:r>
        <w:rPr>
          <w:rFonts w:ascii="Arial" w:cs="Arial" w:eastAsia="Arial" w:hAnsi="Arial"/>
          <w:sz w:val="20"/>
          <w:szCs w:val="20"/>
          <w:color w:val="auto"/>
        </w:rPr>
        <w:t>”) for certain premises containing approximately 29,830 rentable square feet of space, known as Suite 100 (the “</w:t>
      </w:r>
      <w:r>
        <w:rPr>
          <w:rFonts w:ascii="Arial" w:cs="Arial" w:eastAsia="Arial" w:hAnsi="Arial"/>
          <w:sz w:val="20"/>
          <w:szCs w:val="20"/>
          <w:b w:val="1"/>
          <w:bCs w:val="1"/>
          <w:color w:val="auto"/>
        </w:rPr>
        <w:t>Premises</w:t>
      </w:r>
      <w:r>
        <w:rPr>
          <w:rFonts w:ascii="Arial" w:cs="Arial" w:eastAsia="Arial" w:hAnsi="Arial"/>
          <w:sz w:val="20"/>
          <w:szCs w:val="20"/>
          <w:color w:val="auto"/>
        </w:rPr>
        <w:t>”) and located in the building located at 1212 Terra Bella Avenue in the City of Mountain View, California (the “</w:t>
      </w:r>
      <w:r>
        <w:rPr>
          <w:rFonts w:ascii="Arial" w:cs="Arial" w:eastAsia="Arial" w:hAnsi="Arial"/>
          <w:sz w:val="20"/>
          <w:szCs w:val="20"/>
          <w:b w:val="1"/>
          <w:bCs w:val="1"/>
          <w:color w:val="auto"/>
        </w:rPr>
        <w:t>Building</w:t>
      </w:r>
      <w:r>
        <w:rPr>
          <w:rFonts w:ascii="Arial" w:cs="Arial" w:eastAsia="Arial" w:hAnsi="Arial"/>
          <w:sz w:val="20"/>
          <w:szCs w:val="20"/>
          <w:color w:val="auto"/>
        </w:rPr>
        <w:t>”), together with the land owned by Lessor upon which the Building is located (the “</w:t>
      </w:r>
      <w:r>
        <w:rPr>
          <w:rFonts w:ascii="Arial" w:cs="Arial" w:eastAsia="Arial" w:hAnsi="Arial"/>
          <w:sz w:val="20"/>
          <w:szCs w:val="20"/>
          <w:b w:val="1"/>
          <w:bCs w:val="1"/>
          <w:color w:val="auto"/>
        </w:rPr>
        <w:t>Land</w:t>
      </w:r>
      <w:r>
        <w:rPr>
          <w:rFonts w:ascii="Arial" w:cs="Arial" w:eastAsia="Arial" w:hAnsi="Arial"/>
          <w:sz w:val="20"/>
          <w:szCs w:val="20"/>
          <w:color w:val="auto"/>
        </w:rPr>
        <w:t>”). Capitalized terms used but not defined in this Amendment have the meanings given to such terms in the Lease.</w:t>
      </w:r>
    </w:p>
    <w:p>
      <w:pPr>
        <w:spacing w:after="0" w:line="197" w:lineRule="exact"/>
        <w:rPr>
          <w:sz w:val="20"/>
          <w:szCs w:val="20"/>
          <w:color w:val="auto"/>
        </w:rPr>
      </w:pPr>
    </w:p>
    <w:p>
      <w:pPr>
        <w:ind w:left="940"/>
        <w:spacing w:after="0"/>
        <w:rPr>
          <w:sz w:val="20"/>
          <w:szCs w:val="20"/>
          <w:color w:val="auto"/>
        </w:rPr>
      </w:pPr>
      <w:r>
        <w:rPr>
          <w:rFonts w:ascii="Arial" w:cs="Arial" w:eastAsia="Arial" w:hAnsi="Arial"/>
          <w:sz w:val="20"/>
          <w:szCs w:val="20"/>
          <w:color w:val="auto"/>
        </w:rPr>
        <w:t>B. Lessor and Lessee desire to amend the Lease as more fully set forth below.</w:t>
      </w:r>
    </w:p>
    <w:p>
      <w:pPr>
        <w:spacing w:after="0" w:line="216" w:lineRule="exact"/>
        <w:rPr>
          <w:sz w:val="20"/>
          <w:szCs w:val="20"/>
          <w:color w:val="auto"/>
        </w:rPr>
      </w:pPr>
    </w:p>
    <w:p>
      <w:pPr>
        <w:jc w:val="both"/>
        <w:ind w:left="300" w:right="299" w:firstLine="648"/>
        <w:spacing w:after="0" w:line="250" w:lineRule="auto"/>
        <w:rPr>
          <w:sz w:val="20"/>
          <w:szCs w:val="20"/>
          <w:color w:val="auto"/>
        </w:rPr>
      </w:pPr>
      <w:r>
        <w:rPr>
          <w:rFonts w:ascii="Arial" w:cs="Arial" w:eastAsia="Arial" w:hAnsi="Arial"/>
          <w:sz w:val="20"/>
          <w:szCs w:val="20"/>
          <w:color w:val="auto"/>
        </w:rPr>
        <w:t>NOW, THEREFORE, in consideration of the above promises and mutual covenants, conditions and provisions contained herein, and other good and valuable consideration, the receipt and sufficiency of which are hereby acknowledged, the parties hereto agree as follows:</w:t>
      </w:r>
    </w:p>
    <w:p>
      <w:pPr>
        <w:spacing w:after="0" w:line="186" w:lineRule="exact"/>
        <w:rPr>
          <w:sz w:val="20"/>
          <w:szCs w:val="20"/>
          <w:color w:val="auto"/>
        </w:rPr>
      </w:pPr>
    </w:p>
    <w:p>
      <w:pPr>
        <w:ind w:left="300" w:right="319" w:firstLine="640"/>
        <w:spacing w:after="0" w:line="316" w:lineRule="auto"/>
        <w:tabs>
          <w:tab w:leader="none" w:pos="118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Storage Containers</w:t>
      </w:r>
      <w:r>
        <w:rPr>
          <w:rFonts w:ascii="Arial" w:cs="Arial" w:eastAsia="Arial" w:hAnsi="Arial"/>
          <w:sz w:val="18"/>
          <w:szCs w:val="18"/>
          <w:color w:val="auto"/>
        </w:rPr>
        <w:t>. Contrary to the terms of the Lease, Lessee has placed several storage containers and a dumpster in the parking area of the Project (collectively, the “</w:t>
      </w:r>
      <w:r>
        <w:rPr>
          <w:rFonts w:ascii="Arial" w:cs="Arial" w:eastAsia="Arial" w:hAnsi="Arial"/>
          <w:sz w:val="18"/>
          <w:szCs w:val="18"/>
          <w:b w:val="1"/>
          <w:bCs w:val="1"/>
          <w:color w:val="auto"/>
        </w:rPr>
        <w:t>Containers</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jc w:val="both"/>
        <w:ind w:left="300" w:right="299" w:firstLine="1288"/>
        <w:spacing w:after="0" w:line="256" w:lineRule="auto"/>
        <w:tabs>
          <w:tab w:leader="none" w:pos="2062"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Removed Containers</w:t>
      </w:r>
      <w:r>
        <w:rPr>
          <w:rFonts w:ascii="Arial" w:cs="Arial" w:eastAsia="Arial" w:hAnsi="Arial"/>
          <w:sz w:val="19"/>
          <w:szCs w:val="19"/>
          <w:color w:val="auto"/>
        </w:rPr>
        <w:t>. No later than end of the day August 31, 2022 (the “</w:t>
      </w:r>
      <w:r>
        <w:rPr>
          <w:rFonts w:ascii="Arial" w:cs="Arial" w:eastAsia="Arial" w:hAnsi="Arial"/>
          <w:sz w:val="19"/>
          <w:szCs w:val="19"/>
          <w:b w:val="1"/>
          <w:bCs w:val="1"/>
          <w:color w:val="auto"/>
        </w:rPr>
        <w:t>Removal</w:t>
      </w:r>
      <w:r>
        <w:rPr>
          <w:rFonts w:ascii="Arial" w:cs="Arial" w:eastAsia="Arial" w:hAnsi="Arial"/>
          <w:sz w:val="19"/>
          <w:szCs w:val="19"/>
          <w:color w:val="auto"/>
        </w:rPr>
        <w:t xml:space="preserve"> </w:t>
      </w:r>
      <w:r>
        <w:rPr>
          <w:rFonts w:ascii="Arial" w:cs="Arial" w:eastAsia="Arial" w:hAnsi="Arial"/>
          <w:sz w:val="19"/>
          <w:szCs w:val="19"/>
          <w:b w:val="1"/>
          <w:bCs w:val="1"/>
          <w:color w:val="auto"/>
        </w:rPr>
        <w:t>Deadline</w:t>
      </w:r>
      <w:r>
        <w:rPr>
          <w:rFonts w:ascii="Arial" w:cs="Arial" w:eastAsia="Arial" w:hAnsi="Arial"/>
          <w:sz w:val="19"/>
          <w:szCs w:val="19"/>
          <w:color w:val="auto"/>
        </w:rPr>
        <w:t>”), Lessee shall cause the removal of those Containers shown outlined in red and yellow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incorporated herein (such containers referred to as the “</w:t>
      </w:r>
      <w:r>
        <w:rPr>
          <w:rFonts w:ascii="Arial" w:cs="Arial" w:eastAsia="Arial" w:hAnsi="Arial"/>
          <w:sz w:val="19"/>
          <w:szCs w:val="19"/>
          <w:b w:val="1"/>
          <w:bCs w:val="1"/>
          <w:color w:val="auto"/>
        </w:rPr>
        <w:t>Removed</w:t>
      </w:r>
      <w:r>
        <w:rPr>
          <w:rFonts w:ascii="Arial" w:cs="Arial" w:eastAsia="Arial" w:hAnsi="Arial"/>
          <w:sz w:val="19"/>
          <w:szCs w:val="19"/>
          <w:color w:val="auto"/>
        </w:rPr>
        <w:t xml:space="preserve"> </w:t>
      </w:r>
      <w:r>
        <w:rPr>
          <w:rFonts w:ascii="Arial" w:cs="Arial" w:eastAsia="Arial" w:hAnsi="Arial"/>
          <w:sz w:val="19"/>
          <w:szCs w:val="19"/>
          <w:b w:val="1"/>
          <w:bCs w:val="1"/>
          <w:color w:val="auto"/>
        </w:rPr>
        <w:t>Containers</w:t>
      </w:r>
      <w:r>
        <w:rPr>
          <w:rFonts w:ascii="Arial" w:cs="Arial" w:eastAsia="Arial" w:hAnsi="Arial"/>
          <w:sz w:val="19"/>
          <w:szCs w:val="19"/>
          <w:color w:val="auto"/>
        </w:rPr>
        <w:t>”). The removal of the Removed Containers shall be at Lessee sole cost and expense and</w:t>
      </w:r>
      <w:r>
        <w:rPr>
          <w:rFonts w:ascii="Arial" w:cs="Arial" w:eastAsia="Arial" w:hAnsi="Arial"/>
          <w:sz w:val="19"/>
          <w:szCs w:val="19"/>
          <w:b w:val="1"/>
          <w:bCs w:val="1"/>
          <w:color w:val="auto"/>
        </w:rPr>
        <w:t xml:space="preserve"> </w:t>
      </w:r>
      <w:r>
        <w:rPr>
          <w:rFonts w:ascii="Arial" w:cs="Arial" w:eastAsia="Arial" w:hAnsi="Arial"/>
          <w:sz w:val="19"/>
          <w:szCs w:val="19"/>
          <w:color w:val="auto"/>
        </w:rPr>
        <w:t>Lessee shall repair all damage to the Land, including without limitation, the parking area, resulting from the removal of the Removed Containers. Concurrently with the execution of this Amendment, Lessee shall provide Lessor with current contact information for the owner of the Containers. If Lessee fails to remove the Removed Containers by the Removal Deadline, then Lessor shall remove the Removed Containers, at Lessee’s sole cost and expense, which amount shall be paid to Lessor within fifteen (15) days of request.</w:t>
      </w:r>
    </w:p>
    <w:p>
      <w:pPr>
        <w:spacing w:after="0" w:line="186" w:lineRule="exact"/>
        <w:rPr>
          <w:rFonts w:ascii="Arial" w:cs="Arial" w:eastAsia="Arial" w:hAnsi="Arial"/>
          <w:sz w:val="19"/>
          <w:szCs w:val="19"/>
          <w:color w:val="auto"/>
        </w:rPr>
      </w:pPr>
    </w:p>
    <w:p>
      <w:pPr>
        <w:jc w:val="both"/>
        <w:ind w:left="300" w:right="299" w:firstLine="1288"/>
        <w:spacing w:after="0" w:line="255" w:lineRule="auto"/>
        <w:tabs>
          <w:tab w:leader="none" w:pos="2062"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Remaining Containers</w:t>
      </w:r>
      <w:r>
        <w:rPr>
          <w:rFonts w:ascii="Arial" w:cs="Arial" w:eastAsia="Arial" w:hAnsi="Arial"/>
          <w:sz w:val="19"/>
          <w:szCs w:val="19"/>
          <w:color w:val="auto"/>
        </w:rPr>
        <w:t xml:space="preserve">. Lessee shall be permitted to keep in place in the location existing as of the date of this Amendment, those Containers shown outlined in green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incorporated herein (such containers referred to as the “</w:t>
      </w:r>
      <w:r>
        <w:rPr>
          <w:rFonts w:ascii="Arial" w:cs="Arial" w:eastAsia="Arial" w:hAnsi="Arial"/>
          <w:sz w:val="19"/>
          <w:szCs w:val="19"/>
          <w:b w:val="1"/>
          <w:bCs w:val="1"/>
          <w:color w:val="auto"/>
        </w:rPr>
        <w:t>Remaining Containers</w:t>
      </w:r>
      <w:r>
        <w:rPr>
          <w:rFonts w:ascii="Arial" w:cs="Arial" w:eastAsia="Arial" w:hAnsi="Arial"/>
          <w:sz w:val="19"/>
          <w:szCs w:val="19"/>
          <w:color w:val="auto"/>
        </w:rPr>
        <w:t>”). Lessee shall not be permitted to move the Remaining Containers from their location existing as of the date of this Amendment or use any other portion of the parking area for storage purposes or any other purpose other than for parking without Lessor’s prior approval. Lessee shall not store any items in the parking area other than inside the Remaining Containers and such use shall not generate debris or rubbish. Upon the expiration of the Term of the Lease, or upon any earlier termination of this Lease, Lessee shall, at its sole cost and expense, cause to be removed from the Land the Remaining Containers and Lessee shall repair all damage to the Land, including without limitation, the parking area, resulting from the removal of the Remaining Containers.</w:t>
      </w:r>
    </w:p>
    <w:p>
      <w:pPr>
        <w:spacing w:after="0" w:line="186" w:lineRule="exact"/>
        <w:rPr>
          <w:rFonts w:ascii="Arial" w:cs="Arial" w:eastAsia="Arial" w:hAnsi="Arial"/>
          <w:sz w:val="19"/>
          <w:szCs w:val="19"/>
          <w:color w:val="auto"/>
        </w:rPr>
      </w:pPr>
    </w:p>
    <w:p>
      <w:pPr>
        <w:ind w:left="300" w:right="299" w:firstLine="640"/>
        <w:spacing w:after="0" w:line="316" w:lineRule="auto"/>
        <w:tabs>
          <w:tab w:leader="none" w:pos="118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Lessee’s Share of Allocated Parking Spaces</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of the First Amendment, Lessee shall have the right to use Lessee’s Share of the parking spaces available at the Project at no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66040</wp:posOffset>
            </wp:positionV>
            <wp:extent cx="537464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9" w:name="page50"/>
    <w:bookmarkEnd w:id="49"/>
    <w:p>
      <w:pPr>
        <w:jc w:val="both"/>
        <w:ind w:left="300" w:right="299"/>
        <w:spacing w:after="0" w:line="250" w:lineRule="auto"/>
        <w:rPr>
          <w:sz w:val="20"/>
          <w:szCs w:val="20"/>
          <w:color w:val="auto"/>
        </w:rPr>
      </w:pPr>
      <w:r>
        <w:rPr>
          <w:rFonts w:ascii="Arial" w:cs="Arial" w:eastAsia="Arial" w:hAnsi="Arial"/>
          <w:sz w:val="20"/>
          <w:szCs w:val="20"/>
          <w:color w:val="auto"/>
        </w:rPr>
        <w:t>additional cost to Lessee in accordance with the terms and conditions of the Lease, as modified herein. Following removal of the Removed Containers, Landlord shall prepare and distribute to Lessee a map depicting the location of Lessee’s Share of such parking spaces.</w:t>
      </w:r>
    </w:p>
    <w:p>
      <w:pPr>
        <w:spacing w:after="0" w:line="187" w:lineRule="exact"/>
        <w:rPr>
          <w:sz w:val="20"/>
          <w:szCs w:val="20"/>
          <w:color w:val="auto"/>
        </w:rPr>
      </w:pPr>
    </w:p>
    <w:p>
      <w:pPr>
        <w:jc w:val="both"/>
        <w:ind w:left="300" w:right="299" w:firstLine="640"/>
        <w:spacing w:after="0" w:line="272" w:lineRule="auto"/>
        <w:tabs>
          <w:tab w:leader="none" w:pos="11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Extension of Deadline on use of Improvement Allowance</w:t>
      </w:r>
      <w:r>
        <w:rPr>
          <w:rFonts w:ascii="Arial" w:cs="Arial" w:eastAsia="Arial" w:hAnsi="Arial"/>
          <w:sz w:val="18"/>
          <w:szCs w:val="18"/>
          <w:color w:val="auto"/>
        </w:rPr>
        <w:t xml:space="preserve">. The time period for Lessee’s use of the Improvement Allowance has expired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the First Amendment. Contingent upon Lessee’s removal of the Removed Containers by the Removal Deadline, Lessor hereby agrees to extend the time period for Lessee’s use of the Improvement Allowance until December 31, 2022 (the “</w:t>
      </w:r>
      <w:r>
        <w:rPr>
          <w:rFonts w:ascii="Arial" w:cs="Arial" w:eastAsia="Arial" w:hAnsi="Arial"/>
          <w:sz w:val="18"/>
          <w:szCs w:val="18"/>
          <w:b w:val="1"/>
          <w:bCs w:val="1"/>
          <w:color w:val="auto"/>
        </w:rPr>
        <w:t>Extended</w:t>
      </w:r>
      <w:r>
        <w:rPr>
          <w:rFonts w:ascii="Arial" w:cs="Arial" w:eastAsia="Arial" w:hAnsi="Arial"/>
          <w:sz w:val="18"/>
          <w:szCs w:val="18"/>
          <w:color w:val="auto"/>
        </w:rPr>
        <w:t xml:space="preserve"> </w:t>
      </w:r>
      <w:r>
        <w:rPr>
          <w:rFonts w:ascii="Arial" w:cs="Arial" w:eastAsia="Arial" w:hAnsi="Arial"/>
          <w:sz w:val="18"/>
          <w:szCs w:val="18"/>
          <w:b w:val="1"/>
          <w:bCs w:val="1"/>
          <w:color w:val="auto"/>
        </w:rPr>
        <w:t>TI Deadline</w:t>
      </w:r>
      <w:r>
        <w:rPr>
          <w:rFonts w:ascii="Arial" w:cs="Arial" w:eastAsia="Arial" w:hAnsi="Arial"/>
          <w:sz w:val="18"/>
          <w:szCs w:val="18"/>
          <w:color w:val="auto"/>
        </w:rPr>
        <w:t>”) on the terms and conditions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First Amendment. If extended,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conditions for disbursement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the First Amendment must be satisfied by the Extended TI Deadline, otherwise Lessor shall have no further obligation to disburse or provide Lessee with a credit for the Improvement Allowance, and Lessee’s right to receive the Improvement Allowance or any credit on account thereof shall be deemed to have been waived.</w:t>
      </w:r>
    </w:p>
    <w:p>
      <w:pPr>
        <w:spacing w:after="0" w:line="170" w:lineRule="exact"/>
        <w:rPr>
          <w:rFonts w:ascii="Arial" w:cs="Arial" w:eastAsia="Arial" w:hAnsi="Arial"/>
          <w:sz w:val="18"/>
          <w:szCs w:val="18"/>
          <w:color w:val="auto"/>
        </w:rPr>
      </w:pPr>
    </w:p>
    <w:p>
      <w:pPr>
        <w:jc w:val="both"/>
        <w:ind w:left="300" w:right="299" w:firstLine="640"/>
        <w:spacing w:after="0" w:line="272" w:lineRule="auto"/>
        <w:tabs>
          <w:tab w:leader="none" w:pos="11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Each party represents and warrants to the other that it has had no dealings with any real estate broker or agent in connection with the negotiation, execution or delivery of this Amendment. Lessee shall indemnify and hold harmless Lessor, its trustees, members, principals, beneficiaries, partners, officers, directors, employees, mortgagee(s) and agents, and the respective principals and members of any such agents, harmless from all claims of any brokers claiming to have represented Lessee in connection with this Amendment. Lessor shall indemnify and hold harmless Lessee, its trustees, members, principals, beneficiaries, partners, officers, directors, employees, mortgagee(s) and agents, and the respective principals and members of any such agents, harmless from all claims of any brokers claiming to have represented Lessor in connection with this Amendment.</w:t>
      </w:r>
    </w:p>
    <w:p>
      <w:pPr>
        <w:spacing w:after="0" w:line="170" w:lineRule="exact"/>
        <w:rPr>
          <w:rFonts w:ascii="Arial" w:cs="Arial" w:eastAsia="Arial" w:hAnsi="Arial"/>
          <w:sz w:val="18"/>
          <w:szCs w:val="18"/>
          <w:color w:val="auto"/>
        </w:rPr>
      </w:pPr>
    </w:p>
    <w:p>
      <w:pPr>
        <w:jc w:val="both"/>
        <w:ind w:left="300" w:right="299" w:firstLine="640"/>
        <w:spacing w:after="0" w:line="269" w:lineRule="auto"/>
        <w:tabs>
          <w:tab w:leader="none" w:pos="118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 Claims</w:t>
      </w:r>
      <w:r>
        <w:rPr>
          <w:rFonts w:ascii="Arial" w:cs="Arial" w:eastAsia="Arial" w:hAnsi="Arial"/>
          <w:sz w:val="19"/>
          <w:szCs w:val="19"/>
          <w:color w:val="auto"/>
        </w:rPr>
        <w:t>. Lessee acknowledges and agrees that Lessor is not in default of the Lease and that Lessee currently has no defense, set-off, counterclaim or challenge against the payment of any sums owing under the Lease, or the enforcement of any of the terms or conditions thereof.</w:t>
      </w:r>
    </w:p>
    <w:p>
      <w:pPr>
        <w:spacing w:after="0" w:line="169" w:lineRule="exact"/>
        <w:rPr>
          <w:rFonts w:ascii="Arial" w:cs="Arial" w:eastAsia="Arial" w:hAnsi="Arial"/>
          <w:sz w:val="19"/>
          <w:szCs w:val="19"/>
          <w:color w:val="auto"/>
        </w:rPr>
      </w:pPr>
    </w:p>
    <w:p>
      <w:pPr>
        <w:jc w:val="both"/>
        <w:ind w:left="300" w:right="299" w:firstLine="640"/>
        <w:spacing w:after="0" w:line="246" w:lineRule="auto"/>
        <w:tabs>
          <w:tab w:leader="none" w:pos="1181"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Other Terms and Conditions.</w:t>
      </w:r>
      <w:r>
        <w:rPr>
          <w:rFonts w:ascii="Arial" w:cs="Arial" w:eastAsia="Arial" w:hAnsi="Arial"/>
          <w:sz w:val="20"/>
          <w:szCs w:val="20"/>
          <w:color w:val="auto"/>
        </w:rPr>
        <w:t xml:space="preserve"> In the case of any inconsistency between the provisions of the Lease and this Amendment, the provisions of this Amendment shall govern and control. Except as expressly amended by this Amendment, all other terms and conditions of the Lease shall remain in full force and effect.</w:t>
      </w:r>
    </w:p>
    <w:p>
      <w:pPr>
        <w:spacing w:after="0" w:line="191" w:lineRule="exact"/>
        <w:rPr>
          <w:rFonts w:ascii="Arial" w:cs="Arial" w:eastAsia="Arial" w:hAnsi="Arial"/>
          <w:sz w:val="20"/>
          <w:szCs w:val="20"/>
          <w:color w:val="auto"/>
        </w:rPr>
      </w:pPr>
    </w:p>
    <w:p>
      <w:pPr>
        <w:jc w:val="both"/>
        <w:ind w:left="300" w:right="299" w:firstLine="640"/>
        <w:spacing w:after="0" w:line="282" w:lineRule="auto"/>
        <w:tabs>
          <w:tab w:leader="none" w:pos="11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all of which taken together shall constitute the same agreement. Further, photocopies and/or electronic transmission (including, but not limited to, PDF signatures) that are faxes or scanned or that are executed and delivered by electronic signature platform (such as DocuSign) shall be deemed as valid as an original.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66040</wp:posOffset>
            </wp:positionV>
            <wp:extent cx="537464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0" w:name="page51"/>
    <w:bookmarkEnd w:id="50"/>
    <w:p>
      <w:pPr>
        <w:ind w:left="300" w:right="299" w:firstLine="648"/>
        <w:spacing w:after="0" w:line="261" w:lineRule="auto"/>
        <w:rPr>
          <w:sz w:val="20"/>
          <w:szCs w:val="20"/>
          <w:color w:val="auto"/>
        </w:rPr>
      </w:pPr>
      <w:r>
        <w:rPr>
          <w:rFonts w:ascii="Arial" w:cs="Arial" w:eastAsia="Arial" w:hAnsi="Arial"/>
          <w:sz w:val="20"/>
          <w:szCs w:val="20"/>
          <w:color w:val="auto"/>
        </w:rPr>
        <w:t>IN WITNESS WHEREOF, the partied hereto have signed this Amendment as of the day and year first above written.</w:t>
      </w:r>
    </w:p>
    <w:p>
      <w:pPr>
        <w:sectPr>
          <w:pgSz w:w="11900" w:h="16838" w:orient="portrait"/>
          <w:cols w:equalWidth="0" w:num="1">
            <w:col w:w="9019"/>
          </w:cols>
          <w:pgMar w:left="1440" w:top="122" w:right="1440" w:bottom="1440" w:gutter="0" w:footer="0" w:header="0"/>
        </w:sect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LESSOR:</w:t>
      </w:r>
    </w:p>
    <w:p>
      <w:pPr>
        <w:spacing w:after="0" w:line="249"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ZIC 1212 TERRA BELLA LLC, a Delaware limited liability company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Zappettini</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John Zappettini</w:t>
      </w:r>
    </w:p>
    <w:p>
      <w:pPr>
        <w:ind w:left="8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LESSEE:</w:t>
      </w:r>
    </w:p>
    <w:p>
      <w:pPr>
        <w:spacing w:after="0" w:line="249" w:lineRule="exact"/>
        <w:rPr>
          <w:sz w:val="20"/>
          <w:szCs w:val="20"/>
          <w:color w:val="auto"/>
        </w:rPr>
      </w:pPr>
    </w:p>
    <w:p>
      <w:pPr>
        <w:ind w:right="699"/>
        <w:spacing w:after="0" w:line="260" w:lineRule="auto"/>
        <w:rPr>
          <w:sz w:val="20"/>
          <w:szCs w:val="20"/>
          <w:color w:val="auto"/>
        </w:rPr>
      </w:pPr>
      <w:r>
        <w:rPr>
          <w:rFonts w:ascii="Arial" w:cs="Arial" w:eastAsia="Arial" w:hAnsi="Arial"/>
          <w:sz w:val="20"/>
          <w:szCs w:val="20"/>
          <w:color w:val="auto"/>
        </w:rPr>
        <w:t>IRIDEX CORPORATION, a Delaware limited liability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Patrick Mercer</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Patrick Mercer</w:t>
      </w:r>
    </w:p>
    <w:p>
      <w:pPr>
        <w:ind w:left="4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Operating Officer</w:t>
      </w:r>
    </w:p>
    <w:p>
      <w:pPr>
        <w:spacing w:after="0" w:line="200" w:lineRule="exact"/>
        <w:rPr>
          <w:sz w:val="20"/>
          <w:szCs w:val="20"/>
          <w:color w:val="auto"/>
        </w:rPr>
      </w:pPr>
    </w:p>
    <w:p>
      <w:pPr>
        <w:sectPr>
          <w:pgSz w:w="11900" w:h="16838" w:orient="portrait"/>
          <w:cols w:equalWidth="0" w:num="2">
            <w:col w:w="4020" w:space="580"/>
            <w:col w:w="4419"/>
          </w:cols>
          <w:pgMar w:left="1440" w:top="122" w:right="1440" w:bottom="1440" w:gutter="0" w:footer="0" w:header="0"/>
          <w:type w:val="continuous"/>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95250</wp:posOffset>
            </wp:positionV>
            <wp:extent cx="537464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Depiction of Removed Containers and Remaining 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228600</wp:posOffset>
            </wp:positionV>
            <wp:extent cx="4131945" cy="6103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4131945" cy="610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0" w:right="499"/>
        <w:spacing w:after="0" w:line="253" w:lineRule="auto"/>
        <w:rPr>
          <w:sz w:val="20"/>
          <w:szCs w:val="20"/>
          <w:color w:val="auto"/>
        </w:rPr>
      </w:pPr>
      <w:r>
        <w:rPr>
          <w:rFonts w:ascii="Arial" w:cs="Arial" w:eastAsia="Arial" w:hAnsi="Arial"/>
          <w:sz w:val="20"/>
          <w:szCs w:val="20"/>
          <w:u w:val="single" w:color="auto"/>
          <w:color w:val="auto"/>
        </w:rPr>
        <w:t>Red and Yellow</w:t>
      </w:r>
      <w:r>
        <w:rPr>
          <w:rFonts w:ascii="Arial" w:cs="Arial" w:eastAsia="Arial" w:hAnsi="Arial"/>
          <w:sz w:val="20"/>
          <w:szCs w:val="20"/>
          <w:color w:val="auto"/>
        </w:rPr>
        <w:t xml:space="preserve"> = storage containers and bins to be removed (collectively, the “</w:t>
      </w:r>
      <w:r>
        <w:rPr>
          <w:rFonts w:ascii="Arial" w:cs="Arial" w:eastAsia="Arial" w:hAnsi="Arial"/>
          <w:sz w:val="20"/>
          <w:szCs w:val="20"/>
          <w:b w:val="1"/>
          <w:bCs w:val="1"/>
          <w:color w:val="auto"/>
        </w:rPr>
        <w:t>Removed Containers</w:t>
      </w:r>
      <w:r>
        <w:rPr>
          <w:rFonts w:ascii="Arial" w:cs="Arial" w:eastAsia="Arial" w:hAnsi="Arial"/>
          <w:sz w:val="20"/>
          <w:szCs w:val="20"/>
          <w:color w:val="auto"/>
        </w:rPr>
        <w:t xml:space="preserve">”) </w:t>
      </w:r>
      <w:r>
        <w:rPr>
          <w:rFonts w:ascii="Arial" w:cs="Arial" w:eastAsia="Arial" w:hAnsi="Arial"/>
          <w:sz w:val="20"/>
          <w:szCs w:val="20"/>
          <w:u w:val="single" w:color="auto"/>
          <w:color w:val="auto"/>
        </w:rPr>
        <w:t>Green</w:t>
      </w:r>
      <w:r>
        <w:rPr>
          <w:rFonts w:ascii="Arial" w:cs="Arial" w:eastAsia="Arial" w:hAnsi="Arial"/>
          <w:sz w:val="20"/>
          <w:szCs w:val="20"/>
          <w:color w:val="auto"/>
        </w:rPr>
        <w:t xml:space="preserve"> = 2 storage containers to remove in the location shown (collectively, the “</w:t>
      </w:r>
      <w:r>
        <w:rPr>
          <w:rFonts w:ascii="Arial" w:cs="Arial" w:eastAsia="Arial" w:hAnsi="Arial"/>
          <w:sz w:val="20"/>
          <w:szCs w:val="20"/>
          <w:b w:val="1"/>
          <w:bCs w:val="1"/>
          <w:color w:val="auto"/>
        </w:rPr>
        <w:t>Remaining</w:t>
      </w:r>
      <w:r>
        <w:rPr>
          <w:rFonts w:ascii="Arial" w:cs="Arial" w:eastAsia="Arial" w:hAnsi="Arial"/>
          <w:sz w:val="20"/>
          <w:szCs w:val="20"/>
          <w:color w:val="auto"/>
        </w:rPr>
        <w:t xml:space="preserve"> </w:t>
      </w:r>
      <w:r>
        <w:rPr>
          <w:rFonts w:ascii="Arial" w:cs="Arial" w:eastAsia="Arial" w:hAnsi="Arial"/>
          <w:sz w:val="20"/>
          <w:szCs w:val="20"/>
          <w:b w:val="1"/>
          <w:bCs w:val="1"/>
          <w:color w:val="auto"/>
        </w:rPr>
        <w:t>Containers</w:t>
      </w:r>
      <w:r>
        <w:rPr>
          <w:rFonts w:ascii="Arial" w:cs="Arial" w:eastAsia="Arial" w:hAnsi="Arial"/>
          <w:sz w:val="20"/>
          <w:szCs w:val="20"/>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66040</wp:posOffset>
            </wp:positionV>
            <wp:extent cx="537464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52" w:name="page53"/>
    <w:bookmarkEnd w:id="52"/>
    <w:p>
      <w:pPr>
        <w:jc w:val="right"/>
        <w:ind w:right="299"/>
        <w:spacing w:after="0"/>
        <w:rPr>
          <w:sz w:val="20"/>
          <w:szCs w:val="20"/>
          <w:color w:val="auto"/>
        </w:rPr>
      </w:pPr>
      <w:r>
        <w:rPr>
          <w:rFonts w:ascii="Arial" w:cs="Arial" w:eastAsia="Arial" w:hAnsi="Arial"/>
          <w:sz w:val="22"/>
          <w:szCs w:val="22"/>
          <w:color w:val="auto"/>
        </w:rPr>
        <w:t>Exhibit 10.2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LEASE</w:t>
      </w:r>
    </w:p>
    <w:p>
      <w:pPr>
        <w:spacing w:after="0" w:line="206" w:lineRule="exact"/>
        <w:rPr>
          <w:sz w:val="20"/>
          <w:szCs w:val="20"/>
          <w:color w:val="auto"/>
        </w:rPr>
      </w:pPr>
    </w:p>
    <w:p>
      <w:pPr>
        <w:jc w:val="both"/>
        <w:ind w:left="300" w:right="299" w:firstLine="648"/>
        <w:spacing w:after="0" w:line="254" w:lineRule="auto"/>
        <w:rPr>
          <w:sz w:val="20"/>
          <w:szCs w:val="20"/>
          <w:color w:val="auto"/>
        </w:rPr>
      </w:pPr>
      <w:r>
        <w:rPr>
          <w:rFonts w:ascii="Arial" w:cs="Arial" w:eastAsia="Arial" w:hAnsi="Arial"/>
          <w:sz w:val="21"/>
          <w:szCs w:val="21"/>
          <w:color w:val="auto"/>
        </w:rPr>
        <w:t>THIS THIRD AMENDMENT TO LEASE (this “</w:t>
      </w:r>
      <w:r>
        <w:rPr>
          <w:rFonts w:ascii="Arial" w:cs="Arial" w:eastAsia="Arial" w:hAnsi="Arial"/>
          <w:sz w:val="21"/>
          <w:szCs w:val="21"/>
          <w:b w:val="1"/>
          <w:bCs w:val="1"/>
          <w:color w:val="auto"/>
        </w:rPr>
        <w:t>Amendment</w:t>
      </w:r>
      <w:r>
        <w:rPr>
          <w:rFonts w:ascii="Arial" w:cs="Arial" w:eastAsia="Arial" w:hAnsi="Arial"/>
          <w:sz w:val="21"/>
          <w:szCs w:val="21"/>
          <w:color w:val="auto"/>
        </w:rPr>
        <w:t>”) is dated for reference purposes only as of September 21, 2023, and is entered into by and between ZIC 1212 Terra Bella LLC, a Delaware limited liability company (“</w:t>
      </w:r>
      <w:r>
        <w:rPr>
          <w:rFonts w:ascii="Arial" w:cs="Arial" w:eastAsia="Arial" w:hAnsi="Arial"/>
          <w:sz w:val="21"/>
          <w:szCs w:val="21"/>
          <w:b w:val="1"/>
          <w:bCs w:val="1"/>
          <w:color w:val="auto"/>
        </w:rPr>
        <w:t>Lessor</w:t>
      </w:r>
      <w:r>
        <w:rPr>
          <w:rFonts w:ascii="Arial" w:cs="Arial" w:eastAsia="Arial" w:hAnsi="Arial"/>
          <w:sz w:val="21"/>
          <w:szCs w:val="21"/>
          <w:color w:val="auto"/>
        </w:rPr>
        <w:t>”), and IRIDEX CORPORATION, a Delaware corporation (“</w:t>
      </w:r>
      <w:r>
        <w:rPr>
          <w:rFonts w:ascii="Arial" w:cs="Arial" w:eastAsia="Arial" w:hAnsi="Arial"/>
          <w:sz w:val="21"/>
          <w:szCs w:val="21"/>
          <w:b w:val="1"/>
          <w:bCs w:val="1"/>
          <w:color w:val="auto"/>
        </w:rPr>
        <w:t>Lessee</w:t>
      </w:r>
      <w:r>
        <w:rPr>
          <w:rFonts w:ascii="Arial" w:cs="Arial" w:eastAsia="Arial" w:hAnsi="Arial"/>
          <w:sz w:val="21"/>
          <w:szCs w:val="21"/>
          <w:color w:val="auto"/>
        </w:rPr>
        <w:t>”), with regard to the following facts: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left="300" w:right="299" w:firstLine="648"/>
        <w:spacing w:after="0" w:line="273" w:lineRule="auto"/>
        <w:rPr>
          <w:sz w:val="20"/>
          <w:szCs w:val="20"/>
          <w:color w:val="auto"/>
        </w:rPr>
      </w:pPr>
      <w:r>
        <w:rPr>
          <w:rFonts w:ascii="Arial" w:cs="Arial" w:eastAsia="Arial" w:hAnsi="Arial"/>
          <w:sz w:val="19"/>
          <w:szCs w:val="19"/>
          <w:color w:val="auto"/>
        </w:rPr>
        <w:t>A. Lessor and Lessee are parties to that certain Triple Net Lease dated April 26, 2017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Lease dated April 20, 2021 (the “</w:t>
      </w:r>
      <w:r>
        <w:rPr>
          <w:rFonts w:ascii="Arial" w:cs="Arial" w:eastAsia="Arial" w:hAnsi="Arial"/>
          <w:sz w:val="19"/>
          <w:szCs w:val="19"/>
          <w:b w:val="1"/>
          <w:bCs w:val="1"/>
          <w:color w:val="auto"/>
        </w:rPr>
        <w:t>First Amendment</w:t>
      </w:r>
      <w:r>
        <w:rPr>
          <w:rFonts w:ascii="Arial" w:cs="Arial" w:eastAsia="Arial" w:hAnsi="Arial"/>
          <w:sz w:val="19"/>
          <w:szCs w:val="19"/>
          <w:color w:val="auto"/>
        </w:rPr>
        <w:t>”), and as further amended by that certain Second Amendment to Lease dated August 22, 2022 (the “</w:t>
      </w:r>
      <w:r>
        <w:rPr>
          <w:rFonts w:ascii="Arial" w:cs="Arial" w:eastAsia="Arial" w:hAnsi="Arial"/>
          <w:sz w:val="19"/>
          <w:szCs w:val="19"/>
          <w:b w:val="1"/>
          <w:bCs w:val="1"/>
          <w:color w:val="auto"/>
        </w:rPr>
        <w:t>Second Amendment</w:t>
      </w:r>
      <w:r>
        <w:rPr>
          <w:rFonts w:ascii="Arial" w:cs="Arial" w:eastAsia="Arial" w:hAnsi="Arial"/>
          <w:sz w:val="19"/>
          <w:szCs w:val="19"/>
          <w:color w:val="auto"/>
        </w:rPr>
        <w:t>”, and collectively with the Original Lease and the First Amendment, the “</w:t>
      </w:r>
      <w:r>
        <w:rPr>
          <w:rFonts w:ascii="Arial" w:cs="Arial" w:eastAsia="Arial" w:hAnsi="Arial"/>
          <w:sz w:val="19"/>
          <w:szCs w:val="19"/>
          <w:b w:val="1"/>
          <w:bCs w:val="1"/>
          <w:color w:val="auto"/>
        </w:rPr>
        <w:t>Lease</w:t>
      </w:r>
      <w:r>
        <w:rPr>
          <w:rFonts w:ascii="Arial" w:cs="Arial" w:eastAsia="Arial" w:hAnsi="Arial"/>
          <w:sz w:val="19"/>
          <w:szCs w:val="19"/>
          <w:color w:val="auto"/>
        </w:rPr>
        <w:t>”) for certain premises containing approximately 29,830 rentable square feet of space, known as Suite 100 (the “</w:t>
      </w:r>
      <w:r>
        <w:rPr>
          <w:rFonts w:ascii="Arial" w:cs="Arial" w:eastAsia="Arial" w:hAnsi="Arial"/>
          <w:sz w:val="19"/>
          <w:szCs w:val="19"/>
          <w:b w:val="1"/>
          <w:bCs w:val="1"/>
          <w:color w:val="auto"/>
        </w:rPr>
        <w:t>Premises</w:t>
      </w:r>
      <w:r>
        <w:rPr>
          <w:rFonts w:ascii="Arial" w:cs="Arial" w:eastAsia="Arial" w:hAnsi="Arial"/>
          <w:sz w:val="19"/>
          <w:szCs w:val="19"/>
          <w:color w:val="auto"/>
        </w:rPr>
        <w:t>”) and located in the building located at 1212 Terra Bella Avenue in the City of Mountain View, California (the “</w:t>
      </w:r>
      <w:r>
        <w:rPr>
          <w:rFonts w:ascii="Arial" w:cs="Arial" w:eastAsia="Arial" w:hAnsi="Arial"/>
          <w:sz w:val="19"/>
          <w:szCs w:val="19"/>
          <w:b w:val="1"/>
          <w:bCs w:val="1"/>
          <w:color w:val="auto"/>
        </w:rPr>
        <w:t>Building</w:t>
      </w:r>
      <w:r>
        <w:rPr>
          <w:rFonts w:ascii="Arial" w:cs="Arial" w:eastAsia="Arial" w:hAnsi="Arial"/>
          <w:sz w:val="19"/>
          <w:szCs w:val="19"/>
          <w:color w:val="auto"/>
        </w:rPr>
        <w:t>”), together with the land owned by Lessor upon which the Building is located (the “</w:t>
      </w:r>
      <w:r>
        <w:rPr>
          <w:rFonts w:ascii="Arial" w:cs="Arial" w:eastAsia="Arial" w:hAnsi="Arial"/>
          <w:sz w:val="19"/>
          <w:szCs w:val="19"/>
          <w:b w:val="1"/>
          <w:bCs w:val="1"/>
          <w:color w:val="auto"/>
        </w:rPr>
        <w:t>Land</w:t>
      </w:r>
      <w:r>
        <w:rPr>
          <w:rFonts w:ascii="Arial" w:cs="Arial" w:eastAsia="Arial" w:hAnsi="Arial"/>
          <w:sz w:val="19"/>
          <w:szCs w:val="19"/>
          <w:color w:val="auto"/>
        </w:rPr>
        <w:t>”). The Land and the Building collectively are referred to herein as the “</w:t>
      </w:r>
      <w:r>
        <w:rPr>
          <w:rFonts w:ascii="Arial" w:cs="Arial" w:eastAsia="Arial" w:hAnsi="Arial"/>
          <w:sz w:val="19"/>
          <w:szCs w:val="19"/>
          <w:b w:val="1"/>
          <w:bCs w:val="1"/>
          <w:color w:val="auto"/>
        </w:rPr>
        <w:t>Project</w:t>
      </w:r>
      <w:r>
        <w:rPr>
          <w:rFonts w:ascii="Arial" w:cs="Arial" w:eastAsia="Arial" w:hAnsi="Arial"/>
          <w:sz w:val="19"/>
          <w:szCs w:val="19"/>
          <w:color w:val="auto"/>
        </w:rPr>
        <w:t>.” Capitalized terms used but not defined in this Amendment have the meanings given to such terms in the Lease.</w:t>
      </w:r>
    </w:p>
    <w:p>
      <w:pPr>
        <w:spacing w:after="0" w:line="161" w:lineRule="exact"/>
        <w:rPr>
          <w:sz w:val="20"/>
          <w:szCs w:val="20"/>
          <w:color w:val="auto"/>
        </w:rPr>
      </w:pPr>
    </w:p>
    <w:p>
      <w:pPr>
        <w:jc w:val="both"/>
        <w:ind w:left="300" w:right="319" w:firstLine="648"/>
        <w:spacing w:after="0" w:line="250" w:lineRule="auto"/>
        <w:rPr>
          <w:sz w:val="20"/>
          <w:szCs w:val="20"/>
          <w:color w:val="auto"/>
        </w:rPr>
      </w:pPr>
      <w:r>
        <w:rPr>
          <w:rFonts w:ascii="Arial" w:cs="Arial" w:eastAsia="Arial" w:hAnsi="Arial"/>
          <w:sz w:val="22"/>
          <w:szCs w:val="22"/>
          <w:color w:val="auto"/>
        </w:rPr>
        <w:t>B. Lessor and Lessee desire to amend the Lease to, among other things, extend the term of the Lease.</w:t>
      </w:r>
    </w:p>
    <w:p>
      <w:pPr>
        <w:spacing w:after="0" w:line="175" w:lineRule="exact"/>
        <w:rPr>
          <w:sz w:val="20"/>
          <w:szCs w:val="20"/>
          <w:color w:val="auto"/>
        </w:rPr>
      </w:pPr>
    </w:p>
    <w:p>
      <w:pPr>
        <w:jc w:val="both"/>
        <w:ind w:left="300" w:right="299" w:firstLine="648"/>
        <w:spacing w:after="0" w:line="297" w:lineRule="auto"/>
        <w:rPr>
          <w:sz w:val="20"/>
          <w:szCs w:val="20"/>
          <w:color w:val="auto"/>
        </w:rPr>
      </w:pPr>
      <w:r>
        <w:rPr>
          <w:rFonts w:ascii="Arial" w:cs="Arial" w:eastAsia="Arial" w:hAnsi="Arial"/>
          <w:sz w:val="19"/>
          <w:szCs w:val="19"/>
          <w:color w:val="auto"/>
        </w:rPr>
        <w:t>NOW, THEREFORE, in consideration of the above promises and mutual covenants, conditions and provisions contained herein, and other good and valuable consideration, the receipt and sufficiency of which are hereby acknowledged, the parties hereto agree as follows:</w:t>
      </w:r>
    </w:p>
    <w:p>
      <w:pPr>
        <w:spacing w:after="0" w:line="134" w:lineRule="exact"/>
        <w:rPr>
          <w:sz w:val="20"/>
          <w:szCs w:val="20"/>
          <w:color w:val="auto"/>
        </w:rPr>
      </w:pPr>
    </w:p>
    <w:p>
      <w:pPr>
        <w:jc w:val="both"/>
        <w:ind w:left="300" w:right="299" w:firstLine="640"/>
        <w:spacing w:after="0" w:line="246" w:lineRule="auto"/>
        <w:tabs>
          <w:tab w:leader="none" w:pos="1181" w:val="left"/>
        </w:tabs>
        <w:numPr>
          <w:ilvl w:val="0"/>
          <w:numId w:val="3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Second Extended Term</w:t>
      </w:r>
      <w:r>
        <w:rPr>
          <w:rFonts w:ascii="Arial" w:cs="Arial" w:eastAsia="Arial" w:hAnsi="Arial"/>
          <w:sz w:val="21"/>
          <w:szCs w:val="21"/>
          <w:color w:val="auto"/>
        </w:rPr>
        <w:t>. The Extended Term of the Lease (as defined in the First Amendment), which is scheduled to expire on August 31, 2024 (the “</w:t>
      </w:r>
      <w:r>
        <w:rPr>
          <w:rFonts w:ascii="Arial" w:cs="Arial" w:eastAsia="Arial" w:hAnsi="Arial"/>
          <w:sz w:val="21"/>
          <w:szCs w:val="21"/>
          <w:b w:val="1"/>
          <w:bCs w:val="1"/>
          <w:color w:val="auto"/>
        </w:rPr>
        <w:t>Term</w:t>
      </w:r>
      <w:r>
        <w:rPr>
          <w:rFonts w:ascii="Arial" w:cs="Arial" w:eastAsia="Arial" w:hAnsi="Arial"/>
          <w:sz w:val="21"/>
          <w:szCs w:val="21"/>
          <w:color w:val="auto"/>
        </w:rPr>
        <w:t>”), is hereby extended for a period of twenty-four (24) months (the “</w:t>
      </w:r>
      <w:r>
        <w:rPr>
          <w:rFonts w:ascii="Arial" w:cs="Arial" w:eastAsia="Arial" w:hAnsi="Arial"/>
          <w:sz w:val="21"/>
          <w:szCs w:val="21"/>
          <w:b w:val="1"/>
          <w:bCs w:val="1"/>
          <w:color w:val="auto"/>
        </w:rPr>
        <w:t>Second Extended Term</w:t>
      </w:r>
      <w:r>
        <w:rPr>
          <w:rFonts w:ascii="Arial" w:cs="Arial" w:eastAsia="Arial" w:hAnsi="Arial"/>
          <w:sz w:val="21"/>
          <w:szCs w:val="21"/>
          <w:color w:val="auto"/>
        </w:rPr>
        <w:t>”), commencing September 1, 2024 and expiring August 31, 2026 (the “</w:t>
      </w:r>
      <w:r>
        <w:rPr>
          <w:rFonts w:ascii="Arial" w:cs="Arial" w:eastAsia="Arial" w:hAnsi="Arial"/>
          <w:sz w:val="21"/>
          <w:szCs w:val="21"/>
          <w:b w:val="1"/>
          <w:bCs w:val="1"/>
          <w:color w:val="auto"/>
        </w:rPr>
        <w:t>Expiration Date</w:t>
      </w:r>
      <w:r>
        <w:rPr>
          <w:rFonts w:ascii="Arial" w:cs="Arial" w:eastAsia="Arial" w:hAnsi="Arial"/>
          <w:sz w:val="21"/>
          <w:szCs w:val="21"/>
          <w:color w:val="auto"/>
        </w:rPr>
        <w:t>”), unless sooner terminated pursuant to the terms of the Lease. Lessee shall have no further option or right to extend the Term of the Lease. As used in the Lease, references to the “term” or “Term” of the Lease shall mean the period starting on the Commencement Date and ending on the Expiration Date (as extended pursuant to this Amendment).</w:t>
      </w:r>
    </w:p>
    <w:p>
      <w:pPr>
        <w:spacing w:after="0" w:line="179" w:lineRule="exact"/>
        <w:rPr>
          <w:rFonts w:ascii="Arial" w:cs="Arial" w:eastAsia="Arial" w:hAnsi="Arial"/>
          <w:sz w:val="21"/>
          <w:szCs w:val="21"/>
          <w:u w:val="single" w:color="auto"/>
          <w:color w:val="auto"/>
        </w:rPr>
      </w:pPr>
    </w:p>
    <w:p>
      <w:pPr>
        <w:jc w:val="both"/>
        <w:ind w:left="300" w:right="299" w:firstLine="640"/>
        <w:spacing w:after="0" w:line="273" w:lineRule="auto"/>
        <w:tabs>
          <w:tab w:leader="none" w:pos="1181" w:val="left"/>
        </w:tabs>
        <w:numPr>
          <w:ilvl w:val="0"/>
          <w:numId w:val="3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Early Termination Right</w:t>
      </w:r>
      <w:r>
        <w:rPr>
          <w:rFonts w:ascii="Arial" w:cs="Arial" w:eastAsia="Arial" w:hAnsi="Arial"/>
          <w:sz w:val="19"/>
          <w:szCs w:val="19"/>
          <w:color w:val="auto"/>
        </w:rPr>
        <w:t>. Notwithstanding Paragraph 1 above, if a Change of Control (as defined below) shall occur, Lessee shall have the right to terminate this Lease effective as of any time on or after the twelfth full month of the Second Extended Term (i.e., on or after August 31, 2025), by giving Lessor written notice of such termination at least six (6) months’ prior to the effective date of termination. In such event, the effective date of such termination shall be the last day of the month that is six (6) calendar months after the date of Lessor’s receipt of such termination notice, and such date shall be the Expiration Date for all purposes under this Lease. As used in this Paragraph 2, the term “</w:t>
      </w:r>
      <w:r>
        <w:rPr>
          <w:rFonts w:ascii="Arial" w:cs="Arial" w:eastAsia="Arial" w:hAnsi="Arial"/>
          <w:sz w:val="19"/>
          <w:szCs w:val="19"/>
          <w:b w:val="1"/>
          <w:bCs w:val="1"/>
          <w:color w:val="auto"/>
        </w:rPr>
        <w:t>Change of Control</w:t>
      </w:r>
      <w:r>
        <w:rPr>
          <w:rFonts w:ascii="Arial" w:cs="Arial" w:eastAsia="Arial" w:hAnsi="Arial"/>
          <w:sz w:val="19"/>
          <w:szCs w:val="19"/>
          <w:color w:val="auto"/>
        </w:rPr>
        <w:t>” means the sale or transfer, in one transaction or a series of related transactions, to a person or entity that acquires, directly or indirectly, fifty percent (50%) or more of the shares or assets of Lessee.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62865</wp:posOffset>
            </wp:positionV>
            <wp:extent cx="537464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300" w:right="299" w:firstLine="640"/>
        <w:spacing w:after="0" w:line="241" w:lineRule="auto"/>
        <w:tabs>
          <w:tab w:leader="none" w:pos="1181" w:val="left"/>
        </w:tabs>
        <w:numPr>
          <w:ilvl w:val="0"/>
          <w:numId w:val="3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 Following the execution of this Amendment, Lessee shall pay Base Rent for the Second Extended Term on or before the first day of each month without deduction or offset in accordance with the following schedule:</w:t>
      </w:r>
    </w:p>
    <w:p>
      <w:pPr>
        <w:spacing w:after="0" w:line="168"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22"/>
                <w:szCs w:val="22"/>
                <w:b w:val="1"/>
                <w:bCs w:val="1"/>
                <w:color w:val="auto"/>
                <w:w w:val="88"/>
              </w:rPr>
              <w:t>Time Period</w:t>
            </w:r>
          </w:p>
        </w:tc>
        <w:tc>
          <w:tcPr>
            <w:tcW w:w="540" w:type="dxa"/>
            <w:vAlign w:val="bottom"/>
          </w:tcPr>
          <w:p>
            <w:pPr>
              <w:spacing w:after="0"/>
              <w:rPr>
                <w:sz w:val="21"/>
                <w:szCs w:val="21"/>
                <w:color w:val="auto"/>
              </w:rPr>
            </w:pPr>
          </w:p>
        </w:tc>
        <w:tc>
          <w:tcPr>
            <w:tcW w:w="2260" w:type="dxa"/>
            <w:vAlign w:val="bottom"/>
            <w:gridSpan w:val="3"/>
          </w:tcPr>
          <w:p>
            <w:pPr>
              <w:ind w:left="1260"/>
              <w:spacing w:after="0"/>
              <w:rPr>
                <w:sz w:val="20"/>
                <w:szCs w:val="20"/>
                <w:color w:val="auto"/>
              </w:rPr>
            </w:pPr>
            <w:r>
              <w:rPr>
                <w:rFonts w:ascii="Arial" w:cs="Arial" w:eastAsia="Arial" w:hAnsi="Arial"/>
                <w:sz w:val="22"/>
                <w:szCs w:val="22"/>
                <w:b w:val="1"/>
                <w:bCs w:val="1"/>
                <w:color w:val="auto"/>
              </w:rPr>
              <w:t>Per RSF</w:t>
            </w:r>
          </w:p>
        </w:tc>
        <w:tc>
          <w:tcPr>
            <w:tcW w:w="1140" w:type="dxa"/>
            <w:vAlign w:val="bottom"/>
            <w:gridSpan w:val="3"/>
          </w:tcPr>
          <w:p>
            <w:pPr>
              <w:ind w:left="200"/>
              <w:spacing w:after="0"/>
              <w:rPr>
                <w:sz w:val="20"/>
                <w:szCs w:val="20"/>
                <w:color w:val="auto"/>
              </w:rPr>
            </w:pPr>
            <w:r>
              <w:rPr>
                <w:rFonts w:ascii="Arial" w:cs="Arial" w:eastAsia="Arial" w:hAnsi="Arial"/>
                <w:sz w:val="22"/>
                <w:szCs w:val="22"/>
                <w:b w:val="1"/>
                <w:bCs w:val="1"/>
                <w:color w:val="auto"/>
              </w:rPr>
              <w:t>RSF</w:t>
            </w:r>
          </w:p>
        </w:tc>
        <w:tc>
          <w:tcPr>
            <w:tcW w:w="10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Arial" w:cs="Arial" w:eastAsia="Arial" w:hAnsi="Arial"/>
                <w:sz w:val="22"/>
                <w:szCs w:val="22"/>
                <w:b w:val="1"/>
                <w:bCs w:val="1"/>
                <w:color w:val="auto"/>
              </w:rPr>
              <w:t>Monthly Base Rent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9/1/2024—2/28/2025</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6A6A6"/>
            </w:tcBorders>
          </w:tcPr>
          <w:p>
            <w:pPr>
              <w:spacing w:after="0"/>
              <w:rPr>
                <w:sz w:val="21"/>
                <w:szCs w:val="21"/>
                <w:color w:val="auto"/>
              </w:rPr>
            </w:pPr>
          </w:p>
        </w:tc>
        <w:tc>
          <w:tcPr>
            <w:tcW w:w="1780" w:type="dxa"/>
            <w:vAlign w:val="bottom"/>
            <w:tcBorders>
              <w:bottom w:val="single" w:sz="8" w:color="A6A6A6"/>
            </w:tcBorders>
          </w:tcPr>
          <w:p>
            <w:pPr>
              <w:spacing w:after="0"/>
              <w:rPr>
                <w:sz w:val="21"/>
                <w:szCs w:val="21"/>
                <w:color w:val="auto"/>
              </w:rPr>
            </w:pPr>
          </w:p>
        </w:tc>
        <w:tc>
          <w:tcPr>
            <w:tcW w:w="380" w:type="dxa"/>
            <w:vAlign w:val="bottom"/>
            <w:tcBorders>
              <w:bottom w:val="single" w:sz="8" w:color="A6A6A6"/>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2160" w:type="dxa"/>
            <w:vAlign w:val="bottom"/>
            <w:gridSpan w:val="3"/>
            <w:vMerge w:val="continue"/>
          </w:tcPr>
          <w:p>
            <w:pPr>
              <w:spacing w:after="0"/>
              <w:rPr>
                <w:sz w:val="24"/>
                <w:szCs w:val="24"/>
                <w:color w:val="auto"/>
              </w:rPr>
            </w:pPr>
          </w:p>
        </w:tc>
        <w:tc>
          <w:tcPr>
            <w:tcW w:w="2040" w:type="dxa"/>
            <w:vAlign w:val="bottom"/>
            <w:tcBorders>
              <w:left w:val="single" w:sz="8" w:color="A6A6A6"/>
            </w:tcBorders>
            <w:gridSpan w:val="2"/>
          </w:tcPr>
          <w:p>
            <w:pPr>
              <w:ind w:left="1260"/>
              <w:spacing w:after="0"/>
              <w:rPr>
                <w:sz w:val="20"/>
                <w:szCs w:val="20"/>
                <w:color w:val="auto"/>
              </w:rPr>
            </w:pPr>
            <w:r>
              <w:rPr>
                <w:rFonts w:ascii="Arial" w:cs="Arial" w:eastAsia="Arial" w:hAnsi="Arial"/>
                <w:sz w:val="22"/>
                <w:szCs w:val="22"/>
                <w:color w:val="auto"/>
              </w:rPr>
              <w:t>$2.99</w:t>
            </w:r>
          </w:p>
        </w:tc>
        <w:tc>
          <w:tcPr>
            <w:tcW w:w="220" w:type="dxa"/>
            <w:vAlign w:val="bottom"/>
          </w:tcPr>
          <w:p>
            <w:pPr>
              <w:spacing w:after="0"/>
              <w:rPr>
                <w:sz w:val="24"/>
                <w:szCs w:val="24"/>
                <w:color w:val="auto"/>
              </w:rPr>
            </w:pPr>
          </w:p>
        </w:tc>
        <w:tc>
          <w:tcPr>
            <w:tcW w:w="1140" w:type="dxa"/>
            <w:vAlign w:val="bottom"/>
            <w:gridSpan w:val="3"/>
          </w:tcPr>
          <w:p>
            <w:pPr>
              <w:ind w:left="200"/>
              <w:spacing w:after="0"/>
              <w:rPr>
                <w:sz w:val="20"/>
                <w:szCs w:val="20"/>
                <w:color w:val="auto"/>
              </w:rPr>
            </w:pPr>
            <w:r>
              <w:rPr>
                <w:rFonts w:ascii="Arial" w:cs="Arial" w:eastAsia="Arial" w:hAnsi="Arial"/>
                <w:sz w:val="22"/>
                <w:szCs w:val="22"/>
                <w:color w:val="auto"/>
              </w:rPr>
              <w:t>29,830</w:t>
            </w:r>
          </w:p>
        </w:tc>
        <w:tc>
          <w:tcPr>
            <w:tcW w:w="1880" w:type="dxa"/>
            <w:vAlign w:val="bottom"/>
            <w:gridSpan w:val="2"/>
          </w:tcPr>
          <w:p>
            <w:pPr>
              <w:ind w:left="100"/>
              <w:spacing w:after="0"/>
              <w:rPr>
                <w:sz w:val="20"/>
                <w:szCs w:val="20"/>
                <w:color w:val="auto"/>
              </w:rPr>
            </w:pPr>
            <w:r>
              <w:rPr>
                <w:rFonts w:ascii="Arial" w:cs="Arial" w:eastAsia="Arial" w:hAnsi="Arial"/>
                <w:sz w:val="22"/>
                <w:szCs w:val="22"/>
                <w:color w:val="auto"/>
              </w:rPr>
              <w:t>$89,867.45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60" w:type="dxa"/>
            <w:vAlign w:val="bottom"/>
            <w:gridSpan w:val="3"/>
          </w:tcPr>
          <w:p>
            <w:pPr>
              <w:spacing w:after="0"/>
              <w:rPr>
                <w:sz w:val="20"/>
                <w:szCs w:val="20"/>
                <w:color w:val="auto"/>
              </w:rPr>
            </w:pPr>
            <w:r>
              <w:rPr>
                <w:rFonts w:ascii="Arial" w:cs="Arial" w:eastAsia="Arial" w:hAnsi="Arial"/>
                <w:sz w:val="22"/>
                <w:szCs w:val="22"/>
                <w:b w:val="1"/>
                <w:bCs w:val="1"/>
                <w:color w:val="auto"/>
              </w:rPr>
              <w:t>3/1/2025—2/28/2026</w:t>
            </w:r>
          </w:p>
        </w:tc>
        <w:tc>
          <w:tcPr>
            <w:tcW w:w="2040" w:type="dxa"/>
            <w:vAlign w:val="bottom"/>
            <w:tcBorders>
              <w:left w:val="single" w:sz="8" w:color="A6A6A6"/>
            </w:tcBorders>
            <w:gridSpan w:val="2"/>
          </w:tcPr>
          <w:p>
            <w:pPr>
              <w:ind w:left="1260"/>
              <w:spacing w:after="0"/>
              <w:rPr>
                <w:sz w:val="20"/>
                <w:szCs w:val="20"/>
                <w:color w:val="auto"/>
              </w:rPr>
            </w:pPr>
            <w:r>
              <w:rPr>
                <w:rFonts w:ascii="Arial" w:cs="Arial" w:eastAsia="Arial" w:hAnsi="Arial"/>
                <w:sz w:val="22"/>
                <w:szCs w:val="22"/>
                <w:color w:val="auto"/>
              </w:rPr>
              <w:t>$3.08</w:t>
            </w:r>
          </w:p>
        </w:tc>
        <w:tc>
          <w:tcPr>
            <w:tcW w:w="220" w:type="dxa"/>
            <w:vAlign w:val="bottom"/>
          </w:tcPr>
          <w:p>
            <w:pPr>
              <w:spacing w:after="0"/>
              <w:rPr>
                <w:sz w:val="24"/>
                <w:szCs w:val="24"/>
                <w:color w:val="auto"/>
              </w:rPr>
            </w:pPr>
          </w:p>
        </w:tc>
        <w:tc>
          <w:tcPr>
            <w:tcW w:w="1140" w:type="dxa"/>
            <w:vAlign w:val="bottom"/>
            <w:gridSpan w:val="3"/>
          </w:tcPr>
          <w:p>
            <w:pPr>
              <w:ind w:left="200"/>
              <w:spacing w:after="0"/>
              <w:rPr>
                <w:sz w:val="20"/>
                <w:szCs w:val="20"/>
                <w:color w:val="auto"/>
              </w:rPr>
            </w:pPr>
            <w:r>
              <w:rPr>
                <w:rFonts w:ascii="Arial" w:cs="Arial" w:eastAsia="Arial" w:hAnsi="Arial"/>
                <w:sz w:val="22"/>
                <w:szCs w:val="22"/>
                <w:color w:val="auto"/>
              </w:rPr>
              <w:t>29,830</w:t>
            </w:r>
          </w:p>
        </w:tc>
        <w:tc>
          <w:tcPr>
            <w:tcW w:w="1880" w:type="dxa"/>
            <w:vAlign w:val="bottom"/>
            <w:gridSpan w:val="2"/>
          </w:tcPr>
          <w:p>
            <w:pPr>
              <w:ind w:left="100"/>
              <w:spacing w:after="0"/>
              <w:rPr>
                <w:sz w:val="20"/>
                <w:szCs w:val="20"/>
                <w:color w:val="auto"/>
              </w:rPr>
            </w:pPr>
            <w:r>
              <w:rPr>
                <w:rFonts w:ascii="Arial" w:cs="Arial" w:eastAsia="Arial" w:hAnsi="Arial"/>
                <w:sz w:val="22"/>
                <w:szCs w:val="22"/>
                <w:color w:val="auto"/>
              </w:rPr>
              <w:t>$91,867.45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60" w:type="dxa"/>
            <w:vAlign w:val="bottom"/>
            <w:gridSpan w:val="3"/>
          </w:tcPr>
          <w:p>
            <w:pPr>
              <w:spacing w:after="0"/>
              <w:rPr>
                <w:sz w:val="20"/>
                <w:szCs w:val="20"/>
                <w:color w:val="auto"/>
              </w:rPr>
            </w:pPr>
            <w:r>
              <w:rPr>
                <w:rFonts w:ascii="Arial" w:cs="Arial" w:eastAsia="Arial" w:hAnsi="Arial"/>
                <w:sz w:val="22"/>
                <w:szCs w:val="22"/>
                <w:b w:val="1"/>
                <w:bCs w:val="1"/>
                <w:color w:val="auto"/>
              </w:rPr>
              <w:t>3/1/2026—8/31/2026</w:t>
            </w:r>
          </w:p>
        </w:tc>
        <w:tc>
          <w:tcPr>
            <w:tcW w:w="2040" w:type="dxa"/>
            <w:vAlign w:val="bottom"/>
            <w:tcBorders>
              <w:left w:val="single" w:sz="8" w:color="A6A6A6"/>
            </w:tcBorders>
            <w:gridSpan w:val="2"/>
          </w:tcPr>
          <w:p>
            <w:pPr>
              <w:ind w:left="1260"/>
              <w:spacing w:after="0"/>
              <w:rPr>
                <w:sz w:val="20"/>
                <w:szCs w:val="20"/>
                <w:color w:val="auto"/>
              </w:rPr>
            </w:pPr>
            <w:r>
              <w:rPr>
                <w:rFonts w:ascii="Arial" w:cs="Arial" w:eastAsia="Arial" w:hAnsi="Arial"/>
                <w:sz w:val="22"/>
                <w:szCs w:val="22"/>
                <w:color w:val="auto"/>
              </w:rPr>
              <w:t>$3.17</w:t>
            </w:r>
          </w:p>
        </w:tc>
        <w:tc>
          <w:tcPr>
            <w:tcW w:w="220" w:type="dxa"/>
            <w:vAlign w:val="bottom"/>
          </w:tcPr>
          <w:p>
            <w:pPr>
              <w:spacing w:after="0"/>
              <w:rPr>
                <w:sz w:val="24"/>
                <w:szCs w:val="24"/>
                <w:color w:val="auto"/>
              </w:rPr>
            </w:pPr>
          </w:p>
        </w:tc>
        <w:tc>
          <w:tcPr>
            <w:tcW w:w="1140" w:type="dxa"/>
            <w:vAlign w:val="bottom"/>
            <w:gridSpan w:val="3"/>
          </w:tcPr>
          <w:p>
            <w:pPr>
              <w:ind w:left="200"/>
              <w:spacing w:after="0"/>
              <w:rPr>
                <w:sz w:val="20"/>
                <w:szCs w:val="20"/>
                <w:color w:val="auto"/>
              </w:rPr>
            </w:pPr>
            <w:r>
              <w:rPr>
                <w:rFonts w:ascii="Arial" w:cs="Arial" w:eastAsia="Arial" w:hAnsi="Arial"/>
                <w:sz w:val="22"/>
                <w:szCs w:val="22"/>
                <w:color w:val="auto"/>
              </w:rPr>
              <w:t>29,830</w:t>
            </w:r>
          </w:p>
        </w:tc>
        <w:tc>
          <w:tcPr>
            <w:tcW w:w="1880" w:type="dxa"/>
            <w:vAlign w:val="bottom"/>
            <w:gridSpan w:val="2"/>
          </w:tcPr>
          <w:p>
            <w:pPr>
              <w:ind w:left="100"/>
              <w:spacing w:after="0"/>
              <w:rPr>
                <w:sz w:val="20"/>
                <w:szCs w:val="20"/>
                <w:color w:val="auto"/>
              </w:rPr>
            </w:pPr>
            <w:r>
              <w:rPr>
                <w:rFonts w:ascii="Arial" w:cs="Arial" w:eastAsia="Arial" w:hAnsi="Arial"/>
                <w:sz w:val="22"/>
                <w:szCs w:val="22"/>
                <w:color w:val="auto"/>
              </w:rPr>
              <w:t>$94,623.47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Borders>
              <w:left w:val="single" w:sz="8" w:color="A6A6A6"/>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300" w:right="299" w:firstLine="640"/>
        <w:spacing w:after="0" w:line="273" w:lineRule="auto"/>
        <w:tabs>
          <w:tab w:leader="none" w:pos="1181" w:val="left"/>
        </w:tabs>
        <w:numPr>
          <w:ilvl w:val="0"/>
          <w:numId w:val="3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Operating Expenses</w:t>
      </w:r>
      <w:r>
        <w:rPr>
          <w:rFonts w:ascii="Arial" w:cs="Arial" w:eastAsia="Arial" w:hAnsi="Arial"/>
          <w:sz w:val="19"/>
          <w:szCs w:val="19"/>
          <w:color w:val="auto"/>
        </w:rPr>
        <w:t>. During the Second Extended Term, Lessee shall continue to be responsible for Lessee’s Share of all expenses, costs and amounts of every kind and nature which Lessor shall incur during the Term (as hereby extended) because of or in connection with the ownership, management, maintenance, repair, replacement (to the extent provided in the Lease) or operation of the Project, including, without limitation, the Management Fee and any expenses incurred by Lessor pursuant to Sections 10 (including without limitation Lessor’s Maintenance Services), 11, 17, 22, and 35 of the Lease; provided, however, to the extent any of the foregoing are incurred solely with respect to or for the benefit of the Reduced Premises or as a result of the acts or omission of Lessee or Lessee’s agents, employees, contractors, visitors, or invitees, then Lessee shall be responsible for one hundred percent (100%) of the cost thereof.</w:t>
      </w:r>
    </w:p>
    <w:p>
      <w:pPr>
        <w:spacing w:after="0" w:line="160" w:lineRule="exact"/>
        <w:rPr>
          <w:rFonts w:ascii="Arial" w:cs="Arial" w:eastAsia="Arial" w:hAnsi="Arial"/>
          <w:sz w:val="19"/>
          <w:szCs w:val="19"/>
          <w:u w:val="single" w:color="auto"/>
          <w:color w:val="auto"/>
        </w:rPr>
      </w:pPr>
    </w:p>
    <w:p>
      <w:pPr>
        <w:jc w:val="both"/>
        <w:ind w:left="300" w:right="299" w:firstLine="640"/>
        <w:spacing w:after="0" w:line="270" w:lineRule="auto"/>
        <w:tabs>
          <w:tab w:leader="none" w:pos="1181" w:val="left"/>
        </w:tabs>
        <w:numPr>
          <w:ilvl w:val="0"/>
          <w:numId w:val="3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Certified Access Specialist Disclosure</w:t>
      </w:r>
      <w:r>
        <w:rPr>
          <w:rFonts w:ascii="Arial" w:cs="Arial" w:eastAsia="Arial" w:hAnsi="Arial"/>
          <w:sz w:val="19"/>
          <w:szCs w:val="19"/>
          <w:color w:val="auto"/>
        </w:rPr>
        <w:t xml:space="preserve"> For purposes of Section 1938 of the California Civil Code, Lessor hereby discloses to Lessee, and Lessee hereby acknowledges, that the Premises have not undergone inspection by a Certified Access Specialist (CASp). Pursuant to Section 1938, Lessor makes the following disclosure: “A Certified Access Specialist (CASp) can inspect the subject premises and determine whether the subject premises comply with all of the applicable construction 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to correct violations of the construction related accessibility standards within the premises.” Pursuant to Section 1938 of the Civil Code, upon at least 30 days’ prior written notice to Lessor, Lessee shall have the right to require a CASp inspection of the Premises. If Lessee requires a CASp inspection of the Premises, then: (i) Lessor and Lessee shall mutually agree on the arrangements for the time and manner of the CASp inspection during such 30-day period; (ii) Lessee shall be solely responsible to pay the cost of the CASp inspection as and when required by the CASp; and (iii) Lessee shall pay to Lessor, as and when required by Lessor, the cost of making any repairs to correct violations of the construction related accessibility standards within or relating to the Premises.</w:t>
      </w:r>
    </w:p>
    <w:p>
      <w:pPr>
        <w:spacing w:after="0" w:line="200" w:lineRule="exact"/>
        <w:rPr>
          <w:rFonts w:ascii="Arial" w:cs="Arial" w:eastAsia="Arial" w:hAnsi="Arial"/>
          <w:sz w:val="19"/>
          <w:szCs w:val="19"/>
          <w:u w:val="single" w:color="auto"/>
          <w:color w:val="auto"/>
        </w:rPr>
      </w:pPr>
    </w:p>
    <w:p>
      <w:pPr>
        <w:spacing w:after="0" w:line="205" w:lineRule="exact"/>
        <w:rPr>
          <w:rFonts w:ascii="Arial" w:cs="Arial" w:eastAsia="Arial" w:hAnsi="Arial"/>
          <w:sz w:val="19"/>
          <w:szCs w:val="19"/>
          <w:u w:val="single" w:color="auto"/>
          <w:color w:val="auto"/>
        </w:rPr>
      </w:pPr>
    </w:p>
    <w:p>
      <w:pPr>
        <w:jc w:val="both"/>
        <w:ind w:left="300" w:right="299" w:firstLine="640"/>
        <w:spacing w:after="0" w:line="238" w:lineRule="auto"/>
        <w:tabs>
          <w:tab w:leader="none" w:pos="1181" w:val="left"/>
        </w:tabs>
        <w:numPr>
          <w:ilvl w:val="0"/>
          <w:numId w:val="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Each party warrants to the other that it has had no dealings with any real estate broker or agent in connection with the negotiation of this Amendment. Lessee shall indemnify and hold Lessor, its trustees, members, principals, beneficiaries, partners, officers,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62865</wp:posOffset>
            </wp:positionV>
            <wp:extent cx="537464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jc w:val="both"/>
        <w:ind w:left="300" w:right="299"/>
        <w:spacing w:after="0" w:line="248" w:lineRule="auto"/>
        <w:rPr>
          <w:sz w:val="20"/>
          <w:szCs w:val="20"/>
          <w:color w:val="auto"/>
        </w:rPr>
      </w:pPr>
      <w:r>
        <w:rPr>
          <w:rFonts w:ascii="Arial" w:cs="Arial" w:eastAsia="Arial" w:hAnsi="Arial"/>
          <w:sz w:val="21"/>
          <w:szCs w:val="21"/>
          <w:color w:val="auto"/>
        </w:rPr>
        <w:t>employees, mortgagee(s) and agents, and the respective principals and members of any such agents, harmless from all claims of any brokers claiming to have represented Lessee in connection with this Amendment. Lessor shall indemnify and hold Lessee, its trustees, members, principals, beneficiaries, partners, officers, directors, employees, and agents, and the respective principals and members of any such agents, harmless from all claims of any brokers claiming to have represented Lessor in connection with this Amendment.</w:t>
      </w:r>
    </w:p>
    <w:p>
      <w:pPr>
        <w:spacing w:after="0" w:line="177" w:lineRule="exact"/>
        <w:rPr>
          <w:sz w:val="20"/>
          <w:szCs w:val="20"/>
          <w:color w:val="auto"/>
        </w:rPr>
      </w:pPr>
    </w:p>
    <w:p>
      <w:pPr>
        <w:jc w:val="both"/>
        <w:ind w:left="300" w:right="319" w:firstLine="640"/>
        <w:spacing w:after="0" w:line="297" w:lineRule="auto"/>
        <w:tabs>
          <w:tab w:leader="none" w:pos="1181" w:val="left"/>
        </w:tabs>
        <w:numPr>
          <w:ilvl w:val="0"/>
          <w:numId w:val="3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 Claims</w:t>
      </w:r>
      <w:r>
        <w:rPr>
          <w:rFonts w:ascii="Arial" w:cs="Arial" w:eastAsia="Arial" w:hAnsi="Arial"/>
          <w:sz w:val="19"/>
          <w:szCs w:val="19"/>
          <w:color w:val="auto"/>
        </w:rPr>
        <w:t>. Lessee acknowledges and agrees that Lessor is not in default of the Lease and that Lessee currently has no defense, set-off, counterclaim or challenge against the payment of any sums owing under the Lease, or the enforcement of any of the terms or conditions thereof.</w:t>
      </w:r>
    </w:p>
    <w:p>
      <w:pPr>
        <w:spacing w:after="0" w:line="133" w:lineRule="exact"/>
        <w:rPr>
          <w:rFonts w:ascii="Arial" w:cs="Arial" w:eastAsia="Arial" w:hAnsi="Arial"/>
          <w:sz w:val="19"/>
          <w:szCs w:val="19"/>
          <w:u w:val="single" w:color="auto"/>
          <w:color w:val="auto"/>
        </w:rPr>
      </w:pPr>
    </w:p>
    <w:p>
      <w:pPr>
        <w:jc w:val="both"/>
        <w:ind w:left="300" w:right="319" w:firstLine="640"/>
        <w:spacing w:after="0" w:line="238" w:lineRule="auto"/>
        <w:tabs>
          <w:tab w:leader="none" w:pos="1181" w:val="left"/>
        </w:tabs>
        <w:numPr>
          <w:ilvl w:val="0"/>
          <w:numId w:val="3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Other Terms and Conditions.</w:t>
      </w:r>
      <w:r>
        <w:rPr>
          <w:rFonts w:ascii="Arial" w:cs="Arial" w:eastAsia="Arial" w:hAnsi="Arial"/>
          <w:sz w:val="22"/>
          <w:szCs w:val="22"/>
          <w:color w:val="auto"/>
        </w:rPr>
        <w:t xml:space="preserve"> In the case of any inconsistency between the provisions of the Lease and this Amendment, the provisions of this Amendment shall govern and control. Except as expressly amended by this Amendment, all other terms and conditions of the Lease shall remain in full force and effect.</w:t>
      </w:r>
    </w:p>
    <w:p>
      <w:pPr>
        <w:spacing w:after="0" w:line="184" w:lineRule="exact"/>
        <w:rPr>
          <w:rFonts w:ascii="Arial" w:cs="Arial" w:eastAsia="Arial" w:hAnsi="Arial"/>
          <w:sz w:val="22"/>
          <w:szCs w:val="22"/>
          <w:u w:val="single" w:color="auto"/>
          <w:color w:val="auto"/>
        </w:rPr>
      </w:pPr>
    </w:p>
    <w:p>
      <w:pPr>
        <w:jc w:val="both"/>
        <w:ind w:left="300" w:right="299" w:firstLine="640"/>
        <w:spacing w:after="0" w:line="236" w:lineRule="auto"/>
        <w:tabs>
          <w:tab w:leader="none" w:pos="1181" w:val="left"/>
        </w:tabs>
        <w:numPr>
          <w:ilvl w:val="0"/>
          <w:numId w:val="3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all of which taken together shall constitute the same agreement. Further, photocopies and/or electronic copies (including, but not limited to PDF signatures) that are faxed or scanned or that are executed and delivered by an electronic signature platform (such as DocuSign) shall be deemed as valid as an original.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62865</wp:posOffset>
            </wp:positionV>
            <wp:extent cx="537464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ind w:left="300" w:right="299" w:firstLine="648"/>
        <w:spacing w:after="0" w:line="251" w:lineRule="auto"/>
        <w:rPr>
          <w:sz w:val="20"/>
          <w:szCs w:val="20"/>
          <w:color w:val="auto"/>
        </w:rPr>
      </w:pPr>
      <w:r>
        <w:rPr>
          <w:rFonts w:ascii="Arial" w:cs="Arial" w:eastAsia="Arial" w:hAnsi="Arial"/>
          <w:sz w:val="22"/>
          <w:szCs w:val="22"/>
          <w:color w:val="auto"/>
        </w:rPr>
        <w:t>IN WITNESS WHEREOF, the partied hereto have signed this Amendment as of the day and year first above written.</w:t>
      </w:r>
    </w:p>
    <w:p>
      <w:pPr>
        <w:spacing w:after="0" w:line="397" w:lineRule="exact"/>
        <w:rPr>
          <w:sz w:val="20"/>
          <w:szCs w:val="20"/>
          <w:color w:val="auto"/>
        </w:rPr>
      </w:pPr>
    </w:p>
    <w:tbl>
      <w:tblPr>
        <w:tblLayout w:type="fixed"/>
        <w:tblInd w:w="300" w:type="dxa"/>
        <w:tblCellMar>
          <w:top w:w="0" w:type="dxa"/>
          <w:left w:w="0" w:type="dxa"/>
          <w:bottom w:w="0" w:type="dxa"/>
          <w:right w:w="0" w:type="dxa"/>
        </w:tblCellMar>
      </w:tblPr>
      <w:tr>
        <w:trPr>
          <w:trHeight w:val="280"/>
        </w:trPr>
        <w:tc>
          <w:tcPr>
            <w:tcW w:w="3660" w:type="dxa"/>
            <w:vAlign w:val="bottom"/>
            <w:gridSpan w:val="5"/>
          </w:tcPr>
          <w:p>
            <w:pPr>
              <w:ind w:left="80"/>
              <w:spacing w:after="0"/>
              <w:rPr>
                <w:sz w:val="20"/>
                <w:szCs w:val="20"/>
                <w:color w:val="auto"/>
              </w:rPr>
            </w:pPr>
            <w:r>
              <w:rPr>
                <w:rFonts w:ascii="Arial" w:cs="Arial" w:eastAsia="Arial" w:hAnsi="Arial"/>
                <w:sz w:val="22"/>
                <w:szCs w:val="22"/>
                <w:b w:val="1"/>
                <w:bCs w:val="1"/>
                <w:color w:val="auto"/>
              </w:rPr>
              <w:t>LESSOR:</w:t>
            </w:r>
          </w:p>
        </w:tc>
        <w:tc>
          <w:tcPr>
            <w:tcW w:w="4760" w:type="dxa"/>
            <w:vAlign w:val="bottom"/>
            <w:gridSpan w:val="6"/>
          </w:tcPr>
          <w:p>
            <w:pPr>
              <w:ind w:left="640"/>
              <w:spacing w:after="0"/>
              <w:rPr>
                <w:sz w:val="20"/>
                <w:szCs w:val="20"/>
                <w:color w:val="auto"/>
              </w:rPr>
            </w:pPr>
            <w:r>
              <w:rPr>
                <w:rFonts w:ascii="Arial" w:cs="Arial" w:eastAsia="Arial" w:hAnsi="Arial"/>
                <w:sz w:val="22"/>
                <w:szCs w:val="22"/>
                <w:b w:val="1"/>
                <w:bCs w:val="1"/>
                <w:color w:val="auto"/>
              </w:rPr>
              <w:t>LESSEE:</w:t>
            </w:r>
          </w:p>
        </w:tc>
      </w:tr>
      <w:tr>
        <w:trPr>
          <w:trHeight w:val="428"/>
        </w:trPr>
        <w:tc>
          <w:tcPr>
            <w:tcW w:w="3660" w:type="dxa"/>
            <w:vAlign w:val="bottom"/>
            <w:gridSpan w:val="5"/>
          </w:tcPr>
          <w:p>
            <w:pPr>
              <w:ind w:left="80"/>
              <w:spacing w:after="0"/>
              <w:rPr>
                <w:sz w:val="20"/>
                <w:szCs w:val="20"/>
                <w:color w:val="auto"/>
              </w:rPr>
            </w:pPr>
            <w:r>
              <w:rPr>
                <w:rFonts w:ascii="Arial" w:cs="Arial" w:eastAsia="Arial" w:hAnsi="Arial"/>
                <w:sz w:val="22"/>
                <w:szCs w:val="22"/>
                <w:color w:val="auto"/>
              </w:rPr>
              <w:t>ZIC 1212 TERRA BELLA LLC, a</w:t>
            </w:r>
          </w:p>
        </w:tc>
        <w:tc>
          <w:tcPr>
            <w:tcW w:w="4760" w:type="dxa"/>
            <w:vAlign w:val="bottom"/>
            <w:gridSpan w:val="6"/>
          </w:tcPr>
          <w:p>
            <w:pPr>
              <w:ind w:left="640"/>
              <w:spacing w:after="0"/>
              <w:rPr>
                <w:sz w:val="20"/>
                <w:szCs w:val="20"/>
                <w:color w:val="auto"/>
              </w:rPr>
            </w:pPr>
            <w:r>
              <w:rPr>
                <w:rFonts w:ascii="Arial" w:cs="Arial" w:eastAsia="Arial" w:hAnsi="Arial"/>
                <w:sz w:val="22"/>
                <w:szCs w:val="22"/>
                <w:color w:val="auto"/>
              </w:rPr>
              <w:t>IRIDEX CORPORATION, a Delaware</w:t>
            </w:r>
          </w:p>
        </w:tc>
      </w:tr>
      <w:tr>
        <w:trPr>
          <w:trHeight w:val="274"/>
        </w:trPr>
        <w:tc>
          <w:tcPr>
            <w:tcW w:w="3660" w:type="dxa"/>
            <w:vAlign w:val="bottom"/>
            <w:gridSpan w:val="5"/>
          </w:tcPr>
          <w:p>
            <w:pPr>
              <w:ind w:left="80"/>
              <w:spacing w:after="0"/>
              <w:rPr>
                <w:sz w:val="20"/>
                <w:szCs w:val="20"/>
                <w:color w:val="auto"/>
              </w:rPr>
            </w:pPr>
            <w:r>
              <w:rPr>
                <w:rFonts w:ascii="Arial" w:cs="Arial" w:eastAsia="Arial" w:hAnsi="Arial"/>
                <w:sz w:val="22"/>
                <w:szCs w:val="22"/>
                <w:color w:val="auto"/>
              </w:rPr>
              <w:t>Delaware limited liability company</w:t>
            </w:r>
          </w:p>
        </w:tc>
        <w:tc>
          <w:tcPr>
            <w:tcW w:w="4760" w:type="dxa"/>
            <w:vAlign w:val="bottom"/>
            <w:gridSpan w:val="6"/>
          </w:tcPr>
          <w:p>
            <w:pPr>
              <w:ind w:left="640"/>
              <w:spacing w:after="0"/>
              <w:rPr>
                <w:sz w:val="20"/>
                <w:szCs w:val="20"/>
                <w:color w:val="auto"/>
              </w:rPr>
            </w:pPr>
            <w:r>
              <w:rPr>
                <w:rFonts w:ascii="Arial" w:cs="Arial" w:eastAsia="Arial" w:hAnsi="Arial"/>
                <w:sz w:val="22"/>
                <w:szCs w:val="22"/>
                <w:color w:val="auto"/>
              </w:rPr>
              <w:t>limited liability company</w:t>
            </w:r>
          </w:p>
        </w:tc>
      </w:tr>
      <w:tr>
        <w:trPr>
          <w:trHeight w:val="408"/>
        </w:trPr>
        <w:tc>
          <w:tcPr>
            <w:tcW w:w="3660" w:type="dxa"/>
            <w:vAlign w:val="bottom"/>
            <w:gridSpan w:val="5"/>
          </w:tcPr>
          <w:p>
            <w:pPr>
              <w:ind w:left="80"/>
              <w:spacing w:after="0"/>
              <w:rPr>
                <w:sz w:val="20"/>
                <w:szCs w:val="20"/>
                <w:color w:val="auto"/>
              </w:rPr>
            </w:pPr>
            <w:r>
              <w:rPr>
                <w:rFonts w:ascii="Arial" w:cs="Arial" w:eastAsia="Arial" w:hAnsi="Arial"/>
                <w:sz w:val="22"/>
                <w:szCs w:val="22"/>
                <w:color w:val="auto"/>
              </w:rPr>
              <w:t>By: /s/ John Zappettini</w:t>
            </w:r>
          </w:p>
        </w:tc>
        <w:tc>
          <w:tcPr>
            <w:tcW w:w="4760" w:type="dxa"/>
            <w:vAlign w:val="bottom"/>
            <w:gridSpan w:val="6"/>
          </w:tcPr>
          <w:p>
            <w:pPr>
              <w:ind w:left="640"/>
              <w:spacing w:after="0"/>
              <w:rPr>
                <w:sz w:val="20"/>
                <w:szCs w:val="20"/>
                <w:color w:val="auto"/>
              </w:rPr>
            </w:pPr>
            <w:r>
              <w:rPr>
                <w:rFonts w:ascii="Arial" w:cs="Arial" w:eastAsia="Arial" w:hAnsi="Arial"/>
                <w:sz w:val="22"/>
                <w:szCs w:val="22"/>
                <w:color w:val="auto"/>
              </w:rPr>
              <w:t>By: /s/ Patrick Mercer</w:t>
            </w:r>
          </w:p>
        </w:tc>
      </w:tr>
      <w:tr>
        <w:trPr>
          <w:trHeight w:val="20"/>
        </w:trPr>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3140" w:type="dxa"/>
            <w:vAlign w:val="bottom"/>
            <w:gridSpan w:val="4"/>
          </w:tcPr>
          <w:p>
            <w:pPr>
              <w:ind w:left="120"/>
              <w:spacing w:after="0" w:line="223" w:lineRule="exact"/>
              <w:rPr>
                <w:sz w:val="20"/>
                <w:szCs w:val="20"/>
                <w:color w:val="auto"/>
              </w:rPr>
            </w:pPr>
            <w:r>
              <w:rPr>
                <w:rFonts w:ascii="Arial" w:cs="Arial" w:eastAsia="Arial" w:hAnsi="Arial"/>
                <w:sz w:val="22"/>
                <w:szCs w:val="22"/>
                <w:color w:val="auto"/>
              </w:rPr>
              <w:t>Name: John Zappettini</w:t>
            </w:r>
          </w:p>
        </w:tc>
        <w:tc>
          <w:tcPr>
            <w:tcW w:w="1080" w:type="dxa"/>
            <w:vAlign w:val="bottom"/>
          </w:tcPr>
          <w:p>
            <w:pPr>
              <w:spacing w:after="0"/>
              <w:rPr>
                <w:sz w:val="19"/>
                <w:szCs w:val="19"/>
                <w:color w:val="auto"/>
              </w:rPr>
            </w:pPr>
          </w:p>
        </w:tc>
        <w:tc>
          <w:tcPr>
            <w:tcW w:w="3680" w:type="dxa"/>
            <w:vAlign w:val="bottom"/>
            <w:gridSpan w:val="5"/>
          </w:tcPr>
          <w:p>
            <w:pPr>
              <w:ind w:left="120"/>
              <w:spacing w:after="0" w:line="223" w:lineRule="exact"/>
              <w:rPr>
                <w:sz w:val="20"/>
                <w:szCs w:val="20"/>
                <w:color w:val="auto"/>
              </w:rPr>
            </w:pPr>
            <w:r>
              <w:rPr>
                <w:rFonts w:ascii="Arial" w:cs="Arial" w:eastAsia="Arial" w:hAnsi="Arial"/>
                <w:sz w:val="22"/>
                <w:szCs w:val="22"/>
                <w:color w:val="auto"/>
              </w:rPr>
              <w:t>Name: Patrick Mercer</w:t>
            </w:r>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3140" w:type="dxa"/>
            <w:vAlign w:val="bottom"/>
            <w:gridSpan w:val="4"/>
          </w:tcPr>
          <w:p>
            <w:pPr>
              <w:ind w:left="120"/>
              <w:spacing w:after="0" w:line="223" w:lineRule="exact"/>
              <w:rPr>
                <w:sz w:val="20"/>
                <w:szCs w:val="20"/>
                <w:color w:val="auto"/>
              </w:rPr>
            </w:pPr>
            <w:r>
              <w:rPr>
                <w:rFonts w:ascii="Arial" w:cs="Arial" w:eastAsia="Arial" w:hAnsi="Arial"/>
                <w:sz w:val="22"/>
                <w:szCs w:val="22"/>
                <w:color w:val="auto"/>
              </w:rPr>
              <w:t>Title:  President</w:t>
            </w:r>
          </w:p>
        </w:tc>
        <w:tc>
          <w:tcPr>
            <w:tcW w:w="1080" w:type="dxa"/>
            <w:vAlign w:val="bottom"/>
          </w:tcPr>
          <w:p>
            <w:pPr>
              <w:spacing w:after="0"/>
              <w:rPr>
                <w:sz w:val="19"/>
                <w:szCs w:val="19"/>
                <w:color w:val="auto"/>
              </w:rPr>
            </w:pPr>
          </w:p>
        </w:tc>
        <w:tc>
          <w:tcPr>
            <w:tcW w:w="3680" w:type="dxa"/>
            <w:vAlign w:val="bottom"/>
            <w:gridSpan w:val="5"/>
          </w:tcPr>
          <w:p>
            <w:pPr>
              <w:ind w:left="120"/>
              <w:spacing w:after="0" w:line="223" w:lineRule="exact"/>
              <w:rPr>
                <w:sz w:val="20"/>
                <w:szCs w:val="20"/>
                <w:color w:val="auto"/>
              </w:rPr>
            </w:pPr>
            <w:r>
              <w:rPr>
                <w:rFonts w:ascii="Arial" w:cs="Arial" w:eastAsia="Arial" w:hAnsi="Arial"/>
                <w:sz w:val="22"/>
                <w:szCs w:val="22"/>
                <w:color w:val="auto"/>
              </w:rPr>
              <w:t>Title:  COO</w:t>
            </w:r>
          </w:p>
        </w:tc>
      </w:tr>
      <w:tr>
        <w:trPr>
          <w:trHeight w:val="935"/>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4</w:t>
            </w:r>
          </w:p>
        </w:tc>
        <w:tc>
          <w:tcPr>
            <w:tcW w:w="8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SECTIONS 13(a)-14(a) AND 15(d)-14(a) OF THE SECURITIES EXCHANGE ACT OF 1934 AS ADOPTED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880" w:hanging="436"/>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ind w:left="880" w:hanging="436"/>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80" w:right="20" w:hanging="436"/>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880" w:right="200" w:hanging="436"/>
        <w:spacing w:after="0" w:line="286"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320" w:right="20" w:hanging="435"/>
        <w:spacing w:after="0" w:line="259"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320" w:hanging="435"/>
        <w:spacing w:after="0" w:line="259"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320" w:right="40" w:hanging="435"/>
        <w:spacing w:after="0" w:line="263"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20" w:right="160" w:hanging="435"/>
        <w:spacing w:after="0" w:line="259"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880" w:right="300" w:hanging="436"/>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320" w:right="220" w:hanging="435"/>
        <w:spacing w:after="0" w:line="263"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20" w:right="40" w:hanging="435"/>
        <w:spacing w:after="0" w:line="277"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66"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23495</wp:posOffset>
            </wp:positionV>
            <wp:extent cx="20828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David I. Bruce</w:t>
      </w:r>
    </w:p>
    <w:p>
      <w:pPr>
        <w:spacing w:after="0" w:line="36" w:lineRule="exact"/>
        <w:rPr>
          <w:sz w:val="20"/>
          <w:szCs w:val="20"/>
          <w:color w:val="auto"/>
        </w:rPr>
      </w:pPr>
    </w:p>
    <w:p>
      <w:pPr>
        <w:jc w:val="center"/>
        <w:ind w:left="5820"/>
        <w:spacing w:after="0"/>
        <w:tabs>
          <w:tab w:leader="none" w:pos="200" w:val="left"/>
        </w:tabs>
        <w:rPr>
          <w:sz w:val="20"/>
          <w:szCs w:val="20"/>
          <w:color w:val="auto"/>
        </w:rPr>
      </w:pPr>
      <w:r>
        <w:rPr>
          <w:rFonts w:ascii="Arial" w:cs="Arial" w:eastAsia="Arial" w:hAnsi="Arial"/>
          <w:sz w:val="18"/>
          <w:szCs w:val="18"/>
          <w:color w:val="auto"/>
        </w:rPr>
        <w:t>Title:</w:t>
        <w:tab/>
        <w:t>President and Chief Executive Officer</w:t>
      </w:r>
    </w:p>
    <w:p>
      <w:pPr>
        <w:spacing w:after="0" w:line="36"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19760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121" w:right="10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SECTIONS 13(a)-14(a) AND 15(d)-14(a) OF THE SECURITIES EXCHANGE ACT OF 1934 AS ADOPTED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17" w:lineRule="exact"/>
        <w:rPr>
          <w:sz w:val="20"/>
          <w:szCs w:val="20"/>
          <w:color w:val="auto"/>
        </w:rPr>
      </w:pPr>
    </w:p>
    <w:p>
      <w:pPr>
        <w:ind w:left="880" w:hanging="436"/>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ind w:left="880" w:hanging="436"/>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880" w:right="20" w:hanging="436"/>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880" w:right="200" w:hanging="436"/>
        <w:spacing w:after="0" w:line="286"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320" w:right="20" w:hanging="435"/>
        <w:spacing w:after="0" w:line="259" w:lineRule="auto"/>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320" w:hanging="435"/>
        <w:spacing w:after="0" w:line="259" w:lineRule="auto"/>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320" w:right="40" w:hanging="435"/>
        <w:spacing w:after="0" w:line="263" w:lineRule="auto"/>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20" w:right="160" w:hanging="435"/>
        <w:spacing w:after="0" w:line="259" w:lineRule="auto"/>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880" w:right="300" w:hanging="436"/>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320" w:right="220" w:hanging="435"/>
        <w:spacing w:after="0" w:line="263" w:lineRule="auto"/>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20" w:right="40" w:hanging="435"/>
        <w:spacing w:after="0" w:line="277" w:lineRule="auto"/>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66"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23495</wp:posOffset>
            </wp:positionV>
            <wp:extent cx="20828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Fuad Ahmad</w:t>
      </w:r>
    </w:p>
    <w:p>
      <w:pPr>
        <w:spacing w:after="0" w:line="36" w:lineRule="exact"/>
        <w:rPr>
          <w:sz w:val="20"/>
          <w:szCs w:val="20"/>
          <w:color w:val="auto"/>
        </w:rPr>
      </w:pPr>
    </w:p>
    <w:p>
      <w:pPr>
        <w:ind w:left="5840"/>
        <w:spacing w:after="0"/>
        <w:tabs>
          <w:tab w:leader="none" w:pos="6440" w:val="left"/>
        </w:tabs>
        <w:rPr>
          <w:sz w:val="20"/>
          <w:szCs w:val="20"/>
          <w:color w:val="auto"/>
        </w:rPr>
      </w:pPr>
      <w:r>
        <w:rPr>
          <w:rFonts w:ascii="Arial" w:cs="Arial" w:eastAsia="Arial" w:hAnsi="Arial"/>
          <w:sz w:val="18"/>
          <w:szCs w:val="18"/>
          <w:color w:val="auto"/>
        </w:rPr>
        <w:t>Title:</w:t>
        <w:tab/>
        <w:t>Interim Chief Financial Officer</w:t>
      </w:r>
    </w:p>
    <w:p>
      <w:pPr>
        <w:spacing w:after="0" w:line="3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396240</wp:posOffset>
            </wp:positionV>
            <wp:extent cx="619760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121" w:right="10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September 30, 2023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39"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23495</wp:posOffset>
            </wp:positionV>
            <wp:extent cx="27774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David I. Bruce</w:t>
      </w:r>
    </w:p>
    <w:p>
      <w:pPr>
        <w:spacing w:after="0" w:line="36"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President and Chief Executive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19760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Quarterly Report of IRIDEX Corporation on Form 10-Q for the fiscal quarter ended September 30, 2023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39"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23495</wp:posOffset>
            </wp:positionV>
            <wp:extent cx="27774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Fuad Ahmad</w:t>
      </w:r>
    </w:p>
    <w:p>
      <w:pPr>
        <w:spacing w:after="0" w:line="36"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Interim Chief Financial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19760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64" w:right="109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2D1D5AE9"/>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lvl w:ilvl="1">
      <w:lvlJc w:val="left"/>
      <w:lvlText w:val="%2"/>
      <w:numFmt w:val="decimal"/>
      <w:start w:val="104"/>
    </w:lvl>
  </w:abstractNum>
  <w:abstractNum w:abstractNumId="30">
    <w:nsid w:val="419AC241"/>
    <w:multiLevelType w:val="hybridMultilevel"/>
    <w:lvl w:ilvl="0">
      <w:lvlJc w:val="left"/>
      <w:lvlText w:val="%1."/>
      <w:numFmt w:val="decimal"/>
      <w:start w:val="1"/>
    </w:lvl>
    <w:lvl w:ilvl="1">
      <w:lvlJc w:val="left"/>
      <w:lvlText w:val="%2."/>
      <w:numFmt w:val="lowerLetter"/>
      <w:start w:val="1"/>
    </w:lvl>
  </w:abstractNum>
  <w:abstractNum w:abstractNumId="31">
    <w:nsid w:val="5577F8E1"/>
    <w:multiLevelType w:val="hybridMultilevel"/>
    <w:lvl w:ilvl="0">
      <w:lvlJc w:val="left"/>
      <w:lvlText w:val="%1."/>
      <w:numFmt w:val="decimal"/>
      <w:start w:val="3"/>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1."/>
      <w:numFmt w:val="decimal"/>
      <w:start w:val="4"/>
    </w:lvl>
  </w:abstractNum>
  <w:abstractNum w:abstractNumId="35">
    <w:nsid w:val="77465F01"/>
    <w:multiLevelType w:val="hybridMultilevel"/>
    <w:lvl w:ilvl="0">
      <w:lvlJc w:val="left"/>
      <w:lvlText w:val="%1."/>
      <w:numFmt w:val="decimal"/>
      <w:start w:val="7"/>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41" Type="http://schemas.openxmlformats.org/officeDocument/2006/relationships/hyperlink" Target="https://www.sec.gov/Archives/edgar/data/1006045/000095017023028282/iri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2023-11-20T16:07:29Z</dcterms:created>
  <dcterms:modified xsi:type="dcterms:W3CDTF">2023-11-20T16:07:29Z</dcterms:modified>
</cp:coreProperties>
</file>