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77-0210467</w:t>
            </w:r>
          </w:p>
        </w:tc>
      </w:tr>
      <w:tr>
        <w:trPr>
          <w:trHeight w:val="149"/>
        </w:trPr>
        <w:tc>
          <w:tcPr>
            <w:tcW w:w="43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38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incorporation or organization)</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1212 Terra Bella Avenue</w:t>
            </w:r>
          </w:p>
        </w:tc>
        <w:tc>
          <w:tcPr>
            <w:tcW w:w="3380" w:type="dxa"/>
            <w:vAlign w:val="bottom"/>
          </w:tcPr>
          <w:p>
            <w:pPr>
              <w:spacing w:after="0"/>
              <w:rPr>
                <w:sz w:val="24"/>
                <w:szCs w:val="24"/>
                <w:color w:val="auto"/>
              </w:rPr>
            </w:pPr>
          </w:p>
        </w:tc>
      </w:t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4"/>
              </w:rPr>
              <w:t>Mountain View, California</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94043-1824</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44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April 20, 2018 was 11,637,702.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1"/>
        </w:trPr>
        <w:tc>
          <w:tcPr>
            <w:tcW w:w="290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70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Balance Sheets as of March 31, 2018 and December 30, 2017</w:t>
              </w:r>
            </w:hyperlink>
          </w:p>
        </w:tc>
        <w:tc>
          <w:tcPr>
            <w:tcW w:w="246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Unaudited Condensed Consolidated Statements of Operations for the three months ended March 31, 2018 and April 1, 2017</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Comprehensive Loss for the three months ended March 31, 2018 and April 1,</w:t>
              </w:r>
            </w:hyperlink>
          </w:p>
        </w:tc>
        <w:tc>
          <w:tcPr>
            <w:tcW w:w="8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2017</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Statements of Cash Flows for the three months ended March 31, 2018 and April 1, 2017</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180" w:type="dxa"/>
            <w:vAlign w:val="bottom"/>
            <w:tcBorders>
              <w:top w:val="single" w:sz="8" w:color="0000EE"/>
            </w:tcBorders>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0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76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9"/>
        </w:trPr>
        <w:tc>
          <w:tcPr>
            <w:tcW w:w="1060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180" w:type="dxa"/>
            <w:vAlign w:val="bottom"/>
            <w:tcBorders>
              <w:top w:val="single" w:sz="8" w:color="0000EE"/>
            </w:tcBorders>
          </w:tcPr>
          <w:p>
            <w:pPr>
              <w:spacing w:after="0"/>
              <w:rPr>
                <w:sz w:val="24"/>
                <w:szCs w:val="24"/>
                <w:color w:val="auto"/>
              </w:rPr>
            </w:pPr>
          </w:p>
        </w:tc>
        <w:tc>
          <w:tcPr>
            <w:tcW w:w="802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518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22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822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700" w:type="dxa"/>
            <w:vAlign w:val="bottom"/>
            <w:tcBorders>
              <w:bottom w:val="single" w:sz="8" w:color="0000EE"/>
            </w:tcBorders>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Signature</w:t>
              </w:r>
            </w:hyperlink>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vMerge w:val="restart"/>
          </w:tcPr>
          <w:p>
            <w:pPr>
              <w:ind w:left="32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30, 2017</w:t>
            </w: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18,522</w:t>
            </w:r>
          </w:p>
        </w:tc>
        <w:tc>
          <w:tcPr>
            <w:tcW w:w="18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$223 as of March 31, 2018 and $226 as of December 30, 2017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34,909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37,212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1,976</w:t>
            </w:r>
          </w:p>
        </w:tc>
        <w:tc>
          <w:tcPr>
            <w:tcW w:w="18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w w:val="91"/>
              </w:rPr>
              <w:t>Preferred stock, $0.01 par value, 2,000,000 shares authorized, no shares issued and outstanding</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260"/>
              <w:spacing w:after="0"/>
              <w:rPr>
                <w:sz w:val="20"/>
                <w:szCs w:val="20"/>
                <w:color w:val="auto"/>
              </w:rPr>
            </w:pPr>
            <w:r>
              <w:rPr>
                <w:rFonts w:ascii="Arial" w:cs="Arial" w:eastAsia="Arial" w:hAnsi="Arial"/>
                <w:sz w:val="18"/>
                <w:szCs w:val="18"/>
                <w:color w:val="auto"/>
              </w:rPr>
              <w:t>Issued and outstanding 11,637,361 and 11,596,274 shares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as of March 31, 2018 and December 30, 2017, respectively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(32,592)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(28,989)</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37,212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6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December 30,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4"/>
                <w:szCs w:val="1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6"/>
              </w:rPr>
              <w:t>April 1, 2017</w:t>
            </w:r>
          </w:p>
        </w:tc>
        <w:tc>
          <w:tcPr>
            <w:tcW w:w="0" w:type="dxa"/>
            <w:vAlign w:val="bottom"/>
          </w:tcPr>
          <w:p>
            <w:pPr>
              <w:spacing w:after="0"/>
              <w:rPr>
                <w:sz w:val="1"/>
                <w:szCs w:val="1"/>
                <w:color w:val="auto"/>
              </w:rPr>
            </w:pPr>
          </w:p>
        </w:tc>
      </w:tr>
      <w:tr>
        <w:trPr>
          <w:trHeight w:val="223"/>
        </w:trPr>
        <w:tc>
          <w:tcPr>
            <w:tcW w:w="726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2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0"/>
        </w:trPr>
        <w:tc>
          <w:tcPr>
            <w:tcW w:w="72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Weighted average shares used in computing net loss per common share:</w:t>
            </w: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March 31, 2018</w:t>
            </w: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147"/>
        </w:trPr>
        <w:tc>
          <w:tcPr>
            <w:tcW w:w="45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1760" w:type="dxa"/>
            <w:vAlign w:val="bottom"/>
            <w:tcBorders>
              <w:top w:val="single" w:sz="8" w:color="auto"/>
            </w:tcBorders>
          </w:tcPr>
          <w:p>
            <w:pPr>
              <w:jc w:val="right"/>
              <w:ind w:right="15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360" w:type="dxa"/>
            <w:vAlign w:val="bottom"/>
          </w:tcPr>
          <w:p>
            <w:pPr>
              <w:spacing w:after="0"/>
              <w:rPr>
                <w:sz w:val="19"/>
                <w:szCs w:val="19"/>
                <w:color w:val="auto"/>
              </w:rPr>
            </w:pP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6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Comprehensive loss</w:t>
            </w:r>
          </w:p>
        </w:tc>
        <w:tc>
          <w:tcPr>
            <w:tcW w:w="164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ind w:right="15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0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April 1, 2017</w:t>
            </w:r>
          </w:p>
        </w:tc>
        <w:tc>
          <w:tcPr>
            <w:tcW w:w="0" w:type="dxa"/>
            <w:vAlign w:val="bottom"/>
          </w:tcPr>
          <w:p>
            <w:pPr>
              <w:spacing w:after="0"/>
              <w:rPr>
                <w:sz w:val="1"/>
                <w:szCs w:val="1"/>
                <w:color w:val="auto"/>
              </w:rPr>
            </w:pPr>
          </w:p>
        </w:tc>
      </w:tr>
      <w:tr>
        <w:trPr>
          <w:trHeight w:val="223"/>
        </w:trPr>
        <w:tc>
          <w:tcPr>
            <w:tcW w:w="62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(3,603)</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Change in fair value of earn-out liability</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Investing activities: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Payment on earn-out liability</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Financing activities: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Proceeds from stock option exercises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exchange rate changes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(3,185)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18,522</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Cash paid during the period for: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12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2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18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30, 2017, which was filed with the Securities and Exchange Commission (“SEC”) on March 14, 2018. The results of operations for the three months ended March 31, 2018 and April 1, 2017 are not necessarily indicative of the results for the fiscal year ending December 29, 2018 or any future interim period. The three months periods ended March 31, 2018 and April 1, 2017,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30, 2017, which was filed with the SEC on March 14,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360" w:firstLine="518"/>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7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LAP Programs, (3) Extended Warranty, (4) System Repairs (outside of warranty) and (5) Royalty Revenue.</w:t>
      </w:r>
    </w:p>
    <w:p>
      <w:pPr>
        <w:spacing w:after="0" w:line="197" w:lineRule="exact"/>
        <w:rPr>
          <w:sz w:val="20"/>
          <w:szCs w:val="20"/>
          <w:color w:val="auto"/>
        </w:rPr>
      </w:pPr>
    </w:p>
    <w:p>
      <w:pPr>
        <w:ind w:left="1140" w:right="220" w:hanging="376"/>
        <w:spacing w:after="0" w:line="25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eye disease in the retina, glaucoma and pediatrics eye diseases. Inside the United States the products are sold directly to the end users. Outside of the United States, the Company utilizes independent, third-party distributors to market and sell the Company’s products. There is no continuing obligation subsequent to the shipment to the distributors.</w:t>
      </w:r>
    </w:p>
    <w:p>
      <w:pPr>
        <w:spacing w:after="0" w:line="215" w:lineRule="exact"/>
        <w:rPr>
          <w:rFonts w:ascii="Arial" w:cs="Arial" w:eastAsia="Arial" w:hAnsi="Arial"/>
          <w:sz w:val="18"/>
          <w:szCs w:val="18"/>
          <w:color w:val="auto"/>
        </w:rPr>
      </w:pPr>
    </w:p>
    <w:p>
      <w:pPr>
        <w:ind w:left="1140" w:right="40"/>
        <w:spacing w:after="0" w:line="264" w:lineRule="auto"/>
        <w:rPr>
          <w:rFonts w:ascii="Arial" w:cs="Arial" w:eastAsia="Arial" w:hAnsi="Arial"/>
          <w:sz w:val="18"/>
          <w:szCs w:val="18"/>
          <w:color w:val="auto"/>
        </w:rPr>
      </w:pPr>
      <w:r>
        <w:rPr>
          <w:rFonts w:ascii="Arial" w:cs="Arial" w:eastAsia="Arial" w:hAnsi="Arial"/>
          <w:sz w:val="18"/>
          <w:szCs w:val="18"/>
          <w:color w:val="auto"/>
        </w:rPr>
        <w:t>Under the new guidance, there is no change in our revenue recognition for product sale only-transactions, as compared to revenue recognition for these transactions under the prior revenue recognition standards. For a description of our prior revenue recognition standards, see Note 2 to the consolidated financial statements included as part of our Annual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7" w:name="page8"/>
    <w:bookmarkEnd w:id="7"/>
    <w:p>
      <w:pPr>
        <w:ind w:left="376" w:right="120"/>
        <w:spacing w:after="0" w:line="257" w:lineRule="auto"/>
        <w:rPr>
          <w:sz w:val="20"/>
          <w:szCs w:val="20"/>
          <w:color w:val="auto"/>
        </w:rPr>
      </w:pPr>
      <w:r>
        <w:rPr>
          <w:rFonts w:ascii="Arial" w:cs="Arial" w:eastAsia="Arial" w:hAnsi="Arial"/>
          <w:sz w:val="18"/>
          <w:szCs w:val="18"/>
          <w:color w:val="auto"/>
        </w:rPr>
        <w:t>on Form 10-K for the period ended December 30, 2017. 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215" w:lineRule="exact"/>
        <w:rPr>
          <w:sz w:val="20"/>
          <w:szCs w:val="20"/>
          <w:color w:val="auto"/>
        </w:rPr>
      </w:pPr>
    </w:p>
    <w:p>
      <w:pPr>
        <w:ind w:left="376" w:right="80" w:hanging="376"/>
        <w:spacing w:after="0" w:line="288" w:lineRule="auto"/>
        <w:tabs>
          <w:tab w:leader="none" w:pos="376" w:val="left"/>
        </w:tabs>
        <w:numPr>
          <w:ilvl w:val="0"/>
          <w:numId w:val="5"/>
        </w:numPr>
        <w:rPr>
          <w:rFonts w:ascii="Arial" w:cs="Arial" w:eastAsia="Arial" w:hAnsi="Arial"/>
          <w:sz w:val="16"/>
          <w:szCs w:val="16"/>
          <w:color w:val="auto"/>
        </w:rPr>
      </w:pPr>
      <w:r>
        <w:rPr>
          <w:rFonts w:ascii="Arial" w:cs="Arial" w:eastAsia="Arial" w:hAnsi="Arial"/>
          <w:sz w:val="16"/>
          <w:szCs w:val="16"/>
          <w:color w:val="auto"/>
        </w:rPr>
        <w:t>VIP/LAP Programs: The Company sometimes enters into VIP or Laser Advantage Program (LAP) contracts with customers. For the VIP program, under the terms of such contracts, the customer is not charged for the system upon the initial agreement, but rather is obligated to purchase a quarterly minimum quantity of endoprobes (classified as disposables) at a premium during the contract period, such that at the end of the contract period the system has been paid in full. The Company decided to replace its previously utilized VIP program (contract length of two years) with an LAP program (contract length of 12 months or less) beginning in fourth quarter of 2016.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196" w:lineRule="exact"/>
        <w:rPr>
          <w:rFonts w:ascii="Arial" w:cs="Arial" w:eastAsia="Arial" w:hAnsi="Arial"/>
          <w:sz w:val="16"/>
          <w:szCs w:val="16"/>
          <w:color w:val="auto"/>
        </w:rPr>
      </w:pPr>
    </w:p>
    <w:p>
      <w:pPr>
        <w:ind w:left="376" w:right="100"/>
        <w:spacing w:after="0" w:line="257" w:lineRule="auto"/>
        <w:rPr>
          <w:rFonts w:ascii="Arial" w:cs="Arial" w:eastAsia="Arial" w:hAnsi="Arial"/>
          <w:sz w:val="16"/>
          <w:szCs w:val="16"/>
          <w:color w:val="auto"/>
        </w:rPr>
      </w:pPr>
      <w:r>
        <w:rPr>
          <w:rFonts w:ascii="Arial" w:cs="Arial" w:eastAsia="Arial" w:hAnsi="Arial"/>
          <w:sz w:val="18"/>
          <w:szCs w:val="18"/>
          <w:color w:val="auto"/>
        </w:rPr>
        <w:t>Under the new guidance, there is no change in our revenue recognition for product sales under VIP/LAP programs as compared to revenue recognition for these transactions under the prior revenue recognition standards. The Company recognizes revenue from product sales under VIP/LAP programs at a point in time. For both programs,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215" w:lineRule="exact"/>
        <w:rPr>
          <w:rFonts w:ascii="Arial" w:cs="Arial" w:eastAsia="Arial" w:hAnsi="Arial"/>
          <w:sz w:val="16"/>
          <w:szCs w:val="16"/>
          <w:color w:val="auto"/>
        </w:rPr>
      </w:pPr>
    </w:p>
    <w:p>
      <w:pPr>
        <w:ind w:left="376" w:hanging="376"/>
        <w:spacing w:after="0" w:line="259" w:lineRule="auto"/>
        <w:tabs>
          <w:tab w:leader="none" w:pos="376"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Extended Warranty: The Company offers a standard 2 year warranty on all system sales (5 years on the laser heads for its IQ 532/577 laser consoles). The Company also offers an extended warranty which is sold to customers in incremental, one-year warranty periods which begin subsequent to the expiration of the standard 2 year warranty. The customer can opt to purchase the extended warranty at the time of the system sale or after the initial system sale.</w:t>
      </w:r>
    </w:p>
    <w:p>
      <w:pPr>
        <w:spacing w:after="0" w:line="213" w:lineRule="exact"/>
        <w:rPr>
          <w:rFonts w:ascii="Arial" w:cs="Arial" w:eastAsia="Arial" w:hAnsi="Arial"/>
          <w:sz w:val="18"/>
          <w:szCs w:val="18"/>
          <w:color w:val="auto"/>
        </w:rPr>
      </w:pPr>
    </w:p>
    <w:p>
      <w:pPr>
        <w:ind w:left="376" w:right="260"/>
        <w:spacing w:after="0" w:line="312" w:lineRule="auto"/>
        <w:rPr>
          <w:rFonts w:ascii="Arial" w:cs="Arial" w:eastAsia="Arial" w:hAnsi="Arial"/>
          <w:sz w:val="18"/>
          <w:szCs w:val="18"/>
          <w:color w:val="auto"/>
        </w:rPr>
      </w:pPr>
      <w:r>
        <w:rPr>
          <w:rFonts w:ascii="Arial" w:cs="Arial" w:eastAsia="Arial" w:hAnsi="Arial"/>
          <w:sz w:val="16"/>
          <w:szCs w:val="16"/>
          <w:color w:val="auto"/>
        </w:rPr>
        <w:t>Under the new guidance, there is no change in our revenue recognition for extended warranty as compared to revenue recognition for these transactions under the prior revenue recognition standards. The Company recognizes revenue from extended warranty ratably over the warranty period. Revenue recognition for the sale of an extended warranty is largely dependent on the timing of the sale as follows:</w:t>
      </w:r>
    </w:p>
    <w:p>
      <w:pPr>
        <w:spacing w:after="0" w:line="174" w:lineRule="exact"/>
        <w:rPr>
          <w:sz w:val="20"/>
          <w:szCs w:val="20"/>
          <w:color w:val="auto"/>
        </w:rPr>
      </w:pPr>
    </w:p>
    <w:p>
      <w:pPr>
        <w:jc w:val="both"/>
        <w:ind w:left="376" w:right="320" w:hanging="376"/>
        <w:spacing w:after="0" w:line="312" w:lineRule="auto"/>
        <w:tabs>
          <w:tab w:leader="none" w:pos="376"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173" w:lineRule="exact"/>
        <w:rPr>
          <w:rFonts w:ascii="Arial" w:cs="Arial" w:eastAsia="Arial" w:hAnsi="Arial"/>
          <w:sz w:val="16"/>
          <w:szCs w:val="16"/>
          <w:color w:val="auto"/>
        </w:rPr>
      </w:pPr>
    </w:p>
    <w:p>
      <w:pPr>
        <w:ind w:left="376" w:right="40" w:hanging="376"/>
        <w:spacing w:after="0" w:line="272" w:lineRule="auto"/>
        <w:tabs>
          <w:tab w:leader="none" w:pos="376" w:val="left"/>
        </w:tabs>
        <w:numPr>
          <w:ilvl w:val="0"/>
          <w:numId w:val="6"/>
        </w:numPr>
        <w:rPr>
          <w:rFonts w:ascii="Arial" w:cs="Arial" w:eastAsia="Arial" w:hAnsi="Arial"/>
          <w:sz w:val="17"/>
          <w:szCs w:val="17"/>
          <w:color w:val="auto"/>
        </w:rPr>
      </w:pPr>
      <w:r>
        <w:rPr>
          <w:rFonts w:ascii="Arial" w:cs="Arial" w:eastAsia="Arial" w:hAnsi="Arial"/>
          <w:sz w:val="17"/>
          <w:szCs w:val="17"/>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205" w:lineRule="exact"/>
        <w:rPr>
          <w:sz w:val="20"/>
          <w:szCs w:val="20"/>
          <w:color w:val="auto"/>
        </w:rPr>
      </w:pPr>
    </w:p>
    <w:p>
      <w:pPr>
        <w:ind w:left="376" w:right="620" w:hanging="376"/>
        <w:spacing w:after="0" w:line="277" w:lineRule="auto"/>
        <w:tabs>
          <w:tab w:leader="none" w:pos="376"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sometime request repairs from the Company subsequent to the expiration of the standard warranty and outside of an extended warranty contract.</w:t>
      </w:r>
    </w:p>
    <w:p>
      <w:pPr>
        <w:spacing w:after="0" w:line="197" w:lineRule="exact"/>
        <w:rPr>
          <w:rFonts w:ascii="Arial" w:cs="Arial" w:eastAsia="Arial" w:hAnsi="Arial"/>
          <w:sz w:val="18"/>
          <w:szCs w:val="18"/>
          <w:color w:val="auto"/>
        </w:rPr>
      </w:pPr>
    </w:p>
    <w:p>
      <w:pPr>
        <w:ind w:left="376" w:right="300"/>
        <w:spacing w:after="0" w:line="276" w:lineRule="auto"/>
        <w:rPr>
          <w:rFonts w:ascii="Arial" w:cs="Arial" w:eastAsia="Arial" w:hAnsi="Arial"/>
          <w:sz w:val="18"/>
          <w:szCs w:val="18"/>
          <w:color w:val="auto"/>
        </w:rPr>
      </w:pPr>
      <w:r>
        <w:rPr>
          <w:rFonts w:ascii="Arial" w:cs="Arial" w:eastAsia="Arial" w:hAnsi="Arial"/>
          <w:sz w:val="17"/>
          <w:szCs w:val="17"/>
          <w:color w:val="auto"/>
        </w:rPr>
        <w:t>Under the new guidance, there is no change in our revenue recognition for system repairs (outside warranty) as compared to revenue recognition for these transactions under the prior revenue recognition standards. The Company recognizes revenue from system repairs (outside of warranty) at a point in time. When the customer request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173" w:lineRule="exact"/>
        <w:rPr>
          <w:sz w:val="20"/>
          <w:szCs w:val="20"/>
          <w:color w:val="auto"/>
        </w:rPr>
      </w:pPr>
    </w:p>
    <w:p>
      <w:pPr>
        <w:ind w:left="489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56"/>
          </w:cols>
          <w:pgMar w:left="1004" w:top="368" w:right="239" w:bottom="1440" w:gutter="0" w:footer="0" w:header="0"/>
        </w:sectPr>
      </w:pPr>
    </w:p>
    <w:bookmarkStart w:id="8" w:name="page9"/>
    <w:bookmarkEnd w:id="8"/>
    <w:p>
      <w:pPr>
        <w:ind w:left="1140" w:right="20" w:hanging="376"/>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sales of the Company’s intellectual property. Under the terms of these agreements, the customer is to remit a percentage of sales to the Company.</w:t>
      </w:r>
    </w:p>
    <w:p>
      <w:pPr>
        <w:spacing w:after="0" w:line="197" w:lineRule="exact"/>
        <w:rPr>
          <w:rFonts w:ascii="Arial" w:cs="Arial" w:eastAsia="Arial" w:hAnsi="Arial"/>
          <w:sz w:val="18"/>
          <w:szCs w:val="18"/>
          <w:color w:val="auto"/>
        </w:rPr>
      </w:pPr>
    </w:p>
    <w:p>
      <w:pPr>
        <w:ind w:left="1140" w:right="40"/>
        <w:spacing w:after="0" w:line="257" w:lineRule="auto"/>
        <w:rPr>
          <w:rFonts w:ascii="Arial" w:cs="Arial" w:eastAsia="Arial" w:hAnsi="Arial"/>
          <w:sz w:val="18"/>
          <w:szCs w:val="18"/>
          <w:color w:val="auto"/>
        </w:rPr>
      </w:pPr>
      <w:r>
        <w:rPr>
          <w:rFonts w:ascii="Arial" w:cs="Arial" w:eastAsia="Arial" w:hAnsi="Arial"/>
          <w:sz w:val="18"/>
          <w:szCs w:val="18"/>
          <w:color w:val="auto"/>
        </w:rPr>
        <w:t>Under the new guidance, 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148"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 periods ended March 31, 2018 and April 1, 2017 no single customer accounted for more than 10% of total revenues. As of March 31, 2018 and December 30, 2017, no customer accounted for over 10% of our accounts receivable.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Deferred revenue represents contract liabilities. Revenue related to extended service contracts is deferred and recognized on a straight line basis over the period of the applicable service contract. Costs associated with these service arrangements are recognized as incurred. The deferred revenue balance is expected to be recognized over the next 12 months.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changes in the Company’s deferred revenue balance for the three months ended March 31, 2018 and April 1, 2017 is as follows:</w:t>
      </w:r>
    </w:p>
    <w:p>
      <w:pPr>
        <w:spacing w:after="0" w:line="10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April 1, 2017</w:t>
            </w: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Additions to deferral</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2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(647)</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In March 2017, the Company began offering a 5 year warranty on the laser heads for its IQ 532/577 laser consoles. The Company has previously provided a one to two year warranty on its products, which is accrued for upon shipment of products. Actual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ind w:right="440"/>
        <w:spacing w:after="0" w:line="342" w:lineRule="auto"/>
        <w:rPr>
          <w:sz w:val="20"/>
          <w:szCs w:val="20"/>
          <w:color w:val="auto"/>
        </w:rPr>
      </w:pPr>
      <w:r>
        <w:rPr>
          <w:rFonts w:ascii="Arial" w:cs="Arial" w:eastAsia="Arial" w:hAnsi="Arial"/>
          <w:sz w:val="16"/>
          <w:szCs w:val="16"/>
          <w:color w:val="auto"/>
        </w:rPr>
        <w:t>warranty costs incurred have not materially differed from those accrued. The Company’s warranty policy is applicable to products which are considered defective in their performance or fail to meet the product specifications. Warranty costs are reflected in the statement of operations as cost of revenues.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reconciliation of the changes in the Company’s warranty liability for the three months ended March 31, 2018 and April 1, 2017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April 1, 2017</w:t>
            </w: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8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44" w:lineRule="exact"/>
        <w:rPr>
          <w:sz w:val="20"/>
          <w:szCs w:val="20"/>
          <w:color w:val="auto"/>
        </w:rPr>
      </w:pPr>
    </w:p>
    <w:p>
      <w:pPr>
        <w:ind w:right="320" w:firstLine="761"/>
        <w:spacing w:after="0" w:line="308" w:lineRule="auto"/>
        <w:rPr>
          <w:sz w:val="20"/>
          <w:szCs w:val="20"/>
          <w:color w:val="auto"/>
        </w:rPr>
      </w:pPr>
      <w:r>
        <w:rPr>
          <w:rFonts w:ascii="Arial" w:cs="Arial" w:eastAsia="Arial" w:hAnsi="Arial"/>
          <w:sz w:val="17"/>
          <w:szCs w:val="17"/>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606)(“ASC 606”), which, along with amendments issued in 2015, 2016 and 2017, replaces nearly all current U.S. GAAP guidance on this topic with a comprehensive revenue measurement and recognition standard and expanded disclosure requirements. This new guidance provides a five-step analysis in determining when and how revenue is recognized. Under the new guidance, revenue is recognized when a customer obtains control of promised goods or services and is recognized in an amount that reflects the consideration which the entity expects to receive in exchange for those goods or services. In addition, the new guidance requires disclosure of the nature, amount, timing and uncertainty of revenue and cash flows arising from contracts with customers.</w:t>
      </w:r>
    </w:p>
    <w:p>
      <w:pPr>
        <w:spacing w:after="0" w:line="216"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As part of our assessment and implementation plan, we evaluated our policies, procedures and internal controls. In preparation for adoption of the standard, the Company has implemented internal controls to enable the preparation of financial information, including the assessment of the impact of the standard. The Company has adopted this guidance using the modified retrospective method in the first quarter of fiscal 2018. Under the modified retrospective method, the new standards apply to all new contracts initiated on or after the effective date, and for contracts which have remaining obligations as of the effective date, an adjustment to the opening balance of retained earnings is required. Based on the results of the procedures taken in adopting this standard, we determined that our accounting for revenues under the then prescribed standard (ASC 605) was not different from the new ASC 606 standard. As such, we did not have any adjustments to our opening balance of our retained earnings.</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February 2016, the FASB issued ASU 2016-02, “Leases,” amending ASC 842. This ASU requires the Company to recognize on the balance sheet the assets and liabilities for the rights and obligations created by leases with terms of more than twelve months. This ASU also requires disclosures enabling the 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The Company is currently evaluating the impact of this new standard on its consolidated financial statements.</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The amendment gives guidance and reduces diversity in practice with respect to certain types of cash flows. This ASU is effective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adoption of this standard in fiscal year 2018 did not have a material impact on our consolidated financial statements.</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October 2016, the FASB issued ASU 2016-16, to ASC 740 “Income Taxes,”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0" w:name="page11"/>
    <w:bookmarkEnd w:id="10"/>
    <w:p>
      <w:pPr>
        <w:ind w:right="500"/>
        <w:spacing w:after="0" w:line="264" w:lineRule="auto"/>
        <w:rPr>
          <w:sz w:val="20"/>
          <w:szCs w:val="20"/>
          <w:color w:val="auto"/>
        </w:rPr>
      </w:pPr>
      <w:r>
        <w:rPr>
          <w:rFonts w:ascii="Arial" w:cs="Arial" w:eastAsia="Arial" w:hAnsi="Arial"/>
          <w:sz w:val="18"/>
          <w:szCs w:val="18"/>
          <w:color w:val="auto"/>
        </w:rPr>
        <w:t>periods beginning after December 15, 2017 and must be applied using a modified retrospective basis through a cumulative-effect adjustment directly to retained earnings as of the beginning of the adoption period. The adoption of this standard in fiscal year 2018 did not have a material impact on the Company’s consolidated financial statements.</w:t>
      </w:r>
    </w:p>
    <w:p>
      <w:pPr>
        <w:spacing w:after="0" w:line="18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The amendments in ASU 2017-09 include guidance on determining which changes to the terms and conditions of share-based payment awards require an entity to apply modification accounting under Topic 718. These amendments require the entity to account for the effects of a modification unless if all of the following conditions are met: the fair value (or calculated value or intrinsic value, if such an alternative measurement method is used) of the modified award is the same as the fair value (or value using an alternative measurement method)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the vesting conditions of the modified award are the same as the vesting conditions of the original award immediately before the original award is modified; and the classification of the modified award as an equity instrument or a liability instrument is the same as the classification of the original award immediately before the original award is modified. This guidance is effective for annual reporting periods beginning after December 15, 2017, including interim periods within that reporting period, with early adoption permitted. The Company is currently evaluating the effect of the adoption of this guidance on its consolidated financial statements.</w:t>
      </w:r>
    </w:p>
    <w:p>
      <w:pPr>
        <w:spacing w:after="0" w:line="18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February 2018, the FASB issued ASU No. 2018-02, “Income Statement-Reporting Comprehensive Income (Topic 220): Reclassification of Certain Tax Effects from Accumulated Other Comprehensive Income.” The amendments in ASU 2018-02 are intended to allow a reclassification from accumulated other comprehensive income to retained earnings for stranded tax effects resulting from the Tax Cuts and Jobs Act. The guidance in ASU 2018-02 is effective for annual periods beginning after December 15, 2018, and interim periods within those fiscal years, with early adoption permitted. The Company is currently evaluating the effect of the adoption of this guidance on its consolidated financial statements.</w:t>
      </w:r>
    </w:p>
    <w:p>
      <w:pPr>
        <w:spacing w:after="0" w:line="17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March 2018, the FASB issued ASU 2018-05, “Amendments to SEC Paragraphs Pursuant to SEC Staff Accounting Bulletin No. 118.” ASU 2018-05 formally amended ASC Topic 740, Income Taxes (“ASC 740”) for the guidance previously provided by SEC Staff Accounting Bulletin No. 118 (“SAB 118”), which provides guidance for the application of ASC 740 in the reporting period in which the U.S. Tax Cuts and Jobs Act (the “Tax Reform Act”) was signed into law. The Company is currently evaluating the effect of the adoption of this guidance on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March 31, 2018 and December 30, 2017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March 31, 2018</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30, 2017</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40" w:type="dxa"/>
            <w:vAlign w:val="bottom"/>
            <w:tcBorders>
              <w:top w:val="single" w:sz="8" w:color="auto"/>
            </w:tcBorders>
            <w:shd w:val="clear" w:color="auto" w:fill="CFF0FC"/>
          </w:tcPr>
          <w:p>
            <w:pPr>
              <w:jc w:val="right"/>
              <w:ind w:right="12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3,659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Work in process</w:t>
            </w: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1,567</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4,626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60" w:type="dxa"/>
            <w:vAlign w:val="bottom"/>
            <w:shd w:val="clear" w:color="auto" w:fill="CFF0FC"/>
          </w:tcPr>
          <w:p>
            <w:pPr>
              <w:spacing w:after="0"/>
              <w:rPr>
                <w:sz w:val="19"/>
                <w:szCs w:val="19"/>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inventories</w:t>
            </w:r>
          </w:p>
        </w:tc>
        <w:tc>
          <w:tcPr>
            <w:tcW w:w="1440" w:type="dxa"/>
            <w:vAlign w:val="bottom"/>
            <w:tcBorders>
              <w:bottom w:val="single" w:sz="8" w:color="auto"/>
            </w:tcBorders>
          </w:tcPr>
          <w:p>
            <w:pPr>
              <w:jc w:val="right"/>
              <w:ind w:right="12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9,306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$0.5 million as of March 31, 2018 and December 30, 2017.</w:t>
      </w:r>
    </w:p>
    <w:p>
      <w:pPr>
        <w:spacing w:after="0" w:line="225"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2017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right="180"/>
        <w:spacing w:after="0" w:line="277" w:lineRule="auto"/>
        <w:rPr>
          <w:sz w:val="20"/>
          <w:szCs w:val="20"/>
          <w:color w:val="auto"/>
        </w:rPr>
      </w:pPr>
      <w:r>
        <w:rPr>
          <w:rFonts w:ascii="Arial" w:cs="Arial" w:eastAsia="Arial" w:hAnsi="Arial"/>
          <w:sz w:val="18"/>
          <w:szCs w:val="18"/>
          <w:color w:val="auto"/>
        </w:rPr>
        <w:t>determined that its goodwill was not impaired. As of March 31, 2018, the Company had not identified any factors that indicated there was an impairment of its goodwill and determined that no additional impairment analysis was then required.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2018</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30, 2017</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2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54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Amortization Life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7.0 Years</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2018 and April 1, 2017, amortization expense totaled $4 thousand for each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amortization of customer relations was charged to sales and marketing expense and the amortization of patents was charged to cost of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estimated amortization expense (in thousands):</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Fiscal Year:</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2018 (nine months)</w:t>
            </w:r>
          </w:p>
        </w:tc>
        <w:tc>
          <w:tcPr>
            <w:tcW w:w="8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2019</w:t>
            </w:r>
          </w:p>
        </w:tc>
        <w:tc>
          <w:tcPr>
            <w:tcW w:w="8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8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r>
      <w:tr>
        <w:trPr>
          <w:trHeight w:val="230"/>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80"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0"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March 31, 2018 and December 30, 2017, approximate fair value because of the short maturity of these instruments.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right="80" w:firstLine="518"/>
        <w:spacing w:after="0" w:line="277" w:lineRule="auto"/>
        <w:rPr>
          <w:sz w:val="20"/>
          <w:szCs w:val="20"/>
          <w:color w:val="auto"/>
        </w:rPr>
      </w:pPr>
      <w:r>
        <w:rPr>
          <w:rFonts w:ascii="Arial" w:cs="Arial" w:eastAsia="Arial" w:hAnsi="Arial"/>
          <w:sz w:val="18"/>
          <w:szCs w:val="18"/>
          <w:color w:val="auto"/>
        </w:rPr>
        <w:t>As of March 31, 2018 and December 30, 2017, financial assets and liabilities measured and recognized at fair value on a recurring basis and classified under the appropriate level of the fair value hierarchy as described above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March 31, 2018</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As of December 30, 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ind w:left="10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196"/>
              <w:spacing w:after="0" w:line="155" w:lineRule="exact"/>
              <w:rPr>
                <w:sz w:val="20"/>
                <w:szCs w:val="20"/>
                <w:color w:val="auto"/>
              </w:rPr>
            </w:pPr>
            <w:r>
              <w:rPr>
                <w:rFonts w:ascii="Arial" w:cs="Arial" w:eastAsia="Arial" w:hAnsi="Arial"/>
                <w:sz w:val="14"/>
                <w:szCs w:val="14"/>
                <w:b w:val="1"/>
                <w:bCs w:val="1"/>
                <w:color w:val="auto"/>
                <w:w w:val="99"/>
              </w:rPr>
              <w:t>Fair Value Measurements</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80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17,761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17,761</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20,950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509</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w:t>
      </w:r>
    </w:p>
    <w:p>
      <w:pPr>
        <w:spacing w:after="0" w:line="19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tables present quantitative information about the inputs and valuation methodologies used for our fair value measurements classified in Level 3 of the fair value hierarchy as of March 31, 2018 and December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As of March 31, 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(range)</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$1,539</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10.41%</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(10.41% - 27.00%)</w:t>
            </w:r>
          </w:p>
        </w:tc>
        <w:tc>
          <w:tcPr>
            <w:tcW w:w="0" w:type="dxa"/>
            <w:vAlign w:val="bottom"/>
          </w:tcPr>
          <w:p>
            <w:pPr>
              <w:spacing w:after="0"/>
              <w:rPr>
                <w:sz w:val="1"/>
                <w:szCs w:val="1"/>
                <w:color w:val="auto"/>
              </w:rPr>
            </w:pPr>
          </w:p>
        </w:tc>
      </w:tr>
      <w:tr>
        <w:trPr>
          <w:trHeight w:val="382"/>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As of December 30, 2017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(range)</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$1,622</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10.90%</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(10.90% - 27.00%)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 reconciliation of the changes in the Company’s earn-out liability (Level 3 liability) for the three months ended March 31, 2018 and April 1, 2017 is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March 31, 2018</w:t>
            </w:r>
          </w:p>
        </w:tc>
        <w:tc>
          <w:tcPr>
            <w:tcW w:w="2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April 1, 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beginning of the period</w:t>
            </w:r>
          </w:p>
        </w:tc>
        <w:tc>
          <w:tcPr>
            <w:tcW w:w="6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Payments against earn-out</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as of the end of the period</w:t>
            </w:r>
          </w:p>
        </w:tc>
        <w:tc>
          <w:tcPr>
            <w:tcW w:w="6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earn-out liability is included in accrued expenses and other long-term liabilities in the condensed consolidated balance sheets. Any change in the fair value adjustment is recorded to other expense in the condensed consolidated statements of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Based Compensation</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 accounts for stock-based compensation granted to employees and directors, including employees stock option awards, restricted stock and restricted stock units in accordance with ASC 718</w:t>
      </w:r>
      <w:r>
        <w:rPr>
          <w:rFonts w:ascii="Arial" w:cs="Arial" w:eastAsia="Arial" w:hAnsi="Arial"/>
          <w:sz w:val="18"/>
          <w:szCs w:val="18"/>
          <w:i w:val="1"/>
          <w:iCs w:val="1"/>
          <w:color w:val="auto"/>
        </w:rPr>
        <w:t>, “Compensation – Stock Compensation”</w:t>
      </w:r>
      <w:r>
        <w:rPr>
          <w:rFonts w:ascii="Arial" w:cs="Arial" w:eastAsia="Arial" w:hAnsi="Arial"/>
          <w:sz w:val="18"/>
          <w:szCs w:val="18"/>
          <w:color w:val="auto"/>
        </w:rPr>
        <w:t xml:space="preserve"> (“ASC 718”).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right="20"/>
        <w:spacing w:after="0" w:line="308" w:lineRule="auto"/>
        <w:rPr>
          <w:sz w:val="20"/>
          <w:szCs w:val="20"/>
          <w:color w:val="auto"/>
        </w:rPr>
      </w:pPr>
      <w:r>
        <w:rPr>
          <w:rFonts w:ascii="Arial" w:cs="Arial" w:eastAsia="Arial" w:hAnsi="Arial"/>
          <w:sz w:val="17"/>
          <w:szCs w:val="17"/>
          <w:color w:val="auto"/>
        </w:rPr>
        <w:t>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14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Company values options using the Black-Scholes option pricing model. Restricted stock and time-based restricted stock units are valued at the grant date fair value of the underlying common shares. Performance-based restricted stock units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the three months ended March 31, 2018, the only active stock-based compensation plan was the 2008 Equity Incentive Plan (the “Incentive Plan”). The terms of awards granted during the three months ended March 31, 2018 were consistent with those described in the consolidated financial statements included in our Annual Report on Form 10-K for the year ended December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regarding activity under the Incentive Plan during the three months ended March 31, 2018:</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347"/>
              <w:spacing w:after="0"/>
              <w:rPr>
                <w:sz w:val="20"/>
                <w:szCs w:val="20"/>
                <w:color w:val="auto"/>
              </w:rPr>
            </w:pPr>
            <w:r>
              <w:rPr>
                <w:rFonts w:ascii="Arial" w:cs="Arial" w:eastAsia="Arial" w:hAnsi="Arial"/>
                <w:sz w:val="14"/>
                <w:szCs w:val="14"/>
                <w:b w:val="1"/>
                <w:bCs w:val="1"/>
                <w:color w:val="auto"/>
                <w:w w:val="95"/>
              </w:rPr>
              <w:t>Weighted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00" w:type="dxa"/>
            <w:vAlign w:val="bottom"/>
          </w:tcPr>
          <w:p>
            <w:pPr>
              <w:jc w:val="center"/>
              <w:ind w:left="347"/>
              <w:spacing w:after="0"/>
              <w:rPr>
                <w:sz w:val="20"/>
                <w:szCs w:val="20"/>
                <w:color w:val="auto"/>
              </w:rPr>
            </w:pPr>
            <w:r>
              <w:rPr>
                <w:rFonts w:ascii="Arial" w:cs="Arial" w:eastAsia="Arial" w:hAnsi="Arial"/>
                <w:sz w:val="14"/>
                <w:szCs w:val="14"/>
                <w:b w:val="1"/>
                <w:bCs w:val="1"/>
                <w:color w:val="auto"/>
                <w:w w:val="91"/>
              </w:rPr>
              <w:t>Per Share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30, 2017</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857,311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38,600</w:t>
            </w:r>
          </w:p>
        </w:tc>
        <w:tc>
          <w:tcPr>
            <w:tcW w:w="140" w:type="dxa"/>
            <w:vAlign w:val="bottom"/>
          </w:tcPr>
          <w:p>
            <w:pPr>
              <w:spacing w:after="0"/>
              <w:rPr>
                <w:sz w:val="19"/>
                <w:szCs w:val="19"/>
                <w:color w:val="auto"/>
              </w:rPr>
            </w:pPr>
          </w:p>
        </w:tc>
        <w:tc>
          <w:tcPr>
            <w:tcW w:w="1200" w:type="dxa"/>
            <w:vAlign w:val="bottom"/>
            <w:gridSpan w:val="2"/>
          </w:tcPr>
          <w:p>
            <w:pPr>
              <w:jc w:val="right"/>
              <w:ind w:right="9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(6,250)</w:t>
            </w:r>
          </w:p>
        </w:tc>
        <w:tc>
          <w:tcPr>
            <w:tcW w:w="1200" w:type="dxa"/>
            <w:vAlign w:val="bottom"/>
            <w:gridSpan w:val="2"/>
            <w:shd w:val="clear" w:color="auto" w:fill="CFF0FC"/>
          </w:tcPr>
          <w:p>
            <w:pPr>
              <w:jc w:val="right"/>
              <w:ind w:right="9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(22,113)</w:t>
            </w:r>
          </w:p>
        </w:tc>
        <w:tc>
          <w:tcPr>
            <w:tcW w:w="1200" w:type="dxa"/>
            <w:vAlign w:val="bottom"/>
            <w:gridSpan w:val="2"/>
          </w:tcPr>
          <w:p>
            <w:pPr>
              <w:jc w:val="right"/>
              <w:ind w:right="9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March 31, 2018</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867,548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947"/>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4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weighted average grant date fair value of the options granted under the Incentive Plan as calculated using the Black-Scholes option-pricing model was $2.21 and $5.44 per share for the three months ended March 31, 2018 and April 1, 2017, respectively.</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uses the Black-Scholes option-pricing model to estimate fair value of stock-based awards (options) with the following weighted average assumptions: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68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95"/>
              </w:rPr>
              <w:t>Three Months Ended</w:t>
            </w:r>
          </w:p>
        </w:tc>
        <w:tc>
          <w:tcPr>
            <w:tcW w:w="1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780" w:type="dxa"/>
            <w:vAlign w:val="bottom"/>
            <w:tcBorders>
              <w:bottom w:val="single" w:sz="8" w:color="CFF0FC"/>
            </w:tcBorders>
          </w:tcPr>
          <w:p>
            <w:pPr>
              <w:spacing w:after="0"/>
              <w:rPr>
                <w:sz w:val="13"/>
                <w:szCs w:val="13"/>
                <w:color w:val="auto"/>
              </w:rPr>
            </w:pPr>
          </w:p>
        </w:tc>
        <w:tc>
          <w:tcPr>
            <w:tcW w:w="182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March 31, 2018</w:t>
            </w:r>
          </w:p>
        </w:tc>
        <w:tc>
          <w:tcPr>
            <w:tcW w:w="3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April 1, 2017</w:t>
            </w:r>
          </w:p>
        </w:tc>
        <w:tc>
          <w:tcPr>
            <w:tcW w:w="180" w:type="dxa"/>
            <w:vAlign w:val="bottom"/>
            <w:tcBorders>
              <w:bottom w:val="single" w:sz="8" w:color="CFF0FC"/>
            </w:tcBorders>
          </w:tcPr>
          <w:p>
            <w:pPr>
              <w:spacing w:after="0"/>
              <w:rPr>
                <w:sz w:val="13"/>
                <w:szCs w:val="13"/>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2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2.53%</w:t>
            </w:r>
          </w:p>
        </w:tc>
        <w:tc>
          <w:tcPr>
            <w:tcW w:w="4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680" w:type="dxa"/>
            <w:vAlign w:val="bottom"/>
            <w:gridSpan w:val="3"/>
          </w:tcPr>
          <w:p>
            <w:pPr>
              <w:ind w:left="1060"/>
              <w:spacing w:after="0"/>
              <w:rPr>
                <w:sz w:val="20"/>
                <w:szCs w:val="20"/>
                <w:color w:val="auto"/>
              </w:rPr>
            </w:pPr>
            <w:r>
              <w:rPr>
                <w:rFonts w:ascii="Arial" w:cs="Arial" w:eastAsia="Arial" w:hAnsi="Arial"/>
                <w:sz w:val="18"/>
                <w:szCs w:val="18"/>
                <w:color w:val="auto"/>
              </w:rPr>
              <w:t>4.55 years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4.55 years</w:t>
            </w: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680" w:type="dxa"/>
            <w:vAlign w:val="bottom"/>
            <w:gridSpan w:val="3"/>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Average volatility</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2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ind w:right="220" w:firstLine="518"/>
        <w:spacing w:after="0" w:line="277" w:lineRule="auto"/>
        <w:rPr>
          <w:sz w:val="20"/>
          <w:szCs w:val="20"/>
          <w:color w:val="auto"/>
        </w:rPr>
      </w:pPr>
      <w:r>
        <w:rPr>
          <w:rFonts w:ascii="Arial" w:cs="Arial" w:eastAsia="Arial" w:hAnsi="Arial"/>
          <w:sz w:val="18"/>
          <w:szCs w:val="18"/>
          <w:color w:val="auto"/>
        </w:rPr>
        <w:t>The following table shows stock-based compensation expense included in the condensed consolidated statements of operations for the three months ended March 31, 2018 and April 1, 2017:</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ind w:right="375"/>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April 1, 2017</w:t>
            </w: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FF0FC"/>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60" w:type="dxa"/>
            <w:vAlign w:val="bottom"/>
            <w:tcBorders>
              <w:bottom w:val="single" w:sz="8" w:color="CFF0FC"/>
            </w:tcBorders>
          </w:tcPr>
          <w:p>
            <w:pPr>
              <w:spacing w:after="0"/>
              <w:rPr>
                <w:sz w:val="19"/>
                <w:szCs w:val="19"/>
                <w:color w:val="auto"/>
              </w:rPr>
            </w:pPr>
          </w:p>
        </w:tc>
      </w:tr>
      <w:tr>
        <w:trPr>
          <w:trHeight w:val="237"/>
        </w:trPr>
        <w:tc>
          <w:tcPr>
            <w:tcW w:w="39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78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FF0FC"/>
          </w:tcPr>
          <w:p>
            <w:pPr>
              <w:spacing w:after="0"/>
              <w:rPr>
                <w:sz w:val="20"/>
                <w:szCs w:val="20"/>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capitalized to inventory was immaterial for the three months ended March 31, 2018 and April 1, 2017.</w:t>
      </w:r>
    </w:p>
    <w:p>
      <w:pPr>
        <w:spacing w:after="0" w:line="23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Occasionally, the Company will grant stock-based instruments to non-employees. During the three months ended March 31, 2018 and April 1, 2017, the amount of stock-based compensation related to non-employee options was not material.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stock options outstanding, vested, expected to vest, and exercisable as of March 31, 2018 is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60" w:type="dxa"/>
            <w:vAlign w:val="bottom"/>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867,548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460" w:type="dxa"/>
            <w:vAlign w:val="bottom"/>
          </w:tcPr>
          <w:p>
            <w:pPr>
              <w:jc w:val="right"/>
              <w:spacing w:after="0"/>
              <w:rPr>
                <w:sz w:val="20"/>
                <w:szCs w:val="20"/>
                <w:color w:val="auto"/>
              </w:rPr>
            </w:pPr>
            <w:r>
              <w:rPr>
                <w:rFonts w:ascii="Arial" w:cs="Arial" w:eastAsia="Arial" w:hAnsi="Arial"/>
                <w:sz w:val="18"/>
                <w:szCs w:val="18"/>
                <w:color w:val="auto"/>
              </w:rPr>
              <w:t>798,665</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9.29</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5.16</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272,540</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March 31, 2018, that would have been received by option holders had all option holders exercised their stock options as of that date. This amount changes based on the fair market value of the Company’s common stock. The total intrinsic value of options exercised for the three months ended March 31, 2018 and April 1, 2017 was approximately $16 thousand and $226 thousand, respectively.</w:t>
      </w:r>
    </w:p>
    <w:p>
      <w:pPr>
        <w:spacing w:after="0" w:line="18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As of March 31, 2018, there was $3.6 million of total unrecognized compensation cost, net of expected forfeitures, related to non-vested stock-based compensation arrangements under the Incentive Plan. The cost is expected to be recognized over a weighted average period of 3.21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Units and Awards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restricted stock units (“RSUs”) activity for the three months ended March 31, 2018 is summarized below:</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Outstanding as of March 31, 2018</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361,148</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6,300</w:t>
      </w:r>
    </w:p>
    <w:p>
      <w:pPr>
        <w:spacing w:after="0" w:line="23"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(52,213)</w:t>
      </w:r>
    </w:p>
    <w:p>
      <w:pPr>
        <w:spacing w:after="0" w:line="23"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(750)</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314,485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31750</wp:posOffset>
            </wp:positionV>
            <wp:extent cx="1200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600"/>
          </w:cols>
          <w:pgMar w:left="240" w:top="584" w:right="259" w:bottom="1440" w:gutter="0" w:footer="0" w:header="0"/>
          <w:type w:val="continuous"/>
        </w:sectPr>
      </w:pPr>
    </w:p>
    <w:p>
      <w:pPr>
        <w:spacing w:after="0" w:line="9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During the three months ended March 31, 2018, the Company awarded 6,300 restricted stock units at a weighted-average grant date fair value of $6.29 per share.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RSUs granted with market conditions are valued using the Monte Carlo simulation model and compensation expense is recognized ratably during the service period even if the market condition is not satisfied. To the extent that the market condition is not met, the RSUs will not vest and will be cancelled. No RSUs with market conditions were granted during the three months ended March 31,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type w:val="continuous"/>
        </w:sectPr>
      </w:pPr>
    </w:p>
    <w:bookmarkStart w:id="15" w:name="page16"/>
    <w:bookmarkEnd w:id="15"/>
    <w:p>
      <w:pPr>
        <w:ind w:right="60" w:firstLine="518"/>
        <w:spacing w:after="0" w:line="264" w:lineRule="auto"/>
        <w:rPr>
          <w:sz w:val="20"/>
          <w:szCs w:val="20"/>
          <w:color w:val="auto"/>
        </w:rPr>
      </w:pPr>
      <w:r>
        <w:rPr>
          <w:rFonts w:ascii="Arial" w:cs="Arial" w:eastAsia="Arial" w:hAnsi="Arial"/>
          <w:sz w:val="18"/>
          <w:szCs w:val="18"/>
          <w:color w:val="auto"/>
        </w:rPr>
        <w:t>RSUs granted with performance conditions are valued at the grant date fair value of the underlying common shares. The Company makes a determination regarding the probability of the performance criteria being achieved and compensation expense is recognized ratably over the vesting period, if it is expected that the performance criteria will be met.</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Information regarding the RSUs granted with performance conditions activity for the three months ended March 31, 2018 is summarized below:</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Outstanding as of March 31, 2018</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4,301</w:t>
      </w:r>
    </w:p>
    <w:p>
      <w:pPr>
        <w:spacing w:after="0" w:line="21"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14605</wp:posOffset>
            </wp:positionV>
            <wp:extent cx="1166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5"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14605</wp:posOffset>
            </wp:positionV>
            <wp:extent cx="1166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31750</wp:posOffset>
            </wp:positionV>
            <wp:extent cx="11664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0" w:space="720"/>
            <w:col w:w="3580"/>
          </w:cols>
          <w:pgMar w:left="240" w:top="584" w:right="239" w:bottom="1440" w:gutter="0" w:footer="0" w:header="0"/>
          <w:type w:val="continuous"/>
        </w:sectPr>
      </w:pPr>
    </w:p>
    <w:p>
      <w:pPr>
        <w:spacing w:after="0" w:line="6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During the three months ended March 31, 2018, the Company awarded 4,301 RSUs granted with performance conditions at a weighted-average grant date fair value of $9.30 per share.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225"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$4 thousand and $6 thousand for the three months ended March 31, 2018 and April 1, 2017, respectively.</w:t>
      </w:r>
    </w:p>
    <w:p>
      <w:pPr>
        <w:spacing w:after="0" w:line="76"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that affected 2017, the current year and onwards, including, but not limited to, a reduction of the U.S. federal corporate tax rate from as high as 35% to 21%, a general elimination of U.S. federal income taxes on dividends from foreign subsidiaries, net operating loss deduction limitations, and 100% disallowance of entertainment expense.</w:t>
      </w:r>
    </w:p>
    <w:p>
      <w:pPr>
        <w:spacing w:after="0" w:line="17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addition 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for the year ended December 31, 2017. In accordance with SAB 118, a company must reflect the income tax effects of those aspects of the Tax Act for which the accounting under ASC 740 is complete. The Company is still within the measurement period as of the end of the first quarter of 2018 and the Company is continuing to review the impact of the adoption of the Tax Act on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2016, based on the Company’s recent history of earnings and its forecasted losses, management believes on the more likely than not basis that a full valuation allowance is required. Accordingly, in the fourth quarter of fiscal year 2017, the company provided a full valuation allowance on its federal and states deferred tax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Company accounts for its uncertain tax positions in accordance with ASC 740. As of December 30, 2017, the Company had $1.0 million of unrecognized tax benefits, none of the unrecognized tax benefits would result in a change in the Company’s effective tax rate if recognized in future years.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right="620" w:firstLine="518"/>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Computation of Basic and Diluted Net Loss Per Common Share</w:t>
      </w:r>
    </w:p>
    <w:p>
      <w:pPr>
        <w:spacing w:after="0" w:line="229" w:lineRule="exact"/>
        <w:rPr>
          <w:sz w:val="20"/>
          <w:szCs w:val="20"/>
          <w:color w:val="auto"/>
        </w:rPr>
      </w:pPr>
    </w:p>
    <w:p>
      <w:pPr>
        <w:ind w:right="40" w:firstLine="761"/>
        <w:spacing w:after="0" w:line="276" w:lineRule="auto"/>
        <w:rPr>
          <w:sz w:val="20"/>
          <w:szCs w:val="20"/>
          <w:color w:val="auto"/>
        </w:rPr>
      </w:pPr>
      <w:r>
        <w:rPr>
          <w:rFonts w:ascii="Arial" w:cs="Arial" w:eastAsia="Arial" w:hAnsi="Arial"/>
          <w:sz w:val="17"/>
          <w:szCs w:val="17"/>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173"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For the three months ended March 31, 2018 and April 1, 2017, stock options, RSUs, and Restricted Stock Awards (“RSAs”) to purchase 1,186,334 and 799,016 shares, respectively, were excluded from the computation of diluted weighted average shares outstanding.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 2018</w:t>
            </w:r>
          </w:p>
        </w:tc>
        <w:tc>
          <w:tcPr>
            <w:tcW w:w="36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(3,603)</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shares of common stock (basic)</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500"/>
              <w:spacing w:after="0"/>
              <w:rPr>
                <w:sz w:val="20"/>
                <w:szCs w:val="20"/>
                <w:color w:val="auto"/>
              </w:rPr>
            </w:pPr>
            <w:r>
              <w:rPr>
                <w:rFonts w:ascii="Arial" w:cs="Arial" w:eastAsia="Arial" w:hAnsi="Arial"/>
                <w:sz w:val="18"/>
                <w:szCs w:val="18"/>
                <w:color w:val="auto"/>
              </w:rPr>
              <w:t>Effect of dilutive preferred shares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Effect of dilutive stock options</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500"/>
              <w:spacing w:after="0"/>
              <w:rPr>
                <w:sz w:val="20"/>
                <w:szCs w:val="20"/>
                <w:color w:val="auto"/>
              </w:rPr>
            </w:pPr>
            <w:r>
              <w:rPr>
                <w:rFonts w:ascii="Arial" w:cs="Arial" w:eastAsia="Arial" w:hAnsi="Arial"/>
                <w:sz w:val="18"/>
                <w:szCs w:val="18"/>
                <w:color w:val="auto"/>
              </w:rPr>
              <w:t>Effect of dilutive contingent shares</w:t>
            </w:r>
          </w:p>
        </w:tc>
        <w:tc>
          <w:tcPr>
            <w:tcW w:w="1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8"/>
              </w:rPr>
              <w:t>Weighted average shares of common stock (diluted)</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 net (loss) income per share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Diluted net (loss)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2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2018</w:t>
            </w: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147"/>
        </w:trPr>
        <w:tc>
          <w:tcPr>
            <w:tcW w:w="3600" w:type="dxa"/>
            <w:vAlign w:val="bottom"/>
            <w:vMerge w:val="restart"/>
          </w:tcPr>
          <w:p>
            <w:pPr>
              <w:spacing w:after="0"/>
              <w:rPr>
                <w:sz w:val="20"/>
                <w:szCs w:val="20"/>
                <w:color w:val="auto"/>
              </w:rPr>
            </w:pPr>
            <w:r>
              <w:rPr>
                <w:rFonts w:ascii="Arial" w:cs="Arial" w:eastAsia="Arial" w:hAnsi="Arial"/>
                <w:sz w:val="18"/>
                <w:szCs w:val="18"/>
                <w:color w:val="auto"/>
              </w:rPr>
              <w:t>United States</w:t>
            </w:r>
          </w:p>
        </w:tc>
        <w:tc>
          <w:tcPr>
            <w:tcW w:w="14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80" w:type="dxa"/>
            <w:vAlign w:val="bottom"/>
            <w:tcBorders>
              <w:top w:val="single" w:sz="8" w:color="auto"/>
            </w:tcBorders>
          </w:tcPr>
          <w:p>
            <w:pPr>
              <w:jc w:val="right"/>
              <w:ind w:right="13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4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Rest of Americas</w:t>
            </w:r>
          </w:p>
        </w:tc>
        <w:tc>
          <w:tcPr>
            <w:tcW w:w="1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Asia/Pacific Rim</w:t>
            </w:r>
          </w:p>
        </w:tc>
        <w:tc>
          <w:tcPr>
            <w:tcW w:w="14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480" w:type="dxa"/>
            <w:vAlign w:val="bottom"/>
            <w:tcBorders>
              <w:bottom w:val="single" w:sz="8" w:color="auto"/>
            </w:tcBorders>
          </w:tcPr>
          <w:p>
            <w:pPr>
              <w:jc w:val="right"/>
              <w:ind w:right="132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location of end customers.</w:t>
      </w:r>
    </w:p>
    <w:p>
      <w:pPr>
        <w:spacing w:after="0" w:line="293"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No individual country accounted for more than 10% of the Company’s revenues, other than the United States. United States accounted for 51.1% and 54.4% of revenues for the three month periods ended March 31, 2018 and April 1, 2017, respectively. International sales, other than the United States, accounted for 48.9% and 45.6% of revenues for the three month periods ended March 31, 2018 and April 1, 2017, respectively.</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customer accounted for more than 10% of total revenues for the three month periods ended March 31, 2018 or April 1, 2017.</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No customer accounted for more than 10% of account receivable balance for the three month periods ended March 31, 2018 or April 1,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On February 23, 2018, we initiated a voluntary recall of a specific laser accessory called the TruFocus LIO Premiere™ (“LIO”). On April 27, 2018, Iridex began shipments of the updated TruFocus LIO Premiere device to countries outside the United States that do not require FDA clearance (or do not require supplemental device registration for the updated device) under applicable U.S. export regulations. Return of the LIO device to the U.S. market will likely require FDA clearance of a 510(k) Premarket Notification.</w:t>
      </w:r>
    </w:p>
    <w:p>
      <w:pPr>
        <w:spacing w:after="0" w:line="79" w:lineRule="exact"/>
        <w:rPr>
          <w:sz w:val="20"/>
          <w:szCs w:val="20"/>
          <w:color w:val="auto"/>
        </w:rPr>
      </w:pPr>
    </w:p>
    <w:p>
      <w:pPr>
        <w:ind w:right="120" w:firstLine="761"/>
        <w:spacing w:after="0" w:line="264" w:lineRule="auto"/>
        <w:rPr>
          <w:sz w:val="20"/>
          <w:szCs w:val="20"/>
          <w:color w:val="auto"/>
        </w:rPr>
      </w:pPr>
      <w:r>
        <w:rPr>
          <w:rFonts w:ascii="Arial" w:cs="Arial" w:eastAsia="Arial" w:hAnsi="Arial"/>
          <w:sz w:val="18"/>
          <w:szCs w:val="18"/>
          <w:color w:val="auto"/>
        </w:rPr>
        <w:t>Based on this, we have reversed the sales return reserve and warranty expense associated with products shipped outside of the United States that were accrued in December 2017, specifically $172 thousand in sales return reserve and $368 thousand in materials and other warranty related expense as these reserves are no longer deemed required.</w:t>
      </w:r>
    </w:p>
    <w:p>
      <w:pPr>
        <w:spacing w:after="0" w:line="73"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auto"/>
        </w:rPr>
        <w:t>As of March 31, 2018, there is an accrual for approximately $1.5 million consists of $637 thousand in sales return reserve and $853 thousand in materials and other warranty related costs associated with the voluntary recall of LIO products in the United States.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29"/>
        <w:spacing w:after="0" w:line="218" w:lineRule="exact"/>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the impact of the Company’s adoption of new or revised accounting standards,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contain these words.</w:t>
      </w:r>
    </w:p>
    <w:p>
      <w:pPr>
        <w:spacing w:after="0" w:line="204" w:lineRule="exact"/>
        <w:rPr>
          <w:sz w:val="20"/>
          <w:szCs w:val="20"/>
          <w:color w:val="auto"/>
        </w:rPr>
      </w:pPr>
    </w:p>
    <w:p>
      <w:pPr>
        <w:ind w:right="20" w:firstLine="629"/>
        <w:spacing w:after="0" w:line="255" w:lineRule="auto"/>
        <w:rPr>
          <w:sz w:val="20"/>
          <w:szCs w:val="20"/>
          <w:color w:val="auto"/>
        </w:rPr>
      </w:pPr>
      <w:r>
        <w:rPr>
          <w:rFonts w:ascii="Arial" w:cs="Arial" w:eastAsia="Arial" w:hAnsi="Arial"/>
          <w:sz w:val="18"/>
          <w:szCs w:val="18"/>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Item 1A of Part II of this Quarterly Report on Form 10-Q for a more detailed description of these significant risks and uncertainties. The reader is cautioned not to place undue reliance on these forward-looking statements, which reflect management’s analysis only as of the date of this Quarterly Report on Form 10-Q. We undertake no obligation to update such forward-looking statements to reflect events or circumstances occurring after the date of this report.</w:t>
      </w:r>
    </w:p>
    <w:p>
      <w:pPr>
        <w:spacing w:after="0" w:line="193" w:lineRule="exact"/>
        <w:rPr>
          <w:sz w:val="20"/>
          <w:szCs w:val="20"/>
          <w:color w:val="auto"/>
        </w:rPr>
      </w:pPr>
    </w:p>
    <w:p>
      <w:pPr>
        <w:ind w:right="340" w:firstLine="629"/>
        <w:spacing w:after="0" w:line="277" w:lineRule="auto"/>
        <w:rPr>
          <w:sz w:val="20"/>
          <w:szCs w:val="20"/>
          <w:color w:val="auto"/>
        </w:rPr>
      </w:pPr>
      <w:r>
        <w:rPr>
          <w:rFonts w:ascii="Arial" w:cs="Arial" w:eastAsia="Arial" w:hAnsi="Arial"/>
          <w:sz w:val="18"/>
          <w:szCs w:val="18"/>
          <w:i w:val="1"/>
          <w:iCs w:val="1"/>
          <w:color w:val="auto"/>
        </w:rPr>
        <w:t>As used in this Quarterly Report on Form 10-Q, the terms “Company,” “IRIDEX,” “we,” “us” and “our” refer to IRIDEX Corporation,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32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225" w:lineRule="exact"/>
        <w:rPr>
          <w:rFonts w:ascii="Arial" w:cs="Arial" w:eastAsia="Arial" w:hAnsi="Arial"/>
          <w:sz w:val="18"/>
          <w:szCs w:val="18"/>
          <w:color w:val="auto"/>
        </w:rPr>
      </w:pPr>
    </w:p>
    <w:p>
      <w:pPr>
        <w:ind w:left="900" w:right="580" w:hanging="325"/>
        <w:spacing w:after="0" w:line="282"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161" w:lineRule="exact"/>
        <w:rPr>
          <w:rFonts w:ascii="Arial" w:cs="Arial" w:eastAsia="Arial" w:hAnsi="Arial"/>
          <w:sz w:val="18"/>
          <w:szCs w:val="18"/>
          <w:color w:val="auto"/>
        </w:rPr>
      </w:pPr>
    </w:p>
    <w:p>
      <w:pPr>
        <w:jc w:val="both"/>
        <w:ind w:left="900" w:right="40" w:hanging="325"/>
        <w:spacing w:after="0" w:line="26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 GLx</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These systems are often used in vitrectomy procedures, which are used to treat proliferative diabetic retinopathy, macular holes, retinal tears and detachments.</w:t>
      </w:r>
    </w:p>
    <w:p>
      <w:pPr>
        <w:spacing w:after="0" w:line="180"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products are sold in the United States predominantly through a direct sales force and internationally primarily through independent distributors.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recently established direct sales capabilities in Germany.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ind w:right="140" w:firstLine="518"/>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will be denominated in Euros and will be subject to risks associated with the currency fluctuations.</w:t>
      </w:r>
    </w:p>
    <w:p>
      <w:pPr>
        <w:spacing w:after="0" w:line="188"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24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2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76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April 1, 2017</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Cost of revenues</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Sales and marketing</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three month periods ended March 31, 2018 and April 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vMerge w:val="restart"/>
          </w:tcPr>
          <w:p>
            <w:pPr>
              <w:spacing w:after="0"/>
              <w:rPr>
                <w:sz w:val="20"/>
                <w:szCs w:val="20"/>
                <w:color w:val="auto"/>
              </w:rPr>
            </w:pPr>
            <w:r>
              <w:rPr>
                <w:rFonts w:ascii="Arial" w:cs="Arial" w:eastAsia="Arial" w:hAnsi="Arial"/>
                <w:sz w:val="18"/>
                <w:szCs w:val="18"/>
                <w:color w:val="auto"/>
              </w:rPr>
              <w:t>Systems – domestic</w:t>
            </w: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March 31, 2018</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April 1, 2017</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 in $</w:t>
            </w:r>
          </w:p>
        </w:tc>
        <w:tc>
          <w:tcPr>
            <w:tcW w:w="280" w:type="dxa"/>
            <w:vAlign w:val="bottom"/>
          </w:tcPr>
          <w:p>
            <w:pPr>
              <w:spacing w:after="0"/>
              <w:rPr>
                <w:sz w:val="14"/>
                <w:szCs w:val="14"/>
                <w:color w:val="auto"/>
              </w:rPr>
            </w:pPr>
          </w:p>
        </w:tc>
        <w:tc>
          <w:tcPr>
            <w:tcW w:w="16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 in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1,253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2,134</w:t>
            </w:r>
          </w:p>
        </w:tc>
        <w:tc>
          <w:tcPr>
            <w:tcW w:w="3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(881)</w:t>
            </w:r>
          </w:p>
        </w:tc>
        <w:tc>
          <w:tcPr>
            <w:tcW w:w="28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Systems – international</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(379)</w:t>
            </w: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Recurring revenues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10,483</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8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761"/>
        <w:spacing w:after="0" w:line="264" w:lineRule="auto"/>
        <w:rPr>
          <w:sz w:val="20"/>
          <w:szCs w:val="20"/>
          <w:color w:val="auto"/>
        </w:rPr>
      </w:pPr>
      <w:r>
        <w:rPr>
          <w:rFonts w:ascii="Arial" w:cs="Arial" w:eastAsia="Arial" w:hAnsi="Arial"/>
          <w:sz w:val="18"/>
          <w:szCs w:val="18"/>
          <w:color w:val="auto"/>
        </w:rPr>
        <w:t>Our total revenues decreased $1.0 million, or 9.3%, from $10.5 million to $9.5 million for the first quarter of fiscal year 2018. The decrease is due mainly from a decrease in both our domestic and international systems sales, $0.9 million and $0.4 million, respectively. The decrease in our systems sales was primarily due to a decrease in sales of our retina products as a result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voluntary recall of the TruFocus LIO PremiereTM, which impacted our medical and surgical retina products. This decrease was partially offset by an increase in sales of G6 systems and a reversal of a portion of the sales returns reserve associated with the voluntary LIO recall. For further information about this sales return reserve reversal, see footnote 10, “Subsequent Events.” Our recurring revenues increased $0.3 million, due to an increase in G6 related probe sales, partially offset by a decrease in legacy probe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ind w:right="120" w:firstLine="761"/>
        <w:spacing w:after="0" w:line="302" w:lineRule="auto"/>
        <w:rPr>
          <w:sz w:val="20"/>
          <w:szCs w:val="20"/>
          <w:color w:val="auto"/>
        </w:rPr>
      </w:pPr>
      <w:r>
        <w:rPr>
          <w:rFonts w:ascii="Arial" w:cs="Arial" w:eastAsia="Arial" w:hAnsi="Arial"/>
          <w:sz w:val="16"/>
          <w:szCs w:val="16"/>
          <w:color w:val="auto"/>
        </w:rPr>
        <w:t>Gross profit was $3.9 million compared with $4.5 million, a decrease of $0.6 million. Gross margin was 41.2% compared with 42.6%, a decrease of 1.4 percentage points. Gross margin was primarily impacted by unfavorable geographic mix and less efficient overhead absorption, partially offset by the benefit of higher margin G6 revenues and the reversal of a portion of the sales return reserve and warranty expense related to the voluntary recall of LIO products. For further information about this sales return reserve and warranty expense reversal, see footnote 10, “Subsequent Events.”</w:t>
      </w:r>
    </w:p>
    <w:p>
      <w:pPr>
        <w:spacing w:after="0" w:line="154" w:lineRule="exact"/>
        <w:rPr>
          <w:sz w:val="20"/>
          <w:szCs w:val="20"/>
          <w:color w:val="auto"/>
        </w:rPr>
      </w:pPr>
    </w:p>
    <w:p>
      <w:pPr>
        <w:jc w:val="both"/>
        <w:ind w:right="380" w:firstLine="761"/>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23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right="140" w:firstLine="761"/>
        <w:spacing w:after="0" w:line="342" w:lineRule="auto"/>
        <w:rPr>
          <w:sz w:val="20"/>
          <w:szCs w:val="20"/>
          <w:color w:val="auto"/>
        </w:rPr>
      </w:pPr>
      <w:r>
        <w:rPr>
          <w:rFonts w:ascii="Arial" w:cs="Arial" w:eastAsia="Arial" w:hAnsi="Arial"/>
          <w:sz w:val="16"/>
          <w:szCs w:val="16"/>
          <w:color w:val="auto"/>
        </w:rPr>
        <w:t>Research and development (“R&amp;D”) expenses decreased by $0.2 million, or 17.6%, from $1.3 million to $1.1 million. The decrease in spending was primarily attributable to a decrease in salaries and related costs as a result of a decrease in headcount, partially offset by an increase in regulatory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Sales and marketing expenses increased $1.2 million, or 38.6%, from $2.9 million to $4.1 million. The increase in spending was attributable to an increase in salaries and related costs due to an increase in headcount, commission expense, and other general selling and marketing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General and administrative expenses increased $0.3 million, or 15.7%, from $2.1 million to $2.4 million. The increase in spending was attributable to an increase in bonus expense, an increase in severance, an increase in our German operations and an increase in other public company reporting and compliance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Other income, net amounted to $18 thousand, compared with other expense, net of $2 thousand. Other income (expense), net, consisted primarily of the change in expense associated with the re-measurement of the contingent liabilities, partially offset by interest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$4 thousand and $6 thousand,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of March 31, 2018, we had cash and cash equivalents of $18.5 million and working capital of $25.7 million compared to cash and cash equivalents of $21.7 million and working capital of $29.1 million as of December 30, 2017.</w:t>
      </w:r>
    </w:p>
    <w:p>
      <w:pPr>
        <w:spacing w:after="0" w:line="62"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For the three months ended March 31, 2018, net cash used in operating activities was $2.7 million, primarily as a result of the net loss of $3.6 million, partially offset by non-cash items and changes in assets and liabilities. The non-cash items primarily consisted of stock-based compensation expense of $0.4 million and depreciation and amortization expense of $0.2 million. The net cash inflow</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1" w:name="page22"/>
    <w:bookmarkEnd w:id="21"/>
    <w:p>
      <w:pPr>
        <w:ind w:right="140"/>
        <w:spacing w:after="0" w:line="312" w:lineRule="auto"/>
        <w:rPr>
          <w:sz w:val="20"/>
          <w:szCs w:val="20"/>
          <w:color w:val="auto"/>
        </w:rPr>
      </w:pPr>
      <w:r>
        <w:rPr>
          <w:rFonts w:ascii="Arial" w:cs="Arial" w:eastAsia="Arial" w:hAnsi="Arial"/>
          <w:sz w:val="16"/>
          <w:szCs w:val="16"/>
          <w:color w:val="auto"/>
        </w:rPr>
        <w:t>from changes in assets and liabilities was primarily due to a decrease in accounts receivable of $1.5 million due to improved collections, partially offset by a decrease in accrued compensation of $0.7 million that resulted from the payout of accrued bonuses and a decrease in accrued warranty of $0.6 million that resulted from the reversal of the accrued warranty expense associated with the voluntary recall of LIO products shipped outside of the United States.</w:t>
      </w:r>
    </w:p>
    <w:p>
      <w:pPr>
        <w:spacing w:after="0" w:line="14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For the three months ended March 31, 2018, net cash used in investing activities was $0.4 million, which consisted of capital expenditures of $0.3 million for property and equipment and payment on the contingent earn-out liability of $0.1 million.</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For the three months ended March 31, 2018, net cash used in financing activities was $0.1 million, which was used to pay for the net share settlement of equity awards and the related payroll taxes.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existing cash and cash equivalents will be sufficient to meet our anticipated cash needs over the next 12 months.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commitments as of March 31,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Less than 1 Year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 payments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4,248</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Purchase commitments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7,059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obligations</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lease commitments consist primarily of our facility lease and various office and computer equipment leases.</w:t>
      </w:r>
    </w:p>
    <w:p>
      <w:pPr>
        <w:spacing w:after="0" w:line="225"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IRIDEX Corporation was incorporated in California in February 1989 as IRIS Medical Instruments, Inc. In November 1995, we changed our name to IRIDEX Corporation and reincorporated in Delaware. Our executive offices are located at 1212 Terra Bella Avenue, Mountain View, California 94043-1824, and our telephone number is (650) 940-4700. We can also be reached at our website at www.IRIDEX.com. 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our company to review the information we post on our Facebook page (www.facebook.com/IRIDEX) and Twitter feed (https://twitter.com/IRIDEX). Any information on, or that can be accessed through, our website and social media channels is not part of this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ind w:right="20" w:firstLine="761"/>
        <w:spacing w:after="0" w:line="271"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due to adverse changes in financial and commodity market prices and rates. Our international revenues and costs for the three months ended March 31, 2018 were primarily denominated in U.S. dollars and therefore changes in foreign currency rates will not have an impact on our income statement or cash flows. However, increases in the value of the U.S. dollars against any local currencies could cause our products to become relatively more expensive to customers in a particular country or region, leading to reduced revenue or profitability in that country or region. As we continue to expand our international sales, our non-U.S. dollar denominated revenue and our exposure to gains and losses on international currency transactions may increase. Sales to direct end users transacted through our German office are denominated in Euros and will be subject to risks associated with the currency fluctuations. We currently do not engage in transactions to hedge against the risk of the currency fluctuation, but we may do so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Our exposure to interest rate risk as of March 31, 2018 is related to our cash equivalent holdings, which is not material given the nature of our cash equivalent holdings. Since we have no fixed or variable interest rate debt outstanding, our interest expense is not affected by changes in interest rates. In the event we issue any new variable-rate debt in the future, increases in interest rates would increase the interest expense associated with the debt.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Chief Executive Officer and our Chief Financial Officer, of the effectiveness of the design and operation of our disclosure controls and procedures as of March 31, 2018.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 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 If we are unsuccessful in prosecuting our claims against Quantel, this could have a material adverse effect on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3" w:name="page24"/>
    <w:bookmarkEnd w:id="23"/>
    <w:p>
      <w:pPr>
        <w:ind w:right="80" w:firstLine="518"/>
        <w:spacing w:after="0" w:line="259" w:lineRule="auto"/>
        <w:rPr>
          <w:sz w:val="20"/>
          <w:szCs w:val="20"/>
          <w:color w:val="auto"/>
        </w:rPr>
      </w:pPr>
      <w:r>
        <w:rPr>
          <w:rFonts w:ascii="Arial" w:cs="Arial" w:eastAsia="Arial" w:hAnsi="Arial"/>
          <w:sz w:val="18"/>
          <w:szCs w:val="18"/>
          <w:color w:val="auto"/>
        </w:rPr>
        <w:t>In addition, 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29"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181"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i w:val="1"/>
          <w:iCs w:val="1"/>
          <w:color w:val="auto"/>
        </w:rPr>
        <w:t>If applicable, we have marked with an asterisk (*) those risk factors below that reflect substantive changes to the text of the risk factors included in our Annual Report on Form 10-K for the year ended December 30, 2017, which was filed with the SEC on March 14, 2018.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5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189"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4" w:name="page25"/>
    <w:bookmarkEnd w:id="24"/>
    <w:p>
      <w:pPr>
        <w:ind w:firstLine="518"/>
        <w:spacing w:after="0" w:line="286" w:lineRule="auto"/>
        <w:rPr>
          <w:sz w:val="20"/>
          <w:szCs w:val="20"/>
          <w:color w:val="auto"/>
        </w:rPr>
      </w:pPr>
      <w:r>
        <w:rPr>
          <w:rFonts w:ascii="Arial" w:cs="Arial" w:eastAsia="Arial" w:hAnsi="Arial"/>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7"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23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relationships with independent distributors outside the United States, and the establishment of our direct sales capabilities in Germany. Currently our direct and independent sales forces within the United States consist of approximately 20 employees and one independent representative, respectively.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84"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derive, and expect to continue to derive, a large portion of our revenues from international sales. For the first quarter of fiscal 2018, our international sales were $4.6 million, or 48.9% of total revenues. We anticipate that international sales will continue to account for a significant portion of our revenues in the foreseeable future. All of our international revenues and costs for the quarter ended March 31, 2018 have been denominated in U.S. dollars except for a sale transacted through our German subsidiary. As a result, an increase in the value of the U.S. dollar relative to foreign currencies makes our U.S. dollar-denominated our products more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5" w:name="page26"/>
    <w:bookmarkEnd w:id="25"/>
    <w:p>
      <w:pPr>
        <w:ind w:right="240"/>
        <w:spacing w:after="0" w:line="277" w:lineRule="auto"/>
        <w:rPr>
          <w:sz w:val="20"/>
          <w:szCs w:val="20"/>
          <w:color w:val="auto"/>
        </w:rPr>
      </w:pPr>
      <w:r>
        <w:rPr>
          <w:rFonts w:ascii="Arial" w:cs="Arial" w:eastAsia="Arial" w:hAnsi="Arial"/>
          <w:sz w:val="18"/>
          <w:szCs w:val="18"/>
          <w:color w:val="auto"/>
        </w:rPr>
        <w:t>expensive and thus less competitive in foreign markets and may negatively affect our reported revenue in any particular reporting period. Our international operations and sales are subject to a number of risks and potential costs, including:</w:t>
      </w:r>
    </w:p>
    <w:p>
      <w:pPr>
        <w:spacing w:after="0" w:line="62"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40" w:right="440" w:hanging="519"/>
        <w:spacing w:after="0" w:line="308"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one or more of these factors stated above could have a material adverse effect on our business, financial condition or results of operations.</w:t>
      </w:r>
    </w:p>
    <w:p>
      <w:pPr>
        <w:spacing w:after="0" w:line="1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fail to develop and successfully introduce new products and applications, our business prospects and operating results may suffer.</w:t>
      </w:r>
    </w:p>
    <w:p>
      <w:pPr>
        <w:spacing w:after="0" w:line="14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80"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6" w:name="page27"/>
    <w:bookmarkEnd w:id="26"/>
    <w:p>
      <w:pPr>
        <w:ind w:right="160" w:firstLine="518"/>
        <w:spacing w:after="0" w:line="312" w:lineRule="auto"/>
        <w:rPr>
          <w:sz w:val="20"/>
          <w:szCs w:val="20"/>
          <w:color w:val="auto"/>
        </w:rPr>
      </w:pPr>
      <w:r>
        <w:rPr>
          <w:rFonts w:ascii="Arial" w:cs="Arial" w:eastAsia="Arial" w:hAnsi="Arial"/>
          <w:sz w:val="16"/>
          <w:szCs w:val="16"/>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could cause our net revenues to decline.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7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economic uncertainty persisted, or if the economy entered a prolonged period of decelerating growth, our results of operations may be harmed.</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2"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7" w:name="page28"/>
    <w:bookmarkEnd w:id="27"/>
    <w:p>
      <w:pPr>
        <w:ind w:right="40"/>
        <w:spacing w:after="0" w:line="257" w:lineRule="auto"/>
        <w:rPr>
          <w:sz w:val="20"/>
          <w:szCs w:val="20"/>
          <w:color w:val="auto"/>
        </w:rPr>
      </w:pPr>
      <w:r>
        <w:rPr>
          <w:rFonts w:ascii="Arial" w:cs="Arial" w:eastAsia="Arial" w:hAnsi="Arial"/>
          <w:sz w:val="18"/>
          <w:szCs w:val="18"/>
          <w:color w:val="auto"/>
        </w:rPr>
        <w:t>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88"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40" w:right="10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39"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and Glaukos. Pharmaceuticals represent alternative treatments to our laser procedures. Some of our principal pharmaceutical competitors are Alcon, Allergan, OSI Pharmaceuticals (Astellas),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6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t>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and Health Care and Education Affordability Reconciliation Act of 2010 (collectively, the “Affordable Care Act”), and the current U.S. presidential administration has announced certain policy changes that could impact the availability of benefits under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84"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50"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15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6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9" w:name="page30"/>
    <w:bookmarkEnd w:id="29"/>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collaborations could have a material adverse effect on our ability to introduce new products or applications and therefore could have a material adverse effect on our business, results of operations and financial condition.</w:t>
      </w:r>
    </w:p>
    <w:p>
      <w:pPr>
        <w:spacing w:after="0" w:line="16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will be seriously harmed, particularly if the average selling price of our products decreases significantly without a corresponding increase in sales.</w:t>
      </w:r>
    </w:p>
    <w:p>
      <w:pPr>
        <w:spacing w:after="0" w:line="188" w:lineRule="exact"/>
        <w:rPr>
          <w:sz w:val="20"/>
          <w:szCs w:val="20"/>
          <w:color w:val="auto"/>
        </w:rPr>
      </w:pPr>
    </w:p>
    <w:p>
      <w:pPr>
        <w:ind w:right="860" w:firstLine="518"/>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26 active United States patents and 13 active foreign patents on the technologies related to our products and processes. In addition, we have 5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7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 w:name="page31"/>
    <w:bookmarkEnd w:id="30"/>
    <w:p>
      <w:pPr>
        <w:ind w:right="140" w:firstLine="518"/>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after November 2000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21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 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 If we are unsuccessful in prosecuting our claims against Quantel, this could have a material adverse effect on our business, results of operations and financial condition.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166"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46"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 Mountain View, California. Any such loss at any of our facilities could disrupt our operations, delay production, shipments and revenue and result in large expense to repair and replace our facilities.</w:t>
      </w:r>
    </w:p>
    <w:p>
      <w:pPr>
        <w:spacing w:after="0" w:line="14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157" w:lineRule="exact"/>
        <w:rPr>
          <w:sz w:val="20"/>
          <w:szCs w:val="20"/>
          <w:color w:val="auto"/>
        </w:rPr>
      </w:pPr>
    </w:p>
    <w:p>
      <w:pPr>
        <w:ind w:right="40" w:firstLine="447"/>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165" w:lineRule="exact"/>
        <w:rPr>
          <w:sz w:val="20"/>
          <w:szCs w:val="20"/>
          <w:color w:val="auto"/>
        </w:rPr>
      </w:pPr>
    </w:p>
    <w:p>
      <w:pPr>
        <w:ind w:right="60" w:firstLine="450"/>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158" w:lineRule="exact"/>
        <w:rPr>
          <w:sz w:val="20"/>
          <w:szCs w:val="20"/>
          <w:color w:val="auto"/>
        </w:rPr>
      </w:pPr>
    </w:p>
    <w:p>
      <w:pPr>
        <w:ind w:right="40" w:firstLine="447"/>
        <w:spacing w:after="0" w:line="297"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inappropriate access can be difficult to detect, and any delay in identifying them may lead to increased harm of the type described above.</w:t>
      </w:r>
    </w:p>
    <w:p>
      <w:pPr>
        <w:spacing w:after="0" w:line="225"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17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Food, Drug and Cosmetic Act (“FDCA”)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FDCA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7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33" w:name="page34"/>
    <w:bookmarkEnd w:id="33"/>
    <w:p>
      <w:pPr>
        <w:ind w:right="140"/>
        <w:spacing w:after="0" w:line="277" w:lineRule="auto"/>
        <w:rPr>
          <w:sz w:val="20"/>
          <w:szCs w:val="20"/>
          <w:color w:val="auto"/>
        </w:rPr>
      </w:pPr>
      <w:r>
        <w:rPr>
          <w:rFonts w:ascii="Arial" w:cs="Arial" w:eastAsia="Arial" w:hAnsi="Arial"/>
          <w:sz w:val="18"/>
          <w:szCs w:val="18"/>
          <w:color w:val="auto"/>
        </w:rPr>
        <w:t>they lengthen product introduction cycles. Failure to comply with these changes can have an adverse effect on our ability to release new products in a timely manner.</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Any clinical trials that we may undertake for regulatory approval or marketing reasons will be an expensive, lengthy, costly, and uncertain process, and could result in delays in new product introductions or even an inability to release a product.</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may be required to undertake clinical trials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17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18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b w:val="1"/>
          <w:bCs w:val="1"/>
          <w:i w:val="1"/>
          <w:iCs w:val="1"/>
          <w:color w:val="auto"/>
        </w:rPr>
        <w:t>If we modify one of our FDA approved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jc w:val="both"/>
        <w:ind w:right="140" w:firstLine="518"/>
        <w:spacing w:after="0" w:line="302"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4" w:name="page35"/>
    <w:bookmarkEnd w:id="34"/>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3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On February 23, 2018, we initiated a voluntary recall of a specific laser accessory called the TruFocus LIO Premiere™ (“LIO”). The LIO is a headmounted indirect ophthalmoscopes that connects to our laser console and is used to view and perform retina laser treatment on a patient’s eye. There are 104 TruFocus LIO Premiere units at customer sites worldwide. We have received reports of three adverse events occurring during procedures in which the TruFocus LIO Premiere was used.</w:t>
      </w:r>
    </w:p>
    <w:p>
      <w:pPr>
        <w:spacing w:after="0" w:line="79"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negatively affect our future sales and financial results.</w:t>
      </w:r>
    </w:p>
    <w:p>
      <w:pPr>
        <w:spacing w:after="0" w:line="18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171"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Since 1989, we have completed six acquisitions. 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the EPS,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5" w:name="page36"/>
    <w:bookmarkEnd w:id="35"/>
    <w:p>
      <w:pPr>
        <w:ind w:left="520"/>
        <w:spacing w:after="0"/>
        <w:rPr>
          <w:sz w:val="20"/>
          <w:szCs w:val="20"/>
          <w:color w:val="auto"/>
        </w:rPr>
      </w:pPr>
      <w:r>
        <w:rPr>
          <w:rFonts w:ascii="Arial" w:cs="Arial" w:eastAsia="Arial" w:hAnsi="Arial"/>
          <w:sz w:val="16"/>
          <w:szCs w:val="16"/>
          <w:b w:val="1"/>
          <w:bCs w:val="1"/>
          <w:i w:val="1"/>
          <w:iCs w:val="1"/>
          <w:color w:val="auto"/>
        </w:rPr>
        <w:t>We are subject to federal, state and foreign laws governing our business practices which, if violated, could result in substantial penalties.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Additionally, challenges to or investigation into our practices could cause adverse publicity and be costly to respond to and thus could harm our business.</w:t>
      </w:r>
    </w:p>
    <w:p>
      <w:pPr>
        <w:spacing w:after="0" w:line="13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who are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Changes in U.S. tax laws could have a material adverse effect on our business, cash flow, results of operations or financial conditions.</w:t>
      </w:r>
    </w:p>
    <w:p>
      <w:pPr>
        <w:spacing w:after="0" w:line="12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that affected 2017, the current year and onwards, including, but not limited to, a reduction of the U.S. federal corporate tax rate from as high as 35% to 21%, a general elimination of U.S. federal income taxes on dividends from foreign subsidiaries, net operating loss deduction limitations, and 100% disallowance of entertainment expense.</w:t>
      </w:r>
    </w:p>
    <w:p>
      <w:pPr>
        <w:spacing w:after="0" w:line="17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addition 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for the year ended December 31, 2017. In accordance with SAB 118, a company must reflect the income tax effects of those aspects of the tax Act for which the accounting under ASC 740 is complete. The Company is still within the measurement period as of first quarter of 2018 and no further conclusions have been made, as the Company reviews the law change and the impact to the Company.</w:t>
      </w:r>
    </w:p>
    <w:p>
      <w:pPr>
        <w:spacing w:after="0" w:line="193"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with these with the development and regulatory documentation for our products. Failure to meet these standards could limit the ability to market our products in those regions which require compliance to such standards or subject us to fines and penalties. Examples of such standards include laws governing the hazardous material content of our devices and products, such as the European Union (“EU”) Directive 2011/65/EU relating to Restrictions on the Use of Certain Hazardous Substances “RoHS Directive, and the EU Directive 2012/19/EU on Waste Electrical and Electronic Equipment or “WEEE Directive”. Similar laws and regulations have been passed or are pending in several other jurisdictions and may be enacted in other regions, including in the United States, and we are, or may in the future be, subject to these laws and regulations.</w:t>
      </w:r>
    </w:p>
    <w:p>
      <w:pPr>
        <w:spacing w:after="0" w:line="59" w:lineRule="exact"/>
        <w:rPr>
          <w:sz w:val="20"/>
          <w:szCs w:val="20"/>
          <w:color w:val="auto"/>
        </w:rPr>
      </w:pPr>
    </w:p>
    <w:p>
      <w:pPr>
        <w:ind w:right="520" w:firstLine="518"/>
        <w:spacing w:after="0" w:line="276"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Relating to Our Ownership of Our 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For the first quarter of 2018, the trading price of our common stock fluctuated from $5.72 per share to a high of $8.28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165" w:lineRule="exact"/>
        <w:rPr>
          <w:sz w:val="20"/>
          <w:szCs w:val="20"/>
          <w:color w:val="auto"/>
        </w:rPr>
      </w:pPr>
    </w:p>
    <w:p>
      <w:pPr>
        <w:ind w:left="520" w:right="540"/>
        <w:spacing w:after="0" w:line="385" w:lineRule="auto"/>
        <w:rPr>
          <w:sz w:val="20"/>
          <w:szCs w:val="20"/>
          <w:color w:val="auto"/>
        </w:rPr>
      </w:pPr>
      <w:r>
        <w:rPr>
          <w:rFonts w:ascii="Arial" w:cs="Arial" w:eastAsia="Arial" w:hAnsi="Arial"/>
          <w:sz w:val="15"/>
          <w:szCs w:val="15"/>
          <w:b w:val="1"/>
          <w:bCs w:val="1"/>
          <w:i w:val="1"/>
          <w:iCs w:val="1"/>
          <w:color w:val="auto"/>
        </w:rPr>
        <w:t xml:space="preserve">Future sales and issuances of securities could negatively affect our stock price and dilute the ownership interest of our existing investors. </w:t>
      </w:r>
      <w:r>
        <w:rPr>
          <w:rFonts w:ascii="Arial" w:cs="Arial" w:eastAsia="Arial" w:hAnsi="Arial"/>
          <w:sz w:val="15"/>
          <w:szCs w:val="15"/>
          <w:color w:val="auto"/>
        </w:rPr>
        <w:t>Future sales or issuances of securities by us could decrease the value of our common stock, dilute stockholders’ voting power and reduce future</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potential earnings per share. To raise capital, we may sell common stock, convertible securities or other equity-linked securities in one or more transactions at prices and in a manner we determine from time to time. If we sell additional equity securities, the ownership interest of existing investors or the EPS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83"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March 31, 2018, we had 11,637,361 shares of common stock outstanding, all of which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46" w:lineRule="exact"/>
        <w:rPr>
          <w:sz w:val="20"/>
          <w:szCs w:val="20"/>
          <w:color w:val="auto"/>
        </w:rPr>
      </w:pPr>
    </w:p>
    <w:p>
      <w:pPr>
        <w:jc w:val="both"/>
        <w:ind w:right="200" w:firstLine="518"/>
        <w:spacing w:after="0" w:line="302" w:lineRule="auto"/>
        <w:rPr>
          <w:sz w:val="20"/>
          <w:szCs w:val="20"/>
          <w:color w:val="auto"/>
        </w:rPr>
      </w:pPr>
      <w:r>
        <w:rPr>
          <w:rFonts w:ascii="Arial" w:cs="Arial" w:eastAsia="Arial" w:hAnsi="Arial"/>
          <w:sz w:val="16"/>
          <w:szCs w:val="16"/>
          <w:color w:val="auto"/>
        </w:rPr>
        <w:t>As of March 31, 2018, holders of an aggregate of 982,742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4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 other distribution or payment on account of our common stock. As a result, the benefit from an investment in our common stock will depend entirely upon any future appreciation. There is no guarantee that our common stock will appreciate in value or even maintain the price at which stockholders have purchased their shares.</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37" w:name="page38"/>
    <w:bookmarkEnd w:id="37"/>
    <w:p>
      <w:pPr>
        <w:ind w:left="52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March 31, 2018.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our failure to raise capital when needed could prevent us from growing.</w:t>
      </w:r>
    </w:p>
    <w:p>
      <w:pPr>
        <w:spacing w:after="0" w:line="129"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w:t>
      </w:r>
    </w:p>
    <w:p>
      <w:pPr>
        <w:spacing w:after="0" w:line="166"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5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We are an accelerated filer and our independent registered public accounting firm is required to formally attest to the effectiveness of our internal control over financial reporting pursuant to Section 404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5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8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16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4"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or by a committee of our board of directors, thus prohibiting a stockholder from calling a special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476" w:right="5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02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160" w:type="dxa"/>
            <w:vAlign w:val="bottom"/>
            <w:gridSpan w:val="2"/>
          </w:tcPr>
          <w:p>
            <w:pPr>
              <w:spacing w:after="0"/>
              <w:rPr>
                <w:sz w:val="20"/>
                <w:szCs w:val="20"/>
                <w:color w:val="auto"/>
              </w:rPr>
            </w:pPr>
            <w:r>
              <w:rPr>
                <w:rFonts w:ascii="Arial" w:cs="Arial" w:eastAsia="Arial" w:hAnsi="Arial"/>
                <w:sz w:val="18"/>
                <w:szCs w:val="18"/>
                <w:color w:val="auto"/>
              </w:rPr>
              <w:t>3.1 (1) (P)</w:t>
            </w:r>
          </w:p>
        </w:tc>
        <w:tc>
          <w:tcPr>
            <w:tcW w:w="10260" w:type="dxa"/>
            <w:vAlign w:val="bottom"/>
            <w:gridSpan w:val="8"/>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3.2 (2)</w:t>
            </w:r>
          </w:p>
        </w:tc>
        <w:tc>
          <w:tcPr>
            <w:tcW w:w="120" w:type="dxa"/>
            <w:vAlign w:val="bottom"/>
          </w:tcPr>
          <w:p>
            <w:pPr>
              <w:spacing w:after="0"/>
              <w:rPr>
                <w:sz w:val="24"/>
                <w:szCs w:val="24"/>
                <w:color w:val="auto"/>
              </w:rPr>
            </w:pPr>
          </w:p>
        </w:tc>
        <w:tc>
          <w:tcPr>
            <w:tcW w:w="3280" w:type="dxa"/>
            <w:vAlign w:val="bottom"/>
            <w:tcBorders>
              <w:bottom w:val="single" w:sz="8" w:color="0000EE"/>
            </w:tcBorders>
            <w:gridSpan w:val="3"/>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Amended and Restated Bylaws of Registrant.</w:t>
              </w:r>
            </w:hyperlink>
          </w:p>
        </w:tc>
        <w:tc>
          <w:tcPr>
            <w:tcW w:w="6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Certification of Principal Executive Officer pursuant to Securities Exchange Act Rules 13a-14(a) and 15d-14(a).</w:t>
              </w:r>
            </w:hyperlink>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0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Principal Financial Officer pursuant to Securities Exchange Act Rules 13a-14(a) and 15d-14(a).</w:t>
              </w:r>
            </w:hyperlink>
          </w:p>
        </w:tc>
        <w:tc>
          <w:tcPr>
            <w:tcW w:w="40" w:type="dxa"/>
            <w:vAlign w:val="bottom"/>
            <w:tcBorders>
              <w:top w:val="single" w:sz="8" w:color="0000EE"/>
            </w:tcBorders>
          </w:tcPr>
          <w:p>
            <w:pPr>
              <w:spacing w:after="0"/>
              <w:rPr>
                <w:sz w:val="24"/>
                <w:szCs w:val="24"/>
                <w:color w:val="auto"/>
              </w:rPr>
            </w:pPr>
          </w:p>
        </w:tc>
        <w:tc>
          <w:tcPr>
            <w:tcW w:w="2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9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of 2002.</w:t>
              </w:r>
            </w:hyperlink>
          </w:p>
        </w:tc>
        <w:tc>
          <w:tcPr>
            <w:tcW w:w="96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-1594485</wp:posOffset>
            </wp:positionV>
            <wp:extent cx="17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-1594485</wp:posOffset>
            </wp:positionV>
            <wp:extent cx="17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certification furnished in Exhibit 32.1 and 32.2 hereto is deemed to accompany this Quarterly Report on Form 10-Q and will not be deemed</w:t>
      </w:r>
    </w:p>
    <w:p>
      <w:pPr>
        <w:spacing w:after="0" w:line="35" w:lineRule="exact"/>
        <w:rPr>
          <w:sz w:val="20"/>
          <w:szCs w:val="20"/>
          <w:color w:val="auto"/>
        </w:rPr>
      </w:pPr>
    </w:p>
    <w:p>
      <w:pPr>
        <w:ind w:left="520" w:right="120"/>
        <w:spacing w:after="0" w:line="250" w:lineRule="auto"/>
        <w:rPr>
          <w:sz w:val="20"/>
          <w:szCs w:val="20"/>
          <w:color w:val="auto"/>
        </w:rPr>
      </w:pPr>
      <w:r>
        <w:rPr>
          <w:rFonts w:ascii="Arial" w:cs="Arial" w:eastAsia="Arial" w:hAnsi="Arial"/>
          <w:sz w:val="18"/>
          <w:szCs w:val="18"/>
          <w:color w:val="auto"/>
        </w:rPr>
        <w:t>“filed”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520" w:right="260" w:hanging="512"/>
        <w:spacing w:after="0" w:line="25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November 21, 2007.</w:t>
      </w:r>
    </w:p>
    <w:p>
      <w:pPr>
        <w:spacing w:after="0" w:line="9"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IRIDEX Corporation (Registrant)</w:t>
            </w: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Date: May 8, 2018</w:t>
            </w:r>
          </w:p>
        </w:tc>
        <w:tc>
          <w:tcPr>
            <w:tcW w:w="7460" w:type="dxa"/>
            <w:vAlign w:val="bottom"/>
            <w:gridSpan w:val="3"/>
          </w:tcPr>
          <w:p>
            <w:pPr>
              <w:ind w:left="2600"/>
              <w:spacing w:after="0"/>
              <w:rPr>
                <w:sz w:val="20"/>
                <w:szCs w:val="20"/>
                <w:color w:val="auto"/>
              </w:rPr>
            </w:pPr>
            <w:r>
              <w:rPr>
                <w:rFonts w:ascii="Arial" w:cs="Arial" w:eastAsia="Arial" w:hAnsi="Arial"/>
                <w:sz w:val="18"/>
                <w:szCs w:val="18"/>
                <w:color w:val="auto"/>
              </w:rPr>
              <w:t>By:  /s/ WILLIAM M. MOORE</w:t>
            </w:r>
          </w:p>
        </w:tc>
      </w:tr>
      <w:tr>
        <w:trPr>
          <w:trHeight w:val="195"/>
        </w:trPr>
        <w:tc>
          <w:tcPr>
            <w:tcW w:w="39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 Moore</w:t>
            </w:r>
          </w:p>
        </w:tc>
      </w:tr>
      <w:tr>
        <w:trPr>
          <w:trHeight w:val="216"/>
        </w:trPr>
        <w:tc>
          <w:tcPr>
            <w:tcW w:w="39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May 8, 2018</w:t>
            </w:r>
          </w:p>
        </w:tc>
        <w:tc>
          <w:tcPr>
            <w:tcW w:w="3000" w:type="dxa"/>
            <w:vAlign w:val="bottom"/>
          </w:tcPr>
          <w:p>
            <w:pPr>
              <w:ind w:left="26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ATABAK MOKARI</w:t>
            </w:r>
          </w:p>
        </w:tc>
      </w:tr>
      <w:tr>
        <w:trPr>
          <w:trHeight w:val="195"/>
        </w:trPr>
        <w:tc>
          <w:tcPr>
            <w:tcW w:w="39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Atabak Mokari</w:t>
            </w:r>
          </w:p>
        </w:tc>
      </w:tr>
      <w:tr>
        <w:trPr>
          <w:trHeight w:val="216"/>
        </w:trPr>
        <w:tc>
          <w:tcPr>
            <w:tcW w:w="39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Financial Officer and Vice President of</w:t>
            </w:r>
          </w:p>
        </w:tc>
      </w:tr>
      <w:tr>
        <w:trPr>
          <w:trHeight w:val="216"/>
        </w:trPr>
        <w:tc>
          <w:tcPr>
            <w:tcW w:w="39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Corporate Development</w:t>
            </w:r>
          </w:p>
        </w:tc>
      </w:tr>
      <w:tr>
        <w:trPr>
          <w:trHeight w:val="230"/>
        </w:trPr>
        <w:tc>
          <w:tcPr>
            <w:tcW w:w="39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May 8, 2018</w:t>
            </w:r>
          </w:p>
        </w:tc>
        <w:tc>
          <w:tcPr>
            <w:tcW w:w="3000" w:type="dxa"/>
            <w:vAlign w:val="bottom"/>
          </w:tcPr>
          <w:p>
            <w:pPr>
              <w:ind w:left="26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ROMEO R. DIZON</w:t>
            </w:r>
          </w:p>
        </w:tc>
      </w:tr>
      <w:tr>
        <w:trPr>
          <w:trHeight w:val="195"/>
        </w:trPr>
        <w:tc>
          <w:tcPr>
            <w:tcW w:w="39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Romeo R. Dizon</w:t>
            </w:r>
          </w:p>
        </w:tc>
      </w:tr>
      <w:tr>
        <w:trPr>
          <w:trHeight w:val="216"/>
        </w:trPr>
        <w:tc>
          <w:tcPr>
            <w:tcW w:w="39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Vice President and Controller</w:t>
            </w:r>
          </w:p>
        </w:tc>
      </w:tr>
      <w:tr>
        <w:trPr>
          <w:trHeight w:val="230"/>
        </w:trPr>
        <w:tc>
          <w:tcPr>
            <w:tcW w:w="39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 Moore, certify that:</w:t>
      </w:r>
    </w:p>
    <w:p>
      <w:pPr>
        <w:spacing w:after="0" w:line="11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MOORE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William M. Moore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Atabak Mokari, certify that:</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ATABAK MOKARI</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spacing w:after="0"/>
              <w:rPr>
                <w:sz w:val="20"/>
                <w:szCs w:val="20"/>
                <w:color w:val="auto"/>
              </w:rPr>
            </w:pPr>
            <w:r>
              <w:rPr>
                <w:rFonts w:ascii="Arial" w:cs="Arial" w:eastAsia="Arial" w:hAnsi="Arial"/>
                <w:sz w:val="18"/>
                <w:szCs w:val="18"/>
                <w:color w:val="auto"/>
              </w:rPr>
              <w:t>Atabak Mokari</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 Vice President of</w:t>
            </w:r>
          </w:p>
        </w:tc>
      </w:tr>
      <w:tr>
        <w:trPr>
          <w:trHeight w:val="216"/>
        </w:trPr>
        <w:tc>
          <w:tcPr>
            <w:tcW w:w="8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Corporate Development</w:t>
            </w:r>
          </w:p>
        </w:tc>
      </w:tr>
      <w:tr>
        <w:trPr>
          <w:trHeight w:val="230"/>
        </w:trPr>
        <w:tc>
          <w:tcPr>
            <w:tcW w:w="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William M. Moore, pursuant to 18 U.S.C. Section 1350, as adopted pursuant to Section 906 of the Sarbanes-Oxley Act of 2002, certify that the Quarterly Report of IRIDEX Corporation on Form 10-Q for the fiscal quarter ended March 31, 2018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M. MOORE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5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Atabak Mokari, pursuant to 18 U.S.C. Section 1350, as adopted pursuant to Section 906 of the Sarbanes-Oxley Act of 2002, certify that the Quarterly Report of IRIDEX Corporation on Form 10-Q for the fiscal quarter ended March 31, 2018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ATABAK MOKARI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Vice President of Corporate Development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upperLetter"/>
      <w:start w:val="16"/>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1" Type="http://schemas.openxmlformats.org/officeDocument/2006/relationships/hyperlink" Target="http://www.sec.gov/Archives/edgar/data/1006045/000095013407024459/f35935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2019-12-28T21:57:07Z</dcterms:created>
  <dcterms:modified xsi:type="dcterms:W3CDTF">2019-12-28T21:57:07Z</dcterms:modified>
</cp:coreProperties>
</file>