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121920</wp:posOffset>
            </wp:positionV>
            <wp:extent cx="14490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520" w:right="400" w:hanging="512"/>
        <w:spacing w:after="0" w:line="237" w:lineRule="auto"/>
        <w:tabs>
          <w:tab w:leader="none" w:pos="5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April 1, 2017</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8" w:lineRule="exact"/>
        <w:rPr>
          <w:sz w:val="24"/>
          <w:szCs w:val="24"/>
          <w:color w:val="auto"/>
        </w:rPr>
      </w:pPr>
    </w:p>
    <w:p>
      <w:pPr>
        <w:ind w:left="520" w:right="380" w:hanging="512"/>
        <w:spacing w:after="0" w:line="262" w:lineRule="auto"/>
        <w:tabs>
          <w:tab w:leader="none" w:pos="5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1" w:lineRule="exact"/>
        <w:rPr>
          <w:sz w:val="24"/>
          <w:szCs w:val="24"/>
          <w:color w:val="auto"/>
        </w:rPr>
      </w:pPr>
    </w:p>
    <w:p>
      <w:pPr>
        <w:ind w:left="3500"/>
        <w:spacing w:after="0"/>
        <w:tabs>
          <w:tab w:leader="none" w:pos="68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0-27598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105410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IRIDEX CORPORATION</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5" w:lineRule="exact"/>
        <w:rPr>
          <w:sz w:val="24"/>
          <w:szCs w:val="24"/>
          <w:color w:val="auto"/>
        </w:rPr>
      </w:pPr>
    </w:p>
    <w:tbl>
      <w:tblPr>
        <w:tblLayout w:type="fixed"/>
        <w:tblInd w:w="1620" w:type="dxa"/>
        <w:tblCellMar>
          <w:top w:w="0" w:type="dxa"/>
          <w:left w:w="0" w:type="dxa"/>
          <w:bottom w:w="0" w:type="dxa"/>
          <w:right w:w="0" w:type="dxa"/>
        </w:tblCellMar>
      </w:tblPr>
      <w:tr>
        <w:trPr>
          <w:trHeight w:val="214"/>
        </w:trPr>
        <w:tc>
          <w:tcPr>
            <w:tcW w:w="4340" w:type="dxa"/>
            <w:vAlign w:val="bottom"/>
          </w:tcPr>
          <w:p>
            <w:pPr>
              <w:jc w:val="center"/>
              <w:ind w:right="187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380" w:type="dxa"/>
            <w:vAlign w:val="bottom"/>
          </w:tcPr>
          <w:p>
            <w:pPr>
              <w:jc w:val="center"/>
              <w:ind w:left="1861"/>
              <w:spacing w:after="0"/>
              <w:rPr>
                <w:sz w:val="20"/>
                <w:szCs w:val="20"/>
                <w:color w:val="auto"/>
              </w:rPr>
            </w:pPr>
            <w:r>
              <w:rPr>
                <w:rFonts w:ascii="Times New Roman" w:cs="Times New Roman" w:eastAsia="Times New Roman" w:hAnsi="Times New Roman"/>
                <w:sz w:val="18"/>
                <w:szCs w:val="18"/>
                <w:b w:val="1"/>
                <w:bCs w:val="1"/>
                <w:color w:val="auto"/>
              </w:rPr>
              <w:t>77-0210467</w:t>
            </w:r>
          </w:p>
        </w:tc>
      </w:tr>
      <w:tr>
        <w:trPr>
          <w:trHeight w:val="149"/>
        </w:trPr>
        <w:tc>
          <w:tcPr>
            <w:tcW w:w="4340" w:type="dxa"/>
            <w:vAlign w:val="bottom"/>
          </w:tcPr>
          <w:p>
            <w:pPr>
              <w:jc w:val="center"/>
              <w:ind w:right="18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380" w:type="dxa"/>
            <w:vAlign w:val="bottom"/>
          </w:tcPr>
          <w:p>
            <w:pPr>
              <w:jc w:val="center"/>
              <w:ind w:left="18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40" w:type="dxa"/>
            <w:vAlign w:val="bottom"/>
          </w:tcPr>
          <w:p>
            <w:pPr>
              <w:jc w:val="center"/>
              <w:ind w:right="187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380" w:type="dxa"/>
            <w:vAlign w:val="bottom"/>
          </w:tcPr>
          <w:p>
            <w:pPr>
              <w:jc w:val="center"/>
              <w:ind w:left="1881"/>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298"/>
        </w:trPr>
        <w:tc>
          <w:tcPr>
            <w:tcW w:w="4340" w:type="dxa"/>
            <w:vAlign w:val="bottom"/>
          </w:tcPr>
          <w:p>
            <w:pPr>
              <w:jc w:val="center"/>
              <w:ind w:right="1879"/>
              <w:spacing w:after="0"/>
              <w:rPr>
                <w:sz w:val="20"/>
                <w:szCs w:val="20"/>
                <w:color w:val="auto"/>
              </w:rPr>
            </w:pPr>
            <w:r>
              <w:rPr>
                <w:rFonts w:ascii="Times New Roman" w:cs="Times New Roman" w:eastAsia="Times New Roman" w:hAnsi="Times New Roman"/>
                <w:sz w:val="18"/>
                <w:szCs w:val="18"/>
                <w:b w:val="1"/>
                <w:bCs w:val="1"/>
                <w:color w:val="auto"/>
                <w:w w:val="99"/>
              </w:rPr>
              <w:t>1212 Terra Bella Avenue</w:t>
            </w:r>
          </w:p>
        </w:tc>
        <w:tc>
          <w:tcPr>
            <w:tcW w:w="3380" w:type="dxa"/>
            <w:vAlign w:val="bottom"/>
          </w:tcPr>
          <w:p>
            <w:pPr>
              <w:spacing w:after="0"/>
              <w:rPr>
                <w:sz w:val="24"/>
                <w:szCs w:val="24"/>
                <w:color w:val="auto"/>
              </w:rPr>
            </w:pPr>
          </w:p>
        </w:tc>
      </w:tr>
      <w:tr>
        <w:trPr>
          <w:trHeight w:val="214"/>
        </w:trPr>
        <w:tc>
          <w:tcPr>
            <w:tcW w:w="4340" w:type="dxa"/>
            <w:vAlign w:val="bottom"/>
          </w:tcPr>
          <w:p>
            <w:pPr>
              <w:jc w:val="center"/>
              <w:ind w:right="1879"/>
              <w:spacing w:after="0"/>
              <w:rPr>
                <w:sz w:val="20"/>
                <w:szCs w:val="20"/>
                <w:color w:val="auto"/>
              </w:rPr>
            </w:pPr>
            <w:r>
              <w:rPr>
                <w:rFonts w:ascii="Times New Roman" w:cs="Times New Roman" w:eastAsia="Times New Roman" w:hAnsi="Times New Roman"/>
                <w:sz w:val="18"/>
                <w:szCs w:val="18"/>
                <w:b w:val="1"/>
                <w:bCs w:val="1"/>
                <w:color w:val="auto"/>
                <w:w w:val="99"/>
              </w:rPr>
              <w:t>Mountain View, California</w:t>
            </w:r>
          </w:p>
        </w:tc>
        <w:tc>
          <w:tcPr>
            <w:tcW w:w="3380" w:type="dxa"/>
            <w:vAlign w:val="bottom"/>
          </w:tcPr>
          <w:p>
            <w:pPr>
              <w:jc w:val="center"/>
              <w:ind w:left="1861"/>
              <w:spacing w:after="0"/>
              <w:rPr>
                <w:sz w:val="20"/>
                <w:szCs w:val="20"/>
                <w:color w:val="auto"/>
              </w:rPr>
            </w:pPr>
            <w:r>
              <w:rPr>
                <w:rFonts w:ascii="Times New Roman" w:cs="Times New Roman" w:eastAsia="Times New Roman" w:hAnsi="Times New Roman"/>
                <w:sz w:val="18"/>
                <w:szCs w:val="18"/>
                <w:b w:val="1"/>
                <w:bCs w:val="1"/>
                <w:color w:val="auto"/>
              </w:rPr>
              <w:t>94043-1824</w:t>
            </w:r>
          </w:p>
        </w:tc>
      </w:tr>
      <w:tr>
        <w:trPr>
          <w:trHeight w:val="190"/>
        </w:trPr>
        <w:tc>
          <w:tcPr>
            <w:tcW w:w="4340" w:type="dxa"/>
            <w:vAlign w:val="bottom"/>
          </w:tcPr>
          <w:p>
            <w:pPr>
              <w:jc w:val="center"/>
              <w:ind w:right="18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380" w:type="dxa"/>
            <w:vAlign w:val="bottom"/>
          </w:tcPr>
          <w:p>
            <w:pPr>
              <w:jc w:val="center"/>
              <w:ind w:left="18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940-4700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114300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77" w:lineRule="exact"/>
        <w:rPr>
          <w:sz w:val="24"/>
          <w:szCs w:val="24"/>
          <w:color w:val="auto"/>
        </w:rPr>
      </w:pPr>
    </w:p>
    <w:p>
      <w:pPr>
        <w:ind w:right="4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3"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442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34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Accelerated filer</w:t>
            </w:r>
          </w:p>
        </w:tc>
        <w:tc>
          <w:tcPr>
            <w:tcW w:w="1120" w:type="dxa"/>
            <w:vAlign w:val="bottom"/>
          </w:tcPr>
          <w:p>
            <w:pPr>
              <w:ind w:left="9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4420" w:type="dxa"/>
            <w:vAlign w:val="bottom"/>
          </w:tcPr>
          <w:p>
            <w:pPr>
              <w:ind w:left="3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34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120" w:type="dxa"/>
            <w:vAlign w:val="bottom"/>
          </w:tcPr>
          <w:p>
            <w:pPr>
              <w:ind w:left="9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5"/>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442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34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83"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6" w:lineRule="exact"/>
        <w:rPr>
          <w:sz w:val="24"/>
          <w:szCs w:val="24"/>
          <w:color w:val="auto"/>
        </w:rPr>
      </w:pPr>
    </w:p>
    <w:p>
      <w:pPr>
        <w:ind w:right="1760"/>
        <w:spacing w:after="0" w:line="29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shares of common stock, $0.01 par value, issued and outstanding as of April 21, 2017 was 11,544,981.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399415</wp:posOffset>
            </wp:positionV>
            <wp:extent cx="72891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00" w:right="2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6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Items</w:t>
            </w:r>
          </w:p>
        </w:tc>
        <w:tc>
          <w:tcPr>
            <w:tcW w:w="2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91"/>
        </w:trPr>
        <w:tc>
          <w:tcPr>
            <w:tcW w:w="29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8"/>
              </w:rPr>
            </w:pPr>
            <w:hyperlink w:anchor="page3">
              <w:r>
                <w:rPr>
                  <w:rFonts w:ascii="Times New Roman" w:cs="Times New Roman" w:eastAsia="Times New Roman" w:hAnsi="Times New Roman"/>
                  <w:sz w:val="18"/>
                  <w:szCs w:val="18"/>
                  <w:color w:val="0000EE"/>
                  <w:w w:val="98"/>
                </w:rPr>
                <w:t>PART I. FINANCIAL INFORMATION</w:t>
              </w:r>
            </w:hyperlink>
          </w:p>
        </w:tc>
        <w:tc>
          <w:tcPr>
            <w:tcW w:w="7700" w:type="dxa"/>
            <w:vAlign w:val="bottom"/>
            <w:gridSpan w:val="11"/>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18"/>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w:t>
            </w:r>
          </w:p>
        </w:tc>
        <w:tc>
          <w:tcPr>
            <w:tcW w:w="9540" w:type="dxa"/>
            <w:vAlign w:val="bottom"/>
            <w:gridSpan w:val="20"/>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Financial Statements (Unaudited)</w:t>
              </w:r>
            </w:hyperlink>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18"/>
        </w:trPr>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9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Unaudited Condensed Consolidated Balance Sheets as of April 1, 2017 and December 31, 2016</w:t>
              </w:r>
            </w:hyperlink>
          </w:p>
        </w:tc>
        <w:tc>
          <w:tcPr>
            <w:tcW w:w="2640" w:type="dxa"/>
            <w:vAlign w:val="bottom"/>
            <w:gridSpan w:val="4"/>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18"/>
        </w:trPr>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540" w:type="dxa"/>
            <w:vAlign w:val="bottom"/>
            <w:gridSpan w:val="20"/>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Unaudited Condensed Consolidated Statements of Operations for the three months ended April 1, 2017 and April 2, 2016</w:t>
              </w:r>
            </w:hyperlink>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18"/>
        </w:trPr>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540" w:type="dxa"/>
            <w:vAlign w:val="bottom"/>
            <w:gridSpan w:val="20"/>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Unaudited Condensed Consolidated Statements of Comprehensive Income for the three months ended April 1, 2017 and April 2,</w:t>
              </w:r>
            </w:hyperlink>
          </w:p>
        </w:tc>
        <w:tc>
          <w:tcPr>
            <w:tcW w:w="820" w:type="dxa"/>
            <w:vAlign w:val="bottom"/>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jc w:val="right"/>
              <w:spacing w:after="0" w:line="196" w:lineRule="exact"/>
              <w:rPr>
                <w:rFonts w:ascii="Times New Roman" w:cs="Times New Roman" w:eastAsia="Times New Roman" w:hAnsi="Times New Roman"/>
                <w:sz w:val="18"/>
                <w:szCs w:val="18"/>
                <w:color w:val="0000EE"/>
                <w:w w:val="94"/>
              </w:rPr>
            </w:pPr>
            <w:hyperlink w:anchor="page5">
              <w:r>
                <w:rPr>
                  <w:rFonts w:ascii="Times New Roman" w:cs="Times New Roman" w:eastAsia="Times New Roman" w:hAnsi="Times New Roman"/>
                  <w:sz w:val="18"/>
                  <w:szCs w:val="18"/>
                  <w:color w:val="0000EE"/>
                  <w:w w:val="94"/>
                </w:rPr>
                <w:t>2016</w:t>
              </w:r>
            </w:hyperlink>
          </w:p>
        </w:tc>
        <w:tc>
          <w:tcPr>
            <w:tcW w:w="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318"/>
        </w:trPr>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Unaudited Condensed Consolidated Statements of Cash Flows for the three months ended April 1, 2017 and April 2, 2016</w:t>
              </w:r>
            </w:hyperlink>
          </w:p>
        </w:tc>
        <w:tc>
          <w:tcPr>
            <w:tcW w:w="720" w:type="dxa"/>
            <w:vAlign w:val="bottom"/>
            <w:gridSpan w:val="2"/>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18"/>
        </w:trPr>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Notes to Unaudited Condensed Consolidated Financial Statements</w:t>
              </w:r>
            </w:hyperlink>
          </w:p>
        </w:tc>
        <w:tc>
          <w:tcPr>
            <w:tcW w:w="4740" w:type="dxa"/>
            <w:vAlign w:val="bottom"/>
            <w:gridSpan w:val="6"/>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18"/>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9540" w:type="dxa"/>
            <w:vAlign w:val="bottom"/>
            <w:gridSpan w:val="20"/>
          </w:tcPr>
          <w:p>
            <w:pPr>
              <w:spacing w:after="0"/>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Management’s Discussion and Analysis of Financial Condition and Results of Operations</w:t>
              </w:r>
            </w:hyperlink>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18"/>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4320" w:type="dxa"/>
            <w:vAlign w:val="bottom"/>
            <w:tcBorders>
              <w:top w:val="single" w:sz="8" w:color="0000EE"/>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21">
              <w:r>
                <w:rPr>
                  <w:rFonts w:ascii="Times New Roman" w:cs="Times New Roman" w:eastAsia="Times New Roman" w:hAnsi="Times New Roman"/>
                  <w:sz w:val="18"/>
                  <w:szCs w:val="18"/>
                  <w:color w:val="0000EE"/>
                  <w:w w:val="99"/>
                </w:rPr>
                <w:t>Quantitative and Qualitative Disclosures about Market Risk</w:t>
              </w:r>
            </w:hyperlink>
          </w:p>
        </w:tc>
        <w:tc>
          <w:tcPr>
            <w:tcW w:w="2140" w:type="dxa"/>
            <w:vAlign w:val="bottom"/>
            <w:tcBorders>
              <w:top w:val="single" w:sz="8" w:color="0000EE"/>
            </w:tcBorders>
            <w:gridSpan w:val="3"/>
          </w:tcPr>
          <w:p>
            <w:pPr>
              <w:spacing w:after="0"/>
              <w:rPr>
                <w:sz w:val="24"/>
                <w:szCs w:val="24"/>
                <w:color w:val="auto"/>
              </w:rPr>
            </w:pPr>
          </w:p>
        </w:tc>
        <w:tc>
          <w:tcPr>
            <w:tcW w:w="3080" w:type="dxa"/>
            <w:vAlign w:val="bottom"/>
            <w:gridSpan w:val="5"/>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18"/>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22">
              <w:r>
                <w:rPr>
                  <w:rFonts w:ascii="Times New Roman" w:cs="Times New Roman" w:eastAsia="Times New Roman" w:hAnsi="Times New Roman"/>
                  <w:sz w:val="18"/>
                  <w:szCs w:val="18"/>
                  <w:color w:val="0000EE"/>
                  <w:w w:val="99"/>
                </w:rPr>
                <w:t>Controls and Procedures</w:t>
              </w:r>
            </w:hyperlink>
          </w:p>
        </w:tc>
        <w:tc>
          <w:tcPr>
            <w:tcW w:w="7760" w:type="dxa"/>
            <w:vAlign w:val="bottom"/>
            <w:gridSpan w:val="12"/>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99"/>
        </w:trPr>
        <w:tc>
          <w:tcPr>
            <w:tcW w:w="10600" w:type="dxa"/>
            <w:vAlign w:val="bottom"/>
            <w:gridSpan w:val="23"/>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PART II. OTHER INFORMATION</w:t>
              </w:r>
            </w:hyperlink>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18"/>
        </w:trPr>
        <w:tc>
          <w:tcPr>
            <w:tcW w:w="106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8"/>
              </w:rPr>
            </w:pPr>
            <w:hyperlink w:anchor="page22">
              <w:r>
                <w:rPr>
                  <w:rFonts w:ascii="Times New Roman" w:cs="Times New Roman" w:eastAsia="Times New Roman" w:hAnsi="Times New Roman"/>
                  <w:sz w:val="18"/>
                  <w:szCs w:val="18"/>
                  <w:color w:val="0000EE"/>
                  <w:w w:val="98"/>
                </w:rPr>
                <w:t>Legal Proceedings</w:t>
              </w:r>
            </w:hyperlink>
          </w:p>
        </w:tc>
        <w:tc>
          <w:tcPr>
            <w:tcW w:w="180" w:type="dxa"/>
            <w:vAlign w:val="bottom"/>
            <w:tcBorders>
              <w:top w:val="single" w:sz="8" w:color="0000EE"/>
            </w:tcBorders>
          </w:tcPr>
          <w:p>
            <w:pPr>
              <w:spacing w:after="0"/>
              <w:rPr>
                <w:sz w:val="24"/>
                <w:szCs w:val="24"/>
                <w:color w:val="auto"/>
              </w:rPr>
            </w:pPr>
          </w:p>
        </w:tc>
        <w:tc>
          <w:tcPr>
            <w:tcW w:w="8020" w:type="dxa"/>
            <w:vAlign w:val="bottom"/>
            <w:gridSpan w:val="13"/>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18"/>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9540" w:type="dxa"/>
            <w:vAlign w:val="bottom"/>
            <w:gridSpan w:val="20"/>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Risk Factors</w:t>
              </w:r>
            </w:hyperlink>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18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18"/>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37">
              <w:r>
                <w:rPr>
                  <w:rFonts w:ascii="Times New Roman" w:cs="Times New Roman" w:eastAsia="Times New Roman" w:hAnsi="Times New Roman"/>
                  <w:sz w:val="18"/>
                  <w:szCs w:val="18"/>
                  <w:color w:val="0000EE"/>
                  <w:w w:val="99"/>
                </w:rPr>
                <w:t>Unregistered Sales of Equity Securities and Use of Proceeds</w:t>
              </w:r>
            </w:hyperlink>
          </w:p>
        </w:tc>
        <w:tc>
          <w:tcPr>
            <w:tcW w:w="5180" w:type="dxa"/>
            <w:vAlign w:val="bottom"/>
            <w:gridSpan w:val="7"/>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18"/>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9540" w:type="dxa"/>
            <w:vAlign w:val="bottom"/>
            <w:gridSpan w:val="20"/>
          </w:tcPr>
          <w:p>
            <w:pPr>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Defaults Upon Senior Securities</w:t>
              </w:r>
            </w:hyperlink>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18"/>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37">
              <w:r>
                <w:rPr>
                  <w:rFonts w:ascii="Times New Roman" w:cs="Times New Roman" w:eastAsia="Times New Roman" w:hAnsi="Times New Roman"/>
                  <w:sz w:val="18"/>
                  <w:szCs w:val="18"/>
                  <w:color w:val="0000EE"/>
                  <w:w w:val="99"/>
                </w:rPr>
                <w:t>Mine Safety Disclosures</w:t>
              </w:r>
            </w:hyperlink>
          </w:p>
        </w:tc>
        <w:tc>
          <w:tcPr>
            <w:tcW w:w="540" w:type="dxa"/>
            <w:vAlign w:val="bottom"/>
            <w:tcBorders>
              <w:top w:val="single" w:sz="8" w:color="0000EE"/>
            </w:tcBorders>
            <w:gridSpan w:val="2"/>
          </w:tcPr>
          <w:p>
            <w:pPr>
              <w:spacing w:after="0"/>
              <w:rPr>
                <w:sz w:val="24"/>
                <w:szCs w:val="24"/>
                <w:color w:val="auto"/>
              </w:rPr>
            </w:pPr>
          </w:p>
        </w:tc>
        <w:tc>
          <w:tcPr>
            <w:tcW w:w="7220" w:type="dxa"/>
            <w:vAlign w:val="bottom"/>
            <w:gridSpan w:val="10"/>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18"/>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8"/>
              </w:rPr>
            </w:pPr>
            <w:hyperlink w:anchor="page37">
              <w:r>
                <w:rPr>
                  <w:rFonts w:ascii="Times New Roman" w:cs="Times New Roman" w:eastAsia="Times New Roman" w:hAnsi="Times New Roman"/>
                  <w:sz w:val="18"/>
                  <w:szCs w:val="18"/>
                  <w:color w:val="0000EE"/>
                  <w:w w:val="98"/>
                </w:rPr>
                <w:t>Other Information</w:t>
              </w:r>
            </w:hyperlink>
          </w:p>
        </w:tc>
        <w:tc>
          <w:tcPr>
            <w:tcW w:w="8220" w:type="dxa"/>
            <w:vAlign w:val="bottom"/>
            <w:gridSpan w:val="15"/>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18"/>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6.</w:t>
            </w:r>
          </w:p>
        </w:tc>
        <w:tc>
          <w:tcPr>
            <w:tcW w:w="9540" w:type="dxa"/>
            <w:vAlign w:val="bottom"/>
            <w:gridSpan w:val="20"/>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Exhibits</w:t>
              </w:r>
            </w:hyperlink>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18"/>
        </w:trPr>
        <w:tc>
          <w:tcPr>
            <w:tcW w:w="700" w:type="dxa"/>
            <w:vAlign w:val="bottom"/>
            <w:tcBorders>
              <w:bottom w:val="single" w:sz="8" w:color="0000EE"/>
            </w:tcBorders>
          </w:tcPr>
          <w:p>
            <w:pPr>
              <w:spacing w:after="0"/>
              <w:rPr>
                <w:rFonts w:ascii="Times New Roman" w:cs="Times New Roman" w:eastAsia="Times New Roman" w:hAnsi="Times New Roman"/>
                <w:sz w:val="18"/>
                <w:szCs w:val="18"/>
                <w:color w:val="0000EE"/>
                <w:w w:val="98"/>
              </w:rPr>
            </w:pPr>
            <w:hyperlink w:anchor="page39">
              <w:r>
                <w:rPr>
                  <w:rFonts w:ascii="Times New Roman" w:cs="Times New Roman" w:eastAsia="Times New Roman" w:hAnsi="Times New Roman"/>
                  <w:sz w:val="18"/>
                  <w:szCs w:val="18"/>
                  <w:color w:val="0000EE"/>
                  <w:w w:val="98"/>
                </w:rPr>
                <w:t>Signature</w:t>
              </w:r>
            </w:hyperlink>
          </w:p>
        </w:tc>
        <w:tc>
          <w:tcPr>
            <w:tcW w:w="360" w:type="dxa"/>
            <w:vAlign w:val="bottom"/>
            <w:gridSpan w:val="2"/>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18"/>
        </w:trPr>
        <w:tc>
          <w:tcPr>
            <w:tcW w:w="100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Exhibit Index</w:t>
              </w:r>
            </w:hyperlink>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IRIDEX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data)</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80" w:type="dxa"/>
            <w:vAlign w:val="bottom"/>
            <w:vMerge w:val="restart"/>
          </w:tcPr>
          <w:p>
            <w:pPr>
              <w:ind w:left="32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April 1, 2017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0" w:type="dxa"/>
            <w:vAlign w:val="bottom"/>
          </w:tcPr>
          <w:p>
            <w:pPr>
              <w:spacing w:after="0"/>
              <w:rPr>
                <w:sz w:val="1"/>
                <w:szCs w:val="1"/>
                <w:color w:val="auto"/>
              </w:rPr>
            </w:pPr>
          </w:p>
        </w:tc>
      </w:tr>
      <w:tr>
        <w:trPr>
          <w:trHeight w:val="223"/>
        </w:trPr>
        <w:tc>
          <w:tcPr>
            <w:tcW w:w="70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23,858</w:t>
            </w:r>
          </w:p>
        </w:tc>
        <w:tc>
          <w:tcPr>
            <w:tcW w:w="180" w:type="dxa"/>
            <w:vAlign w:val="bottom"/>
          </w:tcPr>
          <w:p>
            <w:pPr>
              <w:spacing w:after="0"/>
              <w:rPr>
                <w:sz w:val="19"/>
                <w:szCs w:val="19"/>
                <w:color w:val="auto"/>
              </w:rPr>
            </w:pP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$240 as of April 1, 2017 and $230 as of December 31, 2016</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8,866</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45,020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47,428</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48,144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ind w:left="16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180" w:type="dxa"/>
            <w:vAlign w:val="bottom"/>
          </w:tcPr>
          <w:p>
            <w:pPr>
              <w:spacing w:after="0"/>
              <w:rPr>
                <w:sz w:val="19"/>
                <w:szCs w:val="19"/>
                <w:color w:val="auto"/>
              </w:rPr>
            </w:pP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compensation</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warranty</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$0.01 par value, 2,000,000 shares authorized, no shares issued and outstanding</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Authorized: 30,000,000 shares;</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Issued and outstanding 11,542,653 and 11,304,736 shares</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as of April 1, 2017 and December 31, 2016, respectively</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57,706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(17,988)</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(16,122)</w:t>
            </w:r>
          </w:p>
        </w:tc>
        <w:tc>
          <w:tcPr>
            <w:tcW w:w="0" w:type="dxa"/>
            <w:vAlign w:val="bottom"/>
          </w:tcPr>
          <w:p>
            <w:pPr>
              <w:spacing w:after="0"/>
              <w:rPr>
                <w:sz w:val="1"/>
                <w:szCs w:val="1"/>
                <w:color w:val="auto"/>
              </w:rPr>
            </w:pPr>
          </w:p>
        </w:tc>
      </w:tr>
      <w:tr>
        <w:trPr>
          <w:trHeight w:val="223"/>
        </w:trPr>
        <w:tc>
          <w:tcPr>
            <w:tcW w:w="70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39,844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39,160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47,428</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48,144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520" w:right="620" w:hanging="512"/>
        <w:spacing w:after="0" w:line="28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from the audited consolidated financial statements included in the Annual Report on Form 10-K filed with the SEC for the year ended December 31, 2016.</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IRIDEX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data)</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April 1, 2017</w:t>
            </w: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8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April 2, 2016</w:t>
            </w:r>
          </w:p>
        </w:tc>
        <w:tc>
          <w:tcPr>
            <w:tcW w:w="0" w:type="dxa"/>
            <w:vAlign w:val="bottom"/>
          </w:tcPr>
          <w:p>
            <w:pPr>
              <w:spacing w:after="0"/>
              <w:rPr>
                <w:sz w:val="1"/>
                <w:szCs w:val="1"/>
                <w:color w:val="auto"/>
              </w:rPr>
            </w:pPr>
          </w:p>
        </w:tc>
      </w:tr>
      <w:tr>
        <w:trPr>
          <w:trHeight w:val="145"/>
        </w:trPr>
        <w:tc>
          <w:tcPr>
            <w:tcW w:w="3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46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3800" w:type="dxa"/>
            <w:vAlign w:val="bottom"/>
            <w:vMerge w:val="continue"/>
          </w:tcPr>
          <w:p>
            <w:pPr>
              <w:spacing w:after="0"/>
              <w:rPr>
                <w:sz w:val="19"/>
                <w:szCs w:val="19"/>
                <w:color w:val="auto"/>
              </w:rPr>
            </w:pPr>
          </w:p>
        </w:tc>
        <w:tc>
          <w:tcPr>
            <w:tcW w:w="3460" w:type="dxa"/>
            <w:vAlign w:val="bottom"/>
          </w:tcPr>
          <w:p>
            <w:pPr>
              <w:spacing w:after="0"/>
              <w:rPr>
                <w:sz w:val="19"/>
                <w:szCs w:val="19"/>
                <w:color w:val="auto"/>
              </w:rPr>
            </w:pPr>
          </w:p>
        </w:tc>
        <w:tc>
          <w:tcPr>
            <w:tcW w:w="1320" w:type="dxa"/>
            <w:vAlign w:val="bottom"/>
            <w:tcBorders>
              <w:top w:val="single" w:sz="8" w:color="auto"/>
            </w:tcBorders>
          </w:tcPr>
          <w:p>
            <w:pPr>
              <w:jc w:val="right"/>
              <w:ind w:right="113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tcBorders>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3460" w:type="dxa"/>
            <w:vAlign w:val="bottom"/>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6,018</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460" w:type="dxa"/>
            <w:vAlign w:val="bottom"/>
            <w:tcBorders>
              <w:bottom w:val="single" w:sz="8" w:color="CFF0FC"/>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4,465</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4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Sales and marketing</w:t>
            </w:r>
          </w:p>
        </w:tc>
        <w:tc>
          <w:tcPr>
            <w:tcW w:w="34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60" w:type="dxa"/>
            <w:vAlign w:val="bottom"/>
            <w:tcBorders>
              <w:bottom w:val="single" w:sz="8" w:color="CFF0FC"/>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60" w:type="dxa"/>
            <w:vAlign w:val="bottom"/>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6,323</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34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(1,858)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34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(Loss) income from operations before provision for</w:t>
            </w:r>
          </w:p>
        </w:tc>
        <w:tc>
          <w:tcPr>
            <w:tcW w:w="3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income taxes</w:t>
            </w:r>
          </w:p>
        </w:tc>
        <w:tc>
          <w:tcPr>
            <w:tcW w:w="13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(1,860)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60" w:type="dxa"/>
            <w:vAlign w:val="bottom"/>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8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3460" w:type="dxa"/>
            <w:vAlign w:val="bottom"/>
            <w:tcBorders>
              <w:bottom w:val="single" w:sz="8" w:color="CFF0FC"/>
            </w:tcBorders>
          </w:tcPr>
          <w:p>
            <w:pPr>
              <w:spacing w:after="0"/>
              <w:rPr>
                <w:sz w:val="22"/>
                <w:szCs w:val="22"/>
                <w:color w:val="auto"/>
              </w:rPr>
            </w:pPr>
          </w:p>
        </w:tc>
        <w:tc>
          <w:tcPr>
            <w:tcW w:w="1320" w:type="dxa"/>
            <w:vAlign w:val="bottom"/>
            <w:tcBorders>
              <w:bottom w:val="single" w:sz="8" w:color="auto"/>
            </w:tcBorders>
          </w:tcPr>
          <w:p>
            <w:pPr>
              <w:jc w:val="right"/>
              <w:ind w:right="113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(1,866)</w:t>
            </w:r>
          </w:p>
        </w:tc>
        <w:tc>
          <w:tcPr>
            <w:tcW w:w="18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5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 per share:</w:t>
            </w:r>
          </w:p>
        </w:tc>
        <w:tc>
          <w:tcPr>
            <w:tcW w:w="34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3460" w:type="dxa"/>
            <w:vAlign w:val="bottom"/>
          </w:tcPr>
          <w:p>
            <w:pPr>
              <w:spacing w:after="0"/>
              <w:rPr>
                <w:sz w:val="23"/>
                <w:szCs w:val="23"/>
                <w:color w:val="auto"/>
              </w:rPr>
            </w:pPr>
          </w:p>
        </w:tc>
        <w:tc>
          <w:tcPr>
            <w:tcW w:w="1320" w:type="dxa"/>
            <w:vAlign w:val="bottom"/>
          </w:tcPr>
          <w:p>
            <w:pPr>
              <w:jc w:val="right"/>
              <w:ind w:right="1134"/>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(0.16)</w:t>
            </w:r>
          </w:p>
        </w:tc>
        <w:tc>
          <w:tcPr>
            <w:tcW w:w="640" w:type="dxa"/>
            <w:vAlign w:val="bottom"/>
            <w:gridSpan w:val="2"/>
          </w:tcPr>
          <w:p>
            <w:pPr>
              <w:jc w:val="right"/>
              <w:ind w:right="33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8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3460" w:type="dxa"/>
            <w:vAlign w:val="bottom"/>
            <w:tcBorders>
              <w:top w:val="single" w:sz="8" w:color="CFF0FC"/>
              <w:bottom w:val="single" w:sz="8" w:color="CFF0FC"/>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ind w:right="113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500" w:type="dxa"/>
            <w:vAlign w:val="bottom"/>
            <w:tcBorders>
              <w:top w:val="single" w:sz="8" w:color="auto"/>
              <w:bottom w:val="single" w:sz="8" w:color="auto"/>
            </w:tcBorders>
            <w:shd w:val="clear" w:color="auto" w:fill="CFF0FC"/>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shares used in computing net (loss) income per common share:</w:t>
            </w:r>
          </w:p>
        </w:tc>
        <w:tc>
          <w:tcPr>
            <w:tcW w:w="13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346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11,518</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34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vMerge w:val="continue"/>
          </w:tcPr>
          <w:p>
            <w:pPr>
              <w:spacing w:after="0"/>
              <w:rPr>
                <w:sz w:val="18"/>
                <w:szCs w:val="18"/>
                <w:color w:val="auto"/>
              </w:rPr>
            </w:pPr>
          </w:p>
        </w:tc>
        <w:tc>
          <w:tcPr>
            <w:tcW w:w="346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IRIDEX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72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April 1, 2017</w:t>
            </w:r>
          </w:p>
        </w:tc>
        <w:tc>
          <w:tcPr>
            <w:tcW w:w="16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April 2, 2016</w:t>
            </w:r>
          </w:p>
        </w:tc>
        <w:tc>
          <w:tcPr>
            <w:tcW w:w="0" w:type="dxa"/>
            <w:vAlign w:val="bottom"/>
          </w:tcPr>
          <w:p>
            <w:pPr>
              <w:spacing w:after="0"/>
              <w:rPr>
                <w:sz w:val="1"/>
                <w:szCs w:val="1"/>
                <w:color w:val="auto"/>
              </w:rPr>
            </w:pPr>
          </w:p>
        </w:tc>
      </w:tr>
      <w:tr>
        <w:trPr>
          <w:trHeight w:val="145"/>
        </w:trPr>
        <w:tc>
          <w:tcPr>
            <w:tcW w:w="4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78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440" w:type="dxa"/>
            <w:vAlign w:val="bottom"/>
            <w:vMerge w:val="continue"/>
          </w:tcPr>
          <w:p>
            <w:pPr>
              <w:spacing w:after="0"/>
              <w:rPr>
                <w:sz w:val="19"/>
                <w:szCs w:val="19"/>
                <w:color w:val="auto"/>
              </w:rPr>
            </w:pPr>
          </w:p>
        </w:tc>
        <w:tc>
          <w:tcPr>
            <w:tcW w:w="1780" w:type="dxa"/>
            <w:vAlign w:val="bottom"/>
          </w:tcPr>
          <w:p>
            <w:pPr>
              <w:spacing w:after="0"/>
              <w:rPr>
                <w:sz w:val="19"/>
                <w:szCs w:val="19"/>
                <w:color w:val="auto"/>
              </w:rPr>
            </w:pPr>
          </w:p>
        </w:tc>
        <w:tc>
          <w:tcPr>
            <w:tcW w:w="1720" w:type="dxa"/>
            <w:vAlign w:val="bottom"/>
            <w:tcBorders>
              <w:top w:val="single" w:sz="8" w:color="auto"/>
            </w:tcBorders>
          </w:tcPr>
          <w:p>
            <w:pPr>
              <w:jc w:val="right"/>
              <w:ind w:right="153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360" w:type="dxa"/>
            <w:vAlign w:val="bottom"/>
          </w:tcPr>
          <w:p>
            <w:pPr>
              <w:spacing w:after="0"/>
              <w:rPr>
                <w:sz w:val="19"/>
                <w:szCs w:val="19"/>
                <w:color w:val="auto"/>
              </w:rPr>
            </w:pPr>
          </w:p>
        </w:tc>
        <w:tc>
          <w:tcPr>
            <w:tcW w:w="62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78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 income</w:t>
            </w:r>
          </w:p>
        </w:tc>
        <w:tc>
          <w:tcPr>
            <w:tcW w:w="1780" w:type="dxa"/>
            <w:vAlign w:val="bottom"/>
          </w:tcPr>
          <w:p>
            <w:pPr>
              <w:spacing w:after="0"/>
              <w:rPr>
                <w:sz w:val="19"/>
                <w:szCs w:val="19"/>
                <w:color w:val="auto"/>
              </w:rPr>
            </w:pPr>
          </w:p>
        </w:tc>
        <w:tc>
          <w:tcPr>
            <w:tcW w:w="1720" w:type="dxa"/>
            <w:vAlign w:val="bottom"/>
            <w:tcBorders>
              <w:top w:val="single" w:sz="8" w:color="auto"/>
              <w:bottom w:val="single" w:sz="8" w:color="auto"/>
            </w:tcBorders>
          </w:tcPr>
          <w:p>
            <w:pPr>
              <w:jc w:val="right"/>
              <w:ind w:right="153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3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IRIDEX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April 1, 2017</w:t>
            </w: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2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April 2, 2016</w:t>
            </w:r>
          </w:p>
        </w:tc>
        <w:tc>
          <w:tcPr>
            <w:tcW w:w="0" w:type="dxa"/>
            <w:vAlign w:val="bottom"/>
          </w:tcPr>
          <w:p>
            <w:pPr>
              <w:spacing w:after="0"/>
              <w:rPr>
                <w:sz w:val="1"/>
                <w:szCs w:val="1"/>
                <w:color w:val="auto"/>
              </w:rPr>
            </w:pPr>
          </w:p>
        </w:tc>
      </w:tr>
      <w:tr>
        <w:trPr>
          <w:trHeight w:val="145"/>
        </w:trPr>
        <w:tc>
          <w:tcPr>
            <w:tcW w:w="6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0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69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580" w:type="dxa"/>
            <w:vAlign w:val="bottom"/>
            <w:gridSpan w:val="2"/>
            <w:shd w:val="clear" w:color="auto" w:fill="CFF0FC"/>
          </w:tcPr>
          <w:p>
            <w:pPr>
              <w:jc w:val="right"/>
              <w:ind w:right="122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(1,866)</w:t>
            </w:r>
          </w:p>
        </w:tc>
        <w:tc>
          <w:tcPr>
            <w:tcW w:w="660" w:type="dxa"/>
            <w:vAlign w:val="bottom"/>
            <w:gridSpan w:val="2"/>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 provided by operating</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activities:</w:t>
            </w: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earn-out liability</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69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6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0"/>
        </w:trPr>
        <w:tc>
          <w:tcPr>
            <w:tcW w:w="69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Other long-term assets</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Accrued compensation</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(777)</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30"/>
        </w:trPr>
        <w:tc>
          <w:tcPr>
            <w:tcW w:w="6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(541)</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0"/>
        </w:trPr>
        <w:tc>
          <w:tcPr>
            <w:tcW w:w="69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Accrued warranty</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9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00" w:type="dxa"/>
            <w:vAlign w:val="bottom"/>
            <w:tcBorders>
              <w:bottom w:val="single" w:sz="8" w:color="CFF0FC"/>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(1,622)</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(341)</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30"/>
        </w:trPr>
        <w:tc>
          <w:tcPr>
            <w:tcW w:w="69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Payment on earn-out liability</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3"/>
        </w:trPr>
        <w:tc>
          <w:tcPr>
            <w:tcW w:w="69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Borders>
              <w:bottom w:val="single" w:sz="8" w:color="CFF0FC"/>
            </w:tcBorders>
          </w:tcPr>
          <w:p>
            <w:pPr>
              <w:spacing w:after="0"/>
              <w:rPr>
                <w:sz w:val="19"/>
                <w:szCs w:val="19"/>
                <w:color w:val="auto"/>
              </w:rPr>
            </w:pPr>
          </w:p>
        </w:tc>
        <w:tc>
          <w:tcPr>
            <w:tcW w:w="13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Proceeds from issuance of common stock, net of issuance costs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9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Taxes paid related to net share settlements of equity awards</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(268)</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69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3"/>
        </w:trPr>
        <w:tc>
          <w:tcPr>
            <w:tcW w:w="69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0" w:type="dxa"/>
            <w:vAlign w:val="bottom"/>
            <w:tcBorders>
              <w:bottom w:val="single" w:sz="8" w:color="CFF0FC"/>
            </w:tcBorders>
          </w:tcPr>
          <w:p>
            <w:pPr>
              <w:spacing w:after="0"/>
              <w:rPr>
                <w:sz w:val="19"/>
                <w:szCs w:val="19"/>
                <w:color w:val="auto"/>
              </w:rPr>
            </w:pPr>
          </w:p>
        </w:tc>
        <w:tc>
          <w:tcPr>
            <w:tcW w:w="13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00" w:type="dxa"/>
            <w:vAlign w:val="bottom"/>
            <w:tcBorders>
              <w:bottom w:val="single" w:sz="8" w:color="CFF0FC"/>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23,747</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0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122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23,858</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Income taxes</w:t>
            </w:r>
          </w:p>
        </w:tc>
        <w:tc>
          <w:tcPr>
            <w:tcW w:w="1580" w:type="dxa"/>
            <w:vAlign w:val="bottom"/>
            <w:gridSpan w:val="2"/>
          </w:tcPr>
          <w:p>
            <w:pPr>
              <w:jc w:val="right"/>
              <w:ind w:right="122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66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IRIDEX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21"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IRIDEX Corporation (“IRIDEX”, the “Company”, “we”, “our”, or “us”) have been prepared in accordance with accounting principles generally accepted in the United States (“U.S. GAAP”) for interim financial information and pursuant to the instructions to Form 10-Q and Article 10-01 of Regulation S-X. Accordingly, they do not include all of the information and footnotes required by U.S. GAAP for complete financial statements. In the opinion of management, all adjustments, consisting of normal recurring adjustments, considered necessary for a fair presentation of the financial statements have been included.</w:t>
      </w:r>
    </w:p>
    <w:p>
      <w:pPr>
        <w:spacing w:after="0" w:line="184"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should be read in conjunction with the audited consolidated financial statements and notes thereto, together with management’s discussion and analysis of the Company’s financial condition and results of operations, contained in our Annual Report on Form 10-K for the fiscal year ended December 31, 2016, which was filed with the Securities and Exchange Commission (“SEC”) on March 15, 2017. The results of operations for the three months ended April 1, 2017 and April 2, 2016 are not necessarily indicative of the results for the fiscal year ending December 30, 2017 or any future interim period. The three months periods ended April 1, 2017 and April 2, 2016, each had 13 weeks. For purposes of reporting the financial results, the Company’s fiscal years end on the Saturday closest to the end of December. Periodically, the Company includes a 53rd week to a year in order to end that year on the Saturday closest to the end of December.</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21"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The Company’s significant accounting policies are disclosed in our Annual Report on Form 10-K for the year ended December 31, 2016, which was filed with the SEC on March 15, 2017.</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Statement Presentation.</w:t>
      </w:r>
    </w:p>
    <w:p>
      <w:pPr>
        <w:spacing w:after="0" w:line="119" w:lineRule="exact"/>
        <w:rPr>
          <w:sz w:val="20"/>
          <w:szCs w:val="20"/>
          <w:color w:val="auto"/>
        </w:rPr>
      </w:pPr>
    </w:p>
    <w:p>
      <w:pPr>
        <w:ind w:right="220" w:firstLine="518"/>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the Company and our wholly owned subsidiaries. All significant intercompany accounts and transactions have been eliminated in consolidation.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The preparation of unaudited condensed consolidated financial statements in conformity with U.S. GAAP requires us to make estimates and judgments that affect the reported amounts of assets, liabilities, revenues, and expenses and the related disclosure of contingent assets and liabilities.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In addition, any change in these estimates or their related assumptions could have an adverse effect on our operating results.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 xml:space="preserve">Our revenues arise from the sale of laser consoles, delivery devices, consumables and service and support activities. Revenue from product sales is recognized upon receipt of a purchase order and product shipment provided that no significant obligations remain and collectibility is reasonably assured. Shipments are generally made with Free-On-Board (“FOB”) shipping point terms, whereby title passes upon shipment from our dock. Any shipments with FOB receiving point terms are recorded as revenue when the shipment arrives at the receiving point. Cost is recognized as product sales revenue is recognized. The Company’s sales may include post-sales obligations for training or other deliverables. For revenue arrangements such as these, we recognize revenue in accordance with Accounting Standards Codification (“ASC”) 605, </w:t>
      </w:r>
      <w:r>
        <w:rPr>
          <w:rFonts w:ascii="Times New Roman" w:cs="Times New Roman" w:eastAsia="Times New Roman" w:hAnsi="Times New Roman"/>
          <w:sz w:val="18"/>
          <w:szCs w:val="18"/>
          <w:i w:val="1"/>
          <w:iCs w:val="1"/>
          <w:color w:val="auto"/>
        </w:rPr>
        <w:t>“Revenue Recognition, Multiple-Element Arrangements”</w:t>
      </w:r>
      <w:r>
        <w:rPr>
          <w:rFonts w:ascii="Times New Roman" w:cs="Times New Roman" w:eastAsia="Times New Roman" w:hAnsi="Times New Roman"/>
          <w:sz w:val="18"/>
          <w:szCs w:val="18"/>
          <w:color w:val="auto"/>
        </w:rPr>
        <w:t>. The Company allocates revenue among deliverables in multiple-element arrangements using the relative selling price method. Revenue allocated to each element is recognized when the basic revenue recognition criteria is met for each element. The Company is required to apply a hierarchy to determine the selling price to be used for allocating revenue to deliverables: (i) vendor-specific objective evidence of selling price (“VSOE”), (ii) third-party evidence of selling price (“TPE”) and (iii) best estimate of the selling price (“ESP”). In general, the Company is unable to establish VSOE or TPE for all of the elements in the arrangement; therefore, revenue is allocated to these elements based on the Company’s ESP, which the Company determines after considering multiple factors such as management approved pricing guidelines, geographic differences, market conditions, competitor pricing strategies, internal costs and gross margin objectives. These factors may vary over time depending upon the unique facts and circumstances related to each deliverable. As a result, the Company’s ESP for products and services could change. Revenues for post-sales obligations are recognized as the obligations are fulfilled.</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7" w:name="page8"/>
    <w:bookmarkEnd w:id="7"/>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In international regions, we utilize distributors to market and sell our products. We recognize revenue upon shipment for sales to these independent, third-party distributors as we have no continuing obligations subsequent to shipment. Generally our distributors are responsible for all marketing, sales, installation, training and warranty labor coverage for our products. Our standard terms and conditions do not provide price protection or stock retention rights to any of our distributors.</w:t>
      </w:r>
    </w:p>
    <w:p>
      <w:pPr>
        <w:spacing w:after="0" w:line="180"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Royalty revenues are typically based on licensees’ net sales of products that utilize our technology and are recognized as earned in accordance with the contract terms when royalties from licensees can be reliably measured and collectibility is reasonably assured, such as upon the earlier of the receipt of a royalty statement from the licensee or upon payment by the licensee.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119" w:lineRule="exact"/>
        <w:rPr>
          <w:sz w:val="20"/>
          <w:szCs w:val="20"/>
          <w:color w:val="auto"/>
        </w:rPr>
      </w:pPr>
    </w:p>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Our cash and cash equivalents are deposited in demand and money market accounts. Deposits held with banks may exceed the amount of insurance provided on such deposits. Generally these deposits may be redeemed upon demand and therefore, bear minimal risk.</w:t>
      </w:r>
    </w:p>
    <w:p>
      <w:pPr>
        <w:spacing w:after="0" w:line="162"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We market our products to distributors and end-users throughout the world. Sales to international distributors are generally made on open credit terms and letters of credit. Management performs ongoing credit evaluations of our customers and maintains an allowance for potential credit losses. Historically, we have not experienced any significant losses related to individual customers or a group of customers in any particular geographic area. For the three months periods ended April 1, 2017 no single customer accounted for more than 10% of total revenues and for the three month periods ended April 2, 2016, one single customer accounted for 15% of total revenues. As of April 1, 2017 and December 31, 2016, no customer accounted for approximately 10% of our accounts receivable.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Taxes Collected from Customers and Remitted to Governmental Authorities.</w:t>
      </w:r>
    </w:p>
    <w:p>
      <w:pPr>
        <w:spacing w:after="0" w:line="119"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Taxes collected from customers and remitted to governmental authorities are recognized on a net basis in the accompanying condensed consolidated statements of operations.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Shipping and Handling Costs.</w:t>
      </w:r>
    </w:p>
    <w:p>
      <w:pPr>
        <w:spacing w:after="0" w:line="119"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Our shipping and handling costs billed to customers are included in revenues and the associated expense is recorded in cost of revenues for all periods presented.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Revenue related to extended service contracts is deferred and recognized on a straight line basis over the period of the applicable service contract.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associated with these service arrangements are recognized as incurred.</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changes in the Company’s deferred revenue balance for the three months ended April 1, 2017 and April 2, 2016 is as follows:</w:t>
      </w:r>
    </w:p>
    <w:p>
      <w:pPr>
        <w:spacing w:after="0" w:line="84"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April 1, 2017</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April 2, 2016</w:t>
            </w:r>
          </w:p>
        </w:tc>
      </w:tr>
      <w:tr>
        <w:trPr>
          <w:trHeight w:val="223"/>
        </w:trPr>
        <w:tc>
          <w:tcPr>
            <w:tcW w:w="20" w:type="dxa"/>
            <w:vAlign w:val="bottom"/>
          </w:tcPr>
          <w:p>
            <w:pPr>
              <w:spacing w:after="0"/>
              <w:rPr>
                <w:sz w:val="19"/>
                <w:szCs w:val="19"/>
                <w:color w:val="auto"/>
              </w:rPr>
            </w:pPr>
          </w:p>
        </w:tc>
        <w:tc>
          <w:tcPr>
            <w:tcW w:w="50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320" w:type="dxa"/>
            <w:vAlign w:val="bottom"/>
            <w:tcBorders>
              <w:top w:val="single" w:sz="8" w:color="auto"/>
            </w:tcBorders>
            <w:shd w:val="clear" w:color="auto" w:fill="CFF0FC"/>
          </w:tcPr>
          <w:p>
            <w:pPr>
              <w:jc w:val="right"/>
              <w:ind w:right="1159"/>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deferral</w:t>
            </w:r>
          </w:p>
        </w:tc>
        <w:tc>
          <w:tcPr>
            <w:tcW w:w="1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13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(302)</w:t>
            </w: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(336)</w:t>
            </w:r>
          </w:p>
        </w:tc>
      </w:tr>
      <w:tr>
        <w:trPr>
          <w:trHeight w:val="223"/>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320" w:type="dxa"/>
            <w:vAlign w:val="bottom"/>
            <w:tcBorders>
              <w:top w:val="single" w:sz="8" w:color="auto"/>
              <w:bottom w:val="single" w:sz="8" w:color="auto"/>
            </w:tcBorders>
          </w:tcPr>
          <w:p>
            <w:pPr>
              <w:jc w:val="right"/>
              <w:ind w:right="1159"/>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Warranty.</w:t>
      </w:r>
    </w:p>
    <w:p>
      <w:pPr>
        <w:spacing w:after="0" w:line="119"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In March 2017, the Company began offering a 5 year warranty on the laser heads for its IQ 532/577 laser consoles. The Company has previously provided a one to two year warranty on its products, which is accrued for upon shipment of products. Actual warranty costs incurred have not materially differed from those accrued. The Company’s warranty policy is applicable to products which are considered defective in their performance or fail to meet the product specifications. Warranty costs are reflected in the statement of operations as cost of revenues.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8" w:name="page9"/>
    <w:bookmarkEnd w:id="8"/>
    <w:p>
      <w:pPr>
        <w:ind w:left="520"/>
        <w:spacing w:after="0"/>
        <w:rPr>
          <w:sz w:val="20"/>
          <w:szCs w:val="20"/>
          <w:color w:val="auto"/>
        </w:rPr>
      </w:pPr>
      <w:r>
        <w:rPr>
          <w:rFonts w:ascii="Times New Roman" w:cs="Times New Roman" w:eastAsia="Times New Roman" w:hAnsi="Times New Roman"/>
          <w:sz w:val="18"/>
          <w:szCs w:val="18"/>
          <w:color w:val="auto"/>
        </w:rPr>
        <w:t>A reconciliation of the changes in the Company’s warranty liability for the three months ended April 1, 2017 and April 2, 2016 is as follows:</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April 1, 2017</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4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April 2, 2016</w:t>
            </w:r>
          </w:p>
        </w:tc>
      </w:tr>
      <w:tr>
        <w:trPr>
          <w:trHeight w:val="223"/>
        </w:trPr>
        <w:tc>
          <w:tcPr>
            <w:tcW w:w="20" w:type="dxa"/>
            <w:vAlign w:val="bottom"/>
          </w:tcPr>
          <w:p>
            <w:pPr>
              <w:spacing w:after="0"/>
              <w:rPr>
                <w:sz w:val="19"/>
                <w:szCs w:val="19"/>
                <w:color w:val="auto"/>
              </w:rPr>
            </w:pPr>
          </w:p>
        </w:tc>
        <w:tc>
          <w:tcPr>
            <w:tcW w:w="50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340" w:type="dxa"/>
            <w:vAlign w:val="bottom"/>
            <w:tcBorders>
              <w:top w:val="single" w:sz="8" w:color="auto"/>
            </w:tcBorders>
            <w:shd w:val="clear" w:color="auto" w:fill="CFF0FC"/>
          </w:tcPr>
          <w:p>
            <w:pPr>
              <w:jc w:val="right"/>
              <w:ind w:right="1179"/>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Accruals for product warranties</w:t>
            </w:r>
          </w:p>
        </w:tc>
        <w:tc>
          <w:tcPr>
            <w:tcW w:w="13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warranty claims</w:t>
            </w:r>
          </w:p>
        </w:tc>
        <w:tc>
          <w:tcPr>
            <w:tcW w:w="13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(119)</w:t>
            </w:r>
          </w:p>
        </w:tc>
      </w:tr>
      <w:tr>
        <w:trPr>
          <w:trHeight w:val="223"/>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340" w:type="dxa"/>
            <w:vAlign w:val="bottom"/>
            <w:tcBorders>
              <w:top w:val="single" w:sz="8" w:color="auto"/>
              <w:bottom w:val="single" w:sz="8" w:color="auto"/>
            </w:tcBorders>
          </w:tcPr>
          <w:p>
            <w:pPr>
              <w:jc w:val="right"/>
              <w:ind w:right="1179"/>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and Adopted Accounting Standards.</w:t>
      </w:r>
    </w:p>
    <w:p>
      <w:pPr>
        <w:spacing w:after="0" w:line="227"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In May 2014, as part of its ongoing efforts to assist in the convergence of accounting principles generally accepted in the United States (“U.S. GAAP”) and International Financial Reporting Standards (“IFRS”), the Financial Accounting Standards Board (“FASB”) issued Accounting Standards Update (“ASU”)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The new guidance sets forth a new five-step revenue recognition model which replaces the prior revenue recognition guidance in its entirety and is intended to eliminate numerous industry-specific pieces of revenue recognition guidance that have historically existed in U.S. GAAP. The underlying principle of the new standard is that a business or other organization will recognize revenue to depict the transfer of promised goods or services to customers in an amount that reflects what it expects in exchange for the goods or services. The standard also requires more detailed disclosures and provides additional guidance for transactions that were not addressed completely in the prior accounting guidance. The ASU provides alternative methods of initial adoption and is effective for annual and interim periods beginning after December 15, 2017. The FASB has issued several updates to the standard which i) defer the original effective date from January 1, 2017 to January 1, 2018, while allowing for early adoption as of January 1, 2017 (ASU 2015-14); ii) clarify the application of the principal versus agent guidance (ASU 2016-08); iii) clarify the guidance on inconsequential and perfunctory promises and licensing (ASU 2016-10); and (iv) clarify the guidance on certain sections of the guidance providing technical corrections and improvements (ASU 2016-10). In May 2016, the FASB issued ASU 2016-12, “</w:t>
      </w:r>
      <w:r>
        <w:rPr>
          <w:rFonts w:ascii="Times New Roman" w:cs="Times New Roman" w:eastAsia="Times New Roman" w:hAnsi="Times New Roman"/>
          <w:sz w:val="18"/>
          <w:szCs w:val="18"/>
          <w:i w:val="1"/>
          <w:iCs w:val="1"/>
          <w:color w:val="auto"/>
        </w:rPr>
        <w:t>Revenue from Contracts with Customers (Topic 606) Narrow-Scope Improvements and Practical Expedients</w:t>
      </w:r>
      <w:r>
        <w:rPr>
          <w:rFonts w:ascii="Times New Roman" w:cs="Times New Roman" w:eastAsia="Times New Roman" w:hAnsi="Times New Roman"/>
          <w:sz w:val="18"/>
          <w:szCs w:val="18"/>
          <w:color w:val="auto"/>
        </w:rPr>
        <w:t>”, to address certain narrow aspects of the guidance including collectibility criterion, collection of sales taxes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customers, noncash consideration, contract modifications and completed contracts. This issuance does not change the core principle of the guidance in the initial topic issued in May 2014. We are currently evaluating the impact that this standard will have on our consolidated financial statements.</w:t>
      </w:r>
    </w:p>
    <w:p>
      <w:pPr>
        <w:spacing w:after="0" w:line="195" w:lineRule="exact"/>
        <w:rPr>
          <w:sz w:val="20"/>
          <w:szCs w:val="20"/>
          <w:color w:val="auto"/>
        </w:rPr>
      </w:pPr>
    </w:p>
    <w:p>
      <w:pPr>
        <w:ind w:right="180" w:firstLine="761"/>
        <w:spacing w:after="0" w:line="259" w:lineRule="auto"/>
        <w:rPr>
          <w:sz w:val="20"/>
          <w:szCs w:val="20"/>
          <w:color w:val="auto"/>
        </w:rPr>
      </w:pPr>
      <w:r>
        <w:rPr>
          <w:rFonts w:ascii="Times New Roman" w:cs="Times New Roman" w:eastAsia="Times New Roman" w:hAnsi="Times New Roman"/>
          <w:sz w:val="18"/>
          <w:szCs w:val="18"/>
          <w:color w:val="auto"/>
        </w:rPr>
        <w:t xml:space="preserve">In July 2015, the FASB issued ASU 2015-11, </w:t>
      </w:r>
      <w:r>
        <w:rPr>
          <w:rFonts w:ascii="Times New Roman" w:cs="Times New Roman" w:eastAsia="Times New Roman" w:hAnsi="Times New Roman"/>
          <w:sz w:val="18"/>
          <w:szCs w:val="18"/>
          <w:i w:val="1"/>
          <w:iCs w:val="1"/>
          <w:color w:val="auto"/>
        </w:rPr>
        <w:t>“Simplifying the Measurement of Inventory.”</w:t>
      </w:r>
      <w:r>
        <w:rPr>
          <w:rFonts w:ascii="Times New Roman" w:cs="Times New Roman" w:eastAsia="Times New Roman" w:hAnsi="Times New Roman"/>
          <w:sz w:val="18"/>
          <w:szCs w:val="18"/>
          <w:color w:val="auto"/>
        </w:rPr>
        <w:t xml:space="preserve"> Under this ASU, inventory will be measured at the “lower of cost and net realizable value” and options that currently exist for “market value” will be eliminated. The ASU defines net realizable value as the “estimated selling prices in the ordinary course of business, less reasonably predictable costs of completion, disposal, and transportation.” No other changes were made to the current guidance on inventory measurement. ASU 2015-11 is effective for interim and annual periods beginning after December 15, 2016. We adopted this standard in the first quarter of fiscal 2017 and it did not have a material impact on our consolidated financial statements.</w:t>
      </w:r>
    </w:p>
    <w:p>
      <w:pPr>
        <w:spacing w:after="0" w:line="180" w:lineRule="exact"/>
        <w:rPr>
          <w:sz w:val="20"/>
          <w:szCs w:val="20"/>
          <w:color w:val="auto"/>
        </w:rPr>
      </w:pPr>
    </w:p>
    <w:p>
      <w:pPr>
        <w:ind w:right="20" w:firstLine="761"/>
        <w:spacing w:after="0" w:line="259"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amending ASC 842. This ASU requires us to recognize on the balance sheet the assets and liabilities for the rights and obligations created by leases with terms of more than twelve months. This ASU also requires disclosures enabling the users of financial statements to understand the amount, timing and uncertainty of cash flows arising from leases. This new standard will become effective for annual periods beginning after December 15, 2018 (including interim reporting periods within those periods). Early adoption is permitted as of the beginning of an interim or annual reporting period. We are currently evaluating the impact of this new standard on our consolidated financial statements.</w:t>
      </w:r>
    </w:p>
    <w:p>
      <w:pPr>
        <w:spacing w:after="0" w:line="180" w:lineRule="exact"/>
        <w:rPr>
          <w:sz w:val="20"/>
          <w:szCs w:val="20"/>
          <w:color w:val="auto"/>
        </w:rPr>
      </w:pPr>
    </w:p>
    <w:p>
      <w:pPr>
        <w:ind w:right="20" w:firstLine="761"/>
        <w:spacing w:after="0" w:line="253" w:lineRule="auto"/>
        <w:rPr>
          <w:sz w:val="20"/>
          <w:szCs w:val="20"/>
          <w:color w:val="auto"/>
        </w:rPr>
      </w:pPr>
      <w:r>
        <w:rPr>
          <w:rFonts w:ascii="Times New Roman" w:cs="Times New Roman" w:eastAsia="Times New Roman" w:hAnsi="Times New Roman"/>
          <w:sz w:val="18"/>
          <w:szCs w:val="18"/>
          <w:color w:val="auto"/>
        </w:rPr>
        <w:t xml:space="preserve">In March 2016, the FASB issued ASU 2016-09, </w:t>
      </w:r>
      <w:r>
        <w:rPr>
          <w:rFonts w:ascii="Times New Roman" w:cs="Times New Roman" w:eastAsia="Times New Roman" w:hAnsi="Times New Roman"/>
          <w:sz w:val="18"/>
          <w:szCs w:val="18"/>
          <w:i w:val="1"/>
          <w:iCs w:val="1"/>
          <w:color w:val="auto"/>
        </w:rPr>
        <w:t>"Improvements to Employee Share-Based Payment Accounting."</w:t>
      </w:r>
      <w:r>
        <w:rPr>
          <w:rFonts w:ascii="Times New Roman" w:cs="Times New Roman" w:eastAsia="Times New Roman" w:hAnsi="Times New Roman"/>
          <w:sz w:val="18"/>
          <w:szCs w:val="18"/>
          <w:color w:val="auto"/>
        </w:rPr>
        <w:t xml:space="preserve"> This ASU affects entities that issue share-based payment awards to their employees. The ASU is designed to simplify several aspects of accounting for share-based payment award transactions, which include the income tax consequences, classification of awards as either equity or liabilities, classification on the statement of cash flows and forfeiture rate calculations. This ASU will become effective for annual periods beginning after December 15, 2016 (including interim reporting periods within those periods). If an entity early adopts the amendments in an interim period, any adjustments should be reflected as of the beginning of the fiscal year that includes that interim period. An entity that elects early adoption must adopt all of the amendments in the same period. We adopted this ASU 2016-09 in our first quarter of 2017 and it did not have a material impact on our consolidated financial statements. As a result of adopting this standard, the Company has an approximately $1.4 million adjustment in the first quarter of 2017 that will increase its deferred tax assets, which increase is fully offset by a valuation allowance and therefore will not have any financial statement impact. Starting in first quarter of 2017, stock-based compensation (“SBC”) excess tax benefits or deficiencies are reflected in the consolidated statements of income as a component of the provision for income taxes, whereas they previously were recognized in equity. Since the Company maintains a full valuation allowance this is not expected to have an impact on the financial statements. The Company has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 w:name="page10"/>
    <w:bookmarkEnd w:id="9"/>
    <w:p>
      <w:pPr>
        <w:ind w:right="60"/>
        <w:spacing w:after="0" w:line="255" w:lineRule="auto"/>
        <w:rPr>
          <w:sz w:val="20"/>
          <w:szCs w:val="20"/>
          <w:color w:val="auto"/>
        </w:rPr>
      </w:pPr>
      <w:r>
        <w:rPr>
          <w:rFonts w:ascii="Times New Roman" w:cs="Times New Roman" w:eastAsia="Times New Roman" w:hAnsi="Times New Roman"/>
          <w:sz w:val="18"/>
          <w:szCs w:val="18"/>
          <w:color w:val="auto"/>
        </w:rPr>
        <w:t>elected to continue to estimate expected forfeitures. The adoption of additional amendments related to the timing of when excess tax benefits are recognized and the accounting for minimum statutory withholding tax requirements included in this guidance has no impact on our current condensed consolidated financial statements or on any prior period financial statements presented. This guidance also requires changes in the classification of shares withheld to pay employee taxes and excess tax benefits on the consolidated statements of cash flows. The amendments require cash paid by an employer when directly withholding shares for tax withholding purposes be classified as a financing activity, and be applied retrospectively to all prior periods presented. The amendments also require excess tax benefits be classified as an operating activity, consistent with other income tax cash flows, and may be applied either on a retrospective or prospective basis. We have elected to apply this amendment on a prospective basis, as there is no impact to our prior period consolidated statements of cash flows. As such, prior periods have not been adjusted.</w:t>
      </w:r>
    </w:p>
    <w:p>
      <w:pPr>
        <w:spacing w:after="0" w:line="183" w:lineRule="exact"/>
        <w:rPr>
          <w:sz w:val="20"/>
          <w:szCs w:val="20"/>
          <w:color w:val="auto"/>
        </w:rPr>
      </w:pPr>
    </w:p>
    <w:p>
      <w:pPr>
        <w:ind w:right="80" w:firstLine="761"/>
        <w:spacing w:after="0" w:line="257" w:lineRule="auto"/>
        <w:rPr>
          <w:sz w:val="20"/>
          <w:szCs w:val="20"/>
          <w:color w:val="auto"/>
        </w:rPr>
      </w:pPr>
      <w:r>
        <w:rPr>
          <w:rFonts w:ascii="Times New Roman" w:cs="Times New Roman" w:eastAsia="Times New Roman" w:hAnsi="Times New Roman"/>
          <w:sz w:val="18"/>
          <w:szCs w:val="18"/>
          <w:color w:val="auto"/>
        </w:rPr>
        <w:t>In August 2016, the FASB issued ASU 2016-15 "</w:t>
      </w:r>
      <w:r>
        <w:rPr>
          <w:rFonts w:ascii="Times New Roman" w:cs="Times New Roman" w:eastAsia="Times New Roman" w:hAnsi="Times New Roman"/>
          <w:sz w:val="18"/>
          <w:szCs w:val="18"/>
          <w:i w:val="1"/>
          <w:iCs w:val="1"/>
          <w:color w:val="auto"/>
        </w:rPr>
        <w:t>Statement of Cash Flows (Topic 230): Classification of Certain Cash Receipts and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Payments". </w:t>
      </w:r>
      <w:r>
        <w:rPr>
          <w:rFonts w:ascii="Times New Roman" w:cs="Times New Roman" w:eastAsia="Times New Roman" w:hAnsi="Times New Roman"/>
          <w:sz w:val="18"/>
          <w:szCs w:val="18"/>
          <w:color w:val="auto"/>
        </w:rPr>
        <w:t>The amendment gives guidance and reduces diversity in practice with respect to certain types of cash flows. This ASU is effective for fiscal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beginning after December 15, 2017, and interim periods within those fiscal years. Early adoption is permitted, including adoption in an interim period. If an entity early adopts the amendments in an interim period, any adjustments should be reflected as of the beginning of the fiscal year that includes that interim period. An entity that elects early adoption must adopt all of the amendments in the same period. We are currently evaluating the impact of this guidance on our consolidated financial statements.</w:t>
      </w:r>
    </w:p>
    <w:p>
      <w:pPr>
        <w:spacing w:after="0" w:line="183" w:lineRule="exact"/>
        <w:rPr>
          <w:sz w:val="20"/>
          <w:szCs w:val="20"/>
          <w:color w:val="auto"/>
        </w:rPr>
      </w:pPr>
    </w:p>
    <w:p>
      <w:pPr>
        <w:jc w:val="both"/>
        <w:ind w:right="120" w:firstLine="518"/>
        <w:spacing w:after="0" w:line="259" w:lineRule="auto"/>
        <w:rPr>
          <w:sz w:val="20"/>
          <w:szCs w:val="20"/>
          <w:color w:val="auto"/>
        </w:rPr>
      </w:pPr>
      <w:r>
        <w:rPr>
          <w:rFonts w:ascii="Times New Roman" w:cs="Times New Roman" w:eastAsia="Times New Roman" w:hAnsi="Times New Roman"/>
          <w:sz w:val="18"/>
          <w:szCs w:val="18"/>
          <w:color w:val="auto"/>
        </w:rPr>
        <w:t>In October 2016, the FASB issued ASU 2016-16 to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which simplifies the recording of an inter-entity transfer of assets other than inventory. The new guidance requires that a company recognize the income tax consequences of an intra-entity transfer of an asset other than inventory when the transfer occurs. The new guidance becomes effective for annual reporting periods beginning after December 15, 2017 and must be applied using a modified retrospective basis through a cumulative-effect adjustment directly to retained earnings as of the beginning of the adoption period. We are currently evaluating the impact of this guidance on our financial statements and the timing of adoption.</w:t>
      </w:r>
    </w:p>
    <w:p>
      <w:pPr>
        <w:spacing w:after="0" w:line="180" w:lineRule="exact"/>
        <w:rPr>
          <w:sz w:val="20"/>
          <w:szCs w:val="20"/>
          <w:color w:val="auto"/>
        </w:rPr>
      </w:pPr>
    </w:p>
    <w:p>
      <w:pPr>
        <w:ind w:right="220" w:firstLine="518"/>
        <w:spacing w:after="0" w:line="257" w:lineRule="auto"/>
        <w:rPr>
          <w:sz w:val="20"/>
          <w:szCs w:val="20"/>
          <w:color w:val="auto"/>
        </w:rPr>
      </w:pPr>
      <w:r>
        <w:rPr>
          <w:rFonts w:ascii="Times New Roman" w:cs="Times New Roman" w:eastAsia="Times New Roman" w:hAnsi="Times New Roman"/>
          <w:sz w:val="18"/>
          <w:szCs w:val="18"/>
          <w:color w:val="auto"/>
        </w:rPr>
        <w:t>In November 2016, the FASB issued ASU No. 2016-18, “</w:t>
      </w:r>
      <w:r>
        <w:rPr>
          <w:rFonts w:ascii="Times New Roman" w:cs="Times New Roman" w:eastAsia="Times New Roman" w:hAnsi="Times New Roman"/>
          <w:sz w:val="18"/>
          <w:szCs w:val="18"/>
          <w:i w:val="1"/>
          <w:iCs w:val="1"/>
          <w:color w:val="auto"/>
        </w:rPr>
        <w:t>Statement of Cash Flows, Restricted Cash (Topic 230)”</w:t>
      </w:r>
      <w:r>
        <w:rPr>
          <w:rFonts w:ascii="Times New Roman" w:cs="Times New Roman" w:eastAsia="Times New Roman" w:hAnsi="Times New Roman"/>
          <w:sz w:val="18"/>
          <w:szCs w:val="18"/>
          <w:color w:val="auto"/>
        </w:rPr>
        <w:t>. This guidance requires that a statement of cash flows explain the total change during the period of cash, cash equivalents, and amounts generally described as restricted cash or restricted cash equivalents. Amounts described as restricted cash and restricted cash equivalents should be included with cash and cash equivalents when reconciling the beginning of period and end of period to total amounts shown on the statement of cash flows. This guidance is effective for annual reporting periods beginning after December 15, 2017, including interim periods within that reporting period, with early adoption permitted. We are currently evaluating the effect of the adoption of this guidance on our consolidated financial statements.</w:t>
      </w:r>
    </w:p>
    <w:p>
      <w:pPr>
        <w:spacing w:after="0" w:line="183"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In January 2017, the FASB has issued ASU 2017-04, “</w:t>
      </w:r>
      <w:r>
        <w:rPr>
          <w:rFonts w:ascii="Times New Roman" w:cs="Times New Roman" w:eastAsia="Times New Roman" w:hAnsi="Times New Roman"/>
          <w:sz w:val="18"/>
          <w:szCs w:val="18"/>
          <w:i w:val="1"/>
          <w:iCs w:val="1"/>
          <w:color w:val="auto"/>
        </w:rPr>
        <w:t>Intangibles - Goodwill and Other (Topic 350): Simplifying the Test for Goodwill Impairment</w:t>
      </w:r>
      <w:r>
        <w:rPr>
          <w:rFonts w:ascii="Times New Roman" w:cs="Times New Roman" w:eastAsia="Times New Roman" w:hAnsi="Times New Roman"/>
          <w:sz w:val="18"/>
          <w:szCs w:val="18"/>
          <w:color w:val="auto"/>
        </w:rPr>
        <w:t>”. To simplify the subsequent measurement of goodwill, the amendments eliminate Step 2 from the goodwill impairment test. The annual, or interim, goodwill impairment test is performed by comparing the fair value of a reporting unit with its carrying amount. An impairment charge should be recognized for the amount by which the carrying amount exceeds the reporting unit’s fair value; however, the loss recognized should not exceed the total amount of goodwill allocated to that reporting unit. In addition, income tax effects from any tax deductible goodwill on the carrying amount of the reporting unit should be considered when measuring the goodwill impairment loss, if applicable. The amendments should be applied on a prospective basis. The nature of and reason for the change in accounting principle should be disclosed upon transition. A public business entity that is a U.S. Securities and Exchange Commission (SEC) filer should adopt the amendments for its annual or any interim goodwill impairment tests in fiscal years beginning after December 15, 2019. Early adoption is permitted for interim or annual goodwill impairment tests performed on testing dates after January 1, 2017. We are currently evaluating the impact that this standard will have on our consolidated financial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Inventories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the Company’s inventories as of April 1, 2017 and December 31, 2016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60" w:type="dxa"/>
            <w:vAlign w:val="bottom"/>
            <w:gridSpan w:val="2"/>
            <w:vMerge w:val="restart"/>
          </w:tcPr>
          <w:p>
            <w:pPr>
              <w:ind w:left="1720"/>
              <w:spacing w:after="0"/>
              <w:rPr>
                <w:sz w:val="20"/>
                <w:szCs w:val="20"/>
                <w:color w:val="auto"/>
              </w:rPr>
            </w:pPr>
            <w:r>
              <w:rPr>
                <w:rFonts w:ascii="Times New Roman" w:cs="Times New Roman" w:eastAsia="Times New Roman" w:hAnsi="Times New Roman"/>
                <w:sz w:val="18"/>
                <w:szCs w:val="18"/>
                <w:color w:val="auto"/>
              </w:rPr>
              <w:t>Raw materials</w:t>
            </w:r>
          </w:p>
        </w:tc>
        <w:tc>
          <w:tcPr>
            <w:tcW w:w="13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April 1, 2017</w:t>
            </w: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260" w:type="dxa"/>
            <w:vAlign w:val="bottom"/>
            <w:gridSpan w:val="2"/>
            <w:vMerge w:val="continue"/>
          </w:tcPr>
          <w:p>
            <w:pPr>
              <w:spacing w:after="0"/>
              <w:rPr>
                <w:sz w:val="19"/>
                <w:szCs w:val="19"/>
                <w:color w:val="auto"/>
              </w:rPr>
            </w:pPr>
          </w:p>
        </w:tc>
        <w:tc>
          <w:tcPr>
            <w:tcW w:w="1320" w:type="dxa"/>
            <w:vAlign w:val="bottom"/>
          </w:tcPr>
          <w:p>
            <w:pPr>
              <w:spacing w:after="0"/>
              <w:rPr>
                <w:sz w:val="19"/>
                <w:szCs w:val="19"/>
                <w:color w:val="auto"/>
              </w:rPr>
            </w:pPr>
          </w:p>
        </w:tc>
        <w:tc>
          <w:tcPr>
            <w:tcW w:w="1360" w:type="dxa"/>
            <w:vAlign w:val="bottom"/>
            <w:tcBorders>
              <w:top w:val="single" w:sz="8" w:color="auto"/>
            </w:tcBorders>
          </w:tcPr>
          <w:p>
            <w:pPr>
              <w:jc w:val="right"/>
              <w:ind w:right="11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5,444</w:t>
            </w:r>
          </w:p>
        </w:tc>
        <w:tc>
          <w:tcPr>
            <w:tcW w:w="30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3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5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320" w:type="dxa"/>
            <w:vAlign w:val="bottom"/>
            <w:tcBorders>
              <w:bottom w:val="single" w:sz="8" w:color="CFF0FC"/>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4,115</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132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11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11,728</w:t>
            </w: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17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680" w:type="dxa"/>
            <w:vAlign w:val="bottom"/>
            <w:gridSpan w:val="2"/>
          </w:tcPr>
          <w:p>
            <w:pPr>
              <w:jc w:val="right"/>
              <w:ind w:right="1056"/>
              <w:spacing w:after="0"/>
              <w:rPr>
                <w:sz w:val="20"/>
                <w:szCs w:val="20"/>
                <w:color w:val="auto"/>
              </w:rPr>
            </w:pPr>
            <w:r>
              <w:rPr>
                <w:rFonts w:ascii="Times New Roman" w:cs="Times New Roman" w:eastAsia="Times New Roman" w:hAnsi="Times New Roman"/>
                <w:sz w:val="18"/>
                <w:szCs w:val="18"/>
                <w:color w:val="auto"/>
              </w:rPr>
              <w:t>10</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4. Goodwill and Intangible Assets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carrying value of goodwill was $0.5 million as of April 1, 2017 and December 31, 2016.</w:t>
      </w:r>
    </w:p>
    <w:p>
      <w:pPr>
        <w:spacing w:after="0" w:line="225"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the net tangible and identifiable intangible assets acquired in a business combination. The Company reviews goodwill for impairment on an annual basis or whenever events or changes in circumstances indicate the carrying value may not be recoverable. The Company first assesses qualitative factors to determine whether it is more likely than not that the fair value of a reporting unit is less than its carrying amount as a basis for determining whether it is necessary to perform the two-step quantitative goodwill impairment test. If, after assessing the totality of circumstances, an entity determines that it is more likely than not that the fair value of a reporting unit is less than its carrying amount, then it is required to perform the two-step impairment test. An entity is not required to calculate the fair value of a reporting unit unless the entity determines that it is more likely than not that its fair value is less than its carrying value. However, an entity also has the option to bypass the qualitative assessment for any reporting unit in any period and proceed directly to performing the first step of the two-step goodwill impairment test. The Company has determined that it has a single reporting unit for purposes of performing its goodwill impairment test. As the Company uses the market approach to assess impairment, its common stock price is an important component of the fair value calculation. If the Company’s stock price continues to experience significant price and volume fluctuations, this will impact the fair value of the reporting unit and can lead to potential impairment in future periods. The Company performed its annual impairment test during the second quarter of fiscal 2016 and determined that its goodwill was not impaired. As of April 1, 2017, the Company had not identified any factors that indicated there was an impairment of its goodwill and determined that no additional impairment analysis was then required.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119"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During the fourth quarter of 2016, we reviewed our long-lived assets for indicators of impairment. Based on reduced estimates of future revenues and future negative cash flow, we identified potential indicators of impairment. As a result, we compared the fair value of our long-lived assets to their carrying value. Based on our discounted future cash flow and revenue projections, we recorded a non-cash impairment charge of $120 thousand for a patent acquired in connection with our acquisition of Ocunetics, Inc. The impairment charge represents the excess of the carrying value of the asset over its fair value.</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impairment charge is not expected to result in any future cash expenditures.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components of gross and net intangible asset balances: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4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April 1, 2017</w:t>
            </w:r>
          </w:p>
        </w:tc>
        <w:tc>
          <w:tcPr>
            <w:tcW w:w="10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440" w:type="dxa"/>
            <w:vAlign w:val="bottom"/>
          </w:tcPr>
          <w:p>
            <w:pPr>
              <w:spacing w:after="0"/>
              <w:rPr>
                <w:sz w:val="11"/>
                <w:szCs w:val="11"/>
                <w:color w:val="auto"/>
              </w:rPr>
            </w:pPr>
          </w:p>
        </w:tc>
        <w:tc>
          <w:tcPr>
            <w:tcW w:w="126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240" w:type="dxa"/>
            <w:vAlign w:val="bottom"/>
          </w:tcPr>
          <w:p>
            <w:pPr>
              <w:spacing w:after="0"/>
              <w:rPr>
                <w:sz w:val="11"/>
                <w:szCs w:val="11"/>
                <w:color w:val="auto"/>
              </w:rPr>
            </w:pPr>
          </w:p>
        </w:tc>
        <w:tc>
          <w:tcPr>
            <w:tcW w:w="15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0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1"/>
                <w:szCs w:val="11"/>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60" w:type="dxa"/>
            <w:vAlign w:val="bottom"/>
            <w:gridSpan w:val="2"/>
            <w:vMerge w:val="continue"/>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540" w:type="dxa"/>
            <w:vAlign w:val="bottom"/>
            <w:gridSpan w:val="2"/>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2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Customer relations</w:t>
            </w: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Amortization Life</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8"/>
        </w:trPr>
        <w:tc>
          <w:tcPr>
            <w:tcW w:w="2440" w:type="dxa"/>
            <w:vAlign w:val="bottom"/>
            <w:vMerge w:val="continue"/>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6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6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40" w:type="dxa"/>
            <w:vAlign w:val="bottom"/>
          </w:tcPr>
          <w:p>
            <w:pPr>
              <w:spacing w:after="0"/>
              <w:rPr>
                <w:sz w:val="19"/>
                <w:szCs w:val="19"/>
                <w:color w:val="auto"/>
              </w:rPr>
            </w:pPr>
          </w:p>
        </w:tc>
        <w:tc>
          <w:tcPr>
            <w:tcW w:w="1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9.0 Years</w:t>
            </w:r>
          </w:p>
        </w:tc>
        <w:tc>
          <w:tcPr>
            <w:tcW w:w="16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4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6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bl>
    <w:p>
      <w:pPr>
        <w:spacing w:after="0" w:line="2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three months ended April 1, 2017 and April 2, 2016, amortization expense totaled $4 thousand for each period.</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amortization of customer relations was charged to sales and marketing expense and the amortization of patents was charged to cost of revenues.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estimated amortization expense (in thousands):</w:t>
      </w:r>
    </w:p>
    <w:p>
      <w:pPr>
        <w:spacing w:after="0" w:line="220"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Fiscal Year:</w:t>
            </w: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2017 (nine months)</w:t>
            </w:r>
          </w:p>
        </w:tc>
        <w:tc>
          <w:tcPr>
            <w:tcW w:w="860" w:type="dxa"/>
            <w:vAlign w:val="bottom"/>
            <w:shd w:val="clear" w:color="auto" w:fill="CFF0FC"/>
          </w:tcPr>
          <w:p>
            <w:pPr>
              <w:jc w:val="right"/>
              <w:ind w:right="69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shd w:val="clear" w:color="auto" w:fill="CFF0FC"/>
          </w:tcPr>
          <w:p>
            <w:pPr>
              <w:spacing w:after="0"/>
              <w:rPr>
                <w:sz w:val="19"/>
                <w:szCs w:val="19"/>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8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Pr>
          <w:p>
            <w:pPr>
              <w:spacing w:after="0"/>
              <w:rPr>
                <w:sz w:val="19"/>
                <w:szCs w:val="19"/>
                <w:color w:val="auto"/>
              </w:rPr>
            </w:pPr>
          </w:p>
        </w:tc>
      </w:tr>
      <w:tr>
        <w:trPr>
          <w:trHeight w:val="230"/>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w:t>
            </w:r>
          </w:p>
        </w:tc>
        <w:tc>
          <w:tcPr>
            <w:tcW w:w="8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shd w:val="clear" w:color="auto" w:fill="CFF0FC"/>
          </w:tcPr>
          <w:p>
            <w:pPr>
              <w:spacing w:after="0"/>
              <w:rPr>
                <w:sz w:val="19"/>
                <w:szCs w:val="19"/>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8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Pr>
          <w:p>
            <w:pPr>
              <w:spacing w:after="0"/>
              <w:rPr>
                <w:sz w:val="19"/>
                <w:szCs w:val="19"/>
                <w:color w:val="auto"/>
              </w:rPr>
            </w:pPr>
          </w:p>
        </w:tc>
      </w:tr>
      <w:tr>
        <w:trPr>
          <w:trHeight w:val="230"/>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8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shd w:val="clear" w:color="auto" w:fill="CFF0FC"/>
          </w:tcPr>
          <w:p>
            <w:pPr>
              <w:spacing w:after="0"/>
              <w:rPr>
                <w:sz w:val="19"/>
                <w:szCs w:val="19"/>
                <w:color w:val="auto"/>
              </w:rPr>
            </w:pPr>
          </w:p>
        </w:tc>
      </w:tr>
      <w:tr>
        <w:trPr>
          <w:trHeight w:val="230"/>
        </w:trPr>
        <w:tc>
          <w:tcPr>
            <w:tcW w:w="59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8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60" w:type="dxa"/>
            <w:vAlign w:val="bottom"/>
            <w:tcBorders>
              <w:bottom w:val="single" w:sz="8" w:color="CFF0FC"/>
            </w:tcBorders>
          </w:tcPr>
          <w:p>
            <w:pPr>
              <w:spacing w:after="0"/>
              <w:rPr>
                <w:sz w:val="19"/>
                <w:szCs w:val="19"/>
                <w:color w:val="auto"/>
              </w:rPr>
            </w:pPr>
          </w:p>
        </w:tc>
      </w:tr>
      <w:tr>
        <w:trPr>
          <w:trHeight w:val="223"/>
        </w:trPr>
        <w:tc>
          <w:tcPr>
            <w:tcW w:w="59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auto"/>
            </w:tcBorders>
            <w:shd w:val="clear" w:color="auto" w:fill="CFF0FC"/>
          </w:tcPr>
          <w:p>
            <w:pPr>
              <w:jc w:val="right"/>
              <w:ind w:right="69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21" w:lineRule="exact"/>
        <w:rPr>
          <w:sz w:val="20"/>
          <w:szCs w:val="20"/>
          <w:color w:val="auto"/>
        </w:rPr>
      </w:pPr>
    </w:p>
    <w:p>
      <w:pPr>
        <w:ind w:right="740" w:firstLine="518"/>
        <w:spacing w:after="0" w:line="282"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The fair value hierarchy distinguishes between (1) market participant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1" w:name="page12"/>
    <w:bookmarkEnd w:id="11"/>
    <w:p>
      <w:pPr>
        <w:ind w:right="300"/>
        <w:spacing w:after="0" w:line="261" w:lineRule="auto"/>
        <w:rPr>
          <w:sz w:val="20"/>
          <w:szCs w:val="20"/>
          <w:color w:val="auto"/>
        </w:rPr>
      </w:pPr>
      <w:r>
        <w:rPr>
          <w:rFonts w:ascii="Times New Roman" w:cs="Times New Roman" w:eastAsia="Times New Roman" w:hAnsi="Times New Roman"/>
          <w:sz w:val="18"/>
          <w:szCs w:val="18"/>
          <w:color w:val="auto"/>
        </w:rPr>
        <w:t>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72" w:lineRule="exact"/>
        <w:rPr>
          <w:sz w:val="20"/>
          <w:szCs w:val="20"/>
          <w:color w:val="auto"/>
        </w:rPr>
      </w:pPr>
    </w:p>
    <w:p>
      <w:pPr>
        <w:ind w:left="1040" w:hanging="519"/>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(unadjusted) in active markets that are accessible at the measurement date for assets or liabilities.</w:t>
      </w:r>
    </w:p>
    <w:p>
      <w:pPr>
        <w:spacing w:after="0" w:line="117" w:lineRule="exact"/>
        <w:rPr>
          <w:rFonts w:ascii="Times New Roman" w:cs="Times New Roman" w:eastAsia="Times New Roman" w:hAnsi="Times New Roman"/>
          <w:sz w:val="18"/>
          <w:szCs w:val="18"/>
          <w:color w:val="auto"/>
        </w:rPr>
      </w:pPr>
    </w:p>
    <w:p>
      <w:pPr>
        <w:ind w:left="1040" w:hanging="519"/>
        <w:spacing w:after="0" w:line="258"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spacing w:after="0" w:line="75" w:lineRule="exact"/>
        <w:rPr>
          <w:rFonts w:ascii="Times New Roman" w:cs="Times New Roman" w:eastAsia="Times New Roman" w:hAnsi="Times New Roman"/>
          <w:sz w:val="18"/>
          <w:szCs w:val="18"/>
          <w:color w:val="auto"/>
        </w:rPr>
      </w:pPr>
    </w:p>
    <w:p>
      <w:pPr>
        <w:ind w:left="1040" w:right="200" w:hanging="519"/>
        <w:spacing w:after="0" w:line="266"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spacing w:after="0" w:line="176" w:lineRule="exact"/>
        <w:rPr>
          <w:sz w:val="20"/>
          <w:szCs w:val="20"/>
          <w:color w:val="auto"/>
        </w:rPr>
      </w:pPr>
    </w:p>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spacing w:after="0" w:line="162" w:lineRule="exact"/>
        <w:rPr>
          <w:sz w:val="20"/>
          <w:szCs w:val="20"/>
          <w:color w:val="auto"/>
        </w:rPr>
      </w:pPr>
    </w:p>
    <w:p>
      <w:pPr>
        <w:ind w:right="280" w:firstLine="518"/>
        <w:spacing w:after="0" w:line="282" w:lineRule="auto"/>
        <w:rPr>
          <w:sz w:val="20"/>
          <w:szCs w:val="20"/>
          <w:color w:val="auto"/>
        </w:rPr>
      </w:pPr>
      <w:r>
        <w:rPr>
          <w:rFonts w:ascii="Times New Roman" w:cs="Times New Roman" w:eastAsia="Times New Roman" w:hAnsi="Times New Roman"/>
          <w:sz w:val="18"/>
          <w:szCs w:val="18"/>
          <w:color w:val="auto"/>
        </w:rPr>
        <w:t>The carrying amounts of the Company’s financial assets and liabilities, including cash and cash equivalents, accounts receivable, accounts payable, and accrued expenses as of April 1, 2017 and December 31, 2016, approximate fair value because of the short maturity of these instruments.</w:t>
      </w:r>
    </w:p>
    <w:p>
      <w:pPr>
        <w:spacing w:after="0" w:line="162" w:lineRule="exact"/>
        <w:rPr>
          <w:sz w:val="20"/>
          <w:szCs w:val="20"/>
          <w:color w:val="auto"/>
        </w:rPr>
      </w:pPr>
    </w:p>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As of April 1, 2017 and December 31, 2016, financial assets and liabilities measured and recognized at fair value on a recurring basis and classified under the appropriate level of the fair value hierarchy as described above were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As of April 1, 2017</w:t>
            </w: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As of December 31, 2016</w:t>
            </w: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4"/>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4"/>
          </w:tcPr>
          <w:p>
            <w:pPr>
              <w:jc w:val="right"/>
              <w:ind w:right="196"/>
              <w:spacing w:after="0" w:line="155" w:lineRule="exact"/>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ind w:right="176"/>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ind w:right="156"/>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236"/>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3"/>
                <w:szCs w:val="13"/>
                <w:color w:val="auto"/>
              </w:rPr>
            </w:pPr>
          </w:p>
        </w:tc>
        <w:tc>
          <w:tcPr>
            <w:tcW w:w="1020" w:type="dxa"/>
            <w:vAlign w:val="bottom"/>
            <w:gridSpan w:val="2"/>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3"/>
                <w:szCs w:val="13"/>
                <w:color w:val="auto"/>
              </w:rPr>
            </w:pPr>
          </w:p>
        </w:tc>
        <w:tc>
          <w:tcPr>
            <w:tcW w:w="800" w:type="dxa"/>
            <w:vAlign w:val="bottom"/>
          </w:tcPr>
          <w:p>
            <w:pPr>
              <w:jc w:val="right"/>
              <w:ind w:right="176"/>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276"/>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23,290</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23,290</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8,270</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Earn-out liability</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The Company’s Level 1 financial assets are money market funds whose fair values are based on quoted market prices. The Company does not have any Level 2 financial assets or liabilities. The fair value of the earn-out liability arising from the acquisitions of RetinaLabs, Inc. and Ocunetics, Inc. is classified within Level 3 of the fair value hierarchy since it is based on significant unobservable inputs. The significant unobservable inputs include projected royalties and discount rates to present value the payments. A significant increase (decrease) in the projected royalty payments in isolation could result in a significantly higher (lower) fair value measurement and a significant increase (decrease) in the discount rate in isolation could result in a significantly lower (higher) fair value measurement. The fair value of the earn-out liability is calculated on a quarterly basis by the Company based on a collaborative effort of the Company’s operations, finance and accounting groups as additional information becomes available. Any change in the fair value adjustment is recorded in the statement of operations of that period.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2" w:name="page13"/>
    <w:bookmarkEnd w:id="12"/>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the inputs and valuation methodologies used for our fair value measurements classified in Level 3 of the fair value hierarchy as of April 1, 2017.</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9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3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 of April 1, 2017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9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2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3"/>
        </w:trPr>
        <w:tc>
          <w:tcPr>
            <w:tcW w:w="3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Technique</w:t>
            </w:r>
          </w:p>
        </w:tc>
        <w:tc>
          <w:tcPr>
            <w:tcW w:w="1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Input</w:t>
            </w: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(range)</w:t>
            </w:r>
          </w:p>
        </w:tc>
        <w:tc>
          <w:tcPr>
            <w:tcW w:w="0" w:type="dxa"/>
            <w:vAlign w:val="bottom"/>
          </w:tcPr>
          <w:p>
            <w:pPr>
              <w:spacing w:after="0"/>
              <w:rPr>
                <w:sz w:val="1"/>
                <w:szCs w:val="1"/>
                <w:color w:val="auto"/>
              </w:rPr>
            </w:pPr>
          </w:p>
        </w:tc>
      </w:tr>
      <w:tr>
        <w:trPr>
          <w:trHeight w:val="205"/>
        </w:trPr>
        <w:tc>
          <w:tcPr>
            <w:tcW w:w="36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8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820" w:type="dxa"/>
            <w:vAlign w:val="bottom"/>
            <w:tcBorders>
              <w:top w:val="single" w:sz="8" w:color="auto"/>
            </w:tcBorders>
            <w:shd w:val="clear" w:color="auto" w:fill="CFF0FC"/>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Projected royalties</w:t>
            </w:r>
          </w:p>
        </w:tc>
        <w:tc>
          <w:tcPr>
            <w:tcW w:w="140" w:type="dxa"/>
            <w:vAlign w:val="bottom"/>
            <w:tcBorders>
              <w:top w:val="single" w:sz="8" w:color="CFF0FC"/>
            </w:tcBorders>
            <w:shd w:val="clear" w:color="auto" w:fill="CFF0FC"/>
          </w:tcPr>
          <w:p>
            <w:pPr>
              <w:spacing w:after="0"/>
              <w:rPr>
                <w:sz w:val="17"/>
                <w:szCs w:val="17"/>
                <w:color w:val="auto"/>
              </w:rPr>
            </w:pPr>
          </w:p>
        </w:tc>
        <w:tc>
          <w:tcPr>
            <w:tcW w:w="228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Earn-out liability</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240" w:type="dxa"/>
            <w:vAlign w:val="bottom"/>
            <w:shd w:val="clear" w:color="auto" w:fill="CFF0FC"/>
          </w:tcPr>
          <w:p>
            <w:pPr>
              <w:spacing w:after="0"/>
              <w:rPr>
                <w:sz w:val="20"/>
                <w:szCs w:val="20"/>
                <w:color w:val="auto"/>
              </w:rPr>
            </w:pPr>
          </w:p>
        </w:tc>
        <w:tc>
          <w:tcPr>
            <w:tcW w:w="196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9"/>
              </w:rPr>
              <w:t>Discounted cash flow</w:t>
            </w:r>
          </w:p>
        </w:tc>
        <w:tc>
          <w:tcPr>
            <w:tcW w:w="196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w w:val="99"/>
              </w:rPr>
              <w:t>(in thousands)</w:t>
            </w:r>
          </w:p>
        </w:tc>
        <w:tc>
          <w:tcPr>
            <w:tcW w:w="2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$2,067</w:t>
            </w:r>
          </w:p>
        </w:tc>
        <w:tc>
          <w:tcPr>
            <w:tcW w:w="0" w:type="dxa"/>
            <w:vAlign w:val="bottom"/>
          </w:tcPr>
          <w:p>
            <w:pPr>
              <w:spacing w:after="0"/>
              <w:rPr>
                <w:sz w:val="1"/>
                <w:szCs w:val="1"/>
                <w:color w:val="auto"/>
              </w:rPr>
            </w:pPr>
          </w:p>
        </w:tc>
      </w:tr>
      <w:tr>
        <w:trPr>
          <w:trHeight w:val="205"/>
        </w:trPr>
        <w:tc>
          <w:tcPr>
            <w:tcW w:w="36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Discount rate</w:t>
            </w:r>
          </w:p>
        </w:tc>
        <w:tc>
          <w:tcPr>
            <w:tcW w:w="140" w:type="dxa"/>
            <w:vAlign w:val="bottom"/>
          </w:tcPr>
          <w:p>
            <w:pPr>
              <w:spacing w:after="0"/>
              <w:rPr>
                <w:sz w:val="17"/>
                <w:szCs w:val="17"/>
                <w:color w:val="auto"/>
              </w:rPr>
            </w:pPr>
          </w:p>
        </w:tc>
        <w:tc>
          <w:tcPr>
            <w:tcW w:w="228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11.19%</w:t>
            </w:r>
          </w:p>
        </w:tc>
        <w:tc>
          <w:tcPr>
            <w:tcW w:w="0" w:type="dxa"/>
            <w:vAlign w:val="bottom"/>
          </w:tcPr>
          <w:p>
            <w:pPr>
              <w:spacing w:after="0"/>
              <w:rPr>
                <w:sz w:val="1"/>
                <w:szCs w:val="1"/>
                <w:color w:val="auto"/>
              </w:rPr>
            </w:pPr>
          </w:p>
        </w:tc>
      </w:tr>
      <w:tr>
        <w:trPr>
          <w:trHeight w:val="234"/>
        </w:trPr>
        <w:tc>
          <w:tcPr>
            <w:tcW w:w="3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(11.19% - 27.00%)</w:t>
            </w:r>
          </w:p>
        </w:tc>
        <w:tc>
          <w:tcPr>
            <w:tcW w:w="0" w:type="dxa"/>
            <w:vAlign w:val="bottom"/>
          </w:tcPr>
          <w:p>
            <w:pPr>
              <w:spacing w:after="0"/>
              <w:rPr>
                <w:sz w:val="1"/>
                <w:szCs w:val="1"/>
                <w:color w:val="auto"/>
              </w:rPr>
            </w:pPr>
          </w:p>
        </w:tc>
      </w:tr>
      <w:tr>
        <w:trPr>
          <w:trHeight w:val="380"/>
        </w:trPr>
        <w:tc>
          <w:tcPr>
            <w:tcW w:w="3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9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3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2016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9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2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3"/>
        </w:trPr>
        <w:tc>
          <w:tcPr>
            <w:tcW w:w="3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Technique</w:t>
            </w:r>
          </w:p>
        </w:tc>
        <w:tc>
          <w:tcPr>
            <w:tcW w:w="1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Input</w:t>
            </w: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(range)</w:t>
            </w:r>
          </w:p>
        </w:tc>
        <w:tc>
          <w:tcPr>
            <w:tcW w:w="0" w:type="dxa"/>
            <w:vAlign w:val="bottom"/>
          </w:tcPr>
          <w:p>
            <w:pPr>
              <w:spacing w:after="0"/>
              <w:rPr>
                <w:sz w:val="1"/>
                <w:szCs w:val="1"/>
                <w:color w:val="auto"/>
              </w:rPr>
            </w:pPr>
          </w:p>
        </w:tc>
      </w:tr>
      <w:tr>
        <w:trPr>
          <w:trHeight w:val="205"/>
        </w:trPr>
        <w:tc>
          <w:tcPr>
            <w:tcW w:w="36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8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820" w:type="dxa"/>
            <w:vAlign w:val="bottom"/>
            <w:tcBorders>
              <w:top w:val="single" w:sz="8" w:color="auto"/>
            </w:tcBorders>
            <w:shd w:val="clear" w:color="auto" w:fill="CFF0FC"/>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Projected royalties</w:t>
            </w:r>
          </w:p>
        </w:tc>
        <w:tc>
          <w:tcPr>
            <w:tcW w:w="140" w:type="dxa"/>
            <w:vAlign w:val="bottom"/>
            <w:tcBorders>
              <w:top w:val="single" w:sz="8" w:color="CFF0FC"/>
            </w:tcBorders>
            <w:shd w:val="clear" w:color="auto" w:fill="CFF0FC"/>
          </w:tcPr>
          <w:p>
            <w:pPr>
              <w:spacing w:after="0"/>
              <w:rPr>
                <w:sz w:val="17"/>
                <w:szCs w:val="17"/>
                <w:color w:val="auto"/>
              </w:rPr>
            </w:pPr>
          </w:p>
        </w:tc>
        <w:tc>
          <w:tcPr>
            <w:tcW w:w="228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Earn-out liability</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240" w:type="dxa"/>
            <w:vAlign w:val="bottom"/>
            <w:shd w:val="clear" w:color="auto" w:fill="CFF0FC"/>
          </w:tcPr>
          <w:p>
            <w:pPr>
              <w:spacing w:after="0"/>
              <w:rPr>
                <w:sz w:val="20"/>
                <w:szCs w:val="20"/>
                <w:color w:val="auto"/>
              </w:rPr>
            </w:pPr>
          </w:p>
        </w:tc>
        <w:tc>
          <w:tcPr>
            <w:tcW w:w="196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9"/>
              </w:rPr>
              <w:t>Discounted cash flow</w:t>
            </w:r>
          </w:p>
        </w:tc>
        <w:tc>
          <w:tcPr>
            <w:tcW w:w="196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w w:val="99"/>
              </w:rPr>
              <w:t>(in thousands)</w:t>
            </w:r>
          </w:p>
        </w:tc>
        <w:tc>
          <w:tcPr>
            <w:tcW w:w="2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$2,154</w:t>
            </w:r>
          </w:p>
        </w:tc>
        <w:tc>
          <w:tcPr>
            <w:tcW w:w="0" w:type="dxa"/>
            <w:vAlign w:val="bottom"/>
          </w:tcPr>
          <w:p>
            <w:pPr>
              <w:spacing w:after="0"/>
              <w:rPr>
                <w:sz w:val="1"/>
                <w:szCs w:val="1"/>
                <w:color w:val="auto"/>
              </w:rPr>
            </w:pPr>
          </w:p>
        </w:tc>
      </w:tr>
      <w:tr>
        <w:trPr>
          <w:trHeight w:val="205"/>
        </w:trPr>
        <w:tc>
          <w:tcPr>
            <w:tcW w:w="36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Discount rate</w:t>
            </w:r>
          </w:p>
        </w:tc>
        <w:tc>
          <w:tcPr>
            <w:tcW w:w="140" w:type="dxa"/>
            <w:vAlign w:val="bottom"/>
          </w:tcPr>
          <w:p>
            <w:pPr>
              <w:spacing w:after="0"/>
              <w:rPr>
                <w:sz w:val="17"/>
                <w:szCs w:val="17"/>
                <w:color w:val="auto"/>
              </w:rPr>
            </w:pPr>
          </w:p>
        </w:tc>
        <w:tc>
          <w:tcPr>
            <w:tcW w:w="228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11.22%</w:t>
            </w:r>
          </w:p>
        </w:tc>
        <w:tc>
          <w:tcPr>
            <w:tcW w:w="0" w:type="dxa"/>
            <w:vAlign w:val="bottom"/>
          </w:tcPr>
          <w:p>
            <w:pPr>
              <w:spacing w:after="0"/>
              <w:rPr>
                <w:sz w:val="1"/>
                <w:szCs w:val="1"/>
                <w:color w:val="auto"/>
              </w:rPr>
            </w:pPr>
          </w:p>
        </w:tc>
      </w:tr>
      <w:tr>
        <w:trPr>
          <w:trHeight w:val="234"/>
        </w:trPr>
        <w:tc>
          <w:tcPr>
            <w:tcW w:w="3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(11.22% - 27.00%)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A reconciliation of the changes in the Company’s earn-out liability (Level 3 liability) for the three months ended April 1, 2017 and April 2, 2016 is as follows: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3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60" w:type="dxa"/>
            <w:vAlign w:val="bottom"/>
            <w:gridSpan w:val="5"/>
          </w:tcPr>
          <w:p>
            <w:pPr>
              <w:jc w:val="right"/>
              <w:ind w:right="1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56"/>
        </w:trPr>
        <w:tc>
          <w:tcPr>
            <w:tcW w:w="358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2"/>
          </w:tcPr>
          <w:p>
            <w:pPr>
              <w:jc w:val="right"/>
              <w:ind w:right="720"/>
              <w:spacing w:after="0" w:line="155" w:lineRule="exact"/>
              <w:rPr>
                <w:sz w:val="20"/>
                <w:szCs w:val="20"/>
                <w:color w:val="auto"/>
              </w:rPr>
            </w:pPr>
            <w:r>
              <w:rPr>
                <w:rFonts w:ascii="Times New Roman" w:cs="Times New Roman" w:eastAsia="Times New Roman" w:hAnsi="Times New Roman"/>
                <w:sz w:val="14"/>
                <w:szCs w:val="14"/>
                <w:b w:val="1"/>
                <w:bCs w:val="1"/>
                <w:color w:val="auto"/>
              </w:rPr>
              <w:t>April 1, 2017</w:t>
            </w:r>
          </w:p>
        </w:tc>
        <w:tc>
          <w:tcPr>
            <w:tcW w:w="2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374"/>
              <w:spacing w:after="0" w:line="155" w:lineRule="exact"/>
              <w:rPr>
                <w:sz w:val="20"/>
                <w:szCs w:val="20"/>
                <w:color w:val="auto"/>
              </w:rPr>
            </w:pPr>
            <w:r>
              <w:rPr>
                <w:rFonts w:ascii="Times New Roman" w:cs="Times New Roman" w:eastAsia="Times New Roman" w:hAnsi="Times New Roman"/>
                <w:sz w:val="14"/>
                <w:szCs w:val="14"/>
                <w:b w:val="1"/>
                <w:bCs w:val="1"/>
                <w:color w:val="auto"/>
              </w:rPr>
              <w:t>April 2, 2016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5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beginning of the period</w:t>
            </w:r>
          </w:p>
        </w:tc>
        <w:tc>
          <w:tcPr>
            <w:tcW w:w="6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Payments against earn-out</w:t>
            </w: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w:t>
            </w:r>
          </w:p>
        </w:tc>
        <w:tc>
          <w:tcPr>
            <w:tcW w:w="28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earn-out liability</w:t>
            </w:r>
          </w:p>
        </w:tc>
        <w:tc>
          <w:tcPr>
            <w:tcW w:w="6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the end of the period</w:t>
            </w:r>
          </w:p>
        </w:tc>
        <w:tc>
          <w:tcPr>
            <w:tcW w:w="6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The earn-out liability is included in accrued expenses and other long-term liabilities in the condensed consolidated balance sheets. Any change in the fair value adjustment is recorded to other expense in the condensed consolidated statements of operations.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 Based Compensation</w:t>
      </w:r>
    </w:p>
    <w:p>
      <w:pPr>
        <w:spacing w:after="0" w:line="121"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The Company accounts for stock-based compensation granted to employees and directors, including employees stock option awards, restricted stock and restricted stock units in accordance with ASC 718</w:t>
      </w:r>
      <w:r>
        <w:rPr>
          <w:rFonts w:ascii="Times New Roman" w:cs="Times New Roman" w:eastAsia="Times New Roman" w:hAnsi="Times New Roman"/>
          <w:sz w:val="18"/>
          <w:szCs w:val="18"/>
          <w:i w:val="1"/>
          <w:iCs w:val="1"/>
          <w:color w:val="auto"/>
        </w:rPr>
        <w:t>, “Compensation – Stock Compensation”</w:t>
      </w:r>
      <w:r>
        <w:rPr>
          <w:rFonts w:ascii="Times New Roman" w:cs="Times New Roman" w:eastAsia="Times New Roman" w:hAnsi="Times New Roman"/>
          <w:sz w:val="18"/>
          <w:szCs w:val="18"/>
          <w:color w:val="auto"/>
        </w:rPr>
        <w:t xml:space="preserve"> (“ASC 718”). Accordingly, stock-based compensation cost is measured at grant date, based on the fair value of the award, and is recognized as expense over the employee’s service period. The Company recognizes compensation expense on a ratable basis over the requisite service period of the award.</w:t>
      </w:r>
    </w:p>
    <w:p>
      <w:pPr>
        <w:spacing w:after="0" w:line="180" w:lineRule="exact"/>
        <w:rPr>
          <w:sz w:val="20"/>
          <w:szCs w:val="20"/>
          <w:color w:val="auto"/>
        </w:rPr>
      </w:pPr>
    </w:p>
    <w:p>
      <w:pPr>
        <w:ind w:right="160" w:firstLine="518"/>
        <w:spacing w:after="0" w:line="258" w:lineRule="auto"/>
        <w:rPr>
          <w:sz w:val="20"/>
          <w:szCs w:val="20"/>
          <w:color w:val="auto"/>
        </w:rPr>
      </w:pPr>
      <w:r>
        <w:rPr>
          <w:rFonts w:ascii="Times New Roman" w:cs="Times New Roman" w:eastAsia="Times New Roman" w:hAnsi="Times New Roman"/>
          <w:sz w:val="18"/>
          <w:szCs w:val="18"/>
          <w:color w:val="auto"/>
        </w:rPr>
        <w:t>The Company values options using the Black-Scholes option pricing model. Restricted stock and time-based restricted stock units are valued at the grant date fair value of the underlying common shares. Performance-based restricted stock units with market conditions are valued using the Monte Carlo simulation model. The Black-Scholes option pricing model requires the use of highly subjective and complex assumptions which determine the fair value of stock-based awards, including the option’s expected term and the price volatility of the underlying stock. The Monte Carlo simulation model incorporates assumptions for the holding period, risk-free interest rate, stock price volatility and dividend yield.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2008 Equity Incentive Plan.</w:t>
      </w:r>
    </w:p>
    <w:p>
      <w:pPr>
        <w:spacing w:after="0" w:line="119" w:lineRule="exact"/>
        <w:rPr>
          <w:sz w:val="20"/>
          <w:szCs w:val="20"/>
          <w:color w:val="auto"/>
        </w:rPr>
      </w:pPr>
    </w:p>
    <w:p>
      <w:pPr>
        <w:ind w:right="200" w:firstLine="518"/>
        <w:spacing w:after="0" w:line="266" w:lineRule="auto"/>
        <w:rPr>
          <w:sz w:val="20"/>
          <w:szCs w:val="20"/>
          <w:color w:val="auto"/>
        </w:rPr>
      </w:pPr>
      <w:r>
        <w:rPr>
          <w:rFonts w:ascii="Times New Roman" w:cs="Times New Roman" w:eastAsia="Times New Roman" w:hAnsi="Times New Roman"/>
          <w:sz w:val="18"/>
          <w:szCs w:val="18"/>
          <w:color w:val="auto"/>
        </w:rPr>
        <w:t>For the three months ended April 1, 2017, the only active stock-based compensation plan was the 2008 Equity Incentive Plan (the “Incentive Plan”). The terms of awards granted during the three months ended April 1, 2017 were consistent with those described in the consolidated financial statements included in our Annual Report on Form 10-K for the year ended December 31, 2016.</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Summary of Stock Options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information regarding activity under the Incentive Plan during the three months ended April 1, 2017:</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center"/>
              <w:ind w:left="36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66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080" w:type="dxa"/>
            <w:vAlign w:val="bottom"/>
          </w:tcPr>
          <w:p>
            <w:pPr>
              <w:jc w:val="center"/>
              <w:ind w:left="34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6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1080" w:type="dxa"/>
            <w:vAlign w:val="bottom"/>
          </w:tcPr>
          <w:p>
            <w:pPr>
              <w:jc w:val="center"/>
              <w:ind w:left="365"/>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2016</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470,985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925"/>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38,000</w:t>
            </w:r>
          </w:p>
        </w:tc>
        <w:tc>
          <w:tcPr>
            <w:tcW w:w="140" w:type="dxa"/>
            <w:vAlign w:val="bottom"/>
          </w:tcPr>
          <w:p>
            <w:pPr>
              <w:spacing w:after="0"/>
              <w:rPr>
                <w:sz w:val="19"/>
                <w:szCs w:val="19"/>
                <w:color w:val="auto"/>
              </w:rPr>
            </w:pPr>
          </w:p>
        </w:tc>
        <w:tc>
          <w:tcPr>
            <w:tcW w:w="1180" w:type="dxa"/>
            <w:vAlign w:val="bottom"/>
            <w:gridSpan w:val="2"/>
          </w:tcPr>
          <w:p>
            <w:pPr>
              <w:jc w:val="right"/>
              <w:ind w:right="92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(27,447)</w:t>
            </w:r>
          </w:p>
        </w:tc>
        <w:tc>
          <w:tcPr>
            <w:tcW w:w="1180" w:type="dxa"/>
            <w:vAlign w:val="bottom"/>
            <w:gridSpan w:val="2"/>
            <w:shd w:val="clear" w:color="auto" w:fill="CFF0FC"/>
          </w:tcPr>
          <w:p>
            <w:pPr>
              <w:jc w:val="right"/>
              <w:ind w:right="92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Canceled or forfeited</w:t>
            </w:r>
          </w:p>
        </w:tc>
        <w:tc>
          <w:tcPr>
            <w:tcW w:w="1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(3,000)</w:t>
            </w:r>
          </w:p>
        </w:tc>
        <w:tc>
          <w:tcPr>
            <w:tcW w:w="1180" w:type="dxa"/>
            <w:vAlign w:val="bottom"/>
            <w:gridSpan w:val="2"/>
          </w:tcPr>
          <w:p>
            <w:pPr>
              <w:jc w:val="right"/>
              <w:ind w:right="92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April 1, 2017</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478,538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180" w:type="dxa"/>
            <w:vAlign w:val="bottom"/>
            <w:tcBorders>
              <w:top w:val="single" w:sz="8" w:color="CFF0FC"/>
              <w:bottom w:val="single" w:sz="8" w:color="CFF0FC"/>
            </w:tcBorders>
            <w:gridSpan w:val="2"/>
            <w:shd w:val="clear" w:color="auto" w:fill="CFF0FC"/>
          </w:tcPr>
          <w:p>
            <w:pPr>
              <w:jc w:val="right"/>
              <w:ind w:right="92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480" w:type="dxa"/>
            <w:vAlign w:val="bottom"/>
            <w:tcBorders>
              <w:top w:val="single" w:sz="8" w:color="CFF0FC"/>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the options granted under the Incentive Plan as calculated using the Black-Scholes option-pricing model was $5.44 and $4.14 per share for the three months ended April 1, 2017 and April 2, 2016, respectively.</w:t>
      </w:r>
    </w:p>
    <w:p>
      <w:pPr>
        <w:spacing w:after="0" w:line="162"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The Company uses the Black-Scholes option-pricing model to estimate fair value of stock-based awards (options) with the following weighted average assumptions: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2660" w:type="dxa"/>
            <w:vAlign w:val="bottom"/>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56"/>
        </w:trPr>
        <w:tc>
          <w:tcPr>
            <w:tcW w:w="5320" w:type="dxa"/>
            <w:vAlign w:val="bottom"/>
            <w:tcBorders>
              <w:bottom w:val="single" w:sz="8" w:color="CFF0FC"/>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76"/>
              <w:spacing w:after="0" w:line="155" w:lineRule="exact"/>
              <w:rPr>
                <w:sz w:val="20"/>
                <w:szCs w:val="20"/>
                <w:color w:val="auto"/>
              </w:rPr>
            </w:pPr>
            <w:r>
              <w:rPr>
                <w:rFonts w:ascii="Times New Roman" w:cs="Times New Roman" w:eastAsia="Times New Roman" w:hAnsi="Times New Roman"/>
                <w:sz w:val="14"/>
                <w:szCs w:val="14"/>
                <w:b w:val="1"/>
                <w:bCs w:val="1"/>
                <w:color w:val="auto"/>
              </w:rPr>
              <w:t>April 1, 2017</w:t>
            </w:r>
          </w:p>
        </w:tc>
        <w:tc>
          <w:tcPr>
            <w:tcW w:w="300" w:type="dxa"/>
            <w:vAlign w:val="bottom"/>
            <w:tcBorders>
              <w:top w:val="single" w:sz="8" w:color="auto"/>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54"/>
              <w:spacing w:after="0" w:line="155" w:lineRule="exact"/>
              <w:rPr>
                <w:sz w:val="20"/>
                <w:szCs w:val="20"/>
                <w:color w:val="auto"/>
              </w:rPr>
            </w:pPr>
            <w:r>
              <w:rPr>
                <w:rFonts w:ascii="Times New Roman" w:cs="Times New Roman" w:eastAsia="Times New Roman" w:hAnsi="Times New Roman"/>
                <w:sz w:val="14"/>
                <w:szCs w:val="14"/>
                <w:b w:val="1"/>
                <w:bCs w:val="1"/>
                <w:color w:val="auto"/>
              </w:rPr>
              <w:t>April 2, 2016</w:t>
            </w:r>
          </w:p>
        </w:tc>
        <w:tc>
          <w:tcPr>
            <w:tcW w:w="180" w:type="dxa"/>
            <w:vAlign w:val="bottom"/>
            <w:tcBorders>
              <w:bottom w:val="single" w:sz="8" w:color="CFF0FC"/>
            </w:tcBorders>
          </w:tcPr>
          <w:p>
            <w:pPr>
              <w:spacing w:after="0"/>
              <w:rPr>
                <w:sz w:val="13"/>
                <w:szCs w:val="13"/>
                <w:color w:val="auto"/>
              </w:rPr>
            </w:pPr>
          </w:p>
        </w:tc>
      </w:tr>
      <w:tr>
        <w:trPr>
          <w:trHeight w:val="223"/>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risk free interest rate</w:t>
            </w: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1.78%</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1.20%</w:t>
            </w:r>
          </w:p>
        </w:tc>
      </w:tr>
      <w:tr>
        <w:trPr>
          <w:trHeight w:val="23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4.55 years</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4.55 years</w:t>
            </w:r>
          </w:p>
        </w:tc>
      </w:tr>
      <w:tr>
        <w:trPr>
          <w:trHeight w:val="23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4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Average volatility</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r>
    </w:tbl>
    <w:p>
      <w:pPr>
        <w:spacing w:after="0" w:line="220" w:lineRule="exact"/>
        <w:rPr>
          <w:sz w:val="20"/>
          <w:szCs w:val="20"/>
          <w:color w:val="auto"/>
        </w:rPr>
      </w:pPr>
    </w:p>
    <w:p>
      <w:pPr>
        <w:ind w:right="40" w:firstLine="518"/>
        <w:spacing w:after="0" w:line="273" w:lineRule="auto"/>
        <w:rPr>
          <w:sz w:val="20"/>
          <w:szCs w:val="20"/>
          <w:color w:val="auto"/>
        </w:rPr>
      </w:pPr>
      <w:r>
        <w:rPr>
          <w:rFonts w:ascii="Times New Roman" w:cs="Times New Roman" w:eastAsia="Times New Roman" w:hAnsi="Times New Roman"/>
          <w:sz w:val="17"/>
          <w:szCs w:val="17"/>
          <w:color w:val="auto"/>
        </w:rPr>
        <w:t>Option-pricing models require the input of various subjective assumptions, including the option’s expected life and the price volatility of the underlying stock. The expected stock price volatility is based on analysis of the Company’s stock price history over a period commensurate with the expected term of the options, trading volume of the Company’s stock, look-back volatilities and Company specific events that affected volatility in a prior period. The expected term of employee stock options represents the weighted average period the stock options are expected to remain outstanding and is based on the history of exercises and cancellations on all past option grants made by the Company, the contractual term, the vesting period and the expected remaining term of the outstanding options. The risk-free interest rate is based on the U.S. Treasury interest rates whose term is consistent with the expected life of the stock options. No dividend yield is included as the Company has not issued any dividends and does not anticipate issuing any dividends in the future.</w:t>
      </w:r>
    </w:p>
    <w:p>
      <w:pPr>
        <w:spacing w:after="0" w:line="172" w:lineRule="exact"/>
        <w:rPr>
          <w:sz w:val="20"/>
          <w:szCs w:val="20"/>
          <w:color w:val="auto"/>
        </w:rPr>
      </w:pPr>
    </w:p>
    <w:p>
      <w:pPr>
        <w:ind w:right="22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shows stock-based compensation expense included in the condensed consolidated statements of operations for the three months ended April 1, 2017 and April 2, 2016:</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5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56"/>
        </w:trPr>
        <w:tc>
          <w:tcPr>
            <w:tcW w:w="546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95"/>
              <w:spacing w:after="0" w:line="155" w:lineRule="exact"/>
              <w:rPr>
                <w:sz w:val="20"/>
                <w:szCs w:val="20"/>
                <w:color w:val="auto"/>
              </w:rPr>
            </w:pPr>
            <w:r>
              <w:rPr>
                <w:rFonts w:ascii="Times New Roman" w:cs="Times New Roman" w:eastAsia="Times New Roman" w:hAnsi="Times New Roman"/>
                <w:sz w:val="14"/>
                <w:szCs w:val="14"/>
                <w:b w:val="1"/>
                <w:bCs w:val="1"/>
                <w:color w:val="auto"/>
              </w:rPr>
              <w:t>April 1, 2017</w:t>
            </w:r>
          </w:p>
        </w:tc>
        <w:tc>
          <w:tcPr>
            <w:tcW w:w="18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93"/>
              <w:spacing w:after="0" w:line="155" w:lineRule="exact"/>
              <w:rPr>
                <w:sz w:val="20"/>
                <w:szCs w:val="20"/>
                <w:color w:val="auto"/>
              </w:rPr>
            </w:pPr>
            <w:r>
              <w:rPr>
                <w:rFonts w:ascii="Times New Roman" w:cs="Times New Roman" w:eastAsia="Times New Roman" w:hAnsi="Times New Roman"/>
                <w:sz w:val="14"/>
                <w:szCs w:val="14"/>
                <w:b w:val="1"/>
                <w:bCs w:val="1"/>
                <w:color w:val="auto"/>
              </w:rPr>
              <w:t>April 2, 2016</w:t>
            </w:r>
          </w:p>
        </w:tc>
        <w:tc>
          <w:tcPr>
            <w:tcW w:w="60" w:type="dxa"/>
            <w:vAlign w:val="bottom"/>
            <w:tcBorders>
              <w:bottom w:val="single" w:sz="8" w:color="CFF0FC"/>
            </w:tcBorders>
          </w:tcPr>
          <w:p>
            <w:pPr>
              <w:spacing w:after="0"/>
              <w:rPr>
                <w:sz w:val="13"/>
                <w:szCs w:val="13"/>
                <w:color w:val="auto"/>
              </w:rPr>
            </w:pPr>
          </w:p>
        </w:tc>
      </w:tr>
      <w:tr>
        <w:trPr>
          <w:trHeight w:val="223"/>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60" w:type="dxa"/>
            <w:vAlign w:val="bottom"/>
            <w:tcBorders>
              <w:bottom w:val="single" w:sz="8" w:color="CFF0FC"/>
            </w:tcBorders>
          </w:tcPr>
          <w:p>
            <w:pPr>
              <w:spacing w:after="0"/>
              <w:rPr>
                <w:sz w:val="19"/>
                <w:szCs w:val="19"/>
                <w:color w:val="auto"/>
              </w:rPr>
            </w:pPr>
          </w:p>
        </w:tc>
      </w:tr>
      <w:tr>
        <w:trPr>
          <w:trHeight w:val="237"/>
        </w:trPr>
        <w:tc>
          <w:tcPr>
            <w:tcW w:w="546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60" w:type="dxa"/>
            <w:vAlign w:val="bottom"/>
            <w:shd w:val="clear" w:color="auto" w:fill="CFF0FC"/>
          </w:tcPr>
          <w:p>
            <w:pPr>
              <w:spacing w:after="0"/>
              <w:rPr>
                <w:sz w:val="20"/>
                <w:szCs w:val="20"/>
                <w:color w:val="auto"/>
              </w:rPr>
            </w:pPr>
          </w:p>
        </w:tc>
      </w:tr>
      <w:tr>
        <w:trPr>
          <w:trHeight w:val="20"/>
        </w:trPr>
        <w:tc>
          <w:tcPr>
            <w:tcW w:w="54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Stock-based compensation expense capitalized to inventory was immaterial for the three months ended April 1, 2017 and April 2, 2016.</w:t>
      </w:r>
    </w:p>
    <w:p>
      <w:pPr>
        <w:spacing w:after="0" w:line="225" w:lineRule="exact"/>
        <w:rPr>
          <w:sz w:val="20"/>
          <w:szCs w:val="20"/>
          <w:color w:val="auto"/>
        </w:rPr>
      </w:pPr>
    </w:p>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Occasionally, the Company will grant stock-based instruments to non-employees. During the three months ended April 1, 2017 and April 2, 2016, the amount of stock-based compensation related to non-employee options was not material.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84" w:right="259" w:bottom="1440" w:gutter="0" w:footer="0" w:header="0"/>
        </w:sectPr>
      </w:pPr>
    </w:p>
    <w:bookmarkStart w:id="14" w:name="page15"/>
    <w:bookmarkEnd w:id="14"/>
    <w:p>
      <w:pPr>
        <w:ind w:left="520"/>
        <w:spacing w:after="0"/>
        <w:rPr>
          <w:sz w:val="20"/>
          <w:szCs w:val="20"/>
          <w:color w:val="auto"/>
        </w:rPr>
      </w:pPr>
      <w:r>
        <w:rPr>
          <w:rFonts w:ascii="Times New Roman" w:cs="Times New Roman" w:eastAsia="Times New Roman" w:hAnsi="Times New Roman"/>
          <w:sz w:val="18"/>
          <w:szCs w:val="18"/>
          <w:color w:val="auto"/>
        </w:rPr>
        <w:t>Information regarding stock options outstanding, vested and expected to vest and exercisable as of April 1, 2017 is summarized below:</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14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2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4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4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20" w:type="dxa"/>
            <w:vAlign w:val="bottom"/>
          </w:tcPr>
          <w:p>
            <w:pPr>
              <w:spacing w:after="0"/>
              <w:rPr>
                <w:sz w:val="12"/>
                <w:szCs w:val="12"/>
                <w:color w:val="auto"/>
              </w:rPr>
            </w:pPr>
          </w:p>
        </w:tc>
        <w:tc>
          <w:tcPr>
            <w:tcW w:w="11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112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12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14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w:t>
            </w:r>
          </w:p>
        </w:tc>
        <w:tc>
          <w:tcPr>
            <w:tcW w:w="112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478,538</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2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Options vested and expected to vest</w:t>
            </w:r>
          </w:p>
        </w:tc>
        <w:tc>
          <w:tcPr>
            <w:tcW w:w="11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450,850</w:t>
            </w:r>
          </w:p>
        </w:tc>
        <w:tc>
          <w:tcPr>
            <w:tcW w:w="28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20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4.44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exercisable</w:t>
            </w:r>
          </w:p>
        </w:tc>
        <w:tc>
          <w:tcPr>
            <w:tcW w:w="11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237,456</w:t>
            </w:r>
          </w:p>
        </w:tc>
        <w:tc>
          <w:tcPr>
            <w:tcW w:w="28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3.63</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pre-tax intrinsic value, based on the Company’s closing price as of April 1, 2017, that would have been received by option holders had all option holders exercised their stock options as of that date. This amount changes based on the fair market value of the Company’s stock. The total intrinsic value of options exercised for the three months ended April 1, 2017 and April 2, 2016 was approximately $226 thousand and $285 thousand, respectively.</w:t>
      </w:r>
    </w:p>
    <w:p>
      <w:pPr>
        <w:spacing w:after="0" w:line="180" w:lineRule="exact"/>
        <w:rPr>
          <w:sz w:val="20"/>
          <w:szCs w:val="20"/>
          <w:color w:val="auto"/>
        </w:rPr>
      </w:pPr>
    </w:p>
    <w:p>
      <w:pPr>
        <w:ind w:right="340" w:firstLine="518"/>
        <w:spacing w:after="0" w:line="282" w:lineRule="auto"/>
        <w:rPr>
          <w:sz w:val="20"/>
          <w:szCs w:val="20"/>
          <w:color w:val="auto"/>
        </w:rPr>
      </w:pPr>
      <w:r>
        <w:rPr>
          <w:rFonts w:ascii="Times New Roman" w:cs="Times New Roman" w:eastAsia="Times New Roman" w:hAnsi="Times New Roman"/>
          <w:sz w:val="18"/>
          <w:szCs w:val="18"/>
          <w:color w:val="auto"/>
        </w:rPr>
        <w:t>As of April 1, 2017, there was $3.4 million of total unrecognized compensation cost, net of expected forfeitures, related to non-vested stock-based compensation arrangements under the Incentive Plan. The cost is expected to be recognized over a weighted average period of 2.61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Restricted Stock Units and Awards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Information regarding the restricted stock units (“RSUs”) activity for the three months ended April 1, 2017 is summarized below:</w:t>
      </w:r>
    </w:p>
    <w:p>
      <w:pPr>
        <w:sectPr>
          <w:pgSz w:w="11900" w:h="16838" w:orient="portrait"/>
          <w:cols w:equalWidth="0" w:num="1">
            <w:col w:w="11400"/>
          </w:cols>
          <w:pgMar w:left="240" w:top="580" w:right="2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7"/>
          <w:szCs w:val="17"/>
          <w:color w:val="auto"/>
        </w:rPr>
        <w:t>Outstanding 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-128905</wp:posOffset>
            </wp:positionV>
            <wp:extent cx="434784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347845" cy="154305"/>
                    </a:xfrm>
                    <a:prstGeom prst="rect">
                      <a:avLst/>
                    </a:prstGeom>
                    <a:noFill/>
                  </pic:spPr>
                </pic:pic>
              </a:graphicData>
            </a:graphic>
          </wp:anchor>
        </w:drawing>
      </w:r>
    </w:p>
    <w:p>
      <w:pPr>
        <w:spacing w:after="0" w:line="1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Restricted stock units granted</w:t>
      </w:r>
    </w:p>
    <w:p>
      <w:pPr>
        <w:spacing w:after="0" w:line="23"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Restricted stock units released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-130810</wp:posOffset>
            </wp:positionV>
            <wp:extent cx="4347845"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3"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Restricted stock units cancelled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14605</wp:posOffset>
            </wp:positionV>
            <wp:extent cx="4347845"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347845" cy="163195"/>
                    </a:xfrm>
                    <a:prstGeom prst="rect">
                      <a:avLst/>
                    </a:prstGeom>
                    <a:noFill/>
                  </pic:spPr>
                </pic:pic>
              </a:graphicData>
            </a:graphic>
          </wp:anchor>
        </w:drawing>
      </w:r>
    </w:p>
    <w:p>
      <w:pPr>
        <w:spacing w:after="0" w:line="11"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Outstanding as of April 1, 2017</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 Shares</w:t>
      </w:r>
    </w:p>
    <w:p>
      <w:pPr>
        <w:spacing w:after="0" w:line="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335,805</w:t>
      </w:r>
    </w:p>
    <w:p>
      <w:pPr>
        <w:spacing w:after="0" w:line="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42,000</w:t>
      </w:r>
    </w:p>
    <w:p>
      <w:pPr>
        <w:spacing w:after="0" w:line="23" w:lineRule="exact"/>
        <w:rPr>
          <w:sz w:val="20"/>
          <w:szCs w:val="20"/>
          <w:color w:val="auto"/>
        </w:rPr>
      </w:pPr>
    </w:p>
    <w:p>
      <w:pPr>
        <w:jc w:val="right"/>
        <w:ind w:right="2280"/>
        <w:spacing w:after="0"/>
        <w:rPr>
          <w:sz w:val="20"/>
          <w:szCs w:val="20"/>
          <w:color w:val="auto"/>
        </w:rPr>
      </w:pPr>
      <w:r>
        <w:rPr>
          <w:rFonts w:ascii="Times New Roman" w:cs="Times New Roman" w:eastAsia="Times New Roman" w:hAnsi="Times New Roman"/>
          <w:sz w:val="18"/>
          <w:szCs w:val="18"/>
          <w:color w:val="auto"/>
        </w:rPr>
        <w:t>(57,327)</w:t>
      </w:r>
    </w:p>
    <w:p>
      <w:pPr>
        <w:spacing w:after="0" w:line="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320,478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34290</wp:posOffset>
            </wp:positionV>
            <wp:extent cx="7804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80" w:space="720"/>
            <w:col w:w="3200"/>
          </w:cols>
          <w:pgMar w:left="240" w:top="580" w:right="259" w:bottom="1440" w:gutter="0" w:footer="0" w:header="0"/>
          <w:type w:val="continuous"/>
        </w:sectPr>
      </w:pPr>
    </w:p>
    <w:p>
      <w:pPr>
        <w:spacing w:after="0" w:line="93"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During the three months ended April 1, 2017, the Company awarded 42,000 restricted stock units at a weighted-average grant date fair value of $13.88 per share subject to service, performance and market vesting conditions. Of this amount, 34,000 stock units represent performance based shares that are subject to service and performance vesting conditions with a weighted-average grant date fair value of $14.61 per share and 8,000 stock units represent performance based shares that are subject to service, performance and market vesting conditions with a weighted-average grant date fair value of $11.86 per share.</w:t>
      </w:r>
    </w:p>
    <w:p>
      <w:pPr>
        <w:spacing w:after="0" w:line="184" w:lineRule="exact"/>
        <w:rPr>
          <w:sz w:val="20"/>
          <w:szCs w:val="20"/>
          <w:color w:val="auto"/>
        </w:rPr>
      </w:pPr>
    </w:p>
    <w:p>
      <w:pPr>
        <w:ind w:right="120" w:firstLine="518"/>
        <w:spacing w:after="0" w:line="282" w:lineRule="auto"/>
        <w:rPr>
          <w:sz w:val="20"/>
          <w:szCs w:val="20"/>
          <w:color w:val="auto"/>
        </w:rPr>
      </w:pPr>
      <w:r>
        <w:rPr>
          <w:rFonts w:ascii="Times New Roman" w:cs="Times New Roman" w:eastAsia="Times New Roman" w:hAnsi="Times New Roman"/>
          <w:sz w:val="18"/>
          <w:szCs w:val="18"/>
          <w:color w:val="auto"/>
        </w:rPr>
        <w:t>RSUs granted with market conditions are valued using the Monte Carlo simulation model and compensation expense is recognized ratably during the service period even if the market condition is not satisfied. To the extent that the market condition is not met, the RSUs will not vest and will be cancelled.</w:t>
      </w:r>
    </w:p>
    <w:p>
      <w:pPr>
        <w:spacing w:after="0" w:line="162"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RSUs granted with performance conditions are valued at the grant date fair value of the underlying common shares. The Company makes a determination regarding the probability of the performance criteria being achieved and compensation expense is recognized ratably over the vesting period, if it is expected that the performance criteria will be met.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w:t>
      </w:r>
    </w:p>
    <w:p>
      <w:pPr>
        <w:spacing w:after="0" w:line="117" w:lineRule="exact"/>
        <w:rPr>
          <w:sz w:val="20"/>
          <w:szCs w:val="20"/>
          <w:color w:val="auto"/>
        </w:rPr>
      </w:pPr>
    </w:p>
    <w:p>
      <w:pPr>
        <w:ind w:right="40" w:firstLine="518"/>
        <w:spacing w:after="0" w:line="263" w:lineRule="auto"/>
        <w:rPr>
          <w:sz w:val="20"/>
          <w:szCs w:val="20"/>
          <w:color w:val="auto"/>
        </w:rPr>
      </w:pPr>
      <w:r>
        <w:rPr>
          <w:rFonts w:ascii="Times New Roman" w:cs="Times New Roman" w:eastAsia="Times New Roman" w:hAnsi="Times New Roman"/>
          <w:sz w:val="18"/>
          <w:szCs w:val="18"/>
          <w:color w:val="auto"/>
        </w:rPr>
        <w:t xml:space="preserve">The Company calculates its interim tax provision in accordance with the provisions of ASC 740-270, </w:t>
      </w:r>
      <w:r>
        <w:rPr>
          <w:rFonts w:ascii="Times New Roman" w:cs="Times New Roman" w:eastAsia="Times New Roman" w:hAnsi="Times New Roman"/>
          <w:sz w:val="18"/>
          <w:szCs w:val="18"/>
          <w:i w:val="1"/>
          <w:iCs w:val="1"/>
          <w:color w:val="auto"/>
        </w:rPr>
        <w:t>Income Taxes; Interim Reporting</w:t>
      </w:r>
      <w:r>
        <w:rPr>
          <w:rFonts w:ascii="Times New Roman" w:cs="Times New Roman" w:eastAsia="Times New Roman" w:hAnsi="Times New Roman"/>
          <w:sz w:val="18"/>
          <w:szCs w:val="18"/>
          <w:color w:val="auto"/>
        </w:rPr>
        <w:t>. For interim periods, the Company estimates its annual effective income tax rate and applies the estimated rate to the year-to-date income or loss before income taxes. The Company also computes the tax provision or benefit related to items reported separately and recognizes the items net of their related tax effect in the interim periods in which they occur. The Company also recognizes the effect of changes in enacted tax laws or rates in the interim periods in which the changes occur. The Company recorded a provision for income tax of $6 thousand and $40 thousand for the three months ended April 1, 2017 and April 2, 2016, respectively.</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color w:val="auto"/>
        </w:rPr>
        <w:t>Deferred Income Taxes.</w:t>
      </w:r>
    </w:p>
    <w:p>
      <w:pPr>
        <w:spacing w:after="0" w:line="77" w:lineRule="exact"/>
        <w:rPr>
          <w:sz w:val="20"/>
          <w:szCs w:val="20"/>
          <w:color w:val="auto"/>
        </w:rPr>
      </w:pPr>
    </w:p>
    <w:p>
      <w:pPr>
        <w:jc w:val="both"/>
        <w:ind w:firstLine="518"/>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income taxes in accordance with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which requires that deferred tax assets and liabilities be recognized using enacted tax rates for the effect of temporary differences between the book and tax bases of recorded assets and liabilities. ASC 740 also requires that deferred tax assets be reduced by a valuation allowance if it is more likely than not that some or all of the deferred tax assets will not be realized. As of the fourth quarter of fiscal year 2016, based on the Company’s recent history of earnings and its forecasted losses, management believes on the more likely than not basis that a full valuation allowance is required. Accordingly, in the fourth quarter of fiscal year 2016, the company provided a full valuation allowance on its federal and states deferred tax assets.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119" w:lineRule="exact"/>
        <w:rPr>
          <w:sz w:val="20"/>
          <w:szCs w:val="20"/>
          <w:color w:val="auto"/>
        </w:rPr>
      </w:pPr>
    </w:p>
    <w:p>
      <w:pPr>
        <w:ind w:right="480" w:firstLine="518"/>
        <w:spacing w:after="0" w:line="282" w:lineRule="auto"/>
        <w:rPr>
          <w:sz w:val="20"/>
          <w:szCs w:val="20"/>
          <w:color w:val="auto"/>
        </w:rPr>
      </w:pPr>
      <w:r>
        <w:rPr>
          <w:rFonts w:ascii="Times New Roman" w:cs="Times New Roman" w:eastAsia="Times New Roman" w:hAnsi="Times New Roman"/>
          <w:sz w:val="18"/>
          <w:szCs w:val="18"/>
          <w:color w:val="auto"/>
        </w:rPr>
        <w:t>The Company accounts for its uncertain tax positions in accordance with ASC 740. As of December 31, 2016, the Company had $1.0 million of unrecognized tax benefits none of unrecognized tax benefits would result in a change in the Company’s effective tax rate if recognized in future years.</w:t>
      </w:r>
    </w:p>
    <w:p>
      <w:pPr>
        <w:spacing w:after="0" w:line="162" w:lineRule="exact"/>
        <w:rPr>
          <w:sz w:val="20"/>
          <w:szCs w:val="20"/>
          <w:color w:val="auto"/>
        </w:rPr>
      </w:pPr>
    </w:p>
    <w:p>
      <w:pPr>
        <w:ind w:right="700" w:firstLine="518"/>
        <w:spacing w:after="0" w:line="282" w:lineRule="auto"/>
        <w:rPr>
          <w:sz w:val="20"/>
          <w:szCs w:val="20"/>
          <w:color w:val="auto"/>
        </w:rPr>
      </w:pPr>
      <w:r>
        <w:rPr>
          <w:rFonts w:ascii="Times New Roman" w:cs="Times New Roman" w:eastAsia="Times New Roman" w:hAnsi="Times New Roman"/>
          <w:sz w:val="18"/>
          <w:szCs w:val="18"/>
          <w:color w:val="auto"/>
        </w:rPr>
        <w:t>The Company is not aware of any other uncertain tax positions that could result in significant additional payments, accruals, or other material deviation in this estimate during the fiscal year.</w:t>
      </w:r>
    </w:p>
    <w:p>
      <w:pPr>
        <w:spacing w:after="0" w:line="162" w:lineRule="exact"/>
        <w:rPr>
          <w:sz w:val="20"/>
          <w:szCs w:val="20"/>
          <w:color w:val="auto"/>
        </w:rPr>
      </w:pPr>
    </w:p>
    <w:p>
      <w:pPr>
        <w:ind w:right="440" w:firstLine="518"/>
        <w:spacing w:after="0" w:line="282" w:lineRule="auto"/>
        <w:rPr>
          <w:sz w:val="20"/>
          <w:szCs w:val="20"/>
          <w:color w:val="auto"/>
        </w:rPr>
      </w:pPr>
      <w:r>
        <w:rPr>
          <w:rFonts w:ascii="Times New Roman" w:cs="Times New Roman" w:eastAsia="Times New Roman" w:hAnsi="Times New Roman"/>
          <w:sz w:val="18"/>
          <w:szCs w:val="18"/>
          <w:color w:val="auto"/>
        </w:rPr>
        <w:t>The Company files U.S. federal and state returns. The tax years 2010 to 2016 remain open in several jurisdictions, none of which have individual significance.</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Computation of Basic and Diluted Net Loss Per Common Share</w:t>
      </w:r>
    </w:p>
    <w:p>
      <w:pPr>
        <w:spacing w:after="0" w:line="229" w:lineRule="exact"/>
        <w:rPr>
          <w:sz w:val="20"/>
          <w:szCs w:val="20"/>
          <w:color w:val="auto"/>
        </w:rPr>
      </w:pPr>
    </w:p>
    <w:p>
      <w:pPr>
        <w:ind w:right="120" w:firstLine="761"/>
        <w:spacing w:after="0" w:line="258" w:lineRule="auto"/>
        <w:rPr>
          <w:sz w:val="20"/>
          <w:szCs w:val="20"/>
          <w:color w:val="auto"/>
        </w:rPr>
      </w:pPr>
      <w:r>
        <w:rPr>
          <w:rFonts w:ascii="Times New Roman" w:cs="Times New Roman" w:eastAsia="Times New Roman" w:hAnsi="Times New Roman"/>
          <w:sz w:val="18"/>
          <w:szCs w:val="18"/>
          <w:color w:val="auto"/>
        </w:rPr>
        <w:t>Basic and diluted net loss per share is based upon the weighted average number of common shares outstanding during the period. Common stock equivalents consist of incremental common shares issuable upon the exercise of stock options, and the release (vesting) of restricted stock units and awards and are calculated under the treasury stock method. Common stock equivalent shares from unexercised stock options, and unvested restricted stock units and awards are excluded from the computation for periods in which we incur a net loss or if the exercise price of such options is greater than the average market price of our common stock for the period as their effect would be anti-dilutive.</w:t>
      </w:r>
    </w:p>
    <w:p>
      <w:pPr>
        <w:spacing w:after="0" w:line="184" w:lineRule="exact"/>
        <w:rPr>
          <w:sz w:val="20"/>
          <w:szCs w:val="20"/>
          <w:color w:val="auto"/>
        </w:rPr>
      </w:pPr>
    </w:p>
    <w:p>
      <w:pPr>
        <w:ind w:right="300" w:firstLine="761"/>
        <w:spacing w:after="0" w:line="282" w:lineRule="auto"/>
        <w:rPr>
          <w:sz w:val="20"/>
          <w:szCs w:val="20"/>
          <w:color w:val="auto"/>
        </w:rPr>
      </w:pPr>
      <w:r>
        <w:rPr>
          <w:rFonts w:ascii="Times New Roman" w:cs="Times New Roman" w:eastAsia="Times New Roman" w:hAnsi="Times New Roman"/>
          <w:sz w:val="18"/>
          <w:szCs w:val="18"/>
          <w:color w:val="auto"/>
        </w:rPr>
        <w:t>For the three months ended April 1, 2017 and April 2, 2016, stock options to purchase 799,016 and 205,012 shares, respectively, were excluded from the computation of diluted weighted average shares outstanding.</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numerator and denominator of basic and diluted net loss per common share is provided as follows:</w:t>
      </w:r>
    </w:p>
    <w:p>
      <w:pPr>
        <w:spacing w:after="0" w:line="200" w:lineRule="exact"/>
        <w:rPr>
          <w:sz w:val="20"/>
          <w:szCs w:val="20"/>
          <w:color w:val="auto"/>
        </w:rPr>
      </w:pPr>
    </w:p>
    <w:p>
      <w:pPr>
        <w:spacing w:after="0" w:line="262"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2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4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April 1, 2017</w:t>
            </w:r>
          </w:p>
        </w:tc>
        <w:tc>
          <w:tcPr>
            <w:tcW w:w="280" w:type="dxa"/>
            <w:vAlign w:val="bottom"/>
          </w:tcPr>
          <w:p>
            <w:pPr>
              <w:spacing w:after="0"/>
              <w:rPr>
                <w:sz w:val="15"/>
                <w:szCs w:val="15"/>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April 2, 2016</w:t>
            </w:r>
          </w:p>
        </w:tc>
        <w:tc>
          <w:tcPr>
            <w:tcW w:w="0" w:type="dxa"/>
            <w:vAlign w:val="bottom"/>
          </w:tcPr>
          <w:p>
            <w:pPr>
              <w:spacing w:after="0"/>
              <w:rPr>
                <w:sz w:val="1"/>
                <w:szCs w:val="1"/>
                <w:color w:val="auto"/>
              </w:rPr>
            </w:pPr>
          </w:p>
        </w:tc>
      </w:tr>
      <w:tr>
        <w:trPr>
          <w:trHeight w:val="223"/>
        </w:trPr>
        <w:tc>
          <w:tcPr>
            <w:tcW w:w="48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Net (loss) income</w:t>
            </w:r>
          </w:p>
        </w:tc>
        <w:tc>
          <w:tcPr>
            <w:tcW w:w="20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(1,866)</w:t>
            </w:r>
          </w:p>
        </w:tc>
        <w:tc>
          <w:tcPr>
            <w:tcW w:w="2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Weighted average shares of common stock (basic)</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8"/>
                <w:szCs w:val="18"/>
                <w:color w:val="auto"/>
              </w:rPr>
              <w:t>11,518</w:t>
            </w: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Effect of dilutive preferred shares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Effect of dilutive stock options</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Effect of dilutive contingent shares</w:t>
            </w: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Weighted average shares of common stock (diluted)</w:t>
            </w: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74"/>
              <w:spacing w:after="0"/>
              <w:rPr>
                <w:sz w:val="20"/>
                <w:szCs w:val="20"/>
                <w:color w:val="auto"/>
              </w:rPr>
            </w:pPr>
            <w:r>
              <w:rPr>
                <w:rFonts w:ascii="Times New Roman" w:cs="Times New Roman" w:eastAsia="Times New Roman" w:hAnsi="Times New Roman"/>
                <w:sz w:val="18"/>
                <w:szCs w:val="18"/>
                <w:color w:val="auto"/>
              </w:rPr>
              <w:t>11,518</w:t>
            </w:r>
          </w:p>
        </w:tc>
        <w:tc>
          <w:tcPr>
            <w:tcW w:w="2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10,140</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 share data:</w:t>
            </w: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Basic net (loss) income per share</w:t>
            </w:r>
          </w:p>
        </w:tc>
        <w:tc>
          <w:tcPr>
            <w:tcW w:w="20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(0.16)</w:t>
            </w:r>
          </w:p>
        </w:tc>
        <w:tc>
          <w:tcPr>
            <w:tcW w:w="2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FF0FC"/>
              <w:bottom w:val="single" w:sz="8" w:color="CFF0FC"/>
            </w:tcBorders>
            <w:vMerge w:val="restart"/>
          </w:tcPr>
          <w:p>
            <w:pPr>
              <w:ind w:left="500"/>
              <w:spacing w:after="0"/>
              <w:rPr>
                <w:sz w:val="20"/>
                <w:szCs w:val="20"/>
                <w:color w:val="auto"/>
              </w:rPr>
            </w:pPr>
            <w:r>
              <w:rPr>
                <w:rFonts w:ascii="Times New Roman" w:cs="Times New Roman" w:eastAsia="Times New Roman" w:hAnsi="Times New Roman"/>
                <w:sz w:val="18"/>
                <w:szCs w:val="18"/>
                <w:color w:val="auto"/>
              </w:rPr>
              <w:t>Diluted net (loss) income per share</w:t>
            </w:r>
          </w:p>
        </w:tc>
        <w:tc>
          <w:tcPr>
            <w:tcW w:w="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(0.16)</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Business Segments</w:t>
      </w:r>
    </w:p>
    <w:p>
      <w:pPr>
        <w:spacing w:after="0" w:line="121"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The Company operates in one segment, ophthalmology. The Company develops, manufactures and markets medical devices. Our revenues arise from the sale of consoles, delivery devices, consumables, service and support activities.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16" w:name="page17"/>
    <w:bookmarkEnd w:id="16"/>
    <w:p>
      <w:pPr>
        <w:ind w:left="520"/>
        <w:spacing w:after="0"/>
        <w:rPr>
          <w:sz w:val="20"/>
          <w:szCs w:val="20"/>
          <w:color w:val="auto"/>
        </w:rPr>
      </w:pPr>
      <w:r>
        <w:rPr>
          <w:rFonts w:ascii="Times New Roman" w:cs="Times New Roman" w:eastAsia="Times New Roman" w:hAnsi="Times New Roman"/>
          <w:sz w:val="18"/>
          <w:szCs w:val="18"/>
          <w:color w:val="auto"/>
        </w:rPr>
        <w:t>Revenue information shown by geographic region, based on the sales destination, is as follows:</w:t>
      </w:r>
    </w:p>
    <w:p>
      <w:pPr>
        <w:spacing w:after="0" w:line="200" w:lineRule="exact"/>
        <w:rPr>
          <w:sz w:val="20"/>
          <w:szCs w:val="20"/>
          <w:color w:val="auto"/>
        </w:rPr>
      </w:pPr>
    </w:p>
    <w:p>
      <w:pPr>
        <w:spacing w:after="0" w:line="262" w:lineRule="exact"/>
        <w:rPr>
          <w:sz w:val="20"/>
          <w:szCs w:val="20"/>
          <w:color w:val="auto"/>
        </w:rPr>
      </w:pPr>
    </w:p>
    <w:tbl>
      <w:tblPr>
        <w:tblLayout w:type="fixed"/>
        <w:tblInd w:w="1720" w:type="dxa"/>
        <w:tblCellMar>
          <w:top w:w="0" w:type="dxa"/>
          <w:left w:w="0" w:type="dxa"/>
          <w:bottom w:w="0" w:type="dxa"/>
          <w:right w:w="0" w:type="dxa"/>
        </w:tblCellMar>
      </w:tblPr>
      <w:tr>
        <w:trPr>
          <w:trHeight w:val="190"/>
        </w:trPr>
        <w:tc>
          <w:tcPr>
            <w:tcW w:w="3600" w:type="dxa"/>
            <w:vAlign w:val="bottom"/>
          </w:tcPr>
          <w:p>
            <w:pPr>
              <w:spacing w:after="0"/>
              <w:rPr>
                <w:sz w:val="16"/>
                <w:szCs w:val="16"/>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April 1, 2017</w:t>
            </w: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April 2, 2016</w:t>
            </w:r>
          </w:p>
        </w:tc>
        <w:tc>
          <w:tcPr>
            <w:tcW w:w="0" w:type="dxa"/>
            <w:vAlign w:val="bottom"/>
          </w:tcPr>
          <w:p>
            <w:pPr>
              <w:spacing w:after="0"/>
              <w:rPr>
                <w:sz w:val="1"/>
                <w:szCs w:val="1"/>
                <w:color w:val="auto"/>
              </w:rPr>
            </w:pPr>
          </w:p>
        </w:tc>
      </w:tr>
      <w:tr>
        <w:trPr>
          <w:trHeight w:val="145"/>
        </w:trPr>
        <w:tc>
          <w:tcPr>
            <w:tcW w:w="3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44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3600" w:type="dxa"/>
            <w:vAlign w:val="bottom"/>
            <w:vMerge w:val="continue"/>
          </w:tcPr>
          <w:p>
            <w:pPr>
              <w:spacing w:after="0"/>
              <w:rPr>
                <w:sz w:val="19"/>
                <w:szCs w:val="19"/>
                <w:color w:val="auto"/>
              </w:rPr>
            </w:pPr>
          </w:p>
        </w:tc>
        <w:tc>
          <w:tcPr>
            <w:tcW w:w="1440" w:type="dxa"/>
            <w:vAlign w:val="bottom"/>
            <w:tcBorders>
              <w:top w:val="single" w:sz="8" w:color="auto"/>
            </w:tcBorders>
          </w:tcPr>
          <w:p>
            <w:pPr>
              <w:jc w:val="right"/>
              <w:ind w:right="1279"/>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5,704</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w:t>
            </w:r>
          </w:p>
        </w:tc>
        <w:tc>
          <w:tcPr>
            <w:tcW w:w="14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Rest of Americas</w:t>
            </w:r>
          </w:p>
        </w:tc>
        <w:tc>
          <w:tcPr>
            <w:tcW w:w="14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Asia/Pacific Rim</w:t>
            </w:r>
          </w:p>
        </w:tc>
        <w:tc>
          <w:tcPr>
            <w:tcW w:w="14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0" w:type="dxa"/>
            <w:vAlign w:val="bottom"/>
          </w:tcPr>
          <w:p>
            <w:pPr>
              <w:spacing w:after="0"/>
              <w:rPr>
                <w:sz w:val="19"/>
                <w:szCs w:val="19"/>
                <w:color w:val="auto"/>
              </w:rPr>
            </w:pPr>
          </w:p>
        </w:tc>
        <w:tc>
          <w:tcPr>
            <w:tcW w:w="1440" w:type="dxa"/>
            <w:vAlign w:val="bottom"/>
            <w:tcBorders>
              <w:bottom w:val="single" w:sz="8" w:color="auto"/>
            </w:tcBorders>
          </w:tcPr>
          <w:p>
            <w:pPr>
              <w:jc w:val="right"/>
              <w:ind w:right="1279"/>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Revenues are attributed to countries based on location of end customers. United States accounted for 54.4% and 49.0% of revenues for the three month periods ended April 1, 2017 and April 2, 2016, respectively. International sales, other than the United States, accounted for 45.6% and 51.0% of revenues for the three month periods ended April 1, 2017 and April 2, 2016, respectively.</w:t>
      </w:r>
    </w:p>
    <w:p>
      <w:pPr>
        <w:spacing w:after="0" w:line="244"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No customer accounted for more than 10% of total revenues for the three month periods ended April 1, 2017 and one customer accounted for 15% of total revenues for the three month periods ended April 2, 2016</w:t>
      </w:r>
    </w:p>
    <w:p>
      <w:pPr>
        <w:spacing w:after="0" w:line="229" w:lineRule="exact"/>
        <w:rPr>
          <w:sz w:val="20"/>
          <w:szCs w:val="20"/>
          <w:color w:val="auto"/>
        </w:rPr>
      </w:pPr>
    </w:p>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No customer accounted for more than 10% of account receivable balance for the three month periods ended April 1, 2017 and one customer accounted for approximately 19% of account receivable balance as of April 2, 2016.</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Subsequent Events</w:t>
      </w:r>
    </w:p>
    <w:p>
      <w:pPr>
        <w:spacing w:after="0" w:line="121" w:lineRule="exact"/>
        <w:rPr>
          <w:sz w:val="20"/>
          <w:szCs w:val="20"/>
          <w:color w:val="auto"/>
        </w:rPr>
      </w:pPr>
    </w:p>
    <w:p>
      <w:pPr>
        <w:ind w:right="200" w:firstLine="761"/>
        <w:spacing w:after="0" w:line="282" w:lineRule="auto"/>
        <w:rPr>
          <w:sz w:val="20"/>
          <w:szCs w:val="20"/>
          <w:color w:val="auto"/>
        </w:rPr>
      </w:pPr>
      <w:r>
        <w:rPr>
          <w:rFonts w:ascii="Times New Roman" w:cs="Times New Roman" w:eastAsia="Times New Roman" w:hAnsi="Times New Roman"/>
          <w:sz w:val="18"/>
          <w:szCs w:val="18"/>
          <w:color w:val="auto"/>
        </w:rPr>
        <w:t>On April 26, 2017, IRIDEX Corporation (the “Company”), entered into that certain Triple Net Lease (the “Lease”) dated April 26, 2017 between the Company and Terra Bella LLC, which extends the Company’s occupancy of its current headquarters through February 2022.</w:t>
      </w:r>
    </w:p>
    <w:p>
      <w:pPr>
        <w:spacing w:after="0" w:line="54" w:lineRule="exact"/>
        <w:rPr>
          <w:sz w:val="20"/>
          <w:szCs w:val="20"/>
          <w:color w:val="auto"/>
        </w:rPr>
      </w:pPr>
    </w:p>
    <w:p>
      <w:pPr>
        <w:ind w:right="260" w:firstLine="518"/>
        <w:spacing w:after="0" w:line="261" w:lineRule="auto"/>
        <w:rPr>
          <w:sz w:val="20"/>
          <w:szCs w:val="20"/>
          <w:color w:val="auto"/>
        </w:rPr>
      </w:pPr>
      <w:r>
        <w:rPr>
          <w:rFonts w:ascii="Times New Roman" w:cs="Times New Roman" w:eastAsia="Times New Roman" w:hAnsi="Times New Roman"/>
          <w:sz w:val="18"/>
          <w:szCs w:val="18"/>
          <w:color w:val="auto"/>
        </w:rPr>
        <w:t>The Lease term will commence on March 1, 2019, immediately following the expiration of the Company’s current lease of the premises. The Lease provides for a base rent of approximately $100,000 per month commencing March 1, 2019. The Company is also responsible for the payment of certain operating expenses and taxes during the term. The Lease provides the landlord with a termination right, which can be exercised by the landlord by giving written notice to the Company at least thirty (30) months prior to the effective date of the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firstLine="629"/>
        <w:spacing w:after="0" w:line="221" w:lineRule="exact"/>
        <w:rPr>
          <w:sz w:val="20"/>
          <w:szCs w:val="20"/>
          <w:color w:val="auto"/>
        </w:rPr>
      </w:pPr>
      <w:r>
        <w:rPr>
          <w:rFonts w:ascii="Times New Roman" w:cs="Times New Roman" w:eastAsia="Times New Roman" w:hAnsi="Times New Roman"/>
          <w:sz w:val="18"/>
          <w:szCs w:val="18"/>
          <w:i w:val="1"/>
          <w:iCs w:val="1"/>
          <w:color w:val="auto"/>
        </w:rPr>
        <w:t>This Quarterly Report on Form 10-Q contains certain forward-looking statements within the meaning of Section 27A of the Securities Act of 1933, as amended, and Section 21E of the Securities Exchange Act of 1934, as amended. These statements are based on management’s beliefs and assumptions and on information currently available to management. These statements include statements concerning future demand and order levels for the Company's products, future operating expenses, changes in personnel, product development and intellectual property related matters, the adoption and effect of Company products on its results, the markets in which the Company operates, usage and efficacy of the Company's products, the Company’s future financial results, and the Company's strategic plans and objectives In some cases, forward-looking statements can be identified by terminology, such as “may,” “will,” “should,” “expects,” “plans,” “anticipates,” “believes,” “estimates,” “predicts,” “intends,” “potential,” “continue,” or the negative of such terms or other comparable terminology, although not all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contain these words.</w:t>
      </w:r>
    </w:p>
    <w:p>
      <w:pPr>
        <w:spacing w:after="0" w:line="178" w:lineRule="exact"/>
        <w:rPr>
          <w:sz w:val="20"/>
          <w:szCs w:val="20"/>
          <w:color w:val="auto"/>
        </w:rPr>
      </w:pPr>
    </w:p>
    <w:p>
      <w:pPr>
        <w:ind w:right="20" w:firstLine="629"/>
        <w:spacing w:after="0" w:line="257" w:lineRule="auto"/>
        <w:rPr>
          <w:sz w:val="20"/>
          <w:szCs w:val="20"/>
          <w:color w:val="auto"/>
        </w:rPr>
      </w:pPr>
      <w:r>
        <w:rPr>
          <w:rFonts w:ascii="Times New Roman" w:cs="Times New Roman" w:eastAsia="Times New Roman" w:hAnsi="Times New Roman"/>
          <w:sz w:val="18"/>
          <w:szCs w:val="18"/>
          <w:i w:val="1"/>
          <w:iCs w:val="1"/>
          <w:color w:val="auto"/>
        </w:rPr>
        <w:t>These statements involve known and unknown risks, uncertainties and other factors which may cause our actual results, performance or achievements to differ materially from those expressed or implied by such forward-looking statements. The reader is strongly urged to read the information contained under Item 1A of Part II of this Quarterly Report on Form 10-Q for a more detailed description of these significant risks and uncertainties. The reader is cautioned not to place undue reliance on these forward-looking statements, which reflect management’s analysis only as of the date of this Quarterly Report on Form 10-Q. We undertake no obligation to update such forward-looking statements to reflect events or circumstances occurring after the date of this report.</w:t>
      </w:r>
    </w:p>
    <w:p>
      <w:pPr>
        <w:spacing w:after="0" w:line="183" w:lineRule="exact"/>
        <w:rPr>
          <w:sz w:val="20"/>
          <w:szCs w:val="20"/>
          <w:color w:val="auto"/>
        </w:rPr>
      </w:pPr>
    </w:p>
    <w:p>
      <w:pPr>
        <w:ind w:right="340" w:firstLine="629"/>
        <w:spacing w:after="0" w:line="284" w:lineRule="auto"/>
        <w:rPr>
          <w:sz w:val="20"/>
          <w:szCs w:val="20"/>
          <w:color w:val="auto"/>
        </w:rPr>
      </w:pPr>
      <w:r>
        <w:rPr>
          <w:rFonts w:ascii="Times New Roman" w:cs="Times New Roman" w:eastAsia="Times New Roman" w:hAnsi="Times New Roman"/>
          <w:sz w:val="18"/>
          <w:szCs w:val="18"/>
          <w:i w:val="1"/>
          <w:iCs w:val="1"/>
          <w:color w:val="auto"/>
        </w:rPr>
        <w:t>As used in this Quarterly Report on Form 10-Q, the terms “Company,” “IRIDEX,” “we,” “us” and “our” refer to IRIDEX Corporation, and its consolidated subsidiaries.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IRIDEX Corporation is an ophthalmic medical technology company focused on the development and commercialization of breakthrough products and procedures used to treat sight-threatening eye conditions, including glaucoma and retinal diseases. Certain of our products are powered by our proprietary MicroPulse technology, which is a method of delivering laser energy using a mode which chops the continuous wave laser beam into short, microsecond-long laser pulses. Our products consist of laser consoles, delivery devices and consumable instrumentation, including laser probes.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laser consoles consist of the following product lines:</w:t>
      </w:r>
    </w:p>
    <w:p>
      <w:pPr>
        <w:spacing w:after="0" w:line="329" w:lineRule="exact"/>
        <w:rPr>
          <w:sz w:val="20"/>
          <w:szCs w:val="20"/>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Glaucoma </w:t>
      </w:r>
      <w:r>
        <w:rPr>
          <w:rFonts w:ascii="Times New Roman" w:cs="Times New Roman" w:eastAsia="Times New Roman" w:hAnsi="Times New Roman"/>
          <w:sz w:val="18"/>
          <w:szCs w:val="18"/>
          <w:color w:val="auto"/>
        </w:rPr>
        <w:t>– This product line includes our recently introduced Cyclo G6 laser system used for the treatment of glaucoma;</w:t>
      </w:r>
    </w:p>
    <w:p>
      <w:pPr>
        <w:spacing w:after="0" w:line="225" w:lineRule="exact"/>
        <w:rPr>
          <w:rFonts w:ascii="Times New Roman" w:cs="Times New Roman" w:eastAsia="Times New Roman" w:hAnsi="Times New Roman"/>
          <w:sz w:val="18"/>
          <w:szCs w:val="18"/>
          <w:color w:val="auto"/>
        </w:rPr>
      </w:pPr>
    </w:p>
    <w:p>
      <w:pPr>
        <w:ind w:left="900" w:right="580" w:hanging="325"/>
        <w:spacing w:after="0" w:line="286"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Medical Retina </w:t>
      </w:r>
      <w:r>
        <w:rPr>
          <w:rFonts w:ascii="Times New Roman" w:cs="Times New Roman" w:eastAsia="Times New Roman" w:hAnsi="Times New Roman"/>
          <w:sz w:val="18"/>
          <w:szCs w:val="18"/>
          <w:color w:val="auto"/>
        </w:rPr>
        <w:t>– Our medical retina product line includes our IQ 532 and IQ 577 laser photocoagulation systems, which are used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treatment of diabetic macular edema and other retinal diseases; and</w:t>
      </w:r>
    </w:p>
    <w:p>
      <w:pPr>
        <w:spacing w:after="0" w:line="154" w:lineRule="exact"/>
        <w:rPr>
          <w:rFonts w:ascii="Times New Roman" w:cs="Times New Roman" w:eastAsia="Times New Roman" w:hAnsi="Times New Roman"/>
          <w:sz w:val="18"/>
          <w:szCs w:val="18"/>
          <w:color w:val="auto"/>
        </w:rPr>
      </w:pPr>
    </w:p>
    <w:p>
      <w:pPr>
        <w:jc w:val="both"/>
        <w:ind w:left="900" w:right="40" w:hanging="325"/>
        <w:spacing w:after="0" w:line="268"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Surgical Retina </w:t>
      </w:r>
      <w:r>
        <w:rPr>
          <w:rFonts w:ascii="Times New Roman" w:cs="Times New Roman" w:eastAsia="Times New Roman" w:hAnsi="Times New Roman"/>
          <w:sz w:val="18"/>
          <w:szCs w:val="18"/>
          <w:color w:val="auto"/>
        </w:rPr>
        <w:t>– Our surgical retina line of products includes our OcuLight TX, OcuLight SL, OcuLight SLx, OcuLight GL and OcuLight GLx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laser photocoagulation systems. These systems are often used in vitrectomy procedures, which are used to treat proliferative diabetic retinopathy, macular holes, retinal tears and detachments.</w:t>
      </w:r>
    </w:p>
    <w:p>
      <w:pPr>
        <w:spacing w:after="0" w:line="175" w:lineRule="exact"/>
        <w:rPr>
          <w:sz w:val="20"/>
          <w:szCs w:val="20"/>
          <w:color w:val="auto"/>
        </w:rPr>
      </w:pPr>
    </w:p>
    <w:p>
      <w:pPr>
        <w:ind w:right="440" w:firstLine="518"/>
        <w:spacing w:after="0" w:line="313" w:lineRule="auto"/>
        <w:rPr>
          <w:sz w:val="20"/>
          <w:szCs w:val="20"/>
          <w:color w:val="auto"/>
        </w:rPr>
      </w:pPr>
      <w:r>
        <w:rPr>
          <w:rFonts w:ascii="Times New Roman" w:cs="Times New Roman" w:eastAsia="Times New Roman" w:hAnsi="Times New Roman"/>
          <w:sz w:val="17"/>
          <w:szCs w:val="17"/>
          <w:color w:val="auto"/>
        </w:rPr>
        <w:t>Our business generates recurring revenues through sales of consumable products, predominantly single-use laser probe devices and other instrumentation, as well as repair, servicing and extended service contracts for our laser systems. Our laser probes consist of the following product lines:</w:t>
      </w:r>
    </w:p>
    <w:p>
      <w:pPr>
        <w:spacing w:after="0" w:line="134" w:lineRule="exact"/>
        <w:rPr>
          <w:sz w:val="20"/>
          <w:szCs w:val="20"/>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Glaucoma </w:t>
      </w:r>
      <w:r>
        <w:rPr>
          <w:rFonts w:ascii="Times New Roman" w:cs="Times New Roman" w:eastAsia="Times New Roman" w:hAnsi="Times New Roman"/>
          <w:sz w:val="18"/>
          <w:szCs w:val="18"/>
          <w:color w:val="auto"/>
        </w:rPr>
        <w:t>– Probes used in our glaucoma product line include our recently patented MicroPulse P3 (“MP3”) probe and G-Probe; and</w:t>
      </w:r>
    </w:p>
    <w:p>
      <w:pPr>
        <w:spacing w:after="0" w:line="225"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Surgical Retina </w:t>
      </w:r>
      <w:r>
        <w:rPr>
          <w:rFonts w:ascii="Times New Roman" w:cs="Times New Roman" w:eastAsia="Times New Roman" w:hAnsi="Times New Roman"/>
          <w:sz w:val="18"/>
          <w:szCs w:val="18"/>
          <w:color w:val="auto"/>
        </w:rPr>
        <w:t>– Our surgical retina probes include our EndoProbe family of products used in vitrectomy procedures.</w:t>
      </w:r>
    </w:p>
    <w:p>
      <w:pPr>
        <w:spacing w:after="0" w:line="121" w:lineRule="exact"/>
        <w:rPr>
          <w:sz w:val="20"/>
          <w:szCs w:val="20"/>
          <w:color w:val="auto"/>
        </w:rPr>
      </w:pPr>
    </w:p>
    <w:p>
      <w:pPr>
        <w:ind w:right="180" w:firstLine="518"/>
        <w:spacing w:after="0" w:line="266" w:lineRule="auto"/>
        <w:rPr>
          <w:sz w:val="20"/>
          <w:szCs w:val="20"/>
          <w:color w:val="auto"/>
        </w:rPr>
      </w:pPr>
      <w:r>
        <w:rPr>
          <w:rFonts w:ascii="Times New Roman" w:cs="Times New Roman" w:eastAsia="Times New Roman" w:hAnsi="Times New Roman"/>
          <w:sz w:val="18"/>
          <w:szCs w:val="18"/>
          <w:color w:val="auto"/>
        </w:rPr>
        <w:t>Ophthalmologists typically use our laser systems in hospital OR and ambulatory surgical centers (“ASCs”), as well as their offices and clinics. In the ORs and ASCs, ophthalmologists use our laser systems with either an indirect laser ophthalmoscope or a consumable, single use MP3 probe, G-Probe or EndoProbe.</w:t>
      </w:r>
    </w:p>
    <w:p>
      <w:pPr>
        <w:spacing w:after="0" w:line="176" w:lineRule="exact"/>
        <w:rPr>
          <w:sz w:val="20"/>
          <w:szCs w:val="20"/>
          <w:color w:val="auto"/>
        </w:rPr>
      </w:pPr>
    </w:p>
    <w:p>
      <w:pPr>
        <w:ind w:right="220" w:firstLine="518"/>
        <w:spacing w:after="0" w:line="282" w:lineRule="auto"/>
        <w:rPr>
          <w:sz w:val="20"/>
          <w:szCs w:val="20"/>
          <w:color w:val="auto"/>
        </w:rPr>
      </w:pPr>
      <w:r>
        <w:rPr>
          <w:rFonts w:ascii="Times New Roman" w:cs="Times New Roman" w:eastAsia="Times New Roman" w:hAnsi="Times New Roman"/>
          <w:sz w:val="18"/>
          <w:szCs w:val="18"/>
          <w:color w:val="auto"/>
        </w:rPr>
        <w:t>Our products are sold in the United States predominantly through a direct sales force and internationally through independent distributors. We are in the process of establishing direct sales capabilities in Germany.</w:t>
      </w:r>
    </w:p>
    <w:p>
      <w:pPr>
        <w:spacing w:after="0" w:line="162"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Sales to international distributors are made on open credit terms or letters of credit and are currently denominated in U.S. dollars and accordingly, are not subject to risks associated with currency fluctuations. However, increases in the value of the US dollar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8" w:name="page19"/>
    <w:bookmarkEnd w:id="18"/>
    <w:p>
      <w:pPr>
        <w:ind w:right="160"/>
        <w:spacing w:after="0" w:line="282" w:lineRule="auto"/>
        <w:rPr>
          <w:sz w:val="20"/>
          <w:szCs w:val="20"/>
          <w:color w:val="auto"/>
        </w:rPr>
      </w:pPr>
      <w:r>
        <w:rPr>
          <w:rFonts w:ascii="Times New Roman" w:cs="Times New Roman" w:eastAsia="Times New Roman" w:hAnsi="Times New Roman"/>
          <w:sz w:val="18"/>
          <w:szCs w:val="18"/>
          <w:color w:val="auto"/>
        </w:rPr>
        <w:t>against any local currencies could cause our products to become relatively more expensive to customers in a particular country or region, leading to reduced revenue or profitability in that country or region.</w:t>
      </w:r>
    </w:p>
    <w:p>
      <w:pPr>
        <w:spacing w:after="0" w:line="162" w:lineRule="exact"/>
        <w:rPr>
          <w:sz w:val="20"/>
          <w:szCs w:val="20"/>
          <w:color w:val="auto"/>
        </w:rPr>
      </w:pPr>
    </w:p>
    <w:p>
      <w:pPr>
        <w:ind w:right="580" w:firstLine="518"/>
        <w:spacing w:after="0" w:line="282" w:lineRule="auto"/>
        <w:rPr>
          <w:sz w:val="20"/>
          <w:szCs w:val="20"/>
          <w:color w:val="auto"/>
        </w:rPr>
      </w:pPr>
      <w:r>
        <w:rPr>
          <w:rFonts w:ascii="Times New Roman" w:cs="Times New Roman" w:eastAsia="Times New Roman" w:hAnsi="Times New Roman"/>
          <w:sz w:val="18"/>
          <w:szCs w:val="18"/>
          <w:color w:val="auto"/>
        </w:rPr>
        <w:t>Cost of revenues consists primarily of the cost of components and sub-systems, assembling, packaging, shipping and testing components at our facility, direct labor and associated overhead; warranty, royalty and amortization of intangible assets and depot service costs.</w:t>
      </w:r>
    </w:p>
    <w:p>
      <w:pPr>
        <w:spacing w:after="0" w:line="162"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 costs, materials to support new product development and research support provided to clinicians at medical institutions developing new applications which utilize our products and regulatory expenses. Research and development costs have been expensed as incurred.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Sales and marketing expenses consist primarily of costs of personnel, sales commissions, travel expenses, advertising and promotional expenses.</w:t>
      </w:r>
    </w:p>
    <w:p>
      <w:pPr>
        <w:spacing w:after="0" w:line="225" w:lineRule="exact"/>
        <w:rPr>
          <w:sz w:val="20"/>
          <w:szCs w:val="20"/>
          <w:color w:val="auto"/>
        </w:rPr>
      </w:pPr>
    </w:p>
    <w:p>
      <w:pPr>
        <w:ind w:right="300" w:firstLine="51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costs of personnel, legal, accounting and other public company costs, insurance and other expenses not allocated to other departments.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certain operating data as a percentage of revenues: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760" w:type="dxa"/>
            <w:vAlign w:val="bottom"/>
          </w:tcPr>
          <w:p>
            <w:pPr>
              <w:spacing w:after="0"/>
              <w:rPr>
                <w:sz w:val="14"/>
                <w:szCs w:val="14"/>
                <w:color w:val="auto"/>
              </w:rPr>
            </w:pPr>
          </w:p>
        </w:tc>
        <w:tc>
          <w:tcPr>
            <w:tcW w:w="3220" w:type="dxa"/>
            <w:vAlign w:val="bottom"/>
            <w:gridSpan w:val="5"/>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4760" w:type="dxa"/>
            <w:vAlign w:val="bottom"/>
            <w:tcBorders>
              <w:bottom w:val="single" w:sz="8" w:color="CFF0FC"/>
            </w:tcBorders>
          </w:tcPr>
          <w:p>
            <w:pPr>
              <w:spacing w:after="0"/>
              <w:rPr>
                <w:sz w:val="15"/>
                <w:szCs w:val="15"/>
                <w:color w:val="auto"/>
              </w:rPr>
            </w:pPr>
          </w:p>
        </w:tc>
        <w:tc>
          <w:tcPr>
            <w:tcW w:w="13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April 1, 2017</w:t>
            </w:r>
          </w:p>
        </w:tc>
        <w:tc>
          <w:tcPr>
            <w:tcW w:w="24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April 2, 2016</w:t>
            </w:r>
          </w:p>
        </w:tc>
        <w:tc>
          <w:tcPr>
            <w:tcW w:w="2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57.4%</w:t>
            </w:r>
          </w:p>
        </w:tc>
        <w:tc>
          <w:tcPr>
            <w:tcW w:w="14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0"/>
        </w:trPr>
        <w:tc>
          <w:tcPr>
            <w:tcW w:w="47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3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60" w:type="dxa"/>
            <w:vAlign w:val="bottom"/>
            <w:vMerge w:val="continue"/>
            <w:shd w:val="clear" w:color="auto" w:fill="CFF0FC"/>
          </w:tcPr>
          <w:p>
            <w:pPr>
              <w:spacing w:after="0"/>
              <w:rPr>
                <w:sz w:val="19"/>
                <w:szCs w:val="19"/>
                <w:color w:val="auto"/>
              </w:rPr>
            </w:pPr>
          </w:p>
        </w:tc>
        <w:tc>
          <w:tcPr>
            <w:tcW w:w="1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42.6%</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3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27.9%</w:t>
            </w:r>
          </w:p>
        </w:tc>
        <w:tc>
          <w:tcPr>
            <w:tcW w:w="14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60" w:type="dxa"/>
            <w:vAlign w:val="bottom"/>
            <w:vMerge w:val="continue"/>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60.3%</w:t>
            </w:r>
          </w:p>
        </w:tc>
        <w:tc>
          <w:tcPr>
            <w:tcW w:w="14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0"/>
        </w:trPr>
        <w:tc>
          <w:tcPr>
            <w:tcW w:w="47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13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60" w:type="dxa"/>
            <w:vAlign w:val="bottom"/>
            <w:vMerge w:val="continue"/>
            <w:shd w:val="clear" w:color="auto" w:fill="CFF0FC"/>
          </w:tcPr>
          <w:p>
            <w:pPr>
              <w:spacing w:after="0"/>
              <w:rPr>
                <w:sz w:val="19"/>
                <w:szCs w:val="19"/>
                <w:color w:val="auto"/>
              </w:rPr>
            </w:pPr>
          </w:p>
        </w:tc>
        <w:tc>
          <w:tcPr>
            <w:tcW w:w="1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tcPr>
          <w:p>
            <w:pPr>
              <w:spacing w:after="0"/>
              <w:rPr>
                <w:sz w:val="19"/>
                <w:szCs w:val="19"/>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5"/>
        </w:trPr>
        <w:tc>
          <w:tcPr>
            <w:tcW w:w="476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(Loss) income from operations before provision for income</w:t>
            </w:r>
          </w:p>
        </w:tc>
        <w:tc>
          <w:tcPr>
            <w:tcW w:w="13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taxes</w:t>
            </w:r>
          </w:p>
        </w:tc>
        <w:tc>
          <w:tcPr>
            <w:tcW w:w="1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0"/>
        </w:trPr>
        <w:tc>
          <w:tcPr>
            <w:tcW w:w="47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3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60" w:type="dxa"/>
            <w:vAlign w:val="bottom"/>
            <w:vMerge w:val="continue"/>
            <w:shd w:val="clear" w:color="auto" w:fill="CFF0FC"/>
          </w:tcPr>
          <w:p>
            <w:pPr>
              <w:spacing w:after="0"/>
              <w:rPr>
                <w:sz w:val="19"/>
                <w:szCs w:val="19"/>
                <w:color w:val="auto"/>
              </w:rPr>
            </w:pPr>
          </w:p>
        </w:tc>
        <w:tc>
          <w:tcPr>
            <w:tcW w:w="1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0"/>
        </w:trPr>
        <w:tc>
          <w:tcPr>
            <w:tcW w:w="476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The following comparisons are between the three month periods ended April 1, 2017 and April 2, 2016:</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4"/>
                <w:szCs w:val="14"/>
                <w:color w:val="auto"/>
              </w:rPr>
            </w:pP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4"/>
                <w:szCs w:val="14"/>
                <w:color w:val="auto"/>
              </w:rPr>
            </w:pPr>
          </w:p>
        </w:tc>
        <w:tc>
          <w:tcPr>
            <w:tcW w:w="1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Systems – domestic</w:t>
            </w: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April 1, 2017</w:t>
            </w: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April 2, 2016</w:t>
            </w:r>
          </w:p>
        </w:tc>
        <w:tc>
          <w:tcPr>
            <w:tcW w:w="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Change in $</w:t>
            </w:r>
          </w:p>
        </w:tc>
        <w:tc>
          <w:tcPr>
            <w:tcW w:w="280" w:type="dxa"/>
            <w:vAlign w:val="bottom"/>
          </w:tcPr>
          <w:p>
            <w:pPr>
              <w:spacing w:after="0"/>
              <w:rPr>
                <w:sz w:val="15"/>
                <w:szCs w:val="15"/>
                <w:color w:val="auto"/>
              </w:rPr>
            </w:pPr>
          </w:p>
        </w:tc>
        <w:tc>
          <w:tcPr>
            <w:tcW w:w="16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Change in %</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66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300" w:type="dxa"/>
            <w:vAlign w:val="bottom"/>
          </w:tcPr>
          <w:p>
            <w:pPr>
              <w:spacing w:after="0"/>
              <w:rPr>
                <w:sz w:val="19"/>
                <w:szCs w:val="19"/>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80" w:type="dxa"/>
            <w:vAlign w:val="bottom"/>
          </w:tcPr>
          <w:p>
            <w:pPr>
              <w:spacing w:after="0"/>
              <w:rPr>
                <w:sz w:val="19"/>
                <w:szCs w:val="19"/>
                <w:color w:val="auto"/>
              </w:rPr>
            </w:pPr>
          </w:p>
        </w:tc>
        <w:tc>
          <w:tcPr>
            <w:tcW w:w="1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Systems – international</w:t>
            </w:r>
          </w:p>
        </w:tc>
        <w:tc>
          <w:tcPr>
            <w:tcW w:w="1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4,546</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(1,574)</w:t>
            </w:r>
          </w:p>
        </w:tc>
        <w:tc>
          <w:tcPr>
            <w:tcW w:w="1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30"/>
        </w:trPr>
        <w:tc>
          <w:tcPr>
            <w:tcW w:w="36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Recurring revenues</w:t>
            </w: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5,377</w:t>
            </w:r>
          </w:p>
        </w:tc>
        <w:tc>
          <w:tcPr>
            <w:tcW w:w="3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5,173</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80" w:type="dxa"/>
            <w:vAlign w:val="bottom"/>
            <w:tcBorders>
              <w:bottom w:val="single" w:sz="8" w:color="CFF0FC"/>
            </w:tcBorders>
          </w:tcPr>
          <w:p>
            <w:pPr>
              <w:spacing w:after="0"/>
              <w:rPr>
                <w:sz w:val="19"/>
                <w:szCs w:val="19"/>
                <w:color w:val="auto"/>
              </w:rPr>
            </w:pPr>
          </w:p>
        </w:tc>
        <w:tc>
          <w:tcPr>
            <w:tcW w:w="1900" w:type="dxa"/>
            <w:vAlign w:val="bottom"/>
            <w:tcBorders>
              <w:bottom w:val="single" w:sz="8" w:color="CFF0FC"/>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3"/>
        </w:trPr>
        <w:tc>
          <w:tcPr>
            <w:tcW w:w="3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10,483</w:t>
            </w:r>
          </w:p>
        </w:tc>
        <w:tc>
          <w:tcPr>
            <w:tcW w:w="3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11,931</w:t>
            </w:r>
          </w:p>
        </w:tc>
        <w:tc>
          <w:tcPr>
            <w:tcW w:w="3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280" w:type="dxa"/>
            <w:vAlign w:val="bottom"/>
            <w:tcBorders>
              <w:bottom w:val="single" w:sz="8" w:color="CFF0FC"/>
            </w:tcBorders>
            <w:shd w:val="clear" w:color="auto" w:fill="CFF0FC"/>
          </w:tcPr>
          <w:p>
            <w:pPr>
              <w:spacing w:after="0"/>
              <w:rPr>
                <w:sz w:val="19"/>
                <w:szCs w:val="19"/>
                <w:color w:val="auto"/>
              </w:rPr>
            </w:pPr>
          </w:p>
        </w:tc>
        <w:tc>
          <w:tcPr>
            <w:tcW w:w="190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Our total revenues decreased $1.4 million, or 12.1%, from $11.9 million to $10.5 million for the first quarter of fiscal year 2017. The decrease is due mainly to the decrease in our international system sales, which decreased by $1.6 million or 34.6%, from $4.6 million to $3.0 million. Our domestic system sales decreased by $0.1 million, or 3.5%, from $2.2 million to $2.1 million. The decrease in our system sales was primarily a result of a decrease in our retina laser systems. Our recurring revenues increased $0.2 million, or 3.9%, from $5.2 million to $5.4 million which was driven by an increase in G6 related probes which was partially offset by a decline in EndoProbe revenues.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t>Gross Profit and Gross Margin.</w:t>
      </w:r>
    </w:p>
    <w:p>
      <w:pPr>
        <w:spacing w:after="0" w:line="227" w:lineRule="exact"/>
        <w:rPr>
          <w:sz w:val="20"/>
          <w:szCs w:val="20"/>
          <w:color w:val="auto"/>
        </w:rPr>
      </w:pPr>
    </w:p>
    <w:p>
      <w:pPr>
        <w:jc w:val="both"/>
        <w:ind w:right="160" w:firstLine="518"/>
        <w:spacing w:after="0" w:line="261" w:lineRule="auto"/>
        <w:rPr>
          <w:sz w:val="20"/>
          <w:szCs w:val="20"/>
          <w:color w:val="auto"/>
        </w:rPr>
      </w:pPr>
      <w:r>
        <w:rPr>
          <w:rFonts w:ascii="Times New Roman" w:cs="Times New Roman" w:eastAsia="Times New Roman" w:hAnsi="Times New Roman"/>
          <w:sz w:val="18"/>
          <w:szCs w:val="18"/>
          <w:color w:val="auto"/>
        </w:rPr>
        <w:t>Gross profit was $4.5 million compared with $5.3 million, a decrease of $0.8 million. Gross margin was 42.6% compared with 44.4%, a decrease of 1.8 percentage points. The decrease in gross margin was attributable primarily to lower manufacturing overhead absorption due to the decrease in revenues, and an increase in manufacturing variances which includes adjustments for inventory reserves and warranty reserves, partially offset by an increase in direct margins primarily as a result of a favorable shift to higher margin products due to product and geographic mix.</w:t>
      </w:r>
    </w:p>
    <w:p>
      <w:pPr>
        <w:spacing w:after="0" w:line="180" w:lineRule="exact"/>
        <w:rPr>
          <w:sz w:val="20"/>
          <w:szCs w:val="20"/>
          <w:color w:val="auto"/>
        </w:rPr>
      </w:pPr>
    </w:p>
    <w:p>
      <w:pPr>
        <w:ind w:right="260" w:firstLine="518"/>
        <w:spacing w:after="0" w:line="266" w:lineRule="auto"/>
        <w:rPr>
          <w:sz w:val="20"/>
          <w:szCs w:val="20"/>
          <w:color w:val="auto"/>
        </w:rPr>
      </w:pPr>
      <w:r>
        <w:rPr>
          <w:rFonts w:ascii="Times New Roman" w:cs="Times New Roman" w:eastAsia="Times New Roman" w:hAnsi="Times New Roman"/>
          <w:sz w:val="18"/>
          <w:szCs w:val="18"/>
          <w:color w:val="auto"/>
        </w:rPr>
        <w:t>Gross margins as a percentage of revenues are expected to continue to fluctuate due to changes in the relative proportions of domestic and international sales, the product mix of sales, introduction of new products, manufacturing variances, total unit volume changes that lead to greater or lesser production efficiencies and a variety of other factors.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right="320" w:firstLine="761"/>
        <w:spacing w:after="0" w:line="282" w:lineRule="auto"/>
        <w:rPr>
          <w:sz w:val="20"/>
          <w:szCs w:val="20"/>
          <w:color w:val="auto"/>
        </w:rPr>
      </w:pPr>
      <w:r>
        <w:rPr>
          <w:rFonts w:ascii="Times New Roman" w:cs="Times New Roman" w:eastAsia="Times New Roman" w:hAnsi="Times New Roman"/>
          <w:sz w:val="18"/>
          <w:szCs w:val="18"/>
          <w:color w:val="auto"/>
        </w:rPr>
        <w:t>Research and development (“R&amp;D”) expenses increased by $0.1 million, or 10.1%, from $1.4 million to $1.5 million. The increase in spending was mainly attributable to an increase in headcount and associated costs.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ind w:right="400" w:firstLine="518"/>
        <w:spacing w:after="0" w:line="282" w:lineRule="auto"/>
        <w:rPr>
          <w:sz w:val="20"/>
          <w:szCs w:val="20"/>
          <w:color w:val="auto"/>
        </w:rPr>
      </w:pPr>
      <w:r>
        <w:rPr>
          <w:rFonts w:ascii="Times New Roman" w:cs="Times New Roman" w:eastAsia="Times New Roman" w:hAnsi="Times New Roman"/>
          <w:sz w:val="18"/>
          <w:szCs w:val="18"/>
          <w:color w:val="auto"/>
        </w:rPr>
        <w:t>Sales and marketing expenses increased $0.5 million, or 20.3%, from $2.4 million to $2.9 million. The increase in spending was attributable to an increase in salaries and related costs due to an increase in headcount and other general selling and marketing expenses.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$0.5 million, or 40.3%, from $1.4 million to $1.9 million. The increase in spending was attributable to an increase in salaries and related costs due to an increase in headcount, an increase in stock compensation charges, an increase in bonus accrual, and an increase in accounting, tax, and legal expenses.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119"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Other expense, net amounted to $2 thousand and $11 thousand and consisted primarily of the change in expense associated with the re-measurement of the contingent liabilities incurred as a result of our prior acquisitions.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three months ended April 1, 2017 and April 2, 2016, we recorded an income tax provision of $6 thousand and $40 thousand, respectively.</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and Capital Resources.</w:t>
      </w:r>
    </w:p>
    <w:p>
      <w:pPr>
        <w:spacing w:after="0" w:line="119" w:lineRule="exact"/>
        <w:rPr>
          <w:sz w:val="20"/>
          <w:szCs w:val="20"/>
          <w:color w:val="auto"/>
        </w:rPr>
      </w:pPr>
    </w:p>
    <w:p>
      <w:pPr>
        <w:ind w:right="460" w:firstLine="518"/>
        <w:spacing w:after="0" w:line="282" w:lineRule="auto"/>
        <w:rPr>
          <w:sz w:val="20"/>
          <w:szCs w:val="20"/>
          <w:color w:val="auto"/>
        </w:rPr>
      </w:pPr>
      <w:r>
        <w:rPr>
          <w:rFonts w:ascii="Times New Roman" w:cs="Times New Roman" w:eastAsia="Times New Roman" w:hAnsi="Times New Roman"/>
          <w:sz w:val="18"/>
          <w:szCs w:val="18"/>
          <w:color w:val="auto"/>
        </w:rPr>
        <w:t>Liquidity is our ability to generate sufficient cash flows from operating activities to meet our obligations and commitments. In addition, liquidity includes the ability to obtain appropriate financing or to raise capital.</w:t>
      </w:r>
    </w:p>
    <w:p>
      <w:pPr>
        <w:spacing w:after="0" w:line="162"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As of April 1, 2017, we had cash and cash equivalents of $23.9 million and working capital of $37.9 million compared to cash and cash equivalents of $23.7 million and working capital of $37.4 million as of December 31, 2016. For the three months ended April 1, 2017, net cash of $1.6 million was used by operating activities, which was generated by net loss of $1.9 million and the add back of non-cash items of $0.6 million, and changes in operating assets and liabilities by $0.4 million, which included net collections of $1.2 million in accounts receivable. We used $0.4 million net cash in investing activities, $0.3 million on capital expenditures and $0.1 million for payment of the contingent earn-out liability. Financing activities provided $2.2 million of net cash, which consisted of $2.3 million net proceeds arising from the issuance of common stock and $0.2 million from exercises of stock options, partially offset by $0.3 million to pay for payroll taxes.</w:t>
      </w:r>
    </w:p>
    <w:p>
      <w:pPr>
        <w:spacing w:after="0" w:line="216"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On January 3, 2017, the Company issued an additional 172,500 new common shares in connection with the underwriters exercising their overallotment option at $14.00 per share, before underwriting discount and commissions. The new stock issuance generated net proceeds to the Company of approximately $2.3 million, after deducting underwriting commissions of $0.1 million.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20" w:name="page21"/>
    <w:bookmarkEnd w:id="20"/>
    <w:p>
      <w:pPr>
        <w:ind w:right="2300" w:firstLine="518"/>
        <w:spacing w:after="0" w:line="282" w:lineRule="auto"/>
        <w:rPr>
          <w:sz w:val="20"/>
          <w:szCs w:val="20"/>
          <w:color w:val="auto"/>
        </w:rPr>
      </w:pPr>
      <w:r>
        <w:rPr>
          <w:rFonts w:ascii="Times New Roman" w:cs="Times New Roman" w:eastAsia="Times New Roman" w:hAnsi="Times New Roman"/>
          <w:sz w:val="18"/>
          <w:szCs w:val="18"/>
          <w:color w:val="auto"/>
        </w:rPr>
        <w:t>We believe our existing cash and cash equivalents will be sufficient to meet our anticipated cash needs over the next 12 months.</w:t>
      </w:r>
    </w:p>
    <w:p>
      <w:pPr>
        <w:spacing w:after="0" w:line="2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Contractual Obligations and Commitments.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contractual obligations and commitments as of April 1, 2017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c>
          <w:tcPr>
            <w:tcW w:w="90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Less than 1</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More than 5</w:t>
            </w:r>
          </w:p>
        </w:tc>
        <w:tc>
          <w:tcPr>
            <w:tcW w:w="0" w:type="dxa"/>
            <w:vAlign w:val="bottom"/>
          </w:tcPr>
          <w:p>
            <w:pPr>
              <w:spacing w:after="0"/>
              <w:rPr>
                <w:sz w:val="1"/>
                <w:szCs w:val="1"/>
                <w:color w:val="auto"/>
              </w:rPr>
            </w:pPr>
          </w:p>
        </w:tc>
      </w:tr>
      <w:tr>
        <w:trPr>
          <w:trHeight w:val="173"/>
        </w:trPr>
        <w:tc>
          <w:tcPr>
            <w:tcW w:w="3600" w:type="dxa"/>
            <w:vAlign w:val="bottom"/>
            <w:vMerge w:val="continue"/>
          </w:tcPr>
          <w:p>
            <w:pPr>
              <w:spacing w:after="0"/>
              <w:rPr>
                <w:sz w:val="15"/>
                <w:szCs w:val="15"/>
                <w:color w:val="auto"/>
              </w:rPr>
            </w:pPr>
          </w:p>
        </w:tc>
        <w:tc>
          <w:tcPr>
            <w:tcW w:w="1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Year</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223"/>
        </w:trPr>
        <w:tc>
          <w:tcPr>
            <w:tcW w:w="36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leases payments</w:t>
            </w:r>
          </w:p>
        </w:tc>
        <w:tc>
          <w:tcPr>
            <w:tcW w:w="16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24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39"/>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Purchase commitments</w:t>
            </w: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6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obligations</w:t>
            </w:r>
          </w:p>
        </w:tc>
        <w:tc>
          <w:tcPr>
            <w:tcW w:w="16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639"/>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operating lease commitments consist primarily of our facility lease and various office and computer equipment leases.</w:t>
      </w:r>
    </w:p>
    <w:p>
      <w:pPr>
        <w:spacing w:after="0" w:line="225" w:lineRule="exact"/>
        <w:rPr>
          <w:sz w:val="20"/>
          <w:szCs w:val="20"/>
          <w:color w:val="auto"/>
        </w:rPr>
      </w:pPr>
    </w:p>
    <w:p>
      <w:pPr>
        <w:ind w:right="700" w:firstLine="518"/>
        <w:spacing w:after="0" w:line="282" w:lineRule="auto"/>
        <w:rPr>
          <w:sz w:val="20"/>
          <w:szCs w:val="20"/>
          <w:color w:val="auto"/>
        </w:rPr>
      </w:pPr>
      <w:r>
        <w:rPr>
          <w:rFonts w:ascii="Times New Roman" w:cs="Times New Roman" w:eastAsia="Times New Roman" w:hAnsi="Times New Roman"/>
          <w:sz w:val="18"/>
          <w:szCs w:val="18"/>
          <w:color w:val="auto"/>
        </w:rPr>
        <w:t>Our purchase commitments consist primarily of non-cancellable purchase commitments with vendors to manufacture certain components and ophthalmic instrumentation.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119" w:lineRule="exact"/>
        <w:rPr>
          <w:sz w:val="20"/>
          <w:szCs w:val="20"/>
          <w:color w:val="auto"/>
        </w:rPr>
      </w:pPr>
    </w:p>
    <w:p>
      <w:pPr>
        <w:ind w:right="540" w:firstLine="518"/>
        <w:spacing w:after="0" w:line="282" w:lineRule="auto"/>
        <w:rPr>
          <w:sz w:val="20"/>
          <w:szCs w:val="20"/>
          <w:color w:val="auto"/>
        </w:rPr>
      </w:pPr>
      <w:r>
        <w:rPr>
          <w:rFonts w:ascii="Times New Roman" w:cs="Times New Roman" w:eastAsia="Times New Roman" w:hAnsi="Times New Roman"/>
          <w:sz w:val="18"/>
          <w:szCs w:val="18"/>
          <w:color w:val="auto"/>
        </w:rPr>
        <w:t>We do not have any off-balance sheet arrangements that have or are reasonably likely to have a material current or future effect on our financial condition, changes in financial condition, revenues or expenses, results of operations, liquidity, capital expenditures or capital resources.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21"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IRIDEX Corporation was incorporated in California in February 1989 as IRIS Medical Instruments, Inc. In November 1995, we changed our name to IRIDEX Corporation and reincorporated in Delaware. Our executive offices are located at 1212 Terra Bella Avenue, Mountain View, California 94043-1824, and our telephone number is (650) 940-4700. We can also be reached at our website at www.IRIDEX.com. Investors and others should note that we announce material financial information to our investors using SEC filings, press releases, our investor relations website, public conference calls and webcasts. We use these channels as well as social media to communicate with investors, customers and the public about our company, our products and other issues. It is possible that the information we post on social media channels could be deemed to be material information. We encourage investors, our customers, and others interested in our company to review the information we post on our Facebook page (www.facebook.com/IRIDEX) and Twitter feed (https://twitter.com/IRIDEX). Any information on, or that can be accessed through, our website and social media channels is not part of this report.</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 about Market Risk</w:t>
      </w:r>
    </w:p>
    <w:p>
      <w:pPr>
        <w:spacing w:after="0" w:line="229" w:lineRule="exact"/>
        <w:rPr>
          <w:sz w:val="20"/>
          <w:szCs w:val="20"/>
          <w:color w:val="auto"/>
        </w:rPr>
      </w:pPr>
    </w:p>
    <w:p>
      <w:pPr>
        <w:ind w:right="40" w:firstLine="761"/>
        <w:spacing w:after="0" w:line="255" w:lineRule="auto"/>
        <w:rPr>
          <w:sz w:val="20"/>
          <w:szCs w:val="20"/>
          <w:color w:val="auto"/>
        </w:rPr>
      </w:pPr>
      <w:r>
        <w:rPr>
          <w:rFonts w:ascii="Times New Roman" w:cs="Times New Roman" w:eastAsia="Times New Roman" w:hAnsi="Times New Roman"/>
          <w:sz w:val="18"/>
          <w:szCs w:val="18"/>
          <w:color w:val="auto"/>
        </w:rPr>
        <w:t>Market risk represents the risk of loss that may impact the financial position, results of operations or cash flows due to adverse changes in financial and commodity market prices and rates. None of our international revenues and costs for the three months ended April 1, 2017 were denominated in foreign currencies and therefore changes in foreign currency rates will not have an impact on our income statement or cash flows. However, increases in the value of the U.S. dollar against any local currencies could cause our products to become relatively more expensive to customers in a particular country or region, leading to reduced revenue or profitability in that country or region. As we continue to expand our international sales, our non-U.S. dollar denominated revenue and our exposure to gains and losses on international currency transactions may increase. We currently do not engage in transactions to hedge against the risk of the currency fluctuation, but we may do so in the future.</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9" w:lineRule="exact"/>
        <w:rPr>
          <w:sz w:val="20"/>
          <w:szCs w:val="20"/>
          <w:color w:val="auto"/>
        </w:rPr>
      </w:pPr>
    </w:p>
    <w:p>
      <w:pPr>
        <w:ind w:right="180" w:firstLine="518"/>
        <w:spacing w:after="0" w:line="266" w:lineRule="auto"/>
        <w:rPr>
          <w:sz w:val="20"/>
          <w:szCs w:val="20"/>
          <w:color w:val="auto"/>
        </w:rPr>
      </w:pPr>
      <w:r>
        <w:rPr>
          <w:rFonts w:ascii="Times New Roman" w:cs="Times New Roman" w:eastAsia="Times New Roman" w:hAnsi="Times New Roman"/>
          <w:sz w:val="18"/>
          <w:szCs w:val="18"/>
          <w:color w:val="auto"/>
        </w:rPr>
        <w:t>Our exposure to interest rate risk as of April 1, 2017 is related to our cash equivalent holdings, which is nominal given the nature of our cash equivalent holdings. Since we have no fixed or variable interest rate debt outstanding, our interest expense is not affected by changes in interest rates. In the event we issue any new variable-rate debt in the future, increases in interest rates will increase the interest expense associated with the debt.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Rules 13a-15(e) or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Chief Executive Officer and our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89"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As required by SEC Rule 13a-15(b), we carried out an evaluation, under the supervision and with the participation of our management, including our Chief Executive Officer and our Chief Financial Officer, of the effectiveness of the design and operation of our disclosure controls and procedures as of April 1, 2017. Based on the foregoing, our Chief Executive Officer and our Chief Financial Officer concluded that our disclosure controls and procedures were effective at the reasonable assurance level.</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ind w:right="500" w:firstLine="518"/>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that occurred during the period covered by this Form 10-Q that have materially affected, or are reasonably likely to materially affect, our internal control over financial reporting.</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From time to time, we may be involved in legal proceedings arising in the ordinary course of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That May Affect Future Results</w:t>
      </w:r>
    </w:p>
    <w:p>
      <w:pPr>
        <w:spacing w:after="0" w:line="121" w:lineRule="exact"/>
        <w:rPr>
          <w:sz w:val="20"/>
          <w:szCs w:val="20"/>
          <w:color w:val="auto"/>
        </w:rPr>
      </w:pPr>
    </w:p>
    <w:p>
      <w:pPr>
        <w:ind w:right="220" w:firstLine="518"/>
        <w:spacing w:after="0" w:line="266" w:lineRule="auto"/>
        <w:rPr>
          <w:sz w:val="20"/>
          <w:szCs w:val="20"/>
          <w:color w:val="auto"/>
        </w:rPr>
      </w:pPr>
      <w:r>
        <w:rPr>
          <w:rFonts w:ascii="Times New Roman" w:cs="Times New Roman" w:eastAsia="Times New Roman" w:hAnsi="Times New Roman"/>
          <w:sz w:val="18"/>
          <w:szCs w:val="18"/>
          <w:color w:val="auto"/>
        </w:rPr>
        <w:t>In addition to the other information contained in this Quarterly Report Form 10-Q, we have identified the following risks and uncertainties that may have a material adverse effect on our business, common stock price, financial condition or results of operations. You should carefully consider the risks described below before making an investment decision.</w:t>
      </w:r>
    </w:p>
    <w:p>
      <w:pPr>
        <w:spacing w:after="0" w:line="174" w:lineRule="exact"/>
        <w:rPr>
          <w:sz w:val="20"/>
          <w:szCs w:val="20"/>
          <w:color w:val="auto"/>
        </w:rPr>
      </w:pPr>
    </w:p>
    <w:p>
      <w:pPr>
        <w:ind w:right="28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If applicable, we have marked with an asterisk (*) those risk factors below that reflect substantive changes to the text of the risk factors included in our Annual Report on Form 10-K for the year ended December 31, 2016, which was filed with the SEC on March 15, 2017.</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333" w:lineRule="exact"/>
        <w:rPr>
          <w:sz w:val="20"/>
          <w:szCs w:val="20"/>
          <w:color w:val="auto"/>
        </w:rPr>
      </w:pPr>
    </w:p>
    <w:p>
      <w:pPr>
        <w:jc w:val="both"/>
        <w:ind w:right="160" w:firstLine="48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quality control and other production issues that could materially and adversely impact our sales and financial results and the acceptance of our products.</w:t>
      </w:r>
    </w:p>
    <w:p>
      <w:pPr>
        <w:spacing w:after="0" w:line="51" w:lineRule="exact"/>
        <w:rPr>
          <w:sz w:val="20"/>
          <w:szCs w:val="20"/>
          <w:color w:val="auto"/>
        </w:rPr>
      </w:pPr>
    </w:p>
    <w:p>
      <w:pPr>
        <w:jc w:val="both"/>
        <w:ind w:right="160" w:firstLine="488"/>
        <w:spacing w:after="0" w:line="266" w:lineRule="auto"/>
        <w:rPr>
          <w:sz w:val="20"/>
          <w:szCs w:val="20"/>
          <w:color w:val="auto"/>
        </w:rPr>
      </w:pPr>
      <w:r>
        <w:rPr>
          <w:rFonts w:ascii="Times New Roman" w:cs="Times New Roman" w:eastAsia="Times New Roman" w:hAnsi="Times New Roman"/>
          <w:sz w:val="18"/>
          <w:szCs w:val="18"/>
          <w:color w:val="auto"/>
        </w:rPr>
        <w:t>The manufacture of our infrared and visible laser consoles and related delivery devices is a highly complex and precise process. We assemble critical subassemblies and substantially all of our final products at our facility in Mountain View, California. We may experience manufacturing difficulties, quality control issues or assembly constraints, particularly with regard to new products that we may introduce.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6" w:right="259" w:bottom="1440" w:gutter="0" w:footer="0" w:header="0"/>
        </w:sectPr>
      </w:pPr>
    </w:p>
    <w:bookmarkStart w:id="22" w:name="page23"/>
    <w:bookmarkEnd w:id="22"/>
    <w:p>
      <w:pPr>
        <w:ind w:right="120" w:firstLine="488"/>
        <w:spacing w:after="0" w:line="266" w:lineRule="auto"/>
        <w:rPr>
          <w:sz w:val="20"/>
          <w:szCs w:val="20"/>
          <w:color w:val="auto"/>
        </w:rPr>
      </w:pPr>
      <w:r>
        <w:rPr>
          <w:rFonts w:ascii="Times New Roman" w:cs="Times New Roman" w:eastAsia="Times New Roman" w:hAnsi="Times New Roman"/>
          <w:sz w:val="18"/>
          <w:szCs w:val="18"/>
          <w:color w:val="auto"/>
        </w:rPr>
        <w:t>If our sales increase substantially, we may need to increase our production capacity and may not be able to do so in a timely, effective or cost-efficient manner. We may not be able to manufacture sufficient quantities of our products, which may require that we qualify other manufacturers for our products. Furthermore, we may experience delays, disruptions, capacity constraints or quality control problems in our manufacturing operations.</w:t>
      </w:r>
    </w:p>
    <w:p>
      <w:pPr>
        <w:spacing w:after="0" w:line="203" w:lineRule="exact"/>
        <w:rPr>
          <w:sz w:val="20"/>
          <w:szCs w:val="20"/>
          <w:color w:val="auto"/>
        </w:rPr>
      </w:pPr>
    </w:p>
    <w:p>
      <w:pPr>
        <w:ind w:right="60" w:firstLine="488"/>
        <w:spacing w:after="0" w:line="261" w:lineRule="auto"/>
        <w:rPr>
          <w:sz w:val="20"/>
          <w:szCs w:val="20"/>
          <w:color w:val="auto"/>
        </w:rPr>
      </w:pPr>
      <w:r>
        <w:rPr>
          <w:rFonts w:ascii="Times New Roman" w:cs="Times New Roman" w:eastAsia="Times New Roman" w:hAnsi="Times New Roman"/>
          <w:sz w:val="18"/>
          <w:szCs w:val="18"/>
          <w:color w:val="auto"/>
        </w:rPr>
        <w:t>In the recent past, we have experienced supply chain, production and training issues as we have expanded our product lines and sales volumes. For example, in our third quarter of fiscal 2016, we experienced certain supply chain and sales force training issues in certain of our medical retina products. As a result of these issues, we reduced the shipment of these products in that fiscal quarter. In fiscal 2015, we experienced product issues with certain of our products, which caused us to reduce shipments, particularly to international distributors.</w:t>
      </w:r>
    </w:p>
    <w:p>
      <w:pPr>
        <w:spacing w:after="0" w:line="194" w:lineRule="exact"/>
        <w:rPr>
          <w:sz w:val="20"/>
          <w:szCs w:val="20"/>
          <w:color w:val="auto"/>
        </w:rPr>
      </w:pPr>
    </w:p>
    <w:p>
      <w:pPr>
        <w:ind w:firstLine="488"/>
        <w:spacing w:after="0" w:line="261" w:lineRule="auto"/>
        <w:rPr>
          <w:sz w:val="20"/>
          <w:szCs w:val="20"/>
          <w:color w:val="auto"/>
        </w:rPr>
      </w:pPr>
      <w:r>
        <w:rPr>
          <w:rFonts w:ascii="Times New Roman" w:cs="Times New Roman" w:eastAsia="Times New Roman" w:hAnsi="Times New Roman"/>
          <w:sz w:val="18"/>
          <w:szCs w:val="18"/>
          <w:color w:val="auto"/>
        </w:rPr>
        <w:t>While we have taken steps to address these issues, there is no assurance that these steps will be effective in rectifying or preventing similar issues in the future. If we are unable to address these supply chain, production and training issues in a timely and cost-effective manner, product shipments to our customers could be delayed, our sales levels may suffer and manufacturing and operational costs may increase, any of which would negatively impact our net revenues.</w:t>
      </w:r>
    </w:p>
    <w:p>
      <w:pPr>
        <w:spacing w:after="0" w:line="176" w:lineRule="exact"/>
        <w:rPr>
          <w:sz w:val="20"/>
          <w:szCs w:val="20"/>
          <w:color w:val="auto"/>
        </w:rPr>
      </w:pPr>
    </w:p>
    <w:p>
      <w:pPr>
        <w:ind w:right="540" w:firstLine="48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laser systems are complex in design and may contain defects that are not detected until deployed by our customers, which could increase our costs and reduce our revenues.</w:t>
      </w:r>
    </w:p>
    <w:p>
      <w:pPr>
        <w:spacing w:after="0" w:line="51" w:lineRule="exact"/>
        <w:rPr>
          <w:sz w:val="20"/>
          <w:szCs w:val="20"/>
          <w:color w:val="auto"/>
        </w:rPr>
      </w:pPr>
    </w:p>
    <w:p>
      <w:pPr>
        <w:ind w:right="140" w:firstLine="518"/>
        <w:spacing w:after="0" w:line="255" w:lineRule="auto"/>
        <w:rPr>
          <w:sz w:val="20"/>
          <w:szCs w:val="20"/>
          <w:color w:val="auto"/>
        </w:rPr>
      </w:pPr>
      <w:r>
        <w:rPr>
          <w:rFonts w:ascii="Times New Roman" w:cs="Times New Roman" w:eastAsia="Times New Roman" w:hAnsi="Times New Roman"/>
          <w:sz w:val="18"/>
          <w:szCs w:val="18"/>
          <w:color w:val="auto"/>
        </w:rPr>
        <w:t>Laser systems are inherently complex in design and require ongoing regular maintenance. The manufacture of our lasers, laser products and systems involves a highly complex and precise process. As a result of the technical complexity of our products, changes in our or our suppliers’ manufacturing processes or the inadvertent use of defective materials by us or our suppliers could result in a material adverse effect on our ability to achieve acceptable manufacturing yields and product reliability. To the extent that we do not achieve such yields or product reliability, our business, operating results, financial condition and customer relationships would be adversely affected. We provide warranties on certain of our product sales, and allowances for estimated warranty costs are recorded during the period of sale. The determination of such allowances requires us to make estimates of failure rates and expected costs to repair or replace the products under warranty. We currently establish warranty reserves based on historical warranty costs. If actual return rates and/or repair and replacement costs differ significantly from our estimates, adjustments to recognize additional cost of revenues may be required in future periods.</w:t>
      </w:r>
    </w:p>
    <w:p>
      <w:pPr>
        <w:spacing w:after="0" w:line="185"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Our customers may discover defects in our products after the products have been fully deployed and operated under peak stress conditions. In addition, some of our products are combined with products from other vendors, which may contain defects. As a result, should problems occur, it may be difficult to identify the source of the problem. If we are unable to identify and fix defects or other problems, we could experience, among other things:</w:t>
      </w:r>
    </w:p>
    <w:p>
      <w:pPr>
        <w:spacing w:after="0" w:line="68" w:lineRule="exact"/>
        <w:rPr>
          <w:sz w:val="20"/>
          <w:szCs w:val="20"/>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customers;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of product returns and warranty expenses;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brand reputation;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attract new customers or achieve market acceptance;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development and engineering resources;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actions by our customers.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occurrence of any one or more of the foregoing factors could seriously harm our business, financial condition and results of operations.</w:t>
      </w:r>
    </w:p>
    <w:p>
      <w:pPr>
        <w:spacing w:after="0" w:line="343" w:lineRule="exact"/>
        <w:rPr>
          <w:sz w:val="20"/>
          <w:szCs w:val="20"/>
          <w:color w:val="auto"/>
        </w:rPr>
      </w:pPr>
    </w:p>
    <w:p>
      <w:pPr>
        <w:ind w:right="260" w:firstLine="48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our direct and independent sales forces and network of international distributors to sell our products and any failure to maintain our sales force and distributor relationships could harm our business.</w:t>
      </w:r>
    </w:p>
    <w:p>
      <w:pPr>
        <w:spacing w:after="0" w:line="51" w:lineRule="exact"/>
        <w:rPr>
          <w:sz w:val="20"/>
          <w:szCs w:val="20"/>
          <w:color w:val="auto"/>
        </w:rPr>
      </w:pPr>
    </w:p>
    <w:p>
      <w:pPr>
        <w:ind w:right="20" w:firstLine="488"/>
        <w:spacing w:after="0" w:line="256" w:lineRule="auto"/>
        <w:rPr>
          <w:sz w:val="20"/>
          <w:szCs w:val="20"/>
          <w:color w:val="auto"/>
        </w:rPr>
      </w:pPr>
      <w:r>
        <w:rPr>
          <w:rFonts w:ascii="Times New Roman" w:cs="Times New Roman" w:eastAsia="Times New Roman" w:hAnsi="Times New Roman"/>
          <w:sz w:val="18"/>
          <w:szCs w:val="18"/>
          <w:color w:val="auto"/>
        </w:rPr>
        <w:t>Our ability to sell our products and generate revenues depends upon our direct and independent sales forces within the United States, relationships with independent distributors outside the United States, and the establishment of our direct sales capabilities in Germany. Currently our direct and independent sales forces within the United States consist of approximately 21 employees and 8 independent representatives, respectively. Our international independent distributors are managed by a team of five people. We generally grant our distributors exclusive territories for the sale of our products in specified countries. The amount and timing of resources dedicated by our distributors to the sales of our products is not within our control. Our international sales are entirely dependent on the efforts of these third parties. If any distributor breaches the terms of its distribution agreement with us or fails to</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sectPr>
      </w:pPr>
    </w:p>
    <w:bookmarkStart w:id="23" w:name="page24"/>
    <w:bookmarkEnd w:id="23"/>
    <w:p>
      <w:pPr>
        <w:ind w:right="420"/>
        <w:spacing w:after="0" w:line="282" w:lineRule="auto"/>
        <w:rPr>
          <w:sz w:val="20"/>
          <w:szCs w:val="20"/>
          <w:color w:val="auto"/>
        </w:rPr>
      </w:pPr>
      <w:r>
        <w:rPr>
          <w:rFonts w:ascii="Times New Roman" w:cs="Times New Roman" w:eastAsia="Times New Roman" w:hAnsi="Times New Roman"/>
          <w:sz w:val="18"/>
          <w:szCs w:val="18"/>
          <w:color w:val="auto"/>
        </w:rPr>
        <w:t>generate sales of our products, we may be forced to replace the distributor and our ability to sell our products into that exclusive sales territory would be adversely affected.</w:t>
      </w:r>
    </w:p>
    <w:p>
      <w:pPr>
        <w:spacing w:after="0" w:line="175" w:lineRule="exact"/>
        <w:rPr>
          <w:sz w:val="20"/>
          <w:szCs w:val="20"/>
          <w:color w:val="auto"/>
        </w:rPr>
      </w:pPr>
    </w:p>
    <w:p>
      <w:pPr>
        <w:ind w:right="180" w:firstLine="488"/>
        <w:spacing w:after="0" w:line="258" w:lineRule="auto"/>
        <w:rPr>
          <w:sz w:val="20"/>
          <w:szCs w:val="20"/>
          <w:color w:val="auto"/>
        </w:rPr>
      </w:pPr>
      <w:r>
        <w:rPr>
          <w:rFonts w:ascii="Times New Roman" w:cs="Times New Roman" w:eastAsia="Times New Roman" w:hAnsi="Times New Roman"/>
          <w:sz w:val="18"/>
          <w:szCs w:val="18"/>
          <w:color w:val="auto"/>
        </w:rPr>
        <w:t>We do not have any long-term employment contracts with the members of our direct sales force. We may be unable to replace our direct sales force personnel with individuals of equivalent technical expertise and qualifications, which may harm our revenues and our ability to maintain market share. Similarly, our independent and distributor agreements are generally terminable at will by either party and independents and distributors may terminate their relationships with us, which would affect our sales and results of operations. As we establish our direct sales capabilities in Germany, we may be unable to recruit and retain qualified personnel in this region.</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 Growth in our sales and marketing organization may create operational challenges without immediately offsetting benefits.</w:t>
      </w:r>
    </w:p>
    <w:p>
      <w:pPr>
        <w:spacing w:after="0" w:line="229" w:lineRule="exact"/>
        <w:rPr>
          <w:sz w:val="20"/>
          <w:szCs w:val="20"/>
          <w:color w:val="auto"/>
        </w:rPr>
      </w:pPr>
    </w:p>
    <w:p>
      <w:pPr>
        <w:ind w:right="180" w:firstLine="518"/>
        <w:spacing w:after="0" w:line="256" w:lineRule="auto"/>
        <w:rPr>
          <w:sz w:val="20"/>
          <w:szCs w:val="20"/>
          <w:color w:val="auto"/>
        </w:rPr>
      </w:pPr>
      <w:r>
        <w:rPr>
          <w:rFonts w:ascii="Times New Roman" w:cs="Times New Roman" w:eastAsia="Times New Roman" w:hAnsi="Times New Roman"/>
          <w:sz w:val="18"/>
          <w:szCs w:val="18"/>
          <w:color w:val="auto"/>
        </w:rPr>
        <w:t>We have and anticipate continuing to increase our internal sales and marketing functions. This growth may place a significant strain on our management, operating and financial systems and our sales, marketing, training and administrative resources. As a result of our growth, our operating costs may escalate even faster than planned, and some of our internal systems may need to be enhanced or replaced. For example, if we are unable to provide adequate training for our expanding sales force, our ability to fully utilize new sales and marketing resources may be adversely impacted, we could suffer reputational harm and our ability to maintain our installed base of customers may be negatively impacted. If we cannot effectively manage our expanding operations and our costs, we may not be able to grow effectively or we may grow at a slower pace, and our business could be adversely affected.</w:t>
      </w:r>
    </w:p>
    <w:p>
      <w:pPr>
        <w:spacing w:after="0" w:line="188"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It can take six months or longer before our internal sales representatives are fully trained and productive in selling our solution to prospective clients. This ramp period presents a number of operational challenges as the cost of recruiting, hiring and carrying new sales representatives cannot be offset by the revenue such new sales representatives produce until after they complete their ramp periods. If we cannot reliably develop our sales representatives to a productive level, or if we lose productive representatives in whom we have heavily invested, our future growth rates and revenue will suffer.</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depend on international sales for a significant portion of our operating results.</w:t>
      </w:r>
    </w:p>
    <w:p>
      <w:pPr>
        <w:spacing w:after="0" w:line="12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We derive, and expect to continue to derive, a large portion of our revenues from international sales. For the first quarter of fiscal 2017, our international sales were $4.8 million, or 45.6% of total revenues. We anticipate that international sales will continue to account for a significant portion of our revenues in the foreseeable future. None of our international revenues and costs for the quarter ended April 1, 2017 have been denominated in foreign currencies. As a result, an increase in the value of the U.S. dollar relative to foreign currencies makes our products more expensive and thus less competitive in foreign markets and may negatively affect our reported revenue in any particular reporting period. Our international operations and sales are subject to a number of risks and potential costs, including:</w:t>
      </w:r>
    </w:p>
    <w:p>
      <w:pPr>
        <w:spacing w:after="0" w:line="80" w:lineRule="exact"/>
        <w:rPr>
          <w:sz w:val="20"/>
          <w:szCs w:val="20"/>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and production issues;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our international channel of distributors;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periods;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recessions in global economies and availability of credit;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sanctions and embargoes;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international conflicts, terrorist and military activity, civil unrest;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certification requirements, including continued ability to use the “CE” mark in Europe, and other local regulatory requirements;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local product preferences and product requirements;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differences;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medical reimbursement and coverage policies and programs;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 limited protections of intellectual property rights in jurisdictions outside the United States;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72" w:right="279" w:bottom="1440" w:gutter="0" w:footer="0" w:header="0"/>
        </w:sectPr>
      </w:pPr>
    </w:p>
    <w:bookmarkStart w:id="24" w:name="page25"/>
    <w:bookmarkEnd w:id="24"/>
    <w:p>
      <w:pPr>
        <w:ind w:left="1040" w:hanging="519"/>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protectionist, adverse and changing foreign governmental laws and regulations;</w:t>
      </w:r>
    </w:p>
    <w:p>
      <w:pPr>
        <w:spacing w:after="0" w:line="117" w:lineRule="exact"/>
        <w:rPr>
          <w:rFonts w:ascii="Times New Roman" w:cs="Times New Roman" w:eastAsia="Times New Roman" w:hAnsi="Times New Roman"/>
          <w:sz w:val="18"/>
          <w:szCs w:val="18"/>
          <w:color w:val="auto"/>
        </w:rPr>
      </w:pPr>
    </w:p>
    <w:p>
      <w:pPr>
        <w:ind w:left="1040" w:right="420" w:hanging="519"/>
        <w:spacing w:after="0" w:line="282"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risk of our employees failing to comply with both U.S. and foreign laws, including anti-trust regulations, the U.S. Foreign Corrupt Practices Act, the U.K. Bribery Act of 2010 and any trade regulations designed to ensure fair trade practices; and</w:t>
      </w:r>
    </w:p>
    <w:p>
      <w:pPr>
        <w:spacing w:after="0" w:line="53" w:lineRule="exact"/>
        <w:rPr>
          <w:rFonts w:ascii="Times New Roman" w:cs="Times New Roman" w:eastAsia="Times New Roman" w:hAnsi="Times New Roman"/>
          <w:sz w:val="18"/>
          <w:szCs w:val="18"/>
          <w:color w:val="auto"/>
        </w:rPr>
      </w:pPr>
    </w:p>
    <w:p>
      <w:pPr>
        <w:ind w:left="1040" w:right="480" w:hanging="519"/>
        <w:spacing w:after="0" w:line="282"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costs and risks of non-compliance with multiple regulatory regimes governing the production, marketing, sale and use of our products.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one or more of these factors stated above could have a material adverse effect on our business, financial condition or results of operations.</w:t>
      </w:r>
    </w:p>
    <w:p>
      <w:pPr>
        <w:spacing w:after="0" w:line="239"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As we expand our existing international operations we may encounter new risks in addition to the above factors. For example, as we focus on building our international sales and distribution networks in new geographic regions, we must continue to develop relationships with qualified local distributors and trading companies. If we are not successful in developing these relationships, we may not be able to grow sales in these geographic regions. These or other similar risks could adversely affect our revenues, profitability and the price of our common stock.</w:t>
      </w:r>
    </w:p>
    <w:p>
      <w:pPr>
        <w:spacing w:after="0" w:line="3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If we fail to develop and successfully introduce new products and applications, our business prospects and operating results may suffer.</w:t>
      </w:r>
    </w:p>
    <w:p>
      <w:pPr>
        <w:spacing w:after="0" w:line="121" w:lineRule="exact"/>
        <w:rPr>
          <w:sz w:val="20"/>
          <w:szCs w:val="20"/>
          <w:color w:val="auto"/>
        </w:rPr>
      </w:pPr>
    </w:p>
    <w:p>
      <w:pPr>
        <w:ind w:right="60" w:firstLine="487"/>
        <w:spacing w:after="0" w:line="258" w:lineRule="auto"/>
        <w:rPr>
          <w:sz w:val="20"/>
          <w:szCs w:val="20"/>
          <w:color w:val="auto"/>
        </w:rPr>
      </w:pPr>
      <w:r>
        <w:rPr>
          <w:rFonts w:ascii="Times New Roman" w:cs="Times New Roman" w:eastAsia="Times New Roman" w:hAnsi="Times New Roman"/>
          <w:sz w:val="18"/>
          <w:szCs w:val="18"/>
          <w:color w:val="auto"/>
        </w:rPr>
        <w:t>Our ability to generate incremental revenue growth will depend, in part, on the successful outcome of research and development activities, which may include clinical trials that lead to the development of new products and new applications using our products. Our research and development process is expensive, prolonged, and entails considerable uncertainty. Due to the complexities and uncertainties associated with ophthalmic research and development, products we are currently developing may not complete the development process or obtain the regulatory approvals required to market such products successfully.</w:t>
      </w:r>
    </w:p>
    <w:p>
      <w:pPr>
        <w:spacing w:after="0" w:line="197" w:lineRule="exact"/>
        <w:rPr>
          <w:sz w:val="20"/>
          <w:szCs w:val="20"/>
          <w:color w:val="auto"/>
        </w:rPr>
      </w:pPr>
    </w:p>
    <w:p>
      <w:pPr>
        <w:ind w:right="200" w:firstLine="488"/>
        <w:spacing w:after="0" w:line="256" w:lineRule="auto"/>
        <w:rPr>
          <w:sz w:val="20"/>
          <w:szCs w:val="20"/>
          <w:color w:val="auto"/>
        </w:rPr>
      </w:pPr>
      <w:r>
        <w:rPr>
          <w:rFonts w:ascii="Times New Roman" w:cs="Times New Roman" w:eastAsia="Times New Roman" w:hAnsi="Times New Roman"/>
          <w:sz w:val="18"/>
          <w:szCs w:val="18"/>
          <w:color w:val="auto"/>
        </w:rPr>
        <w:t>Successful commercialization of new products and new applications will require that we effectively transfer production processes from research and development to manufacturing and effectively coordinate with our suppliers. In addition, we must successfully sell and achieve market acceptance of new products and applications and enhanced versions of existing products. The extent of, and rate at which, market acceptance and penetration are achieved by future products is a function of many variables, which include, among other things, price, safety, efficacy, reliability, marketing and sales efforts, the development of new applications for these products, the availability of third-party reimbursement of procedures using our new products, the existence of competing products and general economic conditions affecting purchasing patterns.</w:t>
      </w:r>
    </w:p>
    <w:p>
      <w:pPr>
        <w:spacing w:after="0" w:line="201" w:lineRule="exact"/>
        <w:rPr>
          <w:sz w:val="20"/>
          <w:szCs w:val="20"/>
          <w:color w:val="auto"/>
        </w:rPr>
      </w:pPr>
    </w:p>
    <w:p>
      <w:pPr>
        <w:ind w:right="140" w:firstLine="488"/>
        <w:spacing w:after="0" w:line="266" w:lineRule="auto"/>
        <w:rPr>
          <w:sz w:val="20"/>
          <w:szCs w:val="20"/>
          <w:color w:val="auto"/>
        </w:rPr>
      </w:pPr>
      <w:r>
        <w:rPr>
          <w:rFonts w:ascii="Times New Roman" w:cs="Times New Roman" w:eastAsia="Times New Roman" w:hAnsi="Times New Roman"/>
          <w:sz w:val="18"/>
          <w:szCs w:val="18"/>
          <w:color w:val="auto"/>
        </w:rPr>
        <w:t>Our ability to market and sell new products is subject to government regulation, including approval or clearance by the FDA and foreign government agencies. Any failure in our ability to successfully develop and introduce new products or enhanced versions of existing products and achieve market acceptance of new products and new applications could have a material adverse effect on our operating results and would cause our net revenues to decline.</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worldwide economic slowdowns and related uncertainties.</w:t>
      </w:r>
    </w:p>
    <w:p>
      <w:pPr>
        <w:spacing w:after="0" w:line="121" w:lineRule="exact"/>
        <w:rPr>
          <w:sz w:val="20"/>
          <w:szCs w:val="20"/>
          <w:color w:val="auto"/>
        </w:rPr>
      </w:pPr>
    </w:p>
    <w:p>
      <w:pPr>
        <w:ind w:right="100" w:firstLine="488"/>
        <w:spacing w:after="0" w:line="261" w:lineRule="auto"/>
        <w:rPr>
          <w:sz w:val="20"/>
          <w:szCs w:val="20"/>
          <w:color w:val="auto"/>
        </w:rPr>
      </w:pPr>
      <w:r>
        <w:rPr>
          <w:rFonts w:ascii="Times New Roman" w:cs="Times New Roman" w:eastAsia="Times New Roman" w:hAnsi="Times New Roman"/>
          <w:sz w:val="18"/>
          <w:szCs w:val="18"/>
          <w:color w:val="auto"/>
        </w:rPr>
        <w:t>We are subject to macro-economic fluctuations in the U.S. and worldwide economy. Concerns about consumer and investor confidence, volatile corporate profits and reduced capital spending, international conflicts, terrorist and military activity, civil unrest and pandemic illness could reduce customer orders or cause customer order cancellations. In addition, political and social turmoil related to international conflicts and terrorist acts may put further pressure on economic conditions in the United States and abroad.</w:t>
      </w:r>
    </w:p>
    <w:p>
      <w:pPr>
        <w:spacing w:after="0" w:line="207" w:lineRule="exact"/>
        <w:rPr>
          <w:sz w:val="20"/>
          <w:szCs w:val="20"/>
          <w:color w:val="auto"/>
        </w:rPr>
      </w:pPr>
    </w:p>
    <w:p>
      <w:pPr>
        <w:ind w:firstLine="488"/>
        <w:spacing w:after="0" w:line="256" w:lineRule="auto"/>
        <w:rPr>
          <w:sz w:val="20"/>
          <w:szCs w:val="20"/>
          <w:color w:val="auto"/>
        </w:rPr>
      </w:pPr>
      <w:r>
        <w:rPr>
          <w:rFonts w:ascii="Times New Roman" w:cs="Times New Roman" w:eastAsia="Times New Roman" w:hAnsi="Times New Roman"/>
          <w:sz w:val="18"/>
          <w:szCs w:val="18"/>
          <w:color w:val="auto"/>
        </w:rPr>
        <w:t>Weak economic conditions and declines in consumer spending and consumption may harm our operating results. Purchases of our products are often discretionary. During uncertain economic times, customers or potential customers may delay, reduce or forego their purchases of our products and services, which may impact our business in a number of ways, including lower prices for our products and services and reducing or delaying sales. There could be a number of follow-on effects from economic uncertainty on our business, including insolvency of key suppliers resulting in product delays, delays in customer payments of outstanding accounts receivable and/or customer insolvencies, counterparty failures negatively impacting our operations, and increasing expense or inability to obtain future financing.</w:t>
      </w:r>
    </w:p>
    <w:p>
      <w:pPr>
        <w:spacing w:after="0" w:line="2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If economic uncertainty persisted, or if the economy entered a prolonged period of decelerating growth, our results of operations may be harmed.</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72" w:right="279" w:bottom="1440" w:gutter="0" w:footer="0" w:header="0"/>
        </w:sectPr>
      </w:pPr>
    </w:p>
    <w:bookmarkStart w:id="25" w:name="page26"/>
    <w:bookmarkEnd w:id="25"/>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from quarter to quarter and year to year.</w:t>
      </w:r>
    </w:p>
    <w:p>
      <w:pPr>
        <w:spacing w:after="0" w:line="121" w:lineRule="exact"/>
        <w:rPr>
          <w:sz w:val="20"/>
          <w:szCs w:val="20"/>
          <w:color w:val="auto"/>
        </w:rPr>
      </w:pPr>
    </w:p>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Our sales and operating results may vary significantly from quarter to quarter and from year to year in the future. Our operating results are affected by a number of factors, many of which are beyond our control. Factors contributing to these fluctuations include the following:</w:t>
      </w:r>
    </w:p>
    <w:p>
      <w:pPr>
        <w:spacing w:after="0" w:line="54" w:lineRule="exact"/>
        <w:rPr>
          <w:sz w:val="20"/>
          <w:szCs w:val="20"/>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prices at which we can sell our products, including the impact of changes in exchange rates;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uncertainties and political concerns;</w:t>
      </w:r>
    </w:p>
    <w:p>
      <w:pPr>
        <w:spacing w:after="0" w:line="117" w:lineRule="exact"/>
        <w:rPr>
          <w:rFonts w:ascii="Times New Roman" w:cs="Times New Roman" w:eastAsia="Times New Roman" w:hAnsi="Times New Roman"/>
          <w:sz w:val="18"/>
          <w:szCs w:val="18"/>
          <w:color w:val="auto"/>
        </w:rPr>
      </w:pPr>
    </w:p>
    <w:p>
      <w:pPr>
        <w:ind w:left="1040" w:right="180" w:hanging="519"/>
        <w:spacing w:after="0" w:line="282"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product enhancements and new applications by our competitors, including new drugs, entry of new competitors into our markets, pricing pressures and other competitive factors;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introduction and market acceptance of new products, product enhancements and new applications;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for our existing line of ophthalmology products;</w:t>
      </w:r>
    </w:p>
    <w:p>
      <w:pPr>
        <w:spacing w:after="0" w:line="117"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availability of components and subassemblies, including the willingness and ability of our sole or limited source suppliers to timely deliver components at the times and prices that we have planned;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sales volumes at a level sufficient to cover fixed manufacturing and operating costs;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product mix within ophthalmology products and foreign and domestic sales;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regulatory approvals and changes in domestic and foreign regulatory requirements;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 and highly variable sales cycle;</w:t>
      </w:r>
    </w:p>
    <w:p>
      <w:pPr>
        <w:spacing w:after="0" w:line="117" w:lineRule="exact"/>
        <w:rPr>
          <w:rFonts w:ascii="Times New Roman" w:cs="Times New Roman" w:eastAsia="Times New Roman" w:hAnsi="Times New Roman"/>
          <w:sz w:val="18"/>
          <w:szCs w:val="18"/>
          <w:color w:val="auto"/>
        </w:rPr>
      </w:pPr>
    </w:p>
    <w:p>
      <w:pPr>
        <w:ind w:left="1040" w:right="140" w:hanging="519"/>
        <w:spacing w:after="0" w:line="282"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customers’ or potential customers’ budgets as a result of, among other things, reimbursement policies of government programs and private insurers for treatments that use our products;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variances in shipment volumes as a result of product, supply chain and training issues;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product innovation costs.</w:t>
      </w:r>
    </w:p>
    <w:p>
      <w:pPr>
        <w:spacing w:after="0" w:line="239" w:lineRule="exact"/>
        <w:rPr>
          <w:sz w:val="20"/>
          <w:szCs w:val="20"/>
          <w:color w:val="auto"/>
        </w:rPr>
      </w:pPr>
    </w:p>
    <w:p>
      <w:pPr>
        <w:ind w:right="720" w:firstLine="518"/>
        <w:spacing w:after="0" w:line="282" w:lineRule="auto"/>
        <w:rPr>
          <w:sz w:val="20"/>
          <w:szCs w:val="20"/>
          <w:color w:val="auto"/>
        </w:rPr>
      </w:pPr>
      <w:r>
        <w:rPr>
          <w:rFonts w:ascii="Times New Roman" w:cs="Times New Roman" w:eastAsia="Times New Roman" w:hAnsi="Times New Roman"/>
          <w:sz w:val="18"/>
          <w:szCs w:val="18"/>
          <w:color w:val="auto"/>
        </w:rPr>
        <w:t>In addition to these factors, our quarterly results have been, and are expected to continue to be, affected by seasonal factors. For example, our European sales during the third quarter are generally lower due to many businesses being closed for the summer vacation season.</w:t>
      </w:r>
    </w:p>
    <w:p>
      <w:pPr>
        <w:spacing w:after="0" w:line="189"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Our expense levels are based, in part, on expected future sales. If sales levels in a particular quarter do not meet expectations, we may be unable to adjust operating expenses quickly enough to compensate for the shortfall of sales, and our results of operations may be adversely affected. In addition, we have historically made a significant portion of each quarter’s product shipments near the end of the quarter. If that pattern continues, any delays in shipment of products could have a material adverse effect on results of operations for such quarter. Due to these and other factors, we believe that quarter to quarter and year to year comparisons of our past operating results may not be meaningful. You should not rely on our results for any quarter or year as an indication of our future performance. Our operating results in future quarters and years may be below expectations, which would likely cause the price of our common stock to fall.</w:t>
      </w:r>
    </w:p>
    <w:p>
      <w:pPr>
        <w:spacing w:after="0" w:line="185" w:lineRule="exact"/>
        <w:rPr>
          <w:sz w:val="20"/>
          <w:szCs w:val="20"/>
          <w:color w:val="auto"/>
        </w:rPr>
      </w:pPr>
    </w:p>
    <w:p>
      <w:pPr>
        <w:ind w:right="46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continued market acceptance of our existing products and any decline in sales of our existing products would adversely affect our business and results of operations.</w:t>
      </w:r>
    </w:p>
    <w:p>
      <w:pPr>
        <w:spacing w:after="0" w:line="51" w:lineRule="exact"/>
        <w:rPr>
          <w:sz w:val="20"/>
          <w:szCs w:val="20"/>
          <w:color w:val="auto"/>
        </w:rPr>
      </w:pPr>
    </w:p>
    <w:p>
      <w:pPr>
        <w:ind w:right="440" w:firstLine="518"/>
        <w:spacing w:after="0" w:line="282" w:lineRule="auto"/>
        <w:rPr>
          <w:sz w:val="20"/>
          <w:szCs w:val="20"/>
          <w:color w:val="auto"/>
        </w:rPr>
      </w:pPr>
      <w:r>
        <w:rPr>
          <w:rFonts w:ascii="Times New Roman" w:cs="Times New Roman" w:eastAsia="Times New Roman" w:hAnsi="Times New Roman"/>
          <w:sz w:val="18"/>
          <w:szCs w:val="18"/>
          <w:color w:val="auto"/>
        </w:rPr>
        <w:t>We currently market visible and infrared medical laser systems and delivery devices to the ophthalmology market. We believe that continued and increased sales, if any, of these medical laser systems is dependent upon a number of factors including the following:</w:t>
      </w:r>
    </w:p>
    <w:p>
      <w:pPr>
        <w:spacing w:after="0" w:line="54" w:lineRule="exact"/>
        <w:rPr>
          <w:sz w:val="20"/>
          <w:szCs w:val="20"/>
          <w:color w:val="auto"/>
        </w:rPr>
      </w:pPr>
    </w:p>
    <w:p>
      <w:pPr>
        <w:ind w:left="1040" w:right="1020" w:hanging="519"/>
        <w:spacing w:after="0" w:line="282"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product performance, features, ease of use, scalability and durability, including with respect to our MicroPulse laser photocoagulation systems;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recommendations and opinions by ophthalmologists, other clinicians, and their associated opinion leaders;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study outcomes;</w:t>
      </w:r>
    </w:p>
    <w:p>
      <w:pPr>
        <w:spacing w:after="0" w:line="117" w:lineRule="exact"/>
        <w:rPr>
          <w:rFonts w:ascii="Times New Roman" w:cs="Times New Roman" w:eastAsia="Times New Roman" w:hAnsi="Times New Roman"/>
          <w:sz w:val="18"/>
          <w:szCs w:val="18"/>
          <w:color w:val="auto"/>
        </w:rPr>
      </w:pPr>
    </w:p>
    <w:p>
      <w:pPr>
        <w:ind w:left="1040" w:right="480" w:hanging="519"/>
        <w:spacing w:after="0" w:line="282"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of our products and prices of competing products and technologies, particularly in light of the current macro-economic environment where healthcare systems and healthcare operators are becoming increasingly price sensitive;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6" w:name="page27"/>
    <w:bookmarkEnd w:id="26"/>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competing products, technologies and alternative treatments;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reimbursement for treatments administered with our products.</w:t>
      </w:r>
    </w:p>
    <w:p>
      <w:pPr>
        <w:spacing w:after="0" w:line="239" w:lineRule="exact"/>
        <w:rPr>
          <w:sz w:val="20"/>
          <w:szCs w:val="20"/>
          <w:color w:val="auto"/>
        </w:rPr>
      </w:pPr>
    </w:p>
    <w:p>
      <w:pPr>
        <w:ind w:right="240" w:firstLine="518"/>
        <w:spacing w:after="0" w:line="255" w:lineRule="auto"/>
        <w:rPr>
          <w:sz w:val="20"/>
          <w:szCs w:val="20"/>
          <w:color w:val="auto"/>
        </w:rPr>
      </w:pPr>
      <w:r>
        <w:rPr>
          <w:rFonts w:ascii="Times New Roman" w:cs="Times New Roman" w:eastAsia="Times New Roman" w:hAnsi="Times New Roman"/>
          <w:sz w:val="18"/>
          <w:szCs w:val="18"/>
          <w:color w:val="auto"/>
        </w:rPr>
        <w:t>In addition, we derive a meaningful portion of our sales in the form of recurring revenues from selling consumable instrumentation, including our EndoProbe devices and service. Our ability to increase recurring revenues from the sale of consumable products will depend primarily upon the features of our current products and product innovation, the quality of our products, ease of use and prices of our products, including the relationship to prices of competing products. The level of our service revenues will depend on the quality of service we provide and the responsiveness and the willingness of our customers to request our services rather than purchase competing products or services. Any significant decline in market acceptance of our products or our revenues derived from the sales of laser consoles, delivery devices, consumables or services may have a material adverse effect on our business, results of operations and financial condition.</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face strong competition in our markets and expect the level of competition to grow in the foreseeable future.</w:t>
      </w:r>
    </w:p>
    <w:p>
      <w:pPr>
        <w:spacing w:after="0" w:line="121"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Competition in the market for laser systems and delivery devices used for ophthalmic treatment procedures is intense and is expected to increase. This market is also characterized by technological innovation and change. We compete by providing features and services that are valued by our customers such as: enhanced product performance, and clinical outcomes, ease of use, durability, versatility, customer training services and rapid repair of equipment.</w:t>
      </w:r>
    </w:p>
    <w:p>
      <w:pPr>
        <w:spacing w:after="0" w:line="176"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Our principal ophthalmic laser competitors are Alcon Inc. (Novartis AG), Bausch and Lomb (Valeant), Carl Zeiss Meditec AG, Ellex Medical Lasers, Ltd., Lumenis Ltd., Nidek Co. Ltd., Quantel Medical SA, and Topcon Corporation. We also compete with alternative glaucoma surgical device companies such as Alcon, Allergan, and Glaukos. Pharmaceuticals represent alternative treatments to our laser procedures. Some of our principal pharmaceutical competitors are Alcon, Allergan, OSI Pharmaceuticals, Pfizer, Regeneron, Roche (Genentech), and Valeant Pharmaceuticals. Some of our competitors have substantially greater financial, engineering, product development, manufacturing, marketing and technical resources than we do. Some companies also have greater name recognition than us and long-standing customer relationships. In addition, other medical companies, academic and research institutions, or others, may develop new technologies or therapies, including medical devices, surgical procedures or pharmacological treatments and obtain regulatory approval for products utilizing such techniques that are more effective in treating the conditions targeted by us, or are less expensive than our current or future products. Our technologies and products could be rendered obsolete by such developments. Any such developments could have a material adverse effect on our business, financial condition and results of operations.</w:t>
      </w:r>
    </w:p>
    <w:p>
      <w:pPr>
        <w:spacing w:after="0" w:line="182" w:lineRule="exact"/>
        <w:rPr>
          <w:sz w:val="20"/>
          <w:szCs w:val="20"/>
          <w:color w:val="auto"/>
        </w:rPr>
      </w:pPr>
    </w:p>
    <w:p>
      <w:pPr>
        <w:ind w:right="24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be adversely affected by uncertainty regarding healthcare reform measures and changes in third- party coverage and reimbursement policies.</w:t>
      </w:r>
    </w:p>
    <w:p>
      <w:pPr>
        <w:spacing w:after="0" w:line="51" w:lineRule="exact"/>
        <w:rPr>
          <w:sz w:val="20"/>
          <w:szCs w:val="20"/>
          <w:color w:val="auto"/>
        </w:rPr>
      </w:pPr>
    </w:p>
    <w:p>
      <w:pPr>
        <w:ind w:right="60" w:firstLine="488"/>
        <w:spacing w:after="0" w:line="254" w:lineRule="auto"/>
        <w:rPr>
          <w:sz w:val="20"/>
          <w:szCs w:val="20"/>
          <w:color w:val="auto"/>
        </w:rPr>
      </w:pPr>
      <w:r>
        <w:rPr>
          <w:rFonts w:ascii="Times New Roman" w:cs="Times New Roman" w:eastAsia="Times New Roman" w:hAnsi="Times New Roman"/>
          <w:sz w:val="18"/>
          <w:szCs w:val="18"/>
          <w:color w:val="auto"/>
        </w:rPr>
        <w:t>Our products are typically purchased by doctors, clinics, hospitals and other users, which bill various third-party payers, such as governmental programs and private insurance plans, for the health care services provided to their patients. Changes in government legislation or regulation or in private third-party payers’ policies toward reimbursement for procedures employing our products may prohibit adequate reimbursement. There have been a number of legislative and regulatory proposals to change the healthcare system, reduce the costs of healthcare and change medical reimbursement policies. Doctors, clinics, hospitals and other users of our products may decline to purchase our products to the extent there is uncertainty regarding reimbursement of medical procedures using our products and any healthcare reform measures. Further proposed legislation, regulation and policy changes affecting third-party reimbursement are likely. Among other things, Congress has in the past proposed changes to and the repeal of the Patient Protection and Affordable Care and Health Care and Education Affordability Reconciliation Act of 2010 (collectively, the “Affordable Care Act”). At this time, it remains unclear whether there will be any changes made to or any repeal of the Affordable Care Act, with respect to certain of its provisions or in its entirety. Various healthcare reform proposals have also emerged at the state level.</w:t>
      </w:r>
    </w:p>
    <w:p>
      <w:pPr>
        <w:spacing w:after="0" w:line="213" w:lineRule="exact"/>
        <w:rPr>
          <w:sz w:val="20"/>
          <w:szCs w:val="20"/>
          <w:color w:val="auto"/>
        </w:rPr>
      </w:pPr>
    </w:p>
    <w:p>
      <w:pPr>
        <w:ind w:right="20" w:firstLine="488"/>
        <w:spacing w:after="0" w:line="258" w:lineRule="auto"/>
        <w:rPr>
          <w:sz w:val="20"/>
          <w:szCs w:val="20"/>
          <w:color w:val="auto"/>
        </w:rPr>
      </w:pPr>
      <w:r>
        <w:rPr>
          <w:rFonts w:ascii="Times New Roman" w:cs="Times New Roman" w:eastAsia="Times New Roman" w:hAnsi="Times New Roman"/>
          <w:sz w:val="18"/>
          <w:szCs w:val="18"/>
          <w:color w:val="auto"/>
        </w:rPr>
        <w:t>We are unable to predict what legislation or regulation, if any, relating to the health care industry or third-party coverage and reimbursement may be enacted in the future at the state or federal level, or what effect such legislation or regulation may have on us. Furthermore, existing legislation and regulation related to the health care industry and third-party coverage reimbursement, including the Affordable Care Act, has been subject to judicial challenge, and may be subject to similar challenges from time to time in the future. Denial of coverage and reimbursement of our products, or the revocation or changes to coverage and reimbursement policies, could have a material adverse effect on our business, results of operations and financial condition.</w:t>
      </w:r>
    </w:p>
    <w:p>
      <w:pPr>
        <w:spacing w:after="0" w:line="197" w:lineRule="exact"/>
        <w:rPr>
          <w:sz w:val="20"/>
          <w:szCs w:val="20"/>
          <w:color w:val="auto"/>
        </w:rPr>
      </w:pPr>
    </w:p>
    <w:p>
      <w:pPr>
        <w:ind w:right="160" w:firstLine="488"/>
        <w:spacing w:after="0" w:line="261" w:lineRule="auto"/>
        <w:rPr>
          <w:sz w:val="20"/>
          <w:szCs w:val="20"/>
          <w:color w:val="auto"/>
        </w:rPr>
      </w:pPr>
      <w:r>
        <w:rPr>
          <w:rFonts w:ascii="Times New Roman" w:cs="Times New Roman" w:eastAsia="Times New Roman" w:hAnsi="Times New Roman"/>
          <w:sz w:val="18"/>
          <w:szCs w:val="18"/>
          <w:color w:val="auto"/>
        </w:rPr>
        <w:t>Third-party payers are increasingly scrutinizing and continue to challenge the coverage of new products and the level of reimbursement for covered products. Doctors, clinics, hospitals and other users of our products may not obtain adequate reimbursement for use of our products from third-party payers. While we believe that the laser procedures using our products have generally been reimbursed, payers may deny coverage and reimbursement for our products if they determine that the device was not reasonable and necessary for the purpose used, was investigational or was not cost-effective.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27" w:name="page28"/>
    <w:bookmarkEnd w:id="27"/>
    <w:p>
      <w:pPr>
        <w:ind w:right="240" w:firstLine="48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healthcare laws, we could face substantial penalties and financial exposure, and our business, operations and financial condition could be adversely affected.</w:t>
      </w:r>
    </w:p>
    <w:p>
      <w:pPr>
        <w:spacing w:after="0" w:line="186" w:lineRule="exact"/>
        <w:rPr>
          <w:sz w:val="20"/>
          <w:szCs w:val="20"/>
          <w:color w:val="auto"/>
        </w:rPr>
      </w:pPr>
    </w:p>
    <w:p>
      <w:pPr>
        <w:ind w:firstLine="488"/>
        <w:spacing w:after="0" w:line="252" w:lineRule="auto"/>
        <w:rPr>
          <w:sz w:val="20"/>
          <w:szCs w:val="20"/>
          <w:color w:val="auto"/>
        </w:rPr>
      </w:pPr>
      <w:r>
        <w:rPr>
          <w:rFonts w:ascii="Times New Roman" w:cs="Times New Roman" w:eastAsia="Times New Roman" w:hAnsi="Times New Roman"/>
          <w:sz w:val="18"/>
          <w:szCs w:val="18"/>
          <w:color w:val="auto"/>
        </w:rPr>
        <w:t>While we do not bill directly to Medicare, Medicaid or other third-party payors, because payment is in many cases available for our products from such payors, many healthcare laws place limitations and requirements on the manner in which we conduct our business (including our sales and promotional activities and interactions with healthcare professionals and facilities) and could result in liability and exposure to us. The laws that may affect our ability to operate include, among others: (i) the federal healthcare programs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Medicare or Medicaid, (ii) federal false claims laws which prohibit, among other things, individuals or entities from knowingly presenting, or causing to be presented, claims for payment from Medicare, Medicaid, or other third-party payors that are false or fraudulent, and which may apply to entities like us if we provide coding and billing advice to customers, or under theories of “implied certification” where the government and qui tam relators may allege that device companies are liable where a product that was paid for by the government in whole or in part was promoted “off-label,” lacked necessary clearance or approval, or failed to comply with good manufacturing practices or other laws; (iii) transparency laws and related reporting and disclosures requirements such as the federal Sunshine Act, now known as Open Payments; and/or (iv) state law equivalents of each of the above federal laws, including, without limitation anti-kickback and false claims laws which may apply to items or services reimbursed by any third-party payor, including commercial insurers, many of which differ from their federal counterparts in significant ways, thus complicating compliance efforts.</w:t>
      </w:r>
    </w:p>
    <w:p>
      <w:pPr>
        <w:spacing w:after="0" w:line="212" w:lineRule="exact"/>
        <w:rPr>
          <w:sz w:val="20"/>
          <w:szCs w:val="20"/>
          <w:color w:val="auto"/>
        </w:rPr>
      </w:pPr>
    </w:p>
    <w:p>
      <w:pPr>
        <w:ind w:firstLine="488"/>
        <w:spacing w:after="0" w:line="252"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laws described above or any other governmental regulations that apply to us, we may be subject to penalties, including civil and criminal penalties, exclusion from participation in government healthcare programs, damages, fines and the curtailment or restructuring of our operations. Any penalties, damages, fines, curtailment or restructuring of our operations could adversely affect our ability to operate our business and our financial results. The risk of our being found in violation of these laws is increased by the fact that their provisions are open to a variety of evolving interpretations and enforcement discretion. Open Payments, commonly known as the Sunshine Act, is a relatively new law, and compliance with this law has presented a number of challenges to companies such as ours, in terms of interpretation of the law and its implementation. Under the Sunshine Act, Centers for Medicare &amp; Medicaid Services (“CMS”) has the potential to impose penalties of up to $1.15 million per year for violations, depending on the circumstances, although enforcement has been negligible to date. Payments reported under the Sunshine Act also have the potential to draw scrutiny on payments to and relationships with physicians, which may have implications under the Anti-Kickback Statute and other healthcare laws. The risk that we are our being found in violation of these laws may be increased by the fact that we do not have a formal healthcare compliance program in place. Further, while safe harbors may in some instances be available and utilized by companies to reduce risks associated with the Anti-Kickback Statute and certain other healthcare laws, we have not necessarily utilized such safe harbors nor fully followed all elements required to claim the benefit of such safe harbors in all possible instances. Any action against us for violation of these laws, even if we successfully defend against it, could cause us to incur significant legal expenses and divert our management’s attention from the operation of our business.</w:t>
      </w:r>
    </w:p>
    <w:p>
      <w:pPr>
        <w:spacing w:after="0" w:line="3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depend on collaborative relationships to develop, introduce and market new products, product enhancements and new applications.</w:t>
      </w:r>
    </w:p>
    <w:p>
      <w:pPr>
        <w:spacing w:after="0" w:line="121" w:lineRule="exact"/>
        <w:rPr>
          <w:sz w:val="20"/>
          <w:szCs w:val="20"/>
          <w:color w:val="auto"/>
        </w:rPr>
      </w:pPr>
    </w:p>
    <w:p>
      <w:pPr>
        <w:ind w:right="40" w:firstLine="488"/>
        <w:spacing w:after="0" w:line="255" w:lineRule="auto"/>
        <w:rPr>
          <w:sz w:val="20"/>
          <w:szCs w:val="20"/>
          <w:color w:val="auto"/>
        </w:rPr>
      </w:pPr>
      <w:r>
        <w:rPr>
          <w:rFonts w:ascii="Times New Roman" w:cs="Times New Roman" w:eastAsia="Times New Roman" w:hAnsi="Times New Roman"/>
          <w:sz w:val="18"/>
          <w:szCs w:val="18"/>
          <w:color w:val="auto"/>
        </w:rPr>
        <w:t>We depend on both clinical and commercial collaborative relationships. We have entered into collaborative relationships with academic medical centers and physicians in connection with the research and innovation and clinical testing of our products. Commercially, we currently have a distribution and licensing agreement with Alcon for our GreenTip SoftTip Cannula. Sales of and royalties from the GreenTip Soft Tip Cannula are dependent upon the sales performance of Alcon, which depends on their efforts and is beyond our control. The failure to obtain any additional future clinical or commercial collaborations and the resulting failure or success of such arrangements of any current or future clinical or commercial collaboration relationships could have a material adverse effect on our ability to introduce new products or applications and therefore could have a material adverse effect on our business, results of operations and financial condition.</w:t>
      </w:r>
    </w:p>
    <w:p>
      <w:pPr>
        <w:spacing w:after="0" w:line="320" w:lineRule="exact"/>
        <w:rPr>
          <w:sz w:val="20"/>
          <w:szCs w:val="20"/>
          <w:color w:val="auto"/>
        </w:rPr>
      </w:pPr>
    </w:p>
    <w:p>
      <w:pPr>
        <w:ind w:right="140" w:firstLine="48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increase our sales volumes, reduce our costs or introduce higher margin products to offset anticipated reductions in the average unit price of our products, our operating results may suffer.</w:t>
      </w:r>
    </w:p>
    <w:p>
      <w:pPr>
        <w:spacing w:after="0" w:line="159" w:lineRule="exact"/>
        <w:rPr>
          <w:sz w:val="20"/>
          <w:szCs w:val="20"/>
          <w:color w:val="auto"/>
        </w:rPr>
      </w:pPr>
    </w:p>
    <w:p>
      <w:pPr>
        <w:ind w:right="260" w:firstLine="488"/>
        <w:spacing w:after="0" w:line="261" w:lineRule="auto"/>
        <w:rPr>
          <w:sz w:val="20"/>
          <w:szCs w:val="20"/>
          <w:color w:val="auto"/>
        </w:rPr>
      </w:pPr>
      <w:r>
        <w:rPr>
          <w:rFonts w:ascii="Times New Roman" w:cs="Times New Roman" w:eastAsia="Times New Roman" w:hAnsi="Times New Roman"/>
          <w:sz w:val="18"/>
          <w:szCs w:val="18"/>
          <w:color w:val="auto"/>
        </w:rPr>
        <w:t>The average unit price of our products may decrease in the future in response to changes in product mix, competitive pricing pressures, new product introductions by our competitors or other factors. If we are unable to offset the anticipated decrease in our average selling prices by increasing our sales volumes or through new product introductions, our net revenues will decline. In addition, to maintain our gross margins we must continue to reduce the manufacturing cost of our products. If we cannot maintain our gross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98" w:right="239" w:bottom="1440" w:gutter="0" w:footer="0" w:header="0"/>
        </w:sectPr>
      </w:pPr>
    </w:p>
    <w:bookmarkStart w:id="28" w:name="page29"/>
    <w:bookmarkEnd w:id="28"/>
    <w:p>
      <w:pPr>
        <w:ind w:right="460"/>
        <w:spacing w:after="0" w:line="282" w:lineRule="auto"/>
        <w:rPr>
          <w:sz w:val="20"/>
          <w:szCs w:val="20"/>
          <w:color w:val="auto"/>
        </w:rPr>
      </w:pPr>
      <w:r>
        <w:rPr>
          <w:rFonts w:ascii="Times New Roman" w:cs="Times New Roman" w:eastAsia="Times New Roman" w:hAnsi="Times New Roman"/>
          <w:sz w:val="18"/>
          <w:szCs w:val="18"/>
          <w:color w:val="auto"/>
        </w:rPr>
        <w:t>margins our business could be seriously harmed, particularly if the average selling price of our products decreases significantly without a corresponding increase in sales.</w:t>
      </w:r>
    </w:p>
    <w:p>
      <w:pPr>
        <w:spacing w:after="0" w:line="171" w:lineRule="exact"/>
        <w:rPr>
          <w:sz w:val="20"/>
          <w:szCs w:val="20"/>
          <w:color w:val="auto"/>
        </w:rPr>
      </w:pPr>
    </w:p>
    <w:p>
      <w:pPr>
        <w:ind w:right="920" w:firstLine="48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promotional practices are subject to extensive government scrutiny. We may be subject to governmental, regulatory and other legal proceedings relative to advertising, promotion, and marketing that have a significant negative effect on our business.</w:t>
      </w:r>
    </w:p>
    <w:p>
      <w:pPr>
        <w:spacing w:after="0" w:line="51" w:lineRule="exact"/>
        <w:rPr>
          <w:sz w:val="20"/>
          <w:szCs w:val="20"/>
          <w:color w:val="auto"/>
        </w:rPr>
      </w:pPr>
    </w:p>
    <w:p>
      <w:pPr>
        <w:ind w:right="20" w:firstLine="488"/>
        <w:spacing w:after="0" w:line="256" w:lineRule="auto"/>
        <w:rPr>
          <w:sz w:val="20"/>
          <w:szCs w:val="20"/>
          <w:color w:val="auto"/>
        </w:rPr>
      </w:pPr>
      <w:r>
        <w:rPr>
          <w:rFonts w:ascii="Times New Roman" w:cs="Times New Roman" w:eastAsia="Times New Roman" w:hAnsi="Times New Roman"/>
          <w:sz w:val="18"/>
          <w:szCs w:val="18"/>
          <w:color w:val="auto"/>
        </w:rPr>
        <w:t>We are subject to governmental oversight and associated civil and criminal enforcement relating to drug and medical device advertising, promotion, and marketing, and such enforcement is evolving and intensifying. In the United States, we are subject to potential enforcement from the FDA, the U.S. Federal Trade Commission, the Department of Justice, the CMS, other divisions of the Department of Health and Human Services and state and local governments. Other parties, including private plaintiffs, also are commonly bringing suit against pharmaceutical and medical device companies, alleging off-label marketing and other violations. We may be subject to liability based on the actions of individual employees and contractors carrying out activities on our behalf, including sales representatives who may interact with healthcare professionals.</w:t>
      </w:r>
    </w:p>
    <w:p>
      <w:pPr>
        <w:spacing w:after="0" w:line="3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manage growth effectively, our business could be disrupted which could harm our operating results.</w:t>
      </w:r>
    </w:p>
    <w:p>
      <w:pPr>
        <w:spacing w:after="0" w:line="121" w:lineRule="exact"/>
        <w:rPr>
          <w:sz w:val="20"/>
          <w:szCs w:val="20"/>
          <w:color w:val="auto"/>
        </w:rPr>
      </w:pPr>
    </w:p>
    <w:p>
      <w:pPr>
        <w:ind w:right="20" w:firstLine="488"/>
        <w:spacing w:after="0" w:line="277" w:lineRule="auto"/>
        <w:rPr>
          <w:sz w:val="20"/>
          <w:szCs w:val="20"/>
          <w:color w:val="auto"/>
        </w:rPr>
      </w:pPr>
      <w:r>
        <w:rPr>
          <w:rFonts w:ascii="Times New Roman" w:cs="Times New Roman" w:eastAsia="Times New Roman" w:hAnsi="Times New Roman"/>
          <w:sz w:val="17"/>
          <w:szCs w:val="17"/>
          <w:color w:val="auto"/>
        </w:rPr>
        <w:t>We have experienced and may in the future experience growth in our business, both organically and through the acquisition of businesses and products. We have made and expect to continue to make significant investments to enable our future growth through, among other things, new product innovation and clinical trials for new applications and products. We must also be prepared to expand our work force and to train, motivate and manage additional employees as the need for additional personnel arises. Our personnel, systems, procedures and controls may not be adequate to support our future operations. Any failure to effectively manage future growth could have a material adverse effect on our business, results of operations and financial condition.</w:t>
      </w:r>
    </w:p>
    <w:p>
      <w:pPr>
        <w:spacing w:after="0" w:line="2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rely on patents and proprietary rights to protect our intellectual property and business.</w:t>
      </w:r>
    </w:p>
    <w:p>
      <w:pPr>
        <w:spacing w:after="0" w:line="229" w:lineRule="exact"/>
        <w:rPr>
          <w:sz w:val="20"/>
          <w:szCs w:val="20"/>
          <w:color w:val="auto"/>
        </w:rPr>
      </w:pPr>
    </w:p>
    <w:p>
      <w:pPr>
        <w:ind w:firstLine="488"/>
        <w:spacing w:after="0" w:line="254" w:lineRule="auto"/>
        <w:rPr>
          <w:sz w:val="20"/>
          <w:szCs w:val="20"/>
          <w:color w:val="auto"/>
        </w:rPr>
      </w:pPr>
      <w:r>
        <w:rPr>
          <w:rFonts w:ascii="Times New Roman" w:cs="Times New Roman" w:eastAsia="Times New Roman" w:hAnsi="Times New Roman"/>
          <w:sz w:val="18"/>
          <w:szCs w:val="18"/>
          <w:color w:val="auto"/>
        </w:rPr>
        <w:t>Our success and ability to compete is dependent in part upon our proprietary information. We rely on a combination of patents, trade secrets, copyright and trademark laws, nondisclosure and other contractual agreements and technical measures to protect our intellectual property rights. We file patent applications to protect technology, inventions and improvements that are significant to the development of our business. Our active patent portfolio includes 26 United States patents and 20 foreign patents on the technologies related to our products and processes. We have 11 pending patent applications in the United States and 23 foreign pending patent applications that have been filed. Our patent applications may not be approved. Any patents granted now or in the future may offer only limited protection against potential infringement and development by our competitors of competing products. Moreover, our competitors, many of which have substantial resources and have made substantial investments in competing technologies, may seek to apply for and obtain patents that will prevent, limit or interfere with our ability to make, use or sell our products either in the United States or in international markets. Patents have a limited lifetime and once a patent expires competition may increase.</w:t>
      </w:r>
    </w:p>
    <w:p>
      <w:pPr>
        <w:spacing w:after="0" w:line="189" w:lineRule="exact"/>
        <w:rPr>
          <w:sz w:val="20"/>
          <w:szCs w:val="20"/>
          <w:color w:val="auto"/>
        </w:rPr>
      </w:pPr>
    </w:p>
    <w:p>
      <w:pPr>
        <w:ind w:firstLine="488"/>
        <w:spacing w:after="0" w:line="258" w:lineRule="auto"/>
        <w:rPr>
          <w:sz w:val="20"/>
          <w:szCs w:val="20"/>
          <w:color w:val="auto"/>
        </w:rPr>
      </w:pPr>
      <w:r>
        <w:rPr>
          <w:rFonts w:ascii="Times New Roman" w:cs="Times New Roman" w:eastAsia="Times New Roman" w:hAnsi="Times New Roman"/>
          <w:sz w:val="18"/>
          <w:szCs w:val="18"/>
          <w:color w:val="auto"/>
        </w:rPr>
        <w:t>In addition to patents, we rely on trade secrets and proprietary know-how which we seek to protect, in part, through proprietary information agreements with employees, consultants and other parties. Our proprietary information agreements with our employees and consultants contain industry standard provisions requiring such individuals to assign to us without additional consideration any inventions conceived or reduced to practice by them while employed or retained by us, subject to customary exceptions. Proprietary information agreements with employees, consultants and others may be breached, and we may not have adequate remedies for any breach. Also, our trade secrets may become known to or independently developed by competitors.</w:t>
      </w:r>
    </w:p>
    <w:p>
      <w:pPr>
        <w:spacing w:after="0" w:line="184" w:lineRule="exact"/>
        <w:rPr>
          <w:sz w:val="20"/>
          <w:szCs w:val="20"/>
          <w:color w:val="auto"/>
        </w:rPr>
      </w:pPr>
    </w:p>
    <w:p>
      <w:pPr>
        <w:ind w:right="220" w:firstLine="488"/>
        <w:spacing w:after="0" w:line="282" w:lineRule="auto"/>
        <w:rPr>
          <w:sz w:val="20"/>
          <w:szCs w:val="20"/>
          <w:color w:val="auto"/>
        </w:rPr>
      </w:pPr>
      <w:r>
        <w:rPr>
          <w:rFonts w:ascii="Times New Roman" w:cs="Times New Roman" w:eastAsia="Times New Roman" w:hAnsi="Times New Roman"/>
          <w:sz w:val="18"/>
          <w:szCs w:val="18"/>
          <w:color w:val="auto"/>
        </w:rPr>
        <w:t>The laser and medical device industry is characterized by frequent litigation regarding patent and other intellectual property rights. Companies in the medical device industry have employed intellectual property litigation to gain a competitive advantage.</w:t>
      </w:r>
    </w:p>
    <w:p>
      <w:pPr>
        <w:spacing w:after="0" w:line="162" w:lineRule="exact"/>
        <w:rPr>
          <w:sz w:val="20"/>
          <w:szCs w:val="20"/>
          <w:color w:val="auto"/>
        </w:rPr>
      </w:pPr>
    </w:p>
    <w:p>
      <w:pPr>
        <w:ind w:right="60" w:firstLine="488"/>
        <w:spacing w:after="0" w:line="255" w:lineRule="auto"/>
        <w:rPr>
          <w:sz w:val="20"/>
          <w:szCs w:val="20"/>
          <w:color w:val="auto"/>
        </w:rPr>
      </w:pPr>
      <w:r>
        <w:rPr>
          <w:rFonts w:ascii="Times New Roman" w:cs="Times New Roman" w:eastAsia="Times New Roman" w:hAnsi="Times New Roman"/>
          <w:sz w:val="18"/>
          <w:szCs w:val="18"/>
          <w:color w:val="auto"/>
        </w:rPr>
        <w:t>Numerous patents are held by others, including academic institutions and our competitors. Patent applications filed in the United States after November 2000 generally will be published eighteen months after the filing date. However, since patent applications continue to be maintained in secrecy for at least some period of time, both within the United States and with regards to international patent applications, we cannot assure you that our technology does not infringe any patents or patent applications held by third parties. We have, from time to time, been notified of, or have otherwise been made aware of, claims that we may be infringing upon patents or other proprietary intellectual property owned by others. If it appears necessary or desirable, we may seek licenses under such patents or proprietary intellectual property. Although patent holders commonly offer such licenses, licenses under such patents or intellectual property may not be offered or the terms of any offered licenses may not be reasonable.</w:t>
      </w:r>
    </w:p>
    <w:p>
      <w:pPr>
        <w:spacing w:after="0" w:line="203" w:lineRule="exact"/>
        <w:rPr>
          <w:sz w:val="20"/>
          <w:szCs w:val="20"/>
          <w:color w:val="auto"/>
        </w:rPr>
      </w:pPr>
    </w:p>
    <w:p>
      <w:pPr>
        <w:ind w:right="120" w:firstLine="488"/>
        <w:spacing w:after="0" w:line="266" w:lineRule="auto"/>
        <w:rPr>
          <w:sz w:val="20"/>
          <w:szCs w:val="20"/>
          <w:color w:val="auto"/>
        </w:rPr>
      </w:pPr>
      <w:r>
        <w:rPr>
          <w:rFonts w:ascii="Times New Roman" w:cs="Times New Roman" w:eastAsia="Times New Roman" w:hAnsi="Times New Roman"/>
          <w:sz w:val="18"/>
          <w:szCs w:val="18"/>
          <w:color w:val="auto"/>
        </w:rPr>
        <w:t>Any claims, with or without merit, and regardless of whether we are successful on the merits, would be time-consuming, result in costly litigation and diversion of technical and management personnel, cause shipment delays or require us to develop non-infringing technology or to enter into royalty or licensing agreements. An adverse determination in a judicial or administrative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9" w:name="page30"/>
    <w:bookmarkEnd w:id="29"/>
    <w:p>
      <w:pPr>
        <w:ind w:right="300"/>
        <w:spacing w:after="0" w:line="282" w:lineRule="auto"/>
        <w:rPr>
          <w:sz w:val="20"/>
          <w:szCs w:val="20"/>
          <w:color w:val="auto"/>
        </w:rPr>
      </w:pPr>
      <w:r>
        <w:rPr>
          <w:rFonts w:ascii="Times New Roman" w:cs="Times New Roman" w:eastAsia="Times New Roman" w:hAnsi="Times New Roman"/>
          <w:sz w:val="18"/>
          <w:szCs w:val="18"/>
          <w:color w:val="auto"/>
        </w:rPr>
        <w:t>proceeding and failure to obtain necessary licenses or develop alternate technologies could prevent us from manufacturing and selling our products, which would have a material adverse effect on our business, results of operations and financial condition.</w:t>
      </w:r>
    </w:p>
    <w:p>
      <w:pPr>
        <w:spacing w:after="0" w:line="2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If we lose key personnel or fail to integrate replacement personnel successfully, our ability to manage our business could be impaired.</w:t>
      </w:r>
    </w:p>
    <w:p>
      <w:pPr>
        <w:spacing w:after="0" w:line="229" w:lineRule="exact"/>
        <w:rPr>
          <w:sz w:val="20"/>
          <w:szCs w:val="20"/>
          <w:color w:val="auto"/>
        </w:rPr>
      </w:pPr>
    </w:p>
    <w:p>
      <w:pPr>
        <w:ind w:firstLine="488"/>
        <w:spacing w:after="0" w:line="255" w:lineRule="auto"/>
        <w:rPr>
          <w:sz w:val="20"/>
          <w:szCs w:val="20"/>
          <w:color w:val="auto"/>
        </w:rPr>
      </w:pPr>
      <w:r>
        <w:rPr>
          <w:rFonts w:ascii="Times New Roman" w:cs="Times New Roman" w:eastAsia="Times New Roman" w:hAnsi="Times New Roman"/>
          <w:sz w:val="18"/>
          <w:szCs w:val="18"/>
          <w:color w:val="auto"/>
        </w:rPr>
        <w:t>Our future success depends upon the continued service of our key management, technical, sales, and other critical personnel. Our officers and other key personnel are employees-at-will, and we cannot assure you that we will be able to retain them. Key personnel have left our company in the past, and there likely will be additional departures of key personnel from time to time in the future. The loss of any key employee could result in significant disruptions to our operations, including adversely affecting the timeliness of product releases, the successful implementation and completion of company initiatives, and the results of our operations. Competition for these individuals is intense, and we may not be able to attract, assimilate or retain highly qualified personnel. Competition for qualified personnel in our industry and the San Francisco Bay Area, as well as other geographic markets in which we recruit, is intense and characterized by increasing salaries, which may increase our operating expenses or hinder our ability to recruit qualified candidates. In addition, the integration of replacement personnel could be time consuming, may cause additional disruptions to our operations, and may be unsuccessful.</w:t>
      </w:r>
    </w:p>
    <w:p>
      <w:pPr>
        <w:spacing w:after="0" w:line="303" w:lineRule="exact"/>
        <w:rPr>
          <w:sz w:val="20"/>
          <w:szCs w:val="20"/>
          <w:color w:val="auto"/>
        </w:rPr>
      </w:pPr>
    </w:p>
    <w:p>
      <w:pPr>
        <w:ind w:right="740" w:firstLine="48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accurately forecast demand for our product and component requirements for the manufacture of our product, we could incur additional costs or experience manufacturing delays and may experience lost sales or significant inventory carrying costs.</w:t>
      </w:r>
    </w:p>
    <w:p>
      <w:pPr>
        <w:spacing w:after="0" w:line="51" w:lineRule="exact"/>
        <w:rPr>
          <w:sz w:val="20"/>
          <w:szCs w:val="20"/>
          <w:color w:val="auto"/>
        </w:rPr>
      </w:pPr>
    </w:p>
    <w:p>
      <w:pPr>
        <w:ind w:right="40" w:firstLine="488"/>
        <w:spacing w:after="0" w:line="255" w:lineRule="auto"/>
        <w:rPr>
          <w:sz w:val="20"/>
          <w:szCs w:val="20"/>
          <w:color w:val="auto"/>
        </w:rPr>
      </w:pPr>
      <w:r>
        <w:rPr>
          <w:rFonts w:ascii="Times New Roman" w:cs="Times New Roman" w:eastAsia="Times New Roman" w:hAnsi="Times New Roman"/>
          <w:sz w:val="18"/>
          <w:szCs w:val="18"/>
          <w:color w:val="auto"/>
        </w:rPr>
        <w:t>We use quarterly and annual forecasts based primarily on our anticipated product orders to plan our manufacturing efforts and determine our requirements for components and materials. It is very important that we accurately predict both the demand for our product and the lead times required to obtain the necessary components and materials. Lead times for components vary significantly and depend on numerous factors, including the specific supplier, the size of the order, contract terms and current market demand for such components. If we overestimate the demand for our product, we may have excess inventory, which would increase our costs. If we underestimate demand for our product and consequently, our component and materials requirements, we may have inadequate inventory, which could interrupt our manufacturing, delay delivery of our product to our customers and result in the loss of customer sales. Any of these occurrences would negatively impact our business and operating results.</w:t>
      </w:r>
    </w:p>
    <w:p>
      <w:pPr>
        <w:spacing w:after="0" w:line="3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depend on sole source or limited source suppliers.</w:t>
      </w:r>
    </w:p>
    <w:p>
      <w:pPr>
        <w:spacing w:after="0" w:line="121" w:lineRule="exact"/>
        <w:rPr>
          <w:sz w:val="20"/>
          <w:szCs w:val="20"/>
          <w:color w:val="auto"/>
        </w:rPr>
      </w:pPr>
    </w:p>
    <w:p>
      <w:pPr>
        <w:jc w:val="both"/>
        <w:ind w:right="180" w:firstLine="488"/>
        <w:spacing w:after="0" w:line="261" w:lineRule="auto"/>
        <w:rPr>
          <w:sz w:val="20"/>
          <w:szCs w:val="20"/>
          <w:color w:val="auto"/>
        </w:rPr>
      </w:pPr>
      <w:r>
        <w:rPr>
          <w:rFonts w:ascii="Times New Roman" w:cs="Times New Roman" w:eastAsia="Times New Roman" w:hAnsi="Times New Roman"/>
          <w:sz w:val="18"/>
          <w:szCs w:val="18"/>
          <w:color w:val="auto"/>
        </w:rPr>
        <w:t>We rely on third parties to manufacture substantially all of the components used in our products, including optics, laser diodes and crystals. We have some long term or volume purchase agreements with our suppliers and currently purchase components on a purchase order basis. Some of our suppliers and manufacturers are sole or limited sources. In addition, some of these suppliers are relatively small private companies whose operations may be disrupted or discontinued at any time. There are risks associated with the use of independent manufacturers, including the following:</w:t>
      </w:r>
    </w:p>
    <w:p>
      <w:pPr>
        <w:spacing w:after="0" w:line="86" w:lineRule="exact"/>
        <w:rPr>
          <w:sz w:val="20"/>
          <w:szCs w:val="20"/>
          <w:color w:val="auto"/>
        </w:rPr>
      </w:pPr>
    </w:p>
    <w:p>
      <w:pPr>
        <w:ind w:left="1180" w:right="2140" w:hanging="686"/>
        <w:spacing w:after="0" w:line="282" w:lineRule="auto"/>
        <w:tabs>
          <w:tab w:leader="none" w:pos="1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unavailability of shortages or limitations on the ability to obtain supplies of components in the quantities that we require;</w:t>
      </w:r>
    </w:p>
    <w:p>
      <w:pPr>
        <w:spacing w:after="0" w:line="80" w:lineRule="exact"/>
        <w:rPr>
          <w:rFonts w:ascii="Times New Roman" w:cs="Times New Roman" w:eastAsia="Times New Roman" w:hAnsi="Times New Roman"/>
          <w:sz w:val="18"/>
          <w:szCs w:val="18"/>
          <w:color w:val="auto"/>
        </w:rPr>
      </w:pPr>
    </w:p>
    <w:p>
      <w:pPr>
        <w:ind w:left="1180" w:hanging="686"/>
        <w:spacing w:after="0"/>
        <w:tabs>
          <w:tab w:leader="none" w:pos="1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delivery or failure of suppliers to deliver critical components on the dates we require;</w:t>
      </w:r>
    </w:p>
    <w:p>
      <w:pPr>
        <w:spacing w:after="0" w:line="144" w:lineRule="exact"/>
        <w:rPr>
          <w:rFonts w:ascii="Times New Roman" w:cs="Times New Roman" w:eastAsia="Times New Roman" w:hAnsi="Times New Roman"/>
          <w:sz w:val="18"/>
          <w:szCs w:val="18"/>
          <w:color w:val="auto"/>
        </w:rPr>
      </w:pPr>
    </w:p>
    <w:p>
      <w:pPr>
        <w:ind w:left="1180" w:hanging="686"/>
        <w:spacing w:after="0"/>
        <w:tabs>
          <w:tab w:leader="none" w:pos="1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suppliers to manufacture components to our specifications, and potentially reduced quality; and</w:t>
      </w:r>
    </w:p>
    <w:p>
      <w:pPr>
        <w:spacing w:after="0" w:line="144" w:lineRule="exact"/>
        <w:rPr>
          <w:rFonts w:ascii="Times New Roman" w:cs="Times New Roman" w:eastAsia="Times New Roman" w:hAnsi="Times New Roman"/>
          <w:sz w:val="18"/>
          <w:szCs w:val="18"/>
          <w:color w:val="auto"/>
        </w:rPr>
      </w:pPr>
    </w:p>
    <w:p>
      <w:pPr>
        <w:ind w:left="1180" w:hanging="686"/>
        <w:spacing w:after="0"/>
        <w:tabs>
          <w:tab w:leader="none" w:pos="1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components at acceptable prices.</w:t>
      </w:r>
    </w:p>
    <w:p>
      <w:pPr>
        <w:spacing w:after="0" w:line="266"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Our business and operating results may suffer from the lack of alternative sources of supply for critical sole and limited source components. The process of qualifying suppliers is complex, requires extensive testing with our products, and may be lengthy, particularly as new products are introduced. New suppliers would have to be educated in our production processes. In addition, the use of alternate components may require design alterations to our products and additional product testing under FDA and relevant foreign regulatory agency guidelines, which may delay sales and increase product costs. Any failures by our vendors to adequately supply limited and sole source components may impair our ability to offer our existing products, delay the submission of new products for regulatory approval and market introduction, materially harm our business and financial condition and cause our stock price to decline. Establishing our own capabilities to manufacture these components would be expensive and could significantly decrease our profit margins. Our business, results of operations and financial condition would be adversely affected if we are unable to continue to obtain components in the quantity and quality desired and at the prices we have budgeted.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sectPr>
      </w:pPr>
    </w:p>
    <w:bookmarkStart w:id="30" w:name="page31"/>
    <w:bookmarkEnd w:id="30"/>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our facilities were to experience catastrophic loss, our operations would be seriously harmed.</w:t>
      </w:r>
    </w:p>
    <w:p>
      <w:pPr>
        <w:spacing w:after="0" w:line="121" w:lineRule="exact"/>
        <w:rPr>
          <w:sz w:val="20"/>
          <w:szCs w:val="20"/>
          <w:color w:val="auto"/>
        </w:rPr>
      </w:pPr>
    </w:p>
    <w:p>
      <w:pPr>
        <w:ind w:right="60" w:firstLine="488"/>
        <w:spacing w:after="0" w:line="266" w:lineRule="auto"/>
        <w:rPr>
          <w:sz w:val="20"/>
          <w:szCs w:val="20"/>
          <w:color w:val="auto"/>
        </w:rPr>
      </w:pPr>
      <w:r>
        <w:rPr>
          <w:rFonts w:ascii="Times New Roman" w:cs="Times New Roman" w:eastAsia="Times New Roman" w:hAnsi="Times New Roman"/>
          <w:sz w:val="18"/>
          <w:szCs w:val="18"/>
          <w:color w:val="auto"/>
        </w:rPr>
        <w:t>Our facilities could be subject to catastrophic loss such as fire, flood or earthquake. All of our research and development activities, manufacturing, our corporate headquarters and other critical business operations are located near major earthquake faults in Mountain View, California. Any such loss at any of our facilities could disrupt our operations, delay production, shipments and revenue and result in large expense to repair and replace our facilities.</w:t>
      </w:r>
    </w:p>
    <w:p>
      <w:pPr>
        <w:spacing w:after="0" w:line="307" w:lineRule="exact"/>
        <w:rPr>
          <w:sz w:val="20"/>
          <w:szCs w:val="20"/>
          <w:color w:val="auto"/>
        </w:rPr>
      </w:pPr>
    </w:p>
    <w:p>
      <w:pPr>
        <w:ind w:right="400" w:firstLine="48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our relationships with health care providers, customers may not buy our products and our revenue and profitability may decline. At the same time, relationships with these individuals and entities are the subject of heightened scrutiny and may present the potential for healthcare compliance risks.</w:t>
      </w:r>
    </w:p>
    <w:p>
      <w:pPr>
        <w:spacing w:after="0" w:line="67" w:lineRule="exact"/>
        <w:rPr>
          <w:sz w:val="20"/>
          <w:szCs w:val="20"/>
          <w:color w:val="auto"/>
        </w:rPr>
      </w:pPr>
    </w:p>
    <w:p>
      <w:pPr>
        <w:ind w:right="40" w:firstLine="488"/>
        <w:spacing w:after="0" w:line="256" w:lineRule="auto"/>
        <w:rPr>
          <w:sz w:val="20"/>
          <w:szCs w:val="20"/>
          <w:color w:val="auto"/>
        </w:rPr>
      </w:pPr>
      <w:r>
        <w:rPr>
          <w:rFonts w:ascii="Times New Roman" w:cs="Times New Roman" w:eastAsia="Times New Roman" w:hAnsi="Times New Roman"/>
          <w:sz w:val="18"/>
          <w:szCs w:val="18"/>
          <w:color w:val="auto"/>
        </w:rPr>
        <w:t>We market our products to numerous health care providers, including physicians, hospitals, ASC’s, government affiliated groups and group purchasing organizations. We have developed and strive to maintain close relationships with members of each of these groups who assist in product research and development and advise us on how to satisfy the full range of surgeon and patient needs. We rely on these groups to recommend our products to their patients and to other members of their organizations. The failure of our existing products and any new products we may introduce to retain the support of these various groups could have a material adverse effect on our business, financial condition and results of operations. In addition, our interactions, communications, and financial relationships with these individuals and entities present potential healthcare compliance risks.</w:t>
      </w:r>
    </w:p>
    <w:p>
      <w:pPr>
        <w:spacing w:after="0" w:line="305" w:lineRule="exact"/>
        <w:rPr>
          <w:sz w:val="20"/>
          <w:szCs w:val="20"/>
          <w:color w:val="auto"/>
        </w:rPr>
      </w:pPr>
    </w:p>
    <w:p>
      <w:pPr>
        <w:ind w:right="220" w:firstLine="48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 regulations which may cause us to delay or withdraw the introduction of new products or new applications for our products.</w:t>
      </w:r>
    </w:p>
    <w:p>
      <w:pPr>
        <w:spacing w:after="0" w:line="51" w:lineRule="exact"/>
        <w:rPr>
          <w:sz w:val="20"/>
          <w:szCs w:val="20"/>
          <w:color w:val="auto"/>
        </w:rPr>
      </w:pPr>
    </w:p>
    <w:p>
      <w:pPr>
        <w:ind w:right="40" w:firstLine="488"/>
        <w:spacing w:after="0" w:line="253" w:lineRule="auto"/>
        <w:rPr>
          <w:sz w:val="20"/>
          <w:szCs w:val="20"/>
          <w:color w:val="auto"/>
        </w:rPr>
      </w:pPr>
      <w:r>
        <w:rPr>
          <w:rFonts w:ascii="Times New Roman" w:cs="Times New Roman" w:eastAsia="Times New Roman" w:hAnsi="Times New Roman"/>
          <w:sz w:val="18"/>
          <w:szCs w:val="18"/>
          <w:color w:val="auto"/>
        </w:rPr>
        <w:t>The medical devices that we market and manufacture are subject to extensive regulation by the FDA and by foreign and state governments. Under the Food, Drug and Cosmetic Act (“FDCA”) and the related regulations, the FDA regulates the design, development, clinical testing, manufacture, labeling, sale, distribution and promotion of medical devices. Before a new device can be introduced into the market, the product must be shown to meet regulatory requirements established by the FDCA and implemented by the FDA. Unless otherwise exempt, a device manufacturer must obtain marketing “clearance” through the 510(k) premarket notification process, or “approval” through the lengthier premarket approval application (“PMA”) process. Not all devices are eligible for the 510(k) clearance process. Depending upon the type, complexity and novelty of the device and the nature of the disease or disorder to be treated, the FDA process can take several years, require extensive clinical testing and result in significant expenditures. Even if regulatory clearance or approval is obtained, later discovery of previously unknown safety issues may result in restrictions on the product, including withdrawal of the product from the market. Other countries also have extensive regulations regarding clinical trials and testing prior to new product introductions. Our failure to obtain government approvals or any delays in receipt of such approvals would have a material adverse effect on our business, results of operations and financial condition.</w:t>
      </w:r>
    </w:p>
    <w:p>
      <w:pPr>
        <w:spacing w:after="0" w:line="206" w:lineRule="exact"/>
        <w:rPr>
          <w:sz w:val="20"/>
          <w:szCs w:val="20"/>
          <w:color w:val="auto"/>
        </w:rPr>
      </w:pPr>
    </w:p>
    <w:p>
      <w:pPr>
        <w:ind w:firstLine="488"/>
        <w:spacing w:after="0" w:line="255" w:lineRule="auto"/>
        <w:rPr>
          <w:sz w:val="20"/>
          <w:szCs w:val="20"/>
          <w:color w:val="auto"/>
        </w:rPr>
      </w:pPr>
      <w:r>
        <w:rPr>
          <w:rFonts w:ascii="Times New Roman" w:cs="Times New Roman" w:eastAsia="Times New Roman" w:hAnsi="Times New Roman"/>
          <w:sz w:val="18"/>
          <w:szCs w:val="18"/>
          <w:color w:val="auto"/>
        </w:rPr>
        <w:t>The FDA imposes a broad range of additional requirements on medical device companies. Our products must be produced in compliance with the Quality System Regulation (“QSR”) and our manufacturing facilities are subject to establishment registration and device listing requirements from the FDA, and similar requirements from certain state authorities, and ongoing periodic inspections by the FDA, including unannounced inspections for compliance with applicable requirements. We are subject to monitoring, recordkeeping, and reporting obligations for medical device adverse events and malfunctions; notification of our products’ defects or failure to comply with the FDA’s laser regulations; and reporting of recalls, corrections, or removals of our products. The FDA also imposes requirements for the labeling of our products, and places limitations on claims we are permitted to make about our products in promotional labeling. The Federal Trade Commission has jurisdiction over the advertising of all of our products, which are non-restricted devices, and exercises oversight in coordination with the FDA.</w:t>
      </w:r>
    </w:p>
    <w:p>
      <w:pPr>
        <w:spacing w:after="0" w:line="212" w:lineRule="exact"/>
        <w:rPr>
          <w:sz w:val="20"/>
          <w:szCs w:val="20"/>
          <w:color w:val="auto"/>
        </w:rPr>
      </w:pPr>
    </w:p>
    <w:p>
      <w:pPr>
        <w:ind w:right="140" w:firstLine="488"/>
        <w:spacing w:after="0" w:line="258" w:lineRule="auto"/>
        <w:rPr>
          <w:sz w:val="20"/>
          <w:szCs w:val="20"/>
          <w:color w:val="auto"/>
        </w:rPr>
      </w:pPr>
      <w:r>
        <w:rPr>
          <w:rFonts w:ascii="Times New Roman" w:cs="Times New Roman" w:eastAsia="Times New Roman" w:hAnsi="Times New Roman"/>
          <w:sz w:val="18"/>
          <w:szCs w:val="18"/>
          <w:color w:val="auto"/>
        </w:rPr>
        <w:t>Noncompliance with the applicable requirements can result in, among other things, regulatory citations (including “483 Observations”) and Warning Letters, fines, injunctions, civil penalties, recall or seizure of products, total or partial suspension of production, withdrawal of marketing approvals, and criminal prosecution. The FDA also has the authority to request repair, replacement or refund of the cost of any device we manufacture or distribute. Any of these actions by the FDA would materially and adversely affect our ability to continue operating our business and the results of our operations. Such enforcement action can also result in negative publicity.</w:t>
      </w:r>
    </w:p>
    <w:p>
      <w:pPr>
        <w:spacing w:after="0" w:line="197" w:lineRule="exact"/>
        <w:rPr>
          <w:sz w:val="20"/>
          <w:szCs w:val="20"/>
          <w:color w:val="auto"/>
        </w:rPr>
      </w:pPr>
    </w:p>
    <w:p>
      <w:pPr>
        <w:ind w:right="420" w:firstLine="488"/>
        <w:spacing w:after="0" w:line="256" w:lineRule="auto"/>
        <w:rPr>
          <w:sz w:val="20"/>
          <w:szCs w:val="20"/>
          <w:color w:val="auto"/>
        </w:rPr>
      </w:pPr>
      <w:r>
        <w:rPr>
          <w:rFonts w:ascii="Times New Roman" w:cs="Times New Roman" w:eastAsia="Times New Roman" w:hAnsi="Times New Roman"/>
          <w:sz w:val="18"/>
          <w:szCs w:val="18"/>
          <w:color w:val="auto"/>
        </w:rPr>
        <w:t>In addition, we are also subject to varying product standards, packaging requirements, labeling requirements, tariff regulations, duties and tax requirements. As a result of our sales in Europe, we are required to have all products “CE” marked, an international symbol affixed to all products demonstrating compliance with the European Medical Device Directive and all applicable standards. While currently all of our released products are CE marked, continued certification is based on the successful review of our quality system by our European Registrar during their annual audit. Any loss of certification would have a material adverse effect on our business, results of operations and financial condition. There are a number of major regulatory changes occurring in the regulation of</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31" w:name="page32"/>
    <w:bookmarkEnd w:id="31"/>
    <w:p>
      <w:pPr>
        <w:spacing w:after="0" w:line="255" w:lineRule="auto"/>
        <w:rPr>
          <w:sz w:val="20"/>
          <w:szCs w:val="20"/>
          <w:color w:val="auto"/>
        </w:rPr>
      </w:pPr>
      <w:r>
        <w:rPr>
          <w:rFonts w:ascii="Times New Roman" w:cs="Times New Roman" w:eastAsia="Times New Roman" w:hAnsi="Times New Roman"/>
          <w:sz w:val="18"/>
          <w:szCs w:val="18"/>
          <w:color w:val="auto"/>
        </w:rPr>
        <w:t>medical devices in the EU. A new revision of the quality system regulation (ISO 13485:2016) has been released that substantially increases the requirements for a medical device quality system. The Medical Device Regulation (MDR) will replace the current medical device directive (93/42/EEC), and it substantially changes the way that medical devices are brought to market in the EU and how they maintain compliance throughout the product’s life cycle. Additionally, the new revision 4 of the clinical evaluation report guidance document (MEDDEV 2.7.1) severely restricts the use of substantial equivalence for new products, resulting in the need for formal clinical trial data for most new products. These changes will increase the cost for compliance and for product development, and they lengthen product introduction cycles. Failure to comply with these changes can have an adverse effect on our ability to release new products in a timely manner.</w:t>
      </w:r>
    </w:p>
    <w:p>
      <w:pPr>
        <w:spacing w:after="0" w:line="320" w:lineRule="exact"/>
        <w:rPr>
          <w:sz w:val="20"/>
          <w:szCs w:val="20"/>
          <w:color w:val="auto"/>
        </w:rPr>
      </w:pPr>
    </w:p>
    <w:p>
      <w:pPr>
        <w:ind w:right="80" w:firstLine="48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required, clinical trials necessary to support a 510(k) or PMA application will be an expensive, lengthy, costly, and uncertain process, and could result in delays in new product introductions or even an inability to release a product.</w:t>
      </w:r>
    </w:p>
    <w:p>
      <w:pPr>
        <w:spacing w:after="0" w:line="51" w:lineRule="exact"/>
        <w:rPr>
          <w:sz w:val="20"/>
          <w:szCs w:val="20"/>
          <w:color w:val="auto"/>
        </w:rPr>
      </w:pPr>
    </w:p>
    <w:p>
      <w:pPr>
        <w:ind w:right="20" w:firstLine="488"/>
        <w:spacing w:after="0" w:line="256" w:lineRule="auto"/>
        <w:rPr>
          <w:sz w:val="20"/>
          <w:szCs w:val="20"/>
          <w:color w:val="auto"/>
        </w:rPr>
      </w:pPr>
      <w:r>
        <w:rPr>
          <w:rFonts w:ascii="Times New Roman" w:cs="Times New Roman" w:eastAsia="Times New Roman" w:hAnsi="Times New Roman"/>
          <w:sz w:val="18"/>
          <w:szCs w:val="18"/>
          <w:color w:val="auto"/>
        </w:rPr>
        <w:t>The clinical trials often required to obtain regulatory approvals for products such as ours are complex and expensive and their outcomes are uncertain. If we were to embark upon clinical trials, we would incur substantial expense for, and devote significant time to, these trials but could not be certain that the trials would ever support the commercial sale of a product. We could suffer significant setbacks in clinical trials, even after earlier clinical trials showed promising results. Any of our products could produce undesirable side effects that could cause us or regulatory authorities to interrupt, delay or halt clinical trials of a product candidate. We, the FDA, or another regulatory authority could suspend or terminate clinical trials at any time if they or we believed the trial participants faced unacceptable health risks.</w:t>
      </w:r>
    </w:p>
    <w:p>
      <w:pPr>
        <w:spacing w:after="0" w:line="305" w:lineRule="exact"/>
        <w:rPr>
          <w:sz w:val="20"/>
          <w:szCs w:val="20"/>
          <w:color w:val="auto"/>
        </w:rPr>
      </w:pPr>
    </w:p>
    <w:p>
      <w:pPr>
        <w:ind w:right="40" w:firstLine="48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FDA’s quality system regulation and laser performance standards, our manufacturing operations could be halted, and our business would suffer.</w:t>
      </w:r>
    </w:p>
    <w:p>
      <w:pPr>
        <w:spacing w:after="0" w:line="51" w:lineRule="exact"/>
        <w:rPr>
          <w:sz w:val="20"/>
          <w:szCs w:val="20"/>
          <w:color w:val="auto"/>
        </w:rPr>
      </w:pPr>
    </w:p>
    <w:p>
      <w:pPr>
        <w:ind w:right="20" w:firstLine="488"/>
        <w:spacing w:after="0" w:line="254" w:lineRule="auto"/>
        <w:rPr>
          <w:sz w:val="20"/>
          <w:szCs w:val="20"/>
          <w:color w:val="auto"/>
        </w:rPr>
      </w:pPr>
      <w:r>
        <w:rPr>
          <w:rFonts w:ascii="Times New Roman" w:cs="Times New Roman" w:eastAsia="Times New Roman" w:hAnsi="Times New Roman"/>
          <w:sz w:val="18"/>
          <w:szCs w:val="18"/>
          <w:color w:val="auto"/>
        </w:rPr>
        <w:t>We are currently required to demonstrate and maintain compliance with the FDA’s QSR. The QSR is a complex regulatory scheme that covers the methods and documentation of the design, testing, control, manufacturing, labeling, quality assurance, packaging, storage and shipping of our products. Because our products involve the use of lasers, our products also are covered by a performance standard for lasers set forth in FDA regulations. The laser performance standard imposes specific record-keeping, reporting, product testing and product labeling requirements. These requirements include affixing warning labels to laser products, as well as incorporating certain safety features in the design of laser products. The FDA enforces the QSR and laser performance standards through periodic unannounced inspections. We have been, and anticipate in the future being, subject to such inspections. Our failure to take satisfactory corrective action in response to an adverse QSR inspection or our failure to comply with applicable laser performance standards could result in enforcement actions, including a public warning letter, a shutdown of our manufacturing operations, a recall of our products, civil or criminal penalties, or other sanctions, which would cause our sales and business to suffer.</w:t>
      </w:r>
    </w:p>
    <w:p>
      <w:pPr>
        <w:spacing w:after="0" w:line="307" w:lineRule="exact"/>
        <w:rPr>
          <w:sz w:val="20"/>
          <w:szCs w:val="20"/>
          <w:color w:val="auto"/>
        </w:rPr>
      </w:pPr>
    </w:p>
    <w:p>
      <w:pPr>
        <w:ind w:right="380" w:firstLine="48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modify one of our FDA approved devices, we may need to submit a new 510(k), or potentially a PMA, and if clearance or approval is not obtained, it would prevent us from selling our modified products or cause us to redesign our products.</w:t>
      </w:r>
    </w:p>
    <w:p>
      <w:pPr>
        <w:spacing w:after="0" w:line="159" w:lineRule="exact"/>
        <w:rPr>
          <w:sz w:val="20"/>
          <w:szCs w:val="20"/>
          <w:color w:val="auto"/>
        </w:rPr>
      </w:pPr>
    </w:p>
    <w:p>
      <w:pPr>
        <w:ind w:right="80" w:firstLine="488"/>
        <w:spacing w:after="0" w:line="255" w:lineRule="auto"/>
        <w:rPr>
          <w:sz w:val="20"/>
          <w:szCs w:val="20"/>
          <w:color w:val="auto"/>
        </w:rPr>
      </w:pPr>
      <w:r>
        <w:rPr>
          <w:rFonts w:ascii="Times New Roman" w:cs="Times New Roman" w:eastAsia="Times New Roman" w:hAnsi="Times New Roman"/>
          <w:sz w:val="18"/>
          <w:szCs w:val="18"/>
          <w:color w:val="auto"/>
        </w:rPr>
        <w:t>Any modifications to an FDA-cleared device that would significantly affect its safety or effectiveness or that would constitute a major change in its intended use would require a new 510(k) clearance or possibly a PMA. We may not be able to obtain additional 510(k) clearances or premarket approvals for new products or for modifications to, or additional indications for, our existing products in a timely fashion, or at all. Delays in obtaining future clearances would adversely affect our ability to introduce new or enhanced products in a timely manner, which in turn would harm our revenues and future profitability. We have made modifications to our devices in the past and may make additional modifications in the future that we believe do not or will not require additional clearances or approvals. If the FDA disagrees, and requires new clearances or approvals for the modifications, we may be required to recall and to stop marketing the modified devices, which could harm our operating results and require us to redesign our products.</w:t>
      </w:r>
    </w:p>
    <w:p>
      <w:pPr>
        <w:spacing w:after="0" w:line="3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products may be misused, which could harm our reputation and our business.</w:t>
      </w:r>
    </w:p>
    <w:p>
      <w:pPr>
        <w:spacing w:after="0" w:line="121" w:lineRule="exact"/>
        <w:rPr>
          <w:sz w:val="20"/>
          <w:szCs w:val="20"/>
          <w:color w:val="auto"/>
        </w:rPr>
      </w:pPr>
    </w:p>
    <w:p>
      <w:pPr>
        <w:ind w:right="40" w:firstLine="488"/>
        <w:spacing w:after="0" w:line="255" w:lineRule="auto"/>
        <w:rPr>
          <w:sz w:val="20"/>
          <w:szCs w:val="20"/>
          <w:color w:val="auto"/>
        </w:rPr>
      </w:pPr>
      <w:r>
        <w:rPr>
          <w:rFonts w:ascii="Times New Roman" w:cs="Times New Roman" w:eastAsia="Times New Roman" w:hAnsi="Times New Roman"/>
          <w:sz w:val="18"/>
          <w:szCs w:val="18"/>
          <w:color w:val="auto"/>
        </w:rPr>
        <w:t>We market and sell our products for use by highly skilled physicians with specialized training and experience in the treatment of eye-related disorders. We, and our distributors, generally offer but do not require purchasers or operators of our products to attend training sessions, nor do we supervise the procedures performed with our products. The physicians who operate our products are responsible for their use and the treatment regime for each individual patient. In addition, non-physicians, particularly in countries outside of the United States, or poorly trained or inexperienced physicians, may make use of our products. Our efforts to market our MicroPulse systems as a Fovea-friendly alternative to traditional continuous wavelength systems or alternative treatment methods may result in users failing to implement adequate safety precautions and thereby increase the risks associated with the misuse of our product. The lack of training and the purchase and use of our products by non-physicians or poorly trained or inexperienced</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94" w:right="259" w:bottom="1440" w:gutter="0" w:footer="0" w:header="0"/>
        </w:sectPr>
      </w:pPr>
    </w:p>
    <w:bookmarkStart w:id="32" w:name="page33"/>
    <w:bookmarkEnd w:id="32"/>
    <w:p>
      <w:pPr>
        <w:spacing w:after="0" w:line="282" w:lineRule="auto"/>
        <w:rPr>
          <w:sz w:val="20"/>
          <w:szCs w:val="20"/>
          <w:color w:val="auto"/>
        </w:rPr>
      </w:pPr>
      <w:r>
        <w:rPr>
          <w:rFonts w:ascii="Times New Roman" w:cs="Times New Roman" w:eastAsia="Times New Roman" w:hAnsi="Times New Roman"/>
          <w:sz w:val="18"/>
          <w:szCs w:val="18"/>
          <w:color w:val="auto"/>
        </w:rPr>
        <w:t>physicians may result in product misuse and adverse treatment outcomes, which could harm our reputation and expose us to costly product liability litigation, or otherwise cause our business to suffer.</w:t>
      </w:r>
    </w:p>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Inability of customers to obtain credit or material increases in interest rates may harm our sales.</w:t>
      </w:r>
    </w:p>
    <w:p>
      <w:pPr>
        <w:spacing w:after="0" w:line="121" w:lineRule="exact"/>
        <w:rPr>
          <w:sz w:val="20"/>
          <w:szCs w:val="20"/>
          <w:color w:val="auto"/>
        </w:rPr>
      </w:pPr>
    </w:p>
    <w:p>
      <w:pPr>
        <w:jc w:val="both"/>
        <w:ind w:right="120" w:firstLine="488"/>
        <w:spacing w:after="0" w:line="261" w:lineRule="auto"/>
        <w:rPr>
          <w:sz w:val="20"/>
          <w:szCs w:val="20"/>
          <w:color w:val="auto"/>
        </w:rPr>
      </w:pPr>
      <w:r>
        <w:rPr>
          <w:rFonts w:ascii="Times New Roman" w:cs="Times New Roman" w:eastAsia="Times New Roman" w:hAnsi="Times New Roman"/>
          <w:sz w:val="18"/>
          <w:szCs w:val="18"/>
          <w:color w:val="auto"/>
        </w:rPr>
        <w:t>Some of our products are sold to health care providers in general practice. Many of these health care providers purchase our products with funds they secure through various financing arrangements with third-party financial institutions, including credit facilities and short-term loans. If availability of credit becomes more limited, or interest rates increase, these financing arrangements may be harder to obtain or become more expensive for our customers, which may decrease demand for our products. Any reduction in the sales of our products would cause our business to suffer.</w:t>
      </w:r>
    </w:p>
    <w:p>
      <w:pPr>
        <w:spacing w:after="0" w:line="311" w:lineRule="exact"/>
        <w:rPr>
          <w:sz w:val="20"/>
          <w:szCs w:val="20"/>
          <w:color w:val="auto"/>
        </w:rPr>
      </w:pPr>
    </w:p>
    <w:p>
      <w:pPr>
        <w:ind w:right="80" w:firstLine="48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could be subject to recalls even after receiving FDA approval or clearance. A recall would harm our reputation and adversely affect our operating results.</w:t>
      </w:r>
    </w:p>
    <w:p>
      <w:pPr>
        <w:spacing w:after="0" w:line="51" w:lineRule="exact"/>
        <w:rPr>
          <w:sz w:val="20"/>
          <w:szCs w:val="20"/>
          <w:color w:val="auto"/>
        </w:rPr>
      </w:pPr>
    </w:p>
    <w:p>
      <w:pPr>
        <w:ind w:right="140" w:firstLine="488"/>
        <w:spacing w:after="0" w:line="256" w:lineRule="auto"/>
        <w:rPr>
          <w:sz w:val="20"/>
          <w:szCs w:val="20"/>
          <w:color w:val="auto"/>
        </w:rPr>
      </w:pPr>
      <w:r>
        <w:rPr>
          <w:rFonts w:ascii="Times New Roman" w:cs="Times New Roman" w:eastAsia="Times New Roman" w:hAnsi="Times New Roman"/>
          <w:sz w:val="18"/>
          <w:szCs w:val="18"/>
          <w:color w:val="auto"/>
        </w:rPr>
        <w:t>The FDA and similar governmental authorities in other countries in which we market and sell our products have the authority to require the recall of our products in the event of material deficiencies or defects in the design or manufacture of our products, or in other cases we may determine that we will recall a product because we have determined that the product is violative, in order to avoid further enforcement action and protect the public health. A government mandated recall, or a voluntary recall by us, could occur as a result of component failures, manufacturing errors or design defects, including defects in labeling. A recall could divert management’s attention, cause us to incur significant expenses, harm our reputation with customers and negatively affect our future sales.</w:t>
      </w:r>
    </w:p>
    <w:p>
      <w:pPr>
        <w:spacing w:after="0" w:line="305" w:lineRule="exact"/>
        <w:rPr>
          <w:sz w:val="20"/>
          <w:szCs w:val="20"/>
          <w:color w:val="auto"/>
        </w:rPr>
      </w:pPr>
    </w:p>
    <w:p>
      <w:pPr>
        <w:ind w:right="40" w:firstLine="48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claims are successfully asserted against us, we may incur substantial liabilities that may adversely affect our business or results of operations.</w:t>
      </w:r>
    </w:p>
    <w:p>
      <w:pPr>
        <w:spacing w:after="0" w:line="51" w:lineRule="exact"/>
        <w:rPr>
          <w:sz w:val="20"/>
          <w:szCs w:val="20"/>
          <w:color w:val="auto"/>
        </w:rPr>
      </w:pPr>
    </w:p>
    <w:p>
      <w:pPr>
        <w:ind w:right="140" w:firstLine="488"/>
        <w:spacing w:after="0" w:line="261" w:lineRule="auto"/>
        <w:rPr>
          <w:sz w:val="20"/>
          <w:szCs w:val="20"/>
          <w:color w:val="auto"/>
        </w:rPr>
      </w:pPr>
      <w:r>
        <w:rPr>
          <w:rFonts w:ascii="Times New Roman" w:cs="Times New Roman" w:eastAsia="Times New Roman" w:hAnsi="Times New Roman"/>
          <w:sz w:val="18"/>
          <w:szCs w:val="18"/>
          <w:color w:val="auto"/>
        </w:rPr>
        <w:t>We may be subject to product liability claims from time to time. Our products are highly complex and some are used to treat extremely delicate eye tissue. We believe we maintain adequate levels of product liability insurance. However, product liability insurance is expensive and we might not be able to obtain product liability insurance in the future on acceptable terms or in sufficient amounts to protect us, if at all. A successful claim brought against us in excess of our insurance coverage could have a material adverse effect on our business, results of operations and financial condition.</w:t>
      </w:r>
    </w:p>
    <w:p>
      <w:pPr>
        <w:spacing w:after="0" w:line="109" w:lineRule="exact"/>
        <w:rPr>
          <w:sz w:val="20"/>
          <w:szCs w:val="20"/>
          <w:color w:val="auto"/>
        </w:rPr>
      </w:pPr>
    </w:p>
    <w:p>
      <w:pPr>
        <w:ind w:right="540" w:firstLine="48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Efforts to acquire additional companies or product lines may divert our managerial resources away from our business operations, and if we complete additional acquisitions, we may incur or assume additional liabilities or experience integration problems.</w:t>
      </w:r>
    </w:p>
    <w:p>
      <w:pPr>
        <w:spacing w:after="0" w:line="51" w:lineRule="exact"/>
        <w:rPr>
          <w:sz w:val="20"/>
          <w:szCs w:val="20"/>
          <w:color w:val="auto"/>
        </w:rPr>
      </w:pPr>
    </w:p>
    <w:p>
      <w:pPr>
        <w:ind w:right="40" w:firstLine="488"/>
        <w:spacing w:after="0" w:line="258" w:lineRule="auto"/>
        <w:rPr>
          <w:sz w:val="20"/>
          <w:szCs w:val="20"/>
          <w:color w:val="auto"/>
        </w:rPr>
      </w:pPr>
      <w:r>
        <w:rPr>
          <w:rFonts w:ascii="Times New Roman" w:cs="Times New Roman" w:eastAsia="Times New Roman" w:hAnsi="Times New Roman"/>
          <w:sz w:val="18"/>
          <w:szCs w:val="18"/>
          <w:color w:val="auto"/>
        </w:rPr>
        <w:t>Since 1989, we have completed six acquisitions. As part of our growth strategy we seek to acquire businesses or product lines for various reasons, including adding new products, adding new customers, increasing penetration with existing customers, adding new manufacturing capabilities or expanding into new geographic markets. Our ability to successfully grow through acquisitions depends upon our ability to identify, negotiate, complete and integrate suitable acquisitions and to obtain any necessary financings. These efforts could divert the attention of our management and key personnel from our business operations. If we complete future acquisitions, we may also experience:</w:t>
      </w:r>
    </w:p>
    <w:p>
      <w:pPr>
        <w:spacing w:after="0" w:line="76" w:lineRule="exact"/>
        <w:rPr>
          <w:sz w:val="20"/>
          <w:szCs w:val="20"/>
          <w:color w:val="auto"/>
        </w:rPr>
      </w:pPr>
    </w:p>
    <w:p>
      <w:pPr>
        <w:ind w:left="1480" w:hanging="711"/>
        <w:spacing w:after="0"/>
        <w:tabs>
          <w:tab w:leader="none" w:pos="1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any acquired products into our existing business;</w:t>
      </w:r>
    </w:p>
    <w:p>
      <w:pPr>
        <w:sectPr>
          <w:pgSz w:w="11900" w:h="16838" w:orient="portrait"/>
          <w:cols w:equalWidth="0" w:num="1">
            <w:col w:w="11360"/>
          </w:cols>
          <w:pgMar w:left="240" w:top="472" w:right="299" w:bottom="1440" w:gutter="0" w:footer="0" w:header="0"/>
        </w:sectPr>
      </w:pPr>
    </w:p>
    <w:p>
      <w:pPr>
        <w:spacing w:after="0" w:line="117"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difficulties in integrating an acquired company’s technologies, services, employees, customers, partners, business administrative and software management systems with ours;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operations and</w:t>
      </w:r>
    </w:p>
    <w:p>
      <w:pPr>
        <w:spacing w:after="0" w:line="333" w:lineRule="exact"/>
        <w:rPr>
          <w:sz w:val="20"/>
          <w:szCs w:val="20"/>
          <w:color w:val="auto"/>
        </w:rPr>
      </w:pPr>
    </w:p>
    <w:p>
      <w:pPr>
        <w:sectPr>
          <w:pgSz w:w="11900" w:h="16838" w:orient="portrait"/>
          <w:cols w:equalWidth="0" w:num="3">
            <w:col w:w="800" w:space="720"/>
            <w:col w:w="8160" w:space="320"/>
            <w:col w:w="1360"/>
          </w:cols>
          <w:pgMar w:left="240" w:top="472" w:right="299" w:bottom="1440" w:gutter="0" w:footer="0" w:header="0"/>
          <w:type w:val="continuous"/>
        </w:sectPr>
      </w:pPr>
    </w:p>
    <w:p>
      <w:pPr>
        <w:ind w:left="1140"/>
        <w:spacing w:after="0"/>
        <w:rPr>
          <w:sz w:val="20"/>
          <w:szCs w:val="20"/>
          <w:color w:val="auto"/>
        </w:rPr>
      </w:pPr>
      <w:r>
        <w:rPr>
          <w:rFonts w:ascii="Times New Roman" w:cs="Times New Roman" w:eastAsia="Times New Roman" w:hAnsi="Times New Roman"/>
          <w:sz w:val="18"/>
          <w:szCs w:val="18"/>
          <w:color w:val="auto"/>
        </w:rPr>
        <w:t>•delays in realizing the benefits of the acquired products;</w:t>
      </w:r>
    </w:p>
    <w:p>
      <w:pPr>
        <w:spacing w:after="0" w:line="11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•diversion of our management’s time and attention from other business concerns;</w:t>
      </w:r>
    </w:p>
    <w:p>
      <w:pPr>
        <w:spacing w:after="0" w:line="1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•adverse customer reaction to the product acquisition; and</w:t>
      </w:r>
    </w:p>
    <w:p>
      <w:pPr>
        <w:spacing w:after="0" w:line="11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•increases in expenses.</w:t>
      </w:r>
    </w:p>
    <w:p>
      <w:pPr>
        <w:sectPr>
          <w:pgSz w:w="11900" w:h="16838" w:orient="portrait"/>
          <w:cols w:equalWidth="0" w:num="1">
            <w:col w:w="11360"/>
          </w:cols>
          <w:pgMar w:left="240" w:top="472" w:right="299" w:bottom="1440" w:gutter="0" w:footer="0" w:header="0"/>
          <w:type w:val="continuous"/>
        </w:sectPr>
      </w:pPr>
    </w:p>
    <w:p>
      <w:pPr>
        <w:spacing w:after="0" w:line="2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Any one or more of these factors stated above could have a material adverse effect on our business, financial condition or results of operations.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Furthermore, acquisitions could materially impair our operating results by causing us to amortize acquired assets, incur acquisition expenses and add debt.</w:t>
      </w: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72" w:right="299" w:bottom="1440" w:gutter="0" w:footer="0" w:header="0"/>
          <w:type w:val="continuous"/>
        </w:sectPr>
      </w:pPr>
    </w:p>
    <w:bookmarkStart w:id="33" w:name="page34"/>
    <w:bookmarkEnd w:id="33"/>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federal, state and foreign laws governing our business practices which, if violated, could result in substantial penalties.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Additionally, challenges to or investigation into our practices could cause adverse publicity and be costly to respond to and thus could harm our business.</w:t>
      </w:r>
    </w:p>
    <w:p>
      <w:pPr>
        <w:spacing w:after="0" w:line="99" w:lineRule="exact"/>
        <w:rPr>
          <w:sz w:val="20"/>
          <w:szCs w:val="20"/>
          <w:color w:val="auto"/>
        </w:rPr>
      </w:pPr>
    </w:p>
    <w:p>
      <w:pPr>
        <w:ind w:firstLine="488"/>
        <w:spacing w:after="0" w:line="253"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requires us to track and disclose the source of certain metals used in manufacturing which may stem from minerals (so called “conflict minerals”) which originate in the Democratic Republic of the Congo or adjoining regions. These metals include tantalum, tin, gold and tungsten. These metals are central to the technology industry and are present in some of our products as component parts. In most cases no acceptable alternative material exists which has the necessary properties. It is not possible to determine the source of the metals by analysis but instead a good faith description of the source of the intermediate components and raw materials must be obtained. The components which incorporate those metals may originate from many sources and we purchase fabricated products from manufacturers who may have a long and difficult-to-trace supply chain. As the spot price of these materials varies, producers of the metal intermediates can be expected to change the mix of sources used, and components and assemblies which we buy may have a mix of sources as their origin. We are required to carry out a diligent effort to determine and disclose the source of these materials. There can be no assurance we can obtain this information from intermediate producers who are unwilling or unable to provide this information or further identify their sources of supply or to notify us if these sources change. These metals are subject to price fluctuations and shortages which can affect our ability to obtain the manufactured materials we rely on at favorable terms or from consistent sources. These changes could have an adverse impact on our ability to manufacture and market our devices and products.</w:t>
      </w:r>
    </w:p>
    <w:p>
      <w:pPr>
        <w:spacing w:after="0" w:line="322" w:lineRule="exact"/>
        <w:rPr>
          <w:sz w:val="20"/>
          <w:szCs w:val="20"/>
          <w:color w:val="auto"/>
        </w:rPr>
      </w:pPr>
    </w:p>
    <w:p>
      <w:pPr>
        <w:ind w:right="540" w:firstLine="48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requirements, our business, financial condition, operating results and reputation could be adversely affected.</w:t>
      </w:r>
    </w:p>
    <w:p>
      <w:pPr>
        <w:spacing w:after="0" w:line="159" w:lineRule="exact"/>
        <w:rPr>
          <w:sz w:val="20"/>
          <w:szCs w:val="20"/>
          <w:color w:val="auto"/>
        </w:rPr>
      </w:pPr>
    </w:p>
    <w:p>
      <w:pPr>
        <w:ind w:firstLine="488"/>
        <w:spacing w:after="0" w:line="254" w:lineRule="auto"/>
        <w:rPr>
          <w:sz w:val="20"/>
          <w:szCs w:val="20"/>
          <w:color w:val="auto"/>
        </w:rPr>
      </w:pPr>
      <w:r>
        <w:rPr>
          <w:rFonts w:ascii="Times New Roman" w:cs="Times New Roman" w:eastAsia="Times New Roman" w:hAnsi="Times New Roman"/>
          <w:sz w:val="18"/>
          <w:szCs w:val="18"/>
          <w:color w:val="auto"/>
        </w:rPr>
        <w:t>Our products and operations are subject to various federal, state, local and foreign environmental laws and regulations, including those governing the use, storage, handling, exposure to, and disposal of hazardous materials and a large and growing body of international standards which govern the design, manufacture, materials content and sourcing, testing, certification, packaging, installation, use and disposal of our products. We must continually keep abreast of these standards and requirements and integrate compliance to these with the development and regulatory documentation for our products. Failure to meet these standards could limit the ability to market our products in those regions which require compliance to such standards or subject us to fines and penalties. Examples of such standards include laws governing the hazardous material content of our devices and products, such as the European Union (“EU”) Directive 2011/65/EU relating to Restrictions on the Use of Certain Hazardous Substances “RoHS Directive, and the EU Directive 2012/19/EU on Waste Electrical and Electronic Equipment or “WEEE Directive”. Similar laws and regulations have been passed or are pending in several other jurisdictions and may be enacted in other regions, including in the United States, and we are, or may in the future be, subject to these laws and regulations.</w:t>
      </w:r>
    </w:p>
    <w:p>
      <w:pPr>
        <w:spacing w:after="0" w:line="203" w:lineRule="exact"/>
        <w:rPr>
          <w:sz w:val="20"/>
          <w:szCs w:val="20"/>
          <w:color w:val="auto"/>
        </w:rPr>
      </w:pPr>
    </w:p>
    <w:p>
      <w:pPr>
        <w:ind w:right="500" w:firstLine="488"/>
        <w:spacing w:after="0" w:line="258" w:lineRule="auto"/>
        <w:rPr>
          <w:sz w:val="20"/>
          <w:szCs w:val="20"/>
          <w:color w:val="auto"/>
        </w:rPr>
      </w:pPr>
      <w:r>
        <w:rPr>
          <w:rFonts w:ascii="Times New Roman" w:cs="Times New Roman" w:eastAsia="Times New Roman" w:hAnsi="Times New Roman"/>
          <w:sz w:val="18"/>
          <w:szCs w:val="18"/>
          <w:color w:val="auto"/>
        </w:rPr>
        <w:t>Our failure to comply with past, present and future similar laws could result in reduced sales of our devices and products, inventory write-offs, reputational damage, penalties and other sanctions, any of which could harm our business and financial condition. We also expect that our devices and products will be affected by new environmental laws and regulations on an ongoing basis. New environmental laws and regulations will likely result in additional costs and may increase penalties associated with violations or require us to change the content of our devices and products or how they are manufactured, which could have a material adverse effect on our business, operating results and financial condition.</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Ownership of Our Common Stock</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been and may continue to be volatile and an investment in our common stock could suffer a decline in value.</w:t>
      </w:r>
    </w:p>
    <w:p>
      <w:pPr>
        <w:spacing w:after="0" w:line="121" w:lineRule="exact"/>
        <w:rPr>
          <w:sz w:val="20"/>
          <w:szCs w:val="20"/>
          <w:color w:val="auto"/>
        </w:rPr>
      </w:pPr>
    </w:p>
    <w:p>
      <w:pPr>
        <w:ind w:firstLine="488"/>
        <w:spacing w:after="0" w:line="255" w:lineRule="auto"/>
        <w:rPr>
          <w:sz w:val="20"/>
          <w:szCs w:val="20"/>
          <w:color w:val="auto"/>
        </w:rPr>
      </w:pPr>
      <w:r>
        <w:rPr>
          <w:rFonts w:ascii="Times New Roman" w:cs="Times New Roman" w:eastAsia="Times New Roman" w:hAnsi="Times New Roman"/>
          <w:sz w:val="18"/>
          <w:szCs w:val="18"/>
          <w:color w:val="auto"/>
        </w:rPr>
        <w:t>The trading price of our common stock has been subject to wide fluctuations in response to a variety of factors, some of which are beyond our control, including changes in foreign currency exchange rates, quarterly variations in our operating results, announcements by us or our competitors of new products or of significant clinical achievements, changes in market valuations of other similar companies in our industry and general market conditions. For the first quarter of 2017, the trading price of our common stock fluctuated from a low of $11.87 per share to a high of $15.99 per share. There can be no assurance that our common stock trading price will not suffer declines. Our common stock may experience an imbalance between supply and demand resulting from low trading volumes and therefore broad market fluctuations could have a significant impact on the market price of our common stock regardless of our performance.</w:t>
      </w:r>
    </w:p>
    <w:p>
      <w:pPr>
        <w:spacing w:after="0" w:line="18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i w:val="1"/>
          <w:iCs w:val="1"/>
          <w:color w:val="auto"/>
        </w:rPr>
        <w:t>Future sales and issuances of securities could negatively affect our stock price and dilute the ownership interest of our existing investors.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98" w:right="259" w:bottom="1440" w:gutter="0" w:footer="0" w:header="0"/>
        </w:sectPr>
      </w:pPr>
    </w:p>
    <w:bookmarkStart w:id="34" w:name="page35"/>
    <w:bookmarkEnd w:id="34"/>
    <w:p>
      <w:pPr>
        <w:ind w:firstLine="488"/>
        <w:spacing w:after="0" w:line="258" w:lineRule="auto"/>
        <w:rPr>
          <w:sz w:val="20"/>
          <w:szCs w:val="20"/>
          <w:color w:val="auto"/>
        </w:rPr>
      </w:pPr>
      <w:r>
        <w:rPr>
          <w:rFonts w:ascii="Times New Roman" w:cs="Times New Roman" w:eastAsia="Times New Roman" w:hAnsi="Times New Roman"/>
          <w:sz w:val="18"/>
          <w:szCs w:val="18"/>
          <w:color w:val="auto"/>
        </w:rPr>
        <w:t>Future sales or issuances of securities by us could decrease the value of our common stock, dilute stockholders’ voting power and reduce future potential earnings per share. To raise capital, we may sell common stock, convertible securities or other equity-linked securities in one or more transactions at prices and in a manner we determine from time to time. If we sell additional equity securities, our existing stockholders may be materially diluted. Additionally, new investors could gain rights, preferences and privileges senior to those of existing holders of our common stock. We may also issue debt securities, which may impose restrictive covenants on our operations or otherwise adversely affect the holdings or the rights of our stockholders.</w:t>
      </w:r>
    </w:p>
    <w:p>
      <w:pPr>
        <w:spacing w:after="0" w:line="76" w:lineRule="exact"/>
        <w:rPr>
          <w:sz w:val="20"/>
          <w:szCs w:val="20"/>
          <w:color w:val="auto"/>
        </w:rPr>
      </w:pPr>
    </w:p>
    <w:p>
      <w:pPr>
        <w:ind w:right="40" w:firstLine="488"/>
        <w:spacing w:after="0" w:line="258" w:lineRule="auto"/>
        <w:rPr>
          <w:sz w:val="20"/>
          <w:szCs w:val="20"/>
          <w:color w:val="auto"/>
        </w:rPr>
      </w:pPr>
      <w:r>
        <w:rPr>
          <w:rFonts w:ascii="Times New Roman" w:cs="Times New Roman" w:eastAsia="Times New Roman" w:hAnsi="Times New Roman"/>
          <w:sz w:val="18"/>
          <w:szCs w:val="18"/>
          <w:color w:val="auto"/>
        </w:rPr>
        <w:t>Sales or issuances of a substantial amount of securities, or the perception that such sales could occur, may adversely affect prevailing market prices for our common stock. As of April 1, 2017, we had 11,542,653 shares of common stock outstanding, all of which shares, other than shares held by our directors, our executive officers and certain investment funds affiliated with BlueLine Partners, L.L.C. were, and continue to be, eligible for sale in the public market, subject in some cases to compliance with the requirements of Rule 144, including the volume limitations and manner of sale requirements. Future resales of our common stock by our existing stockholders could cause the market price of our common stock to decline.</w:t>
      </w:r>
    </w:p>
    <w:p>
      <w:pPr>
        <w:spacing w:after="0" w:line="76" w:lineRule="exact"/>
        <w:rPr>
          <w:sz w:val="20"/>
          <w:szCs w:val="20"/>
          <w:color w:val="auto"/>
        </w:rPr>
      </w:pPr>
    </w:p>
    <w:p>
      <w:pPr>
        <w:ind w:right="180" w:firstLine="488"/>
        <w:spacing w:after="0" w:line="261" w:lineRule="auto"/>
        <w:rPr>
          <w:sz w:val="20"/>
          <w:szCs w:val="20"/>
          <w:color w:val="auto"/>
        </w:rPr>
      </w:pPr>
      <w:r>
        <w:rPr>
          <w:rFonts w:ascii="Times New Roman" w:cs="Times New Roman" w:eastAsia="Times New Roman" w:hAnsi="Times New Roman"/>
          <w:sz w:val="18"/>
          <w:szCs w:val="18"/>
          <w:color w:val="auto"/>
        </w:rPr>
        <w:t>As of April 1, 2017, holders of an aggregate of 2,673,830 shares of our common stock have rights, subject to some conditions, to require us to file registration statements covering their shares or to include their shares in registration statements that we may file for ourselves or our other stockholders. In addition, the shares of common stock subject to outstanding options and restricted stock units under our 2008 Equity Incentive Plan and the shares reserved for future issuance under the Incentive Plan will become eligible for sale in the public markets in the future, subject to certain legal and control limitations.</w:t>
      </w:r>
    </w:p>
    <w:p>
      <w:pPr>
        <w:spacing w:after="0" w:line="72" w:lineRule="exact"/>
        <w:rPr>
          <w:sz w:val="20"/>
          <w:szCs w:val="20"/>
          <w:color w:val="auto"/>
        </w:rPr>
      </w:pPr>
    </w:p>
    <w:p>
      <w:pPr>
        <w:ind w:right="20" w:firstLine="488"/>
        <w:spacing w:after="0" w:line="261" w:lineRule="auto"/>
        <w:rPr>
          <w:sz w:val="20"/>
          <w:szCs w:val="20"/>
          <w:color w:val="auto"/>
        </w:rPr>
      </w:pPr>
      <w:r>
        <w:rPr>
          <w:rFonts w:ascii="Times New Roman" w:cs="Times New Roman" w:eastAsia="Times New Roman" w:hAnsi="Times New Roman"/>
          <w:sz w:val="18"/>
          <w:szCs w:val="18"/>
          <w:color w:val="auto"/>
        </w:rPr>
        <w:t>We may sell shares or other securities in any offering at a price per share that is less than the price per share paid by existing investors,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existing investors.</w:t>
      </w:r>
    </w:p>
    <w:p>
      <w:pPr>
        <w:spacing w:after="0" w:line="2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Because we do not intend to pay dividends, stockholders will benefit from an investment in our common stock only if it appreciates in value.</w:t>
      </w:r>
    </w:p>
    <w:p>
      <w:pPr>
        <w:spacing w:after="0" w:line="121" w:lineRule="exact"/>
        <w:rPr>
          <w:sz w:val="20"/>
          <w:szCs w:val="20"/>
          <w:color w:val="auto"/>
        </w:rPr>
      </w:pPr>
    </w:p>
    <w:p>
      <w:pPr>
        <w:ind w:right="140" w:firstLine="488"/>
        <w:spacing w:after="0" w:line="256" w:lineRule="auto"/>
        <w:rPr>
          <w:sz w:val="20"/>
          <w:szCs w:val="20"/>
          <w:color w:val="auto"/>
        </w:rPr>
      </w:pPr>
      <w:r>
        <w:rPr>
          <w:rFonts w:ascii="Times New Roman" w:cs="Times New Roman" w:eastAsia="Times New Roman" w:hAnsi="Times New Roman"/>
          <w:sz w:val="18"/>
          <w:szCs w:val="18"/>
          <w:color w:val="auto"/>
        </w:rPr>
        <w:t>We expect to retain any earnings for use to further develop our business, and do not expect to declare cash dividends on our common stock in the foreseeable future. The declaration and payment of any such dividends in the future depends upon our earnings, financial condition, capital needs and other factors deemed relevant by the board of directors, and may be restricted by future agreements with lenders. In addition, our loan facility with Silicon Valley Bank restricts us from paying any dividends or making any other distribution or payment on account of our common stock. As a result, the success of an investment in our common stock will depend entirely upon any future appreciation. There is no guarantee that our common stock will appreciate in value or even maintain the price at which stockholders have purchased their shares.</w:t>
      </w:r>
    </w:p>
    <w:p>
      <w:pPr>
        <w:spacing w:after="0" w:line="184" w:lineRule="exact"/>
        <w:rPr>
          <w:sz w:val="20"/>
          <w:szCs w:val="20"/>
          <w:color w:val="auto"/>
        </w:rPr>
      </w:pPr>
    </w:p>
    <w:p>
      <w:pPr>
        <w:ind w:right="260" w:firstLine="48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continue to publish research or publish incorrect or unfavorable research about our business, our stock price and trading volume could decline.</w:t>
      </w:r>
    </w:p>
    <w:p>
      <w:pPr>
        <w:spacing w:after="0" w:line="186" w:lineRule="exact"/>
        <w:rPr>
          <w:sz w:val="20"/>
          <w:szCs w:val="20"/>
          <w:color w:val="auto"/>
        </w:rPr>
      </w:pPr>
    </w:p>
    <w:p>
      <w:pPr>
        <w:ind w:right="100" w:firstLine="488"/>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our market and our competitors. If no or few securities or industry analysts cover our Company, the trading price for our stock could be negatively impacted. If one or more of the analysts who covers us downgrades our stock or publishes incorrect or unfavorable research about our business, our stock price could decline. If one or more of these analysts ceases coverage of our Company or fails to publish reports on us regularly, demand for our stock could decrease, which could cause our stock price or trading volume to decline.</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Ownership of our common stock is concentrated among a few investors, which may affect the ability of a third party to acquire control of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Substantial sales by such investors could cause our stock price to decline.</w:t>
      </w:r>
    </w:p>
    <w:p>
      <w:pPr>
        <w:spacing w:after="0" w:line="99" w:lineRule="exact"/>
        <w:rPr>
          <w:sz w:val="20"/>
          <w:szCs w:val="20"/>
          <w:color w:val="auto"/>
        </w:rPr>
      </w:pPr>
    </w:p>
    <w:p>
      <w:pPr>
        <w:ind w:firstLine="488"/>
        <w:spacing w:after="0" w:line="261" w:lineRule="auto"/>
        <w:rPr>
          <w:sz w:val="20"/>
          <w:szCs w:val="20"/>
          <w:color w:val="auto"/>
        </w:rPr>
      </w:pPr>
      <w:r>
        <w:rPr>
          <w:rFonts w:ascii="Times New Roman" w:cs="Times New Roman" w:eastAsia="Times New Roman" w:hAnsi="Times New Roman"/>
          <w:sz w:val="18"/>
          <w:szCs w:val="18"/>
          <w:color w:val="auto"/>
        </w:rPr>
        <w:t>Our directors, executive officers, current five percent or greater stockholders and affiliated entities together beneficially own a significant portion of our common stock outstanding as of April 1, 2017. Having such a concentration of ownership may have the effect of making it more difficult for a third party to acquire, or of discouraging a third party from seeking to acquire, a majority of our outstanding common stock or control of our board of directors through a proxy solicitation.</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raise capital in the future may be limited, and our failure to raise capital when needed could prevent us from growing.</w:t>
      </w:r>
    </w:p>
    <w:p>
      <w:pPr>
        <w:spacing w:after="0" w:line="121" w:lineRule="exact"/>
        <w:rPr>
          <w:sz w:val="20"/>
          <w:szCs w:val="20"/>
          <w:color w:val="auto"/>
        </w:rPr>
      </w:pPr>
    </w:p>
    <w:p>
      <w:pPr>
        <w:ind w:right="40" w:firstLine="488"/>
        <w:spacing w:after="0" w:line="266" w:lineRule="auto"/>
        <w:rPr>
          <w:sz w:val="20"/>
          <w:szCs w:val="20"/>
          <w:color w:val="auto"/>
        </w:rPr>
      </w:pPr>
      <w:r>
        <w:rPr>
          <w:rFonts w:ascii="Times New Roman" w:cs="Times New Roman" w:eastAsia="Times New Roman" w:hAnsi="Times New Roman"/>
          <w:sz w:val="18"/>
          <w:szCs w:val="18"/>
          <w:color w:val="auto"/>
        </w:rPr>
        <w:t>Our business and operations may consume resources faster than we anticipate. In the future, we may need to raise additional funds to invest in future growth opportunities. Additional financing may not be available on favorable terms, if at all. If adequate funds are not available on acceptable terms, we may be unable to invest in future growth opportunities, which could seriously harm our business and operating results.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72" w:right="279" w:bottom="1440" w:gutter="0" w:footer="0" w:header="0"/>
        </w:sectPr>
      </w:pPr>
    </w:p>
    <w:bookmarkStart w:id="35" w:name="page36"/>
    <w:bookmarkEnd w:id="35"/>
    <w:p>
      <w:pPr>
        <w:ind w:firstLine="48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we are obligated to develop and maintain proper and effective internal control over financial reporting. We may not complete our analysis of our internal control over financial reporting in a timely manner, or these internal controls may not be determined to be effective, which may adversely affect investor confidence in our company and, as a result, the value of our common stock.</w:t>
      </w:r>
    </w:p>
    <w:p>
      <w:pPr>
        <w:spacing w:after="0" w:line="67" w:lineRule="exact"/>
        <w:rPr>
          <w:sz w:val="20"/>
          <w:szCs w:val="20"/>
          <w:color w:val="auto"/>
        </w:rPr>
      </w:pPr>
    </w:p>
    <w:p>
      <w:pPr>
        <w:ind w:right="220" w:firstLine="488"/>
        <w:spacing w:after="0" w:line="255" w:lineRule="auto"/>
        <w:rPr>
          <w:sz w:val="20"/>
          <w:szCs w:val="20"/>
          <w:color w:val="auto"/>
        </w:rPr>
      </w:pPr>
      <w:r>
        <w:rPr>
          <w:rFonts w:ascii="Times New Roman" w:cs="Times New Roman" w:eastAsia="Times New Roman" w:hAnsi="Times New Roman"/>
          <w:sz w:val="18"/>
          <w:szCs w:val="18"/>
          <w:color w:val="auto"/>
        </w:rPr>
        <w:t>We are required, pursuant to Section 404 of the Sarbanes-Oxley Act, to furnish a report by management on, among other things, the effectiveness of our internal control over financial reporting. This assessment must include disclosure of any material weaknesses identified by our management in our internal control over financial reporting. We may experience difficulty in meeting these reporting requirements in a timely manner, particularly if material weaknesses or significant deficiencies persist. As of July 2, 2016, we became an accelerated filer and effective with our Annual Report covering our fiscal year 2016, our independent registered public accounting firm will be required to formally attest to the effectiveness of our internal control over financial reporting pursuant to Section 404 as defined in the Exchange Act. If we are unable to comply with the requirements of Section 404 in a timely manner, the market price of our stock could decline and we could be subject to sanctions or investigations by the NASDAQ Stock Market, the SEC or other regulatory authorities, which could require additional financial and management resources.</w:t>
      </w:r>
    </w:p>
    <w:p>
      <w:pPr>
        <w:spacing w:after="0" w:line="199" w:lineRule="exact"/>
        <w:rPr>
          <w:sz w:val="20"/>
          <w:szCs w:val="20"/>
          <w:color w:val="auto"/>
        </w:rPr>
      </w:pPr>
    </w:p>
    <w:p>
      <w:pPr>
        <w:ind w:right="140" w:firstLine="488"/>
        <w:spacing w:after="0" w:line="258" w:lineRule="auto"/>
        <w:rPr>
          <w:sz w:val="20"/>
          <w:szCs w:val="20"/>
          <w:color w:val="auto"/>
        </w:rPr>
      </w:pPr>
      <w:r>
        <w:rPr>
          <w:rFonts w:ascii="Times New Roman" w:cs="Times New Roman" w:eastAsia="Times New Roman" w:hAnsi="Times New Roman"/>
          <w:sz w:val="18"/>
          <w:szCs w:val="18"/>
          <w:color w:val="auto"/>
        </w:rPr>
        <w:t>Any failure to develop or maintain effective controls, or any difficulties encountered in their implementation or improvement, could harm our operating results or cause us to fail to meet our reporting obligations. Any failure to implement and maintain effective internal controls also could adversely affect the results of periodic management evaluations regarding the effectiveness of our internal control over financial reporting. Ineffective disclosure controls and procedures or internal control over financial reporting could also cause investors to lose confidence in our reported financial and other information, which could likely have a negative effect on the trading price of our common stock.</w:t>
      </w:r>
    </w:p>
    <w:p>
      <w:pPr>
        <w:spacing w:after="0" w:line="211" w:lineRule="exact"/>
        <w:rPr>
          <w:sz w:val="20"/>
          <w:szCs w:val="20"/>
          <w:color w:val="auto"/>
        </w:rPr>
      </w:pPr>
    </w:p>
    <w:p>
      <w:pPr>
        <w:ind w:firstLine="488"/>
        <w:spacing w:after="0" w:line="274" w:lineRule="auto"/>
        <w:rPr>
          <w:sz w:val="20"/>
          <w:szCs w:val="20"/>
          <w:color w:val="auto"/>
        </w:rPr>
      </w:pPr>
      <w:r>
        <w:rPr>
          <w:rFonts w:ascii="Times New Roman" w:cs="Times New Roman" w:eastAsia="Times New Roman" w:hAnsi="Times New Roman"/>
          <w:sz w:val="17"/>
          <w:szCs w:val="17"/>
          <w:color w:val="auto"/>
        </w:rPr>
        <w:t>Implementing any appropriate changes to our internal controls may require specific compliance training of our directors, officers and employees, entail substantial costs in order to modify our existing accounting systems, and take a significant period of time to complete. Such changes may not, however, be effective in maintaining the adequacy of our internal controls, and any failure to maintain that adequacy, or consequent inability to produce accurate financial statements on a timely basis, could increase our operating costs and could materially impair our ability to operate our business. In the event that we are not able to demonstrate compliance with Section 404 of the Sarbanes-Oxley Act in a timely manner, that our internal controls are perceived as inadequate or that we are unable to produce timely or accurate financial statements, investors may lose confidence in our operating results and our stock price could decline.</w:t>
      </w:r>
    </w:p>
    <w:p>
      <w:pPr>
        <w:spacing w:after="0" w:line="170" w:lineRule="exact"/>
        <w:rPr>
          <w:sz w:val="20"/>
          <w:szCs w:val="20"/>
          <w:color w:val="auto"/>
        </w:rPr>
      </w:pPr>
    </w:p>
    <w:p>
      <w:pPr>
        <w:ind w:right="120" w:firstLine="48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charter documents, anti-takeover provisions of Delaware law, and contractual provisions could delay or prevent an acquisition or sale of our company.</w:t>
      </w:r>
    </w:p>
    <w:p>
      <w:pPr>
        <w:spacing w:after="0" w:line="51" w:lineRule="exact"/>
        <w:rPr>
          <w:sz w:val="20"/>
          <w:szCs w:val="20"/>
          <w:color w:val="auto"/>
        </w:rPr>
      </w:pPr>
    </w:p>
    <w:p>
      <w:pPr>
        <w:ind w:right="60" w:firstLine="488"/>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empowers the board of directors to establish and issue a class of preferred stock, and to determine the rights, preferences and privileges of the preferred stock. These provisions give the board of directors the ability to deter, discourage or make more difficult a change in control of our company, even if such a change in control could be deemed in the interest of our stockholders or if such a change in control would provide our stockholders with a substantial premium for their shares over the then-prevailing market price for the common stock. Our certificate of incorporation and bylaws contain other provisions that could have an anti-takeover effect, including the following:</w:t>
      </w:r>
    </w:p>
    <w:p>
      <w:pPr>
        <w:spacing w:after="0" w:line="184" w:lineRule="exact"/>
        <w:rPr>
          <w:sz w:val="20"/>
          <w:szCs w:val="20"/>
          <w:color w:val="auto"/>
        </w:rPr>
      </w:pPr>
    </w:p>
    <w:p>
      <w:pPr>
        <w:ind w:left="1520" w:hanging="751"/>
        <w:spacing w:after="0"/>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directors to be changed only by resolution of our board of directors;</w:t>
      </w:r>
    </w:p>
    <w:p>
      <w:pPr>
        <w:spacing w:after="0" w:line="225" w:lineRule="exact"/>
        <w:rPr>
          <w:rFonts w:ascii="Times New Roman" w:cs="Times New Roman" w:eastAsia="Times New Roman" w:hAnsi="Times New Roman"/>
          <w:sz w:val="18"/>
          <w:szCs w:val="18"/>
          <w:color w:val="auto"/>
        </w:rPr>
      </w:pPr>
    </w:p>
    <w:p>
      <w:pPr>
        <w:ind w:left="1260" w:hanging="115"/>
        <w:spacing w:after="0"/>
        <w:tabs>
          <w:tab w:leader="none" w:pos="12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our board of directors is authorized to fill vacant directorships, including newly created seats;</w:t>
      </w:r>
    </w:p>
    <w:p>
      <w:pPr>
        <w:spacing w:after="0" w:line="225" w:lineRule="exact"/>
        <w:rPr>
          <w:rFonts w:ascii="Times New Roman" w:cs="Times New Roman" w:eastAsia="Times New Roman" w:hAnsi="Times New Roman"/>
          <w:sz w:val="18"/>
          <w:szCs w:val="18"/>
          <w:color w:val="auto"/>
        </w:rPr>
      </w:pPr>
    </w:p>
    <w:p>
      <w:pPr>
        <w:ind w:right="720" w:firstLine="1145"/>
        <w:spacing w:after="0" w:line="282" w:lineRule="auto"/>
        <w:tabs>
          <w:tab w:leader="none" w:pos="124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meetings of our stockholders may be called only by our board of directors or by a committee of our board of directors, thus prohibiting a stockholder from calling a special meeting;</w:t>
      </w:r>
    </w:p>
    <w:p>
      <w:pPr>
        <w:spacing w:after="0" w:line="161" w:lineRule="exact"/>
        <w:rPr>
          <w:rFonts w:ascii="Times New Roman" w:cs="Times New Roman" w:eastAsia="Times New Roman" w:hAnsi="Times New Roman"/>
          <w:sz w:val="18"/>
          <w:szCs w:val="18"/>
          <w:color w:val="auto"/>
        </w:rPr>
      </w:pPr>
    </w:p>
    <w:p>
      <w:pPr>
        <w:ind w:left="1260" w:hanging="115"/>
        <w:spacing w:after="0"/>
        <w:tabs>
          <w:tab w:leader="none" w:pos="12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must give advance notice to nominate directors or propose other business; and</w:t>
      </w:r>
    </w:p>
    <w:p>
      <w:pPr>
        <w:spacing w:after="0" w:line="225" w:lineRule="exact"/>
        <w:rPr>
          <w:rFonts w:ascii="Times New Roman" w:cs="Times New Roman" w:eastAsia="Times New Roman" w:hAnsi="Times New Roman"/>
          <w:sz w:val="18"/>
          <w:szCs w:val="18"/>
          <w:color w:val="auto"/>
        </w:rPr>
      </w:pPr>
    </w:p>
    <w:p>
      <w:pPr>
        <w:ind w:left="1260" w:hanging="115"/>
        <w:spacing w:after="0"/>
        <w:tabs>
          <w:tab w:leader="none" w:pos="12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are not permitted to cumulate votes in the election of directors.</w:t>
      </w:r>
    </w:p>
    <w:p>
      <w:pPr>
        <w:spacing w:after="0" w:line="117" w:lineRule="exact"/>
        <w:rPr>
          <w:sz w:val="20"/>
          <w:szCs w:val="20"/>
          <w:color w:val="auto"/>
        </w:rPr>
      </w:pPr>
    </w:p>
    <w:p>
      <w:pPr>
        <w:ind w:right="280" w:firstLine="488"/>
        <w:spacing w:after="0" w:line="266" w:lineRule="auto"/>
        <w:rPr>
          <w:sz w:val="20"/>
          <w:szCs w:val="20"/>
          <w:color w:val="auto"/>
        </w:rPr>
      </w:pPr>
      <w:r>
        <w:rPr>
          <w:rFonts w:ascii="Times New Roman" w:cs="Times New Roman" w:eastAsia="Times New Roman" w:hAnsi="Times New Roman"/>
          <w:sz w:val="18"/>
          <w:szCs w:val="18"/>
          <w:color w:val="auto"/>
        </w:rPr>
        <w:t>In addition, we are generally subject to the anti-takeover provisions of Section 203 of the Delaware General Corporation Law, which regulates corporate acquisitions. These provisions could discourage potential acquisition proposals and could delay or prevent a change in control transaction. They could also have the effect of discouraging others from making tender offers for our common stock or prevent changes in our management.</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76" w:right="279" w:bottom="1440" w:gutter="0" w:footer="0" w:header="0"/>
        </w:sectPr>
      </w:pPr>
    </w:p>
    <w:bookmarkStart w:id="36" w:name="page37"/>
    <w:bookmarkEnd w:id="36"/>
    <w:p>
      <w:pPr>
        <w:ind w:right="4839"/>
        <w:spacing w:after="0" w:line="400" w:lineRule="auto"/>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 Purchases of Equity Securities by the Issuer and Affiliated Purchasers</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576"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0" w:type="dxa"/>
            <w:vAlign w:val="bottom"/>
          </w:tcPr>
          <w:p>
            <w:pPr>
              <w:spacing w:after="0"/>
              <w:rPr>
                <w:sz w:val="1"/>
                <w:szCs w:val="1"/>
                <w:color w:val="auto"/>
              </w:rPr>
            </w:pPr>
          </w:p>
        </w:tc>
      </w:tr>
      <w:tr>
        <w:trPr>
          <w:trHeight w:val="173"/>
        </w:trPr>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10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1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3.1 (1)</w:t>
            </w:r>
          </w:p>
        </w:tc>
        <w:tc>
          <w:tcPr>
            <w:tcW w:w="120" w:type="dxa"/>
            <w:vAlign w:val="bottom"/>
          </w:tcPr>
          <w:p>
            <w:pPr>
              <w:spacing w:after="0"/>
              <w:rPr>
                <w:sz w:val="24"/>
                <w:szCs w:val="24"/>
                <w:color w:val="auto"/>
              </w:rPr>
            </w:pPr>
          </w:p>
        </w:tc>
        <w:tc>
          <w:tcPr>
            <w:tcW w:w="10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Amended and Restated Certificate of Incorporation of Registrant.</w:t>
            </w:r>
          </w:p>
        </w:tc>
        <w:tc>
          <w:tcPr>
            <w:tcW w:w="0" w:type="dxa"/>
            <w:vAlign w:val="bottom"/>
          </w:tcPr>
          <w:p>
            <w:pPr>
              <w:spacing w:after="0"/>
              <w:rPr>
                <w:sz w:val="1"/>
                <w:szCs w:val="1"/>
                <w:color w:val="auto"/>
              </w:rPr>
            </w:pPr>
          </w:p>
        </w:tc>
      </w:tr>
      <w:tr>
        <w:trPr>
          <w:trHeight w:val="33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3.2 (2)</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Bylaws of Registrant.</w:t>
            </w:r>
          </w:p>
        </w:tc>
        <w:tc>
          <w:tcPr>
            <w:tcW w:w="0" w:type="dxa"/>
            <w:vAlign w:val="bottom"/>
          </w:tcPr>
          <w:p>
            <w:pPr>
              <w:spacing w:after="0"/>
              <w:rPr>
                <w:sz w:val="1"/>
                <w:szCs w:val="1"/>
                <w:color w:val="auto"/>
              </w:rPr>
            </w:pPr>
          </w:p>
        </w:tc>
      </w:tr>
      <w:tr>
        <w:trPr>
          <w:trHeight w:val="41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10.2 (3)</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Amendment to the Securities Purchase Agreement, dated as of April 20, 2017, between the Company and BlueLine Capital Partners, LP,</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BlueLine Capital Partners II, LP, and BlueLine Capital Partners III, LP.</w:t>
            </w: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10.3 (4)</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Triple Net Lease Agreement dated as of April 26, 2017 between the Iridex Corporation and Terra Bella LLC</w:t>
            </w:r>
          </w:p>
        </w:tc>
        <w:tc>
          <w:tcPr>
            <w:tcW w:w="0" w:type="dxa"/>
            <w:vAlign w:val="bottom"/>
          </w:tcPr>
          <w:p>
            <w:pPr>
              <w:spacing w:after="0"/>
              <w:rPr>
                <w:sz w:val="1"/>
                <w:szCs w:val="1"/>
                <w:color w:val="auto"/>
              </w:rPr>
            </w:pPr>
          </w:p>
        </w:tc>
      </w:tr>
      <w:tr>
        <w:trPr>
          <w:trHeight w:val="33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Securities Exchange Act Rules 13a-14(a) and 15d-14(a).</w:t>
            </w:r>
          </w:p>
        </w:tc>
        <w:tc>
          <w:tcPr>
            <w:tcW w:w="0" w:type="dxa"/>
            <w:vAlign w:val="bottom"/>
          </w:tcPr>
          <w:p>
            <w:pPr>
              <w:spacing w:after="0"/>
              <w:rPr>
                <w:sz w:val="1"/>
                <w:szCs w:val="1"/>
                <w:color w:val="auto"/>
              </w:rPr>
            </w:pPr>
          </w:p>
        </w:tc>
      </w:tr>
      <w:tr>
        <w:trPr>
          <w:trHeight w:val="33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Securities Exchange Act Rules 13a-14(a) and 15d-14(a).</w:t>
            </w:r>
          </w:p>
        </w:tc>
        <w:tc>
          <w:tcPr>
            <w:tcW w:w="0" w:type="dxa"/>
            <w:vAlign w:val="bottom"/>
          </w:tcPr>
          <w:p>
            <w:pPr>
              <w:spacing w:after="0"/>
              <w:rPr>
                <w:sz w:val="1"/>
                <w:szCs w:val="1"/>
                <w:color w:val="auto"/>
              </w:rPr>
            </w:pPr>
          </w:p>
        </w:tc>
      </w:tr>
      <w:tr>
        <w:trPr>
          <w:trHeight w:val="31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Act of 2002.</w:t>
            </w:r>
          </w:p>
        </w:tc>
        <w:tc>
          <w:tcPr>
            <w:tcW w:w="0" w:type="dxa"/>
            <w:vAlign w:val="bottom"/>
          </w:tcPr>
          <w:p>
            <w:pPr>
              <w:spacing w:after="0"/>
              <w:rPr>
                <w:sz w:val="1"/>
                <w:szCs w:val="1"/>
                <w:color w:val="auto"/>
              </w:rPr>
            </w:pPr>
          </w:p>
        </w:tc>
      </w:tr>
      <w:tr>
        <w:trPr>
          <w:trHeight w:val="31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18 U.S.C. Section 1350, as adopted pursuant to Section 906 of the Sarbanes-Oxley Act</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of 2002.</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Schema</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-1594485</wp:posOffset>
            </wp:positionV>
            <wp:extent cx="171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-1594485</wp:posOffset>
            </wp:positionV>
            <wp:extent cx="171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0" w:right="120" w:hanging="512"/>
        <w:spacing w:after="0" w:line="272" w:lineRule="auto"/>
        <w:tabs>
          <w:tab w:leader="none" w:pos="5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certification furnished in Exhibit 32.1 and 32.2 hereto is deemed to accompany this Quarterly Report on Form 10-Q and will not be deemed “filed” for purposes of Section 18 of the Securities Exchange Act of 1934, as amended. Such certification will not be deemed to be incorporated by reference into any filings under the Securities Act of 1933, as amended, or the Securities Exchange Act of 1934, as amended, except to the extent that</w:t>
      </w:r>
    </w:p>
    <w:p>
      <w:pPr>
        <w:spacing w:after="0" w:line="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registrant specifically incorporates it by reference.</w:t>
      </w:r>
    </w:p>
    <w:p>
      <w:pPr>
        <w:spacing w:after="0" w:line="9" w:lineRule="exact"/>
        <w:rPr>
          <w:sz w:val="20"/>
          <w:szCs w:val="20"/>
          <w:color w:val="auto"/>
        </w:rPr>
      </w:pPr>
    </w:p>
    <w:p>
      <w:pPr>
        <w:ind w:left="520" w:right="260" w:hanging="512"/>
        <w:spacing w:after="0" w:line="250"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Exhibits filed with the Registration Statement on Form SB-2 (No. 333-00320-LA) which was declared effective on February 15, 1996.</w:t>
      </w: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Exhibits filed with the Registrant’s Report on Form 8-K on November 21, 2007.</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Exhibits filed with the Registrant’s Report on Form 8-K on April 21, 2017.</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Exhibits filed with the Registrant’s Report on Form 8-K on May 1, 2017.</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 Acknowledgments</w:t>
      </w:r>
    </w:p>
    <w:p>
      <w:pPr>
        <w:spacing w:after="0" w:line="121" w:lineRule="exact"/>
        <w:rPr>
          <w:sz w:val="20"/>
          <w:szCs w:val="20"/>
          <w:color w:val="auto"/>
        </w:rPr>
      </w:pPr>
    </w:p>
    <w:p>
      <w:pPr>
        <w:ind w:right="340" w:firstLine="518"/>
        <w:spacing w:after="0" w:line="266" w:lineRule="auto"/>
        <w:rPr>
          <w:sz w:val="20"/>
          <w:szCs w:val="20"/>
          <w:color w:val="auto"/>
        </w:rPr>
      </w:pPr>
      <w:r>
        <w:rPr>
          <w:rFonts w:ascii="Times New Roman" w:cs="Times New Roman" w:eastAsia="Times New Roman" w:hAnsi="Times New Roman"/>
          <w:sz w:val="18"/>
          <w:szCs w:val="18"/>
          <w:color w:val="auto"/>
        </w:rPr>
        <w:t>IRIDEX, the IRIDEX logo, IRIS Medical, MicroPulse, OcuLight, SmartKey, and EndoProbe, are our registered trademarks. G-Probe, DioPexy, DioVet, TruFocus, TrueCW, IQ 577, IQ 532, Cyclo G6, TxCell, OtoProbe, Symphony, EasyFit, Endoview, MoistAir and GreenTip product names are our trademarks. All other trademarks or trade names appearing in this Quarterly Report on Form 10-Q are the property of their respective owners.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38" w:name="page39"/>
    <w:bookmarkEnd w:id="3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80" w:firstLine="5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IRIDEX Corporation (Registrant)</w:t>
            </w:r>
          </w:p>
        </w:tc>
        <w:tc>
          <w:tcPr>
            <w:tcW w:w="20" w:type="dxa"/>
            <w:vAlign w:val="bottom"/>
          </w:tcPr>
          <w:p>
            <w:pPr>
              <w:spacing w:after="0"/>
              <w:rPr>
                <w:sz w:val="20"/>
                <w:szCs w:val="20"/>
                <w:color w:val="auto"/>
              </w:rPr>
            </w:pPr>
          </w:p>
        </w:tc>
      </w:tr>
      <w:tr>
        <w:trPr>
          <w:trHeight w:val="45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2017</w:t>
            </w:r>
          </w:p>
        </w:tc>
        <w:tc>
          <w:tcPr>
            <w:tcW w:w="7920" w:type="dxa"/>
            <w:vAlign w:val="bottom"/>
            <w:gridSpan w:val="3"/>
          </w:tcPr>
          <w:p>
            <w:pPr>
              <w:ind w:left="3060"/>
              <w:spacing w:after="0"/>
              <w:rPr>
                <w:sz w:val="20"/>
                <w:szCs w:val="20"/>
                <w:color w:val="auto"/>
              </w:rPr>
            </w:pPr>
            <w:r>
              <w:rPr>
                <w:rFonts w:ascii="Times New Roman" w:cs="Times New Roman" w:eastAsia="Times New Roman" w:hAnsi="Times New Roman"/>
                <w:sz w:val="18"/>
                <w:szCs w:val="18"/>
                <w:color w:val="auto"/>
              </w:rPr>
              <w:t>By:  /s/ WILLIAM M. MOORE</w:t>
            </w:r>
          </w:p>
        </w:tc>
        <w:tc>
          <w:tcPr>
            <w:tcW w:w="20" w:type="dxa"/>
            <w:vAlign w:val="bottom"/>
          </w:tcPr>
          <w:p>
            <w:pPr>
              <w:spacing w:after="0"/>
              <w:rPr>
                <w:sz w:val="24"/>
                <w:szCs w:val="24"/>
                <w:color w:val="auto"/>
              </w:rPr>
            </w:pPr>
          </w:p>
        </w:tc>
      </w:tr>
      <w:tr>
        <w:trPr>
          <w:trHeight w:val="191"/>
        </w:trPr>
        <w:tc>
          <w:tcPr>
            <w:tcW w:w="35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5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0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William M. Moore</w:t>
            </w:r>
          </w:p>
        </w:tc>
        <w:tc>
          <w:tcPr>
            <w:tcW w:w="20" w:type="dxa"/>
            <w:vAlign w:val="bottom"/>
          </w:tcPr>
          <w:p>
            <w:pPr>
              <w:spacing w:after="0"/>
              <w:rPr>
                <w:sz w:val="16"/>
                <w:szCs w:val="16"/>
                <w:color w:val="auto"/>
              </w:rPr>
            </w:pPr>
          </w:p>
        </w:tc>
      </w:tr>
      <w:tr>
        <w:trPr>
          <w:trHeight w:val="216"/>
        </w:trPr>
        <w:tc>
          <w:tcPr>
            <w:tcW w:w="35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20" w:type="dxa"/>
            <w:vAlign w:val="bottom"/>
          </w:tcPr>
          <w:p>
            <w:pPr>
              <w:spacing w:after="0"/>
              <w:rPr>
                <w:sz w:val="18"/>
                <w:szCs w:val="18"/>
                <w:color w:val="auto"/>
              </w:rPr>
            </w:pPr>
          </w:p>
        </w:tc>
      </w:tr>
      <w:tr>
        <w:trPr>
          <w:trHeight w:val="234"/>
        </w:trPr>
        <w:tc>
          <w:tcPr>
            <w:tcW w:w="35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0" w:type="dxa"/>
            <w:vAlign w:val="bottom"/>
          </w:tcPr>
          <w:p>
            <w:pPr>
              <w:spacing w:after="0"/>
              <w:rPr>
                <w:sz w:val="20"/>
                <w:szCs w:val="20"/>
                <w:color w:val="auto"/>
              </w:rPr>
            </w:pP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2017</w:t>
            </w:r>
          </w:p>
        </w:tc>
        <w:tc>
          <w:tcPr>
            <w:tcW w:w="346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ATABAK MOKARI</w:t>
            </w:r>
          </w:p>
        </w:tc>
        <w:tc>
          <w:tcPr>
            <w:tcW w:w="20" w:type="dxa"/>
            <w:vAlign w:val="bottom"/>
          </w:tcPr>
          <w:p>
            <w:pPr>
              <w:spacing w:after="0"/>
              <w:rPr>
                <w:sz w:val="24"/>
                <w:szCs w:val="24"/>
                <w:color w:val="auto"/>
              </w:rPr>
            </w:pPr>
          </w:p>
        </w:tc>
      </w:tr>
      <w:tr>
        <w:trPr>
          <w:trHeight w:val="191"/>
        </w:trPr>
        <w:tc>
          <w:tcPr>
            <w:tcW w:w="35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Atabak Mokari</w:t>
            </w:r>
          </w:p>
        </w:tc>
        <w:tc>
          <w:tcPr>
            <w:tcW w:w="20" w:type="dxa"/>
            <w:vAlign w:val="bottom"/>
          </w:tcPr>
          <w:p>
            <w:pPr>
              <w:spacing w:after="0"/>
              <w:rPr>
                <w:sz w:val="16"/>
                <w:szCs w:val="16"/>
                <w:color w:val="auto"/>
              </w:rPr>
            </w:pPr>
          </w:p>
        </w:tc>
      </w:tr>
      <w:tr>
        <w:trPr>
          <w:trHeight w:val="216"/>
        </w:trPr>
        <w:tc>
          <w:tcPr>
            <w:tcW w:w="35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 and Vice President of</w:t>
            </w:r>
          </w:p>
        </w:tc>
        <w:tc>
          <w:tcPr>
            <w:tcW w:w="2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Development</w:t>
            </w:r>
          </w:p>
        </w:tc>
        <w:tc>
          <w:tcPr>
            <w:tcW w:w="20" w:type="dxa"/>
            <w:vAlign w:val="bottom"/>
          </w:tcPr>
          <w:p>
            <w:pPr>
              <w:spacing w:after="0"/>
              <w:rPr>
                <w:sz w:val="18"/>
                <w:szCs w:val="18"/>
                <w:color w:val="auto"/>
              </w:rPr>
            </w:pPr>
          </w:p>
        </w:tc>
      </w:tr>
      <w:tr>
        <w:trPr>
          <w:trHeight w:val="234"/>
        </w:trPr>
        <w:tc>
          <w:tcPr>
            <w:tcW w:w="35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20" w:type="dxa"/>
            <w:vAlign w:val="bottom"/>
          </w:tcPr>
          <w:p>
            <w:pPr>
              <w:spacing w:after="0"/>
              <w:rPr>
                <w:sz w:val="20"/>
                <w:szCs w:val="20"/>
                <w:color w:val="auto"/>
              </w:rPr>
            </w:pP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2017</w:t>
            </w:r>
          </w:p>
        </w:tc>
        <w:tc>
          <w:tcPr>
            <w:tcW w:w="346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ROMEO R. DIZON</w:t>
            </w:r>
          </w:p>
        </w:tc>
        <w:tc>
          <w:tcPr>
            <w:tcW w:w="20" w:type="dxa"/>
            <w:vAlign w:val="bottom"/>
          </w:tcPr>
          <w:p>
            <w:pPr>
              <w:spacing w:after="0"/>
              <w:rPr>
                <w:sz w:val="24"/>
                <w:szCs w:val="24"/>
                <w:color w:val="auto"/>
              </w:rPr>
            </w:pPr>
          </w:p>
        </w:tc>
      </w:tr>
      <w:tr>
        <w:trPr>
          <w:trHeight w:val="191"/>
        </w:trPr>
        <w:tc>
          <w:tcPr>
            <w:tcW w:w="35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Romeo R. Dizon</w:t>
            </w:r>
          </w:p>
        </w:tc>
        <w:tc>
          <w:tcPr>
            <w:tcW w:w="20" w:type="dxa"/>
            <w:vAlign w:val="bottom"/>
          </w:tcPr>
          <w:p>
            <w:pPr>
              <w:spacing w:after="0"/>
              <w:rPr>
                <w:sz w:val="16"/>
                <w:szCs w:val="16"/>
                <w:color w:val="auto"/>
              </w:rPr>
            </w:pPr>
          </w:p>
        </w:tc>
      </w:tr>
      <w:tr>
        <w:trPr>
          <w:trHeight w:val="216"/>
        </w:trPr>
        <w:tc>
          <w:tcPr>
            <w:tcW w:w="35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Vice President and Controller</w:t>
            </w:r>
          </w:p>
        </w:tc>
        <w:tc>
          <w:tcPr>
            <w:tcW w:w="20" w:type="dxa"/>
            <w:vAlign w:val="bottom"/>
          </w:tcPr>
          <w:p>
            <w:pPr>
              <w:spacing w:after="0"/>
              <w:rPr>
                <w:sz w:val="18"/>
                <w:szCs w:val="18"/>
                <w:color w:val="auto"/>
              </w:rPr>
            </w:pPr>
          </w:p>
        </w:tc>
      </w:tr>
      <w:tr>
        <w:trPr>
          <w:trHeight w:val="234"/>
        </w:trPr>
        <w:tc>
          <w:tcPr>
            <w:tcW w:w="35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0" w:type="dxa"/>
            <w:vAlign w:val="bottom"/>
          </w:tcPr>
          <w:p>
            <w:pPr>
              <w:spacing w:after="0"/>
              <w:rPr>
                <w:sz w:val="20"/>
                <w:szCs w:val="20"/>
                <w:color w:val="auto"/>
              </w:rPr>
            </w:pPr>
          </w:p>
        </w:tc>
      </w:tr>
      <w:tr>
        <w:trPr>
          <w:trHeight w:val="851"/>
        </w:trPr>
        <w:tc>
          <w:tcPr>
            <w:tcW w:w="3500" w:type="dxa"/>
            <w:vAlign w:val="bottom"/>
          </w:tcPr>
          <w:p>
            <w:pPr>
              <w:spacing w:after="0"/>
              <w:rPr>
                <w:sz w:val="24"/>
                <w:szCs w:val="24"/>
                <w:color w:val="auto"/>
              </w:rPr>
            </w:pPr>
          </w:p>
        </w:tc>
        <w:tc>
          <w:tcPr>
            <w:tcW w:w="34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39</w:t>
            </w:r>
          </w:p>
        </w:tc>
        <w:tc>
          <w:tcPr>
            <w:tcW w:w="5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500" w:type="dxa"/>
            <w:vAlign w:val="bottom"/>
            <w:tcBorders>
              <w:bottom w:val="single" w:sz="8" w:color="9A9A9A"/>
            </w:tcBorders>
          </w:tcPr>
          <w:p>
            <w:pPr>
              <w:spacing w:after="0"/>
              <w:rPr>
                <w:sz w:val="10"/>
                <w:szCs w:val="10"/>
                <w:color w:val="auto"/>
              </w:rPr>
            </w:pPr>
          </w:p>
        </w:tc>
        <w:tc>
          <w:tcPr>
            <w:tcW w:w="34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0" w:right="21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40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40"/>
        </w:trPr>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0" w:type="dxa"/>
            <w:vAlign w:val="bottom"/>
          </w:tcPr>
          <w:p>
            <w:pPr>
              <w:spacing w:after="0"/>
              <w:rPr>
                <w:sz w:val="1"/>
                <w:szCs w:val="1"/>
                <w:color w:val="auto"/>
              </w:rPr>
            </w:pPr>
          </w:p>
        </w:tc>
      </w:tr>
      <w:tr>
        <w:trPr>
          <w:trHeight w:val="173"/>
        </w:trPr>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10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1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3.1 (1)</w:t>
            </w:r>
          </w:p>
        </w:tc>
        <w:tc>
          <w:tcPr>
            <w:tcW w:w="120" w:type="dxa"/>
            <w:vAlign w:val="bottom"/>
          </w:tcPr>
          <w:p>
            <w:pPr>
              <w:spacing w:after="0"/>
              <w:rPr>
                <w:sz w:val="24"/>
                <w:szCs w:val="24"/>
                <w:color w:val="auto"/>
              </w:rPr>
            </w:pPr>
          </w:p>
        </w:tc>
        <w:tc>
          <w:tcPr>
            <w:tcW w:w="10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Amended and Restated Certificate of Incorporation of Registrant.</w:t>
            </w:r>
          </w:p>
        </w:tc>
        <w:tc>
          <w:tcPr>
            <w:tcW w:w="0" w:type="dxa"/>
            <w:vAlign w:val="bottom"/>
          </w:tcPr>
          <w:p>
            <w:pPr>
              <w:spacing w:after="0"/>
              <w:rPr>
                <w:sz w:val="1"/>
                <w:szCs w:val="1"/>
                <w:color w:val="auto"/>
              </w:rPr>
            </w:pPr>
          </w:p>
        </w:tc>
      </w:tr>
      <w:tr>
        <w:trPr>
          <w:trHeight w:val="33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3.2 (2)</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Bylaws of Registrant.</w:t>
            </w:r>
          </w:p>
        </w:tc>
        <w:tc>
          <w:tcPr>
            <w:tcW w:w="0" w:type="dxa"/>
            <w:vAlign w:val="bottom"/>
          </w:tcPr>
          <w:p>
            <w:pPr>
              <w:spacing w:after="0"/>
              <w:rPr>
                <w:sz w:val="1"/>
                <w:szCs w:val="1"/>
                <w:color w:val="auto"/>
              </w:rPr>
            </w:pPr>
          </w:p>
        </w:tc>
      </w:tr>
      <w:tr>
        <w:trPr>
          <w:trHeight w:val="41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10.2 (3)</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Amendment to the Securities Purchase Agreement, dated as of April 20, 2017, between the Company and BlueLine Capital Partners, LP,</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BlueLine Capital Partners II, LP, and BlueLine Capital Partners III, LP.</w:t>
            </w: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10.3 (4)</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Triple Net Lease Agreement dated as of April 26, 2017 between the Iridex Corporation and Terra Bella LLC</w:t>
            </w:r>
          </w:p>
        </w:tc>
        <w:tc>
          <w:tcPr>
            <w:tcW w:w="0" w:type="dxa"/>
            <w:vAlign w:val="bottom"/>
          </w:tcPr>
          <w:p>
            <w:pPr>
              <w:spacing w:after="0"/>
              <w:rPr>
                <w:sz w:val="1"/>
                <w:szCs w:val="1"/>
                <w:color w:val="auto"/>
              </w:rPr>
            </w:pPr>
          </w:p>
        </w:tc>
      </w:tr>
      <w:tr>
        <w:trPr>
          <w:trHeight w:val="33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Securities Exchange Act Rules 13a-14(a) and 15d-14(a).</w:t>
            </w:r>
          </w:p>
        </w:tc>
        <w:tc>
          <w:tcPr>
            <w:tcW w:w="0" w:type="dxa"/>
            <w:vAlign w:val="bottom"/>
          </w:tcPr>
          <w:p>
            <w:pPr>
              <w:spacing w:after="0"/>
              <w:rPr>
                <w:sz w:val="1"/>
                <w:szCs w:val="1"/>
                <w:color w:val="auto"/>
              </w:rPr>
            </w:pPr>
          </w:p>
        </w:tc>
      </w:tr>
      <w:tr>
        <w:trPr>
          <w:trHeight w:val="33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Securities Exchange Act Rules 13a-14(a) and 15d-14(a).</w:t>
            </w:r>
          </w:p>
        </w:tc>
        <w:tc>
          <w:tcPr>
            <w:tcW w:w="0" w:type="dxa"/>
            <w:vAlign w:val="bottom"/>
          </w:tcPr>
          <w:p>
            <w:pPr>
              <w:spacing w:after="0"/>
              <w:rPr>
                <w:sz w:val="1"/>
                <w:szCs w:val="1"/>
                <w:color w:val="auto"/>
              </w:rPr>
            </w:pPr>
          </w:p>
        </w:tc>
      </w:tr>
      <w:tr>
        <w:trPr>
          <w:trHeight w:val="31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Act of 2002.</w:t>
            </w:r>
          </w:p>
        </w:tc>
        <w:tc>
          <w:tcPr>
            <w:tcW w:w="0" w:type="dxa"/>
            <w:vAlign w:val="bottom"/>
          </w:tcPr>
          <w:p>
            <w:pPr>
              <w:spacing w:after="0"/>
              <w:rPr>
                <w:sz w:val="1"/>
                <w:szCs w:val="1"/>
                <w:color w:val="auto"/>
              </w:rPr>
            </w:pPr>
          </w:p>
        </w:tc>
      </w:tr>
      <w:tr>
        <w:trPr>
          <w:trHeight w:val="31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18 U.S.C. Section 1350, as adopted pursuant to Section 906 of the Sarbanes-Oxley Act</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of 2002.</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Schema</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20" w:right="300" w:hanging="512"/>
        <w:spacing w:after="0" w:line="276" w:lineRule="auto"/>
        <w:tabs>
          <w:tab w:leader="none" w:pos="5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certification furnished in Exhibit 32.1 and 32.2 hereto is deemed to accompany this Quarterly Report on Form 10-Q and will not be deemed “filed” for purposes of Section 18 of the Securities Exchange Act of 1934, as amended. Such certification will not be deemed to be incorporated by</w:t>
      </w:r>
    </w:p>
    <w:p>
      <w:pPr>
        <w:spacing w:after="0" w:line="1" w:lineRule="exact"/>
        <w:rPr>
          <w:sz w:val="20"/>
          <w:szCs w:val="20"/>
          <w:color w:val="auto"/>
        </w:rPr>
      </w:pPr>
    </w:p>
    <w:p>
      <w:pPr>
        <w:ind w:left="520" w:right="120"/>
        <w:spacing w:after="0" w:line="250" w:lineRule="auto"/>
        <w:rPr>
          <w:sz w:val="20"/>
          <w:szCs w:val="20"/>
          <w:color w:val="auto"/>
        </w:rPr>
      </w:pPr>
      <w:r>
        <w:rPr>
          <w:rFonts w:ascii="Times New Roman" w:cs="Times New Roman" w:eastAsia="Times New Roman" w:hAnsi="Times New Roman"/>
          <w:sz w:val="18"/>
          <w:szCs w:val="18"/>
          <w:color w:val="auto"/>
        </w:rPr>
        <w:t>reference into any filings under the Securities Act of 1933, as amended, or the Securities Exchange Act of 1934, as amended, except to the extent that the registrant specifically incorporates it by reference.</w:t>
      </w:r>
    </w:p>
    <w:p>
      <w:pPr>
        <w:spacing w:after="0" w:line="1" w:lineRule="exact"/>
        <w:rPr>
          <w:sz w:val="20"/>
          <w:szCs w:val="20"/>
          <w:color w:val="auto"/>
        </w:rPr>
      </w:pPr>
    </w:p>
    <w:p>
      <w:pPr>
        <w:ind w:left="520" w:right="260" w:hanging="512"/>
        <w:spacing w:after="0" w:line="250"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Exhibits filed with the Registration Statement on Form SB-2 (No. 333-00320-LA) which was declared effective on February 15, 1996.</w:t>
      </w: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Exhibits filed with the Registrant’s Report on Form 8-K on November 21, 2007.</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Exhibits filed with the Registrant’s Report on Form 8-K on April 21, 2017.</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Exhibits filed with the Registrant’s Report on Form 8-K on May 1, 2017.</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360" w:right="2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13(a) or 15(d)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M. Moore, certify that:</w:t>
      </w:r>
    </w:p>
    <w:p>
      <w:pPr>
        <w:spacing w:after="0" w:line="117" w:lineRule="exact"/>
        <w:rPr>
          <w:sz w:val="20"/>
          <w:szCs w:val="20"/>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IRIDEX Corporation;</w:t>
      </w:r>
    </w:p>
    <w:p>
      <w:pPr>
        <w:spacing w:after="0" w:line="117" w:lineRule="exact"/>
        <w:rPr>
          <w:rFonts w:ascii="Times New Roman" w:cs="Times New Roman" w:eastAsia="Times New Roman" w:hAnsi="Times New Roman"/>
          <w:sz w:val="18"/>
          <w:szCs w:val="18"/>
          <w:color w:val="auto"/>
        </w:rPr>
      </w:pPr>
    </w:p>
    <w:p>
      <w:pPr>
        <w:jc w:val="both"/>
        <w:ind w:left="1040" w:right="180" w:hanging="519"/>
        <w:spacing w:after="0" w:line="266"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1040" w:right="140" w:hanging="519"/>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1040" w:right="100" w:hanging="519"/>
        <w:spacing w:after="0" w:line="276" w:lineRule="auto"/>
        <w:tabs>
          <w:tab w:leader="none" w:pos="10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0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98" w:lineRule="exact"/>
        <w:rPr>
          <w:rFonts w:ascii="Times New Roman" w:cs="Times New Roman" w:eastAsia="Times New Roman" w:hAnsi="Times New Roman"/>
          <w:sz w:val="17"/>
          <w:szCs w:val="17"/>
          <w:color w:val="auto"/>
        </w:rPr>
      </w:pPr>
    </w:p>
    <w:p>
      <w:pPr>
        <w:ind w:left="1540" w:right="60" w:hanging="506"/>
        <w:spacing w:after="0" w:line="266"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8" w:lineRule="exact"/>
        <w:rPr>
          <w:rFonts w:ascii="Times New Roman" w:cs="Times New Roman" w:eastAsia="Times New Roman" w:hAnsi="Times New Roman"/>
          <w:sz w:val="18"/>
          <w:szCs w:val="18"/>
          <w:color w:val="auto"/>
        </w:rPr>
      </w:pPr>
    </w:p>
    <w:p>
      <w:pPr>
        <w:ind w:left="1540" w:right="60" w:hanging="506"/>
        <w:spacing w:after="0" w:line="266"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540" w:right="140" w:hanging="506"/>
        <w:spacing w:after="0" w:line="282"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540" w:right="140" w:hanging="506"/>
        <w:spacing w:after="0" w:line="266"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1040" w:right="60" w:hanging="519"/>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40" w:right="380" w:hanging="506"/>
        <w:spacing w:after="0" w:line="282"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80" w:hanging="506"/>
        <w:spacing w:after="0" w:line="282"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2017</w:t>
      </w:r>
    </w:p>
    <w:p>
      <w:pPr>
        <w:spacing w:after="0" w:line="252" w:lineRule="exact"/>
        <w:rPr>
          <w:sz w:val="20"/>
          <w:szCs w:val="20"/>
          <w:color w:val="auto"/>
        </w:rPr>
      </w:pPr>
    </w:p>
    <w:tbl>
      <w:tblPr>
        <w:tblLayout w:type="fixed"/>
        <w:tblInd w:w="6860" w:type="dxa"/>
        <w:tblCellMar>
          <w:top w:w="0" w:type="dxa"/>
          <w:left w:w="0" w:type="dxa"/>
          <w:bottom w:w="0" w:type="dxa"/>
          <w:right w:w="0" w:type="dxa"/>
        </w:tblCellMar>
      </w:tblPr>
      <w:tr>
        <w:trPr>
          <w:trHeight w:val="24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M. MOORE</w:t>
            </w:r>
          </w:p>
        </w:tc>
      </w:tr>
      <w:tr>
        <w:trPr>
          <w:trHeight w:val="21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William M. Moore</w:t>
            </w:r>
          </w:p>
        </w:tc>
      </w:tr>
      <w:tr>
        <w:trPr>
          <w:trHeight w:val="230"/>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68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420"/>
          </w:cols>
          <w:pgMar w:left="240" w:top="117" w:right="2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13(a) or 15(d)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Atabak Mokari, certify that:</w:t>
      </w:r>
    </w:p>
    <w:p>
      <w:pPr>
        <w:spacing w:after="0" w:line="117" w:lineRule="exact"/>
        <w:rPr>
          <w:sz w:val="20"/>
          <w:szCs w:val="20"/>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IRIDEX Corporation;</w:t>
      </w:r>
    </w:p>
    <w:p>
      <w:pPr>
        <w:spacing w:after="0" w:line="117" w:lineRule="exact"/>
        <w:rPr>
          <w:rFonts w:ascii="Times New Roman" w:cs="Times New Roman" w:eastAsia="Times New Roman" w:hAnsi="Times New Roman"/>
          <w:sz w:val="18"/>
          <w:szCs w:val="18"/>
          <w:color w:val="auto"/>
        </w:rPr>
      </w:pPr>
    </w:p>
    <w:p>
      <w:pPr>
        <w:jc w:val="both"/>
        <w:ind w:left="1040" w:right="180" w:hanging="519"/>
        <w:spacing w:after="0" w:line="266"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1040" w:right="140" w:hanging="519"/>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1040" w:right="100" w:hanging="519"/>
        <w:spacing w:after="0" w:line="276" w:lineRule="auto"/>
        <w:tabs>
          <w:tab w:leader="none" w:pos="10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0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98" w:lineRule="exact"/>
        <w:rPr>
          <w:rFonts w:ascii="Times New Roman" w:cs="Times New Roman" w:eastAsia="Times New Roman" w:hAnsi="Times New Roman"/>
          <w:sz w:val="17"/>
          <w:szCs w:val="17"/>
          <w:color w:val="auto"/>
        </w:rPr>
      </w:pPr>
    </w:p>
    <w:p>
      <w:pPr>
        <w:ind w:left="1540" w:right="60" w:hanging="506"/>
        <w:spacing w:after="0" w:line="266" w:lineRule="auto"/>
        <w:tabs>
          <w:tab w:leader="none" w:pos="15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8" w:lineRule="exact"/>
        <w:rPr>
          <w:rFonts w:ascii="Times New Roman" w:cs="Times New Roman" w:eastAsia="Times New Roman" w:hAnsi="Times New Roman"/>
          <w:sz w:val="18"/>
          <w:szCs w:val="18"/>
          <w:color w:val="auto"/>
        </w:rPr>
      </w:pPr>
    </w:p>
    <w:p>
      <w:pPr>
        <w:ind w:left="1540" w:right="60" w:hanging="506"/>
        <w:spacing w:after="0" w:line="266" w:lineRule="auto"/>
        <w:tabs>
          <w:tab w:leader="none" w:pos="15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540" w:right="140" w:hanging="506"/>
        <w:spacing w:after="0" w:line="282" w:lineRule="auto"/>
        <w:tabs>
          <w:tab w:leader="none" w:pos="15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540" w:right="140" w:hanging="506"/>
        <w:spacing w:after="0" w:line="266" w:lineRule="auto"/>
        <w:tabs>
          <w:tab w:leader="none" w:pos="15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1040" w:right="60" w:hanging="519"/>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40" w:right="380" w:hanging="506"/>
        <w:spacing w:after="0" w:line="282" w:lineRule="auto"/>
        <w:tabs>
          <w:tab w:leader="none" w:pos="15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80" w:hanging="506"/>
        <w:spacing w:after="0" w:line="282" w:lineRule="auto"/>
        <w:tabs>
          <w:tab w:leader="none" w:pos="15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2017</w:t>
      </w:r>
    </w:p>
    <w:p>
      <w:pPr>
        <w:spacing w:after="0" w:line="252" w:lineRule="exact"/>
        <w:rPr>
          <w:sz w:val="20"/>
          <w:szCs w:val="20"/>
          <w:color w:val="auto"/>
        </w:rPr>
      </w:pPr>
    </w:p>
    <w:tbl>
      <w:tblPr>
        <w:tblLayout w:type="fixed"/>
        <w:tblInd w:w="6860" w:type="dxa"/>
        <w:tblCellMar>
          <w:top w:w="0" w:type="dxa"/>
          <w:left w:w="0" w:type="dxa"/>
          <w:bottom w:w="0" w:type="dxa"/>
          <w:right w:w="0" w:type="dxa"/>
        </w:tblCellMar>
      </w:tblPr>
      <w:tr>
        <w:trPr>
          <w:trHeight w:val="241"/>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ATABAK MOKARI</w:t>
            </w:r>
          </w:p>
        </w:tc>
      </w:tr>
      <w:tr>
        <w:trPr>
          <w:trHeight w:val="211"/>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Atabak Mokari</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Vice President of</w:t>
            </w:r>
          </w:p>
        </w:tc>
      </w:tr>
      <w:tr>
        <w:trPr>
          <w:trHeight w:val="216"/>
        </w:trPr>
        <w:tc>
          <w:tcPr>
            <w:tcW w:w="8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Corporate Development</w:t>
            </w:r>
          </w:p>
        </w:tc>
      </w:tr>
      <w:tr>
        <w:trPr>
          <w:trHeight w:val="234"/>
        </w:trPr>
        <w:tc>
          <w:tcPr>
            <w:tcW w:w="86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420"/>
          </w:cols>
          <w:pgMar w:left="240" w:top="117" w:right="2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I, William M. Moore, pursuant to 18 U.S.C. Section 1350, as adopted pursuant to Section 906 of the Sarbanes-Oxley Act of 2002, certify that the Quarterly Report of IRIDEX Corporation on Form 10-Q for the fiscal quarter ended April 1, 2017 (i) fully complies with the requirements of Section 13(a) or 15(d) of the Securities Exchange Act of 1934 and (ii) that information contained in such Quarterly Report on Form 10-Q fairly presents, in all material respects, the financial condition and results of operations of IRIDEX Corporation.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2017</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WILLIAM M. MOORE</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William M.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347" w:right="2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I, Atabak Mokari, pursuant to 18 U.S.C. Section 1350, as adopted pursuant to Section 906 of the Sarbanes-Oxley Act of 2002, certify that the Quarterly Report of IRIDEX Corporation on Form 10-Q for the fiscal quarter ended April 1, 2017 (i) fully complies with the requirements of Section 13(a) or 15(d) of the Securities Exchange Act of 1934 and (ii) that information contained in such Quarterly Report on Form 10-Q fairly presents, in all material respects, the financial condition and results of operations of IRIDEX Corporation.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2017</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ATABAK MOKARI</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Atabak Mokari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8"/>
          <w:szCs w:val="18"/>
          <w:color w:val="auto"/>
        </w:rPr>
        <w:t>Title:</w:t>
        <w:tab/>
        <w:t>Chief Financial Officer and Vice President of Corporate Development</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420"/>
      </w:cols>
      <w:pgMar w:left="240" w:top="34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lvl w:ilvl="1">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decimal"/>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2019-12-29T06:48:02Z</dcterms:created>
  <dcterms:modified xsi:type="dcterms:W3CDTF">2019-12-29T06:48:02Z</dcterms:modified>
</cp:coreProperties>
</file>