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4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27,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IRIDEX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2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center"/>
              <w:ind w:left="1841"/>
              <w:spacing w:after="0"/>
              <w:rPr>
                <w:sz w:val="20"/>
                <w:szCs w:val="20"/>
                <w:color w:val="auto"/>
              </w:rPr>
            </w:pPr>
            <w:r>
              <w:rPr>
                <w:rFonts w:ascii="Arial" w:cs="Arial" w:eastAsia="Arial" w:hAnsi="Arial"/>
                <w:sz w:val="18"/>
                <w:szCs w:val="18"/>
                <w:b w:val="1"/>
                <w:bCs w:val="1"/>
                <w:color w:val="auto"/>
                <w:w w:val="89"/>
              </w:rPr>
              <w:t>77-0210467</w:t>
            </w:r>
          </w:p>
        </w:tc>
      </w:tr>
      <w:tr>
        <w:trPr>
          <w:trHeight w:val="149"/>
        </w:trPr>
        <w:tc>
          <w:tcPr>
            <w:tcW w:w="428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4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34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42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0"/>
              </w:rPr>
              <w:t>1212 Terra Bella Avenue</w:t>
            </w:r>
          </w:p>
        </w:tc>
        <w:tc>
          <w:tcPr>
            <w:tcW w:w="3340" w:type="dxa"/>
            <w:vAlign w:val="bottom"/>
          </w:tcPr>
          <w:p>
            <w:pPr>
              <w:spacing w:after="0"/>
              <w:rPr>
                <w:sz w:val="24"/>
                <w:szCs w:val="24"/>
                <w:color w:val="auto"/>
              </w:rPr>
            </w:pPr>
          </w:p>
        </w:tc>
      </w:tr>
      <w:tr>
        <w:trPr>
          <w:trHeight w:val="212"/>
        </w:trPr>
        <w:tc>
          <w:tcPr>
            <w:tcW w:w="42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4"/>
              </w:rPr>
              <w:t>Mountain View, California</w:t>
            </w:r>
          </w:p>
        </w:tc>
        <w:tc>
          <w:tcPr>
            <w:tcW w:w="3340" w:type="dxa"/>
            <w:vAlign w:val="bottom"/>
          </w:tcPr>
          <w:p>
            <w:pPr>
              <w:jc w:val="center"/>
              <w:ind w:left="1841"/>
              <w:spacing w:after="0"/>
              <w:rPr>
                <w:sz w:val="20"/>
                <w:szCs w:val="20"/>
                <w:color w:val="auto"/>
              </w:rPr>
            </w:pPr>
            <w:r>
              <w:rPr>
                <w:rFonts w:ascii="Arial" w:cs="Arial" w:eastAsia="Arial" w:hAnsi="Arial"/>
                <w:sz w:val="18"/>
                <w:szCs w:val="18"/>
                <w:b w:val="1"/>
                <w:bCs w:val="1"/>
                <w:color w:val="auto"/>
                <w:w w:val="89"/>
              </w:rPr>
              <w:t>94043-1824</w:t>
            </w:r>
          </w:p>
        </w:tc>
      </w:tr>
      <w:tr>
        <w:trPr>
          <w:trHeight w:val="186"/>
        </w:trPr>
        <w:tc>
          <w:tcPr>
            <w:tcW w:w="4280" w:type="dxa"/>
            <w:vAlign w:val="bottom"/>
          </w:tcPr>
          <w:p>
            <w:pPr>
              <w:jc w:val="center"/>
              <w:ind w:right="18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940-4700</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450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40" w:type="dxa"/>
            <w:vAlign w:val="bottom"/>
            <w:tcBorders>
              <w:top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0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Title of Class</w:t>
            </w:r>
          </w:p>
        </w:tc>
        <w:tc>
          <w:tcPr>
            <w:tcW w:w="2240" w:type="dxa"/>
            <w:vAlign w:val="bottom"/>
          </w:tcPr>
          <w:p>
            <w:pPr>
              <w:jc w:val="center"/>
              <w:ind w:left="50"/>
              <w:spacing w:after="0"/>
              <w:rPr>
                <w:sz w:val="20"/>
                <w:szCs w:val="20"/>
                <w:color w:val="auto"/>
              </w:rPr>
            </w:pPr>
            <w:r>
              <w:rPr>
                <w:rFonts w:ascii="Arial" w:cs="Arial" w:eastAsia="Arial" w:hAnsi="Arial"/>
                <w:sz w:val="18"/>
                <w:szCs w:val="18"/>
                <w:color w:val="auto"/>
                <w:w w:val="93"/>
              </w:rPr>
              <w:t>Trading Symbol</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240" w:type="dxa"/>
            <w:vAlign w:val="bottom"/>
          </w:tcPr>
          <w:p>
            <w:pPr>
              <w:jc w:val="center"/>
              <w:ind w:left="50"/>
              <w:spacing w:after="0"/>
              <w:rPr>
                <w:sz w:val="20"/>
                <w:szCs w:val="20"/>
                <w:color w:val="auto"/>
              </w:rPr>
            </w:pPr>
            <w:r>
              <w:rPr>
                <w:rFonts w:ascii="Arial" w:cs="Arial" w:eastAsia="Arial" w:hAnsi="Arial"/>
                <w:sz w:val="18"/>
                <w:szCs w:val="18"/>
                <w:color w:val="auto"/>
              </w:rPr>
              <w:t>IRIX</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4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158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common stock, $0.01 par value, issued and outstanding as of July 23, 2020 was 13,887,439.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652145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331"/>
        </w:trPr>
        <w:tc>
          <w:tcPr>
            <w:tcW w:w="10480" w:type="dxa"/>
            <w:vAlign w:val="bottom"/>
            <w:gridSpan w:val="7"/>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 FINANCIAL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Financial Statements (Unaudited)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65"/>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Balance Sheets as of June 27, 2020 and December 28, 2019</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64"/>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w w:val="89"/>
              </w:rPr>
            </w:pPr>
            <w:hyperlink w:anchor="page6">
              <w:r>
                <w:rPr>
                  <w:rFonts w:ascii="Arial" w:cs="Arial" w:eastAsia="Arial" w:hAnsi="Arial"/>
                  <w:sz w:val="18"/>
                  <w:szCs w:val="18"/>
                  <w:u w:val="single" w:color="auto"/>
                  <w:color w:val="0000EE"/>
                  <w:w w:val="89"/>
                </w:rPr>
                <w:t>Unaudited Condensed Consolidated Statements of Operations for the three and six months ended June 27, 2020 and June 29, 2019</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Comprehensive Loss for the three and six months ended June 27, 2020 and</w:t>
              </w:r>
            </w:hyperlink>
          </w:p>
        </w:tc>
        <w:tc>
          <w:tcPr>
            <w:tcW w:w="36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June 29, 2019</w:t>
              </w:r>
            </w:hyperlink>
          </w:p>
        </w:tc>
        <w:tc>
          <w:tcPr>
            <w:tcW w:w="842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18"/>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Condensed Consolidated Statements of Stockholder's Equity for the three and six months ended June 27, 2020 and June</w:t>
              </w:r>
            </w:hyperlink>
          </w:p>
        </w:tc>
        <w:tc>
          <w:tcPr>
            <w:tcW w:w="76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29, 2019</w:t>
              </w:r>
            </w:hyperlink>
          </w:p>
        </w:tc>
        <w:tc>
          <w:tcPr>
            <w:tcW w:w="380" w:type="dxa"/>
            <w:vAlign w:val="bottom"/>
            <w:tcBorders>
              <w:top w:val="single" w:sz="8" w:color="0000EE"/>
            </w:tcBorders>
          </w:tcPr>
          <w:p>
            <w:pPr>
              <w:spacing w:after="0"/>
              <w:rPr>
                <w:sz w:val="17"/>
                <w:szCs w:val="17"/>
                <w:color w:val="auto"/>
              </w:rPr>
            </w:pPr>
          </w:p>
        </w:tc>
        <w:tc>
          <w:tcPr>
            <w:tcW w:w="80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385"/>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w w:val="96"/>
              </w:rPr>
            </w:pPr>
            <w:hyperlink w:anchor="page9">
              <w:r>
                <w:rPr>
                  <w:rFonts w:ascii="Arial" w:cs="Arial" w:eastAsia="Arial" w:hAnsi="Arial"/>
                  <w:sz w:val="18"/>
                  <w:szCs w:val="18"/>
                  <w:u w:val="single" w:color="auto"/>
                  <w:color w:val="0000EE"/>
                  <w:w w:val="96"/>
                </w:rPr>
                <w:t>Unaudited Condensed Consolidated Statements of Cash Flows for the six months ended June 27, 2020 and June 29, 2019</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4"/>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Unaudited Condensed Consolidated Financial Statements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8"/>
        </w:trPr>
        <w:tc>
          <w:tcPr>
            <w:tcW w:w="10480" w:type="dxa"/>
            <w:vAlign w:val="bottom"/>
            <w:gridSpan w:val="7"/>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PART II. 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Unregistered Sales of Equity Securities and Use of Proceeds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Defaults Upon Senior Securities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64"/>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Mine Safety Disclosures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10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Exhibits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38"/>
        </w:trPr>
        <w:tc>
          <w:tcPr>
            <w:tcW w:w="9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Signatures</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9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00" w:lineRule="exact"/>
        <w:rPr>
          <w:sz w:val="20"/>
          <w:szCs w:val="20"/>
          <w:color w:val="auto"/>
        </w:rPr>
      </w:pPr>
    </w:p>
    <w:p>
      <w:pPr>
        <w:jc w:val="both"/>
        <w:ind w:left="1000" w:right="100" w:hanging="493"/>
        <w:spacing w:after="0" w:line="255"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2" w:lineRule="exact"/>
        <w:rPr>
          <w:rFonts w:ascii="Arial" w:cs="Arial" w:eastAsia="Arial" w:hAnsi="Arial"/>
          <w:sz w:val="18"/>
          <w:szCs w:val="18"/>
          <w:color w:val="auto"/>
        </w:rPr>
      </w:pPr>
    </w:p>
    <w:p>
      <w:pPr>
        <w:ind w:left="1000" w:hanging="493"/>
        <w:spacing w:after="0" w:line="25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related responses of business and governments to the pandemic on our operations and personnel, and on commercial activity and demand of our products, business operations and results of operations;</w:t>
      </w: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and purchase of our existing products and new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other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foreign currency exchange rate and interest rate fluctuations on our results and sales;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change and innovation in the markets in which we participate and the competitive nature of those markets;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 and our plan to build our business;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costs of manufacturing and reliance on third party manufacturers;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forecast and meet product demand;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discover defects in our products and systems;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expansion and sales strategy;</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and cash flows;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and objectives for future operations;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information technology systems and data;</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facilities in good working order;</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the carrying value of goodwill;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expensing stock options and other equity awards;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indemnify our directors and officers;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repay indebtedness and have indebtedness forgiven;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sufficiency of cash to meet cash needs for at least the next 12 months;</w:t>
      </w:r>
    </w:p>
    <w:p>
      <w:pPr>
        <w:spacing w:after="0" w:line="9" w:lineRule="exact"/>
        <w:rPr>
          <w:rFonts w:ascii="Arial" w:cs="Arial" w:eastAsia="Arial" w:hAnsi="Arial"/>
          <w:sz w:val="18"/>
          <w:szCs w:val="18"/>
          <w:color w:val="auto"/>
        </w:rPr>
      </w:pPr>
    </w:p>
    <w:p>
      <w:pPr>
        <w:ind w:left="1000" w:right="20" w:hanging="493"/>
        <w:spacing w:after="0" w:line="25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policies, and regulations that currently apply or become applicable to our business both in the United States and internationally;</w:t>
      </w: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key personnel, and source suppliers;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common stock;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dividends in the future.</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 w:name="page4"/>
    <w:bookmarkEnd w:id="3"/>
    <w:p>
      <w:pPr>
        <w:ind w:firstLine="51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93"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84"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As used in this Quarterly Report on Form 10-Q, the terms “Company,” “IRIDEX,” “we,” “us” and “our” refer to IRIDEX Corporation, and its consolidated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27, 2020</w:t>
            </w:r>
          </w:p>
        </w:tc>
        <w:tc>
          <w:tcPr>
            <w:tcW w:w="100" w:type="dxa"/>
            <w:vAlign w:val="bottom"/>
          </w:tcPr>
          <w:p>
            <w:pPr>
              <w:spacing w:after="0"/>
              <w:rPr>
                <w:sz w:val="14"/>
                <w:szCs w:val="1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December 28, 2019 (1)</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ind w:left="3460"/>
              <w:spacing w:after="0"/>
              <w:rPr>
                <w:sz w:val="20"/>
                <w:szCs w:val="20"/>
                <w:color w:val="auto"/>
              </w:rPr>
            </w:pPr>
            <w:r>
              <w:rPr>
                <w:rFonts w:ascii="Arial" w:cs="Arial" w:eastAsia="Arial" w:hAnsi="Arial"/>
                <w:sz w:val="18"/>
                <w:szCs w:val="18"/>
                <w:b w:val="1"/>
                <w:bCs w:val="1"/>
                <w:color w:val="auto"/>
              </w:rPr>
              <w:t>ASSETS</w:t>
            </w: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260"/>
              <w:spacing w:after="0"/>
              <w:rPr>
                <w:sz w:val="20"/>
                <w:szCs w:val="20"/>
                <w:color w:val="auto"/>
              </w:rPr>
            </w:pPr>
            <w:r>
              <w:rPr>
                <w:rFonts w:ascii="Arial" w:cs="Arial" w:eastAsia="Arial" w:hAnsi="Arial"/>
                <w:sz w:val="18"/>
                <w:szCs w:val="18"/>
                <w:color w:val="auto"/>
              </w:rPr>
              <w:t>Accounts receivable, net of allowance for doubtful accounts of</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$241 as of June 27, 2020 and $187 as of December 28, 2019</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5,784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25,763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29,275</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557</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PPP loan</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Accrued warranty</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liabilities</w:t>
            </w: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PPP Loan</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Accrued warranty</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1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2,000,000 shares authorized, no shares</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w:t>
            </w: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Authorized: 30,000,000 shares;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260"/>
              <w:spacing w:after="0"/>
              <w:rPr>
                <w:sz w:val="20"/>
                <w:szCs w:val="20"/>
                <w:color w:val="auto"/>
              </w:rPr>
            </w:pPr>
            <w:r>
              <w:rPr>
                <w:rFonts w:ascii="Arial" w:cs="Arial" w:eastAsia="Arial" w:hAnsi="Arial"/>
                <w:sz w:val="18"/>
                <w:szCs w:val="18"/>
                <w:color w:val="auto"/>
              </w:rPr>
              <w:t>Issued and outstanding 13,856,969 and 13,785,233 shares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as of June 27, 2020 and December 28, 2019, respectively</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73,619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(55,046)</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(50,615)</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0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18,794</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0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29,275</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46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Annual Report on Form 10-K filed with the SEC for the year ended December 28, 2019.</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5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2"/>
              </w:rPr>
              <w:t>June 27, 2020</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w w:val="92"/>
              </w:rPr>
              <w:t>June 29, 2019</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2"/>
              </w:rPr>
              <w:t>June 27, 2020</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2"/>
              </w:rPr>
              <w:t>June 29,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in computing net loss</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 common share:</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13,792</w:t>
            </w:r>
          </w:p>
        </w:tc>
        <w:tc>
          <w:tcPr>
            <w:tcW w:w="2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13,648</w:t>
            </w:r>
          </w:p>
        </w:tc>
        <w:tc>
          <w:tcPr>
            <w:tcW w:w="2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13,789</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13,639</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13,792</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13,648</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5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5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2"/>
              </w:rPr>
              <w:t>June 27, 2020</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w w:val="92"/>
              </w:rPr>
              <w:t>June 29, 2019</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2"/>
              </w:rPr>
              <w:t>June 27, 2020</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w w:val="92"/>
              </w:rPr>
              <w:t>June 29, 2019</w:t>
            </w:r>
          </w:p>
        </w:tc>
        <w:tc>
          <w:tcPr>
            <w:tcW w:w="100" w:type="dxa"/>
            <w:vAlign w:val="bottom"/>
          </w:tcPr>
          <w:p>
            <w:pPr>
              <w:spacing w:after="0"/>
              <w:rPr>
                <w:sz w:val="13"/>
                <w:szCs w:val="13"/>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2"/>
              </w:rPr>
              <w:t>For the three months ended June 27, 2020</w:t>
            </w:r>
          </w:p>
        </w:tc>
        <w:tc>
          <w:tcPr>
            <w:tcW w:w="2340" w:type="dxa"/>
            <w:vAlign w:val="bottom"/>
            <w:gridSpan w:val="4"/>
            <w:vMerge w:val="restart"/>
          </w:tcPr>
          <w:p>
            <w:pPr>
              <w:jc w:val="right"/>
              <w:ind w:right="62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4"/>
                <w:szCs w:val="14"/>
                <w:color w:val="auto"/>
              </w:rPr>
            </w:pPr>
          </w:p>
        </w:tc>
        <w:tc>
          <w:tcPr>
            <w:tcW w:w="234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3"/>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4"/>
              <w:spacing w:after="0" w:line="155"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3"/>
              <w:spacing w:after="0" w:line="155"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Balances, March 28, 2020</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13,787,969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73,186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(52,266)</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20"/>
                <w:szCs w:val="20"/>
                <w:color w:val="auto"/>
              </w:rPr>
            </w:pPr>
            <w:r>
              <w:rPr>
                <w:rFonts w:ascii="Arial" w:cs="Arial" w:eastAsia="Arial" w:hAnsi="Arial"/>
                <w:sz w:val="16"/>
                <w:szCs w:val="16"/>
                <w:color w:val="auto"/>
              </w:rPr>
              <w:t>Issuance of common stock under stock</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120"/>
              <w:spacing w:after="0"/>
              <w:rPr>
                <w:sz w:val="20"/>
                <w:szCs w:val="20"/>
                <w:color w:val="auto"/>
              </w:rPr>
            </w:pPr>
            <w:r>
              <w:rPr>
                <w:rFonts w:ascii="Arial" w:cs="Arial" w:eastAsia="Arial" w:hAnsi="Arial"/>
                <w:sz w:val="16"/>
                <w:szCs w:val="16"/>
                <w:color w:val="auto"/>
              </w:rPr>
              <w:t>option plan</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Employee stock-based compensation expense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tcPr>
          <w:p>
            <w:pPr>
              <w:jc w:val="right"/>
              <w:spacing w:after="0"/>
              <w:rPr>
                <w:sz w:val="20"/>
                <w:szCs w:val="20"/>
                <w:color w:val="auto"/>
              </w:rPr>
            </w:pPr>
            <w:r>
              <w:rPr>
                <w:rFonts w:ascii="Arial" w:cs="Arial" w:eastAsia="Arial" w:hAnsi="Arial"/>
                <w:sz w:val="16"/>
                <w:szCs w:val="16"/>
                <w:color w:val="auto"/>
              </w:rPr>
              <w:t>69,000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(2,780)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Balances, June 27, 2020</w:t>
            </w: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20" w:type="dxa"/>
            <w:vAlign w:val="bottom"/>
            <w:vMerge w:val="continue"/>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13,856,969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73,619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(55,046)</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For the six months ended June 27, 2020</w:t>
            </w:r>
          </w:p>
        </w:tc>
        <w:tc>
          <w:tcPr>
            <w:tcW w:w="2340" w:type="dxa"/>
            <w:vAlign w:val="bottom"/>
            <w:gridSpan w:val="4"/>
            <w:vMerge w:val="restart"/>
          </w:tcPr>
          <w:p>
            <w:pPr>
              <w:jc w:val="right"/>
              <w:ind w:right="62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4"/>
                <w:szCs w:val="14"/>
                <w:color w:val="auto"/>
              </w:rPr>
            </w:pPr>
          </w:p>
        </w:tc>
        <w:tc>
          <w:tcPr>
            <w:tcW w:w="234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3"/>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4"/>
              <w:spacing w:after="0" w:line="155"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3"/>
              <w:spacing w:after="0" w:line="155"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Balances, December 28, 2019</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13,785,233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73,093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(50,615)</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Employee stock-based compensation expense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71,736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(4,431)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(4,431)</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Balances, June 27, 2020</w:t>
            </w: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20" w:type="dxa"/>
            <w:vAlign w:val="bottom"/>
            <w:vMerge w:val="continue"/>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13,856,969</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148</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73,619</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(55,046)</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18,794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2"/>
              </w:rPr>
              <w:t>For the three months ended June 29, 2019</w:t>
            </w:r>
          </w:p>
        </w:tc>
        <w:tc>
          <w:tcPr>
            <w:tcW w:w="2340" w:type="dxa"/>
            <w:vAlign w:val="bottom"/>
            <w:gridSpan w:val="4"/>
            <w:vMerge w:val="restart"/>
          </w:tcPr>
          <w:p>
            <w:pPr>
              <w:jc w:val="right"/>
              <w:ind w:right="62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4"/>
                <w:szCs w:val="14"/>
                <w:color w:val="auto"/>
              </w:rPr>
            </w:pPr>
          </w:p>
        </w:tc>
        <w:tc>
          <w:tcPr>
            <w:tcW w:w="234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3"/>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4"/>
              <w:spacing w:after="0" w:line="155"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3"/>
              <w:spacing w:after="0" w:line="155"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Balances, March 30, 2019</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13,633,639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72,070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(44,850)</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20"/>
                <w:szCs w:val="20"/>
                <w:color w:val="auto"/>
              </w:rPr>
            </w:pPr>
            <w:r>
              <w:rPr>
                <w:rFonts w:ascii="Arial" w:cs="Arial" w:eastAsia="Arial" w:hAnsi="Arial"/>
                <w:sz w:val="16"/>
                <w:szCs w:val="16"/>
                <w:color w:val="auto"/>
              </w:rPr>
              <w:t>Issuance of common stock under stock</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120"/>
              <w:spacing w:after="0"/>
              <w:rPr>
                <w:sz w:val="20"/>
                <w:szCs w:val="20"/>
                <w:color w:val="auto"/>
              </w:rPr>
            </w:pPr>
            <w:r>
              <w:rPr>
                <w:rFonts w:ascii="Arial" w:cs="Arial" w:eastAsia="Arial" w:hAnsi="Arial"/>
                <w:sz w:val="16"/>
                <w:szCs w:val="16"/>
                <w:color w:val="auto"/>
              </w:rPr>
              <w:t>option plan</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Employee stock-based compensation expense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tcPr>
          <w:p>
            <w:pPr>
              <w:jc w:val="right"/>
              <w:spacing w:after="0"/>
              <w:rPr>
                <w:sz w:val="20"/>
                <w:szCs w:val="20"/>
                <w:color w:val="auto"/>
              </w:rPr>
            </w:pPr>
            <w:r>
              <w:rPr>
                <w:rFonts w:ascii="Arial" w:cs="Arial" w:eastAsia="Arial" w:hAnsi="Arial"/>
                <w:sz w:val="16"/>
                <w:szCs w:val="16"/>
                <w:color w:val="auto"/>
              </w:rPr>
              <w:t>113,318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(2,419)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(2,419)</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Balances, June 29, 2019</w:t>
            </w: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13,746,959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72,685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(47,269)</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For the six months ended June 29, 2019</w:t>
            </w:r>
          </w:p>
        </w:tc>
        <w:tc>
          <w:tcPr>
            <w:tcW w:w="2340" w:type="dxa"/>
            <w:vAlign w:val="bottom"/>
            <w:gridSpan w:val="4"/>
            <w:vMerge w:val="restart"/>
          </w:tcPr>
          <w:p>
            <w:pPr>
              <w:jc w:val="right"/>
              <w:ind w:right="62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4"/>
                <w:szCs w:val="14"/>
                <w:color w:val="auto"/>
              </w:rPr>
            </w:pPr>
          </w:p>
        </w:tc>
        <w:tc>
          <w:tcPr>
            <w:tcW w:w="234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3"/>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4"/>
              <w:spacing w:after="0" w:line="155"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3"/>
              <w:spacing w:after="0" w:line="155"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Balances, December 29, 2018</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13,602,052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71,548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(41,802)</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Issuance of common stock under stock option plan</w:t>
            </w:r>
          </w:p>
        </w:tc>
        <w:tc>
          <w:tcPr>
            <w:tcW w:w="1060" w:type="dxa"/>
            <w:vAlign w:val="bottom"/>
          </w:tcPr>
          <w:p>
            <w:pPr>
              <w:jc w:val="right"/>
              <w:spacing w:after="0"/>
              <w:rPr>
                <w:sz w:val="20"/>
                <w:szCs w:val="20"/>
                <w:color w:val="auto"/>
              </w:rPr>
            </w:pPr>
            <w:r>
              <w:rPr>
                <w:rFonts w:ascii="Arial" w:cs="Arial" w:eastAsia="Arial" w:hAnsi="Arial"/>
                <w:sz w:val="16"/>
                <w:szCs w:val="16"/>
                <w:color w:val="auto"/>
              </w:rPr>
              <w:t>210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Employee stock-based compensation expense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tcPr>
          <w:p>
            <w:pPr>
              <w:jc w:val="right"/>
              <w:spacing w:after="0"/>
              <w:rPr>
                <w:sz w:val="20"/>
                <w:szCs w:val="20"/>
                <w:color w:val="auto"/>
              </w:rPr>
            </w:pPr>
            <w:r>
              <w:rPr>
                <w:rFonts w:ascii="Arial" w:cs="Arial" w:eastAsia="Arial" w:hAnsi="Arial"/>
                <w:sz w:val="16"/>
                <w:szCs w:val="16"/>
                <w:color w:val="auto"/>
              </w:rPr>
              <w:t>144,697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(5,467)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(5,467)</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Balances, June 29, 2019</w:t>
            </w: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13,746,959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72,685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(47,269)</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6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June 27, 2020</w:t>
            </w: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June 29, 2019</w:t>
            </w:r>
          </w:p>
        </w:tc>
        <w:tc>
          <w:tcPr>
            <w:tcW w:w="120" w:type="dxa"/>
            <w:vAlign w:val="bottom"/>
          </w:tcPr>
          <w:p>
            <w:pPr>
              <w:spacing w:after="0"/>
              <w:rPr>
                <w:sz w:val="13"/>
                <w:szCs w:val="13"/>
                <w:color w:val="auto"/>
              </w:rPr>
            </w:pP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Net loss</w:t>
            </w:r>
          </w:p>
        </w:tc>
        <w:tc>
          <w:tcPr>
            <w:tcW w:w="1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(4,431)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(5,467)</w:t>
            </w: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earn-out liability</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9"/>
                <w:szCs w:val="19"/>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r>
      <w:tr>
        <w:trPr>
          <w:trHeight w:val="229"/>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r>
      <w:tr>
        <w:trPr>
          <w:trHeight w:val="229"/>
        </w:trPr>
        <w:tc>
          <w:tcPr>
            <w:tcW w:w="6480" w:type="dxa"/>
            <w:vAlign w:val="bottom"/>
          </w:tcPr>
          <w:p>
            <w:pPr>
              <w:ind w:left="500"/>
              <w:spacing w:after="0"/>
              <w:rPr>
                <w:sz w:val="20"/>
                <w:szCs w:val="20"/>
                <w:color w:val="auto"/>
              </w:rPr>
            </w:pPr>
            <w:r>
              <w:rPr>
                <w:rFonts w:ascii="Arial" w:cs="Arial" w:eastAsia="Arial" w:hAnsi="Arial"/>
                <w:sz w:val="18"/>
                <w:szCs w:val="18"/>
                <w:color w:val="auto"/>
              </w:rPr>
              <w:t>Operating lease right-of-use assets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(2,035)</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r>
      <w:tr>
        <w:trPr>
          <w:trHeight w:val="230"/>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compensation</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(845)</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(811)</w:t>
            </w:r>
          </w:p>
        </w:tc>
      </w:tr>
      <w:tr>
        <w:trPr>
          <w:trHeight w:val="229"/>
        </w:trPr>
        <w:tc>
          <w:tcPr>
            <w:tcW w:w="648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(505)</w:t>
            </w:r>
          </w:p>
        </w:tc>
      </w:tr>
      <w:tr>
        <w:trPr>
          <w:trHeight w:val="229"/>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warranty</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(284)</w:t>
            </w:r>
          </w:p>
        </w:tc>
      </w:tr>
      <w:tr>
        <w:trPr>
          <w:trHeight w:val="230"/>
        </w:trPr>
        <w:tc>
          <w:tcPr>
            <w:tcW w:w="648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r>
      <w:tr>
        <w:trPr>
          <w:trHeight w:val="229"/>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(609)</w:t>
            </w:r>
          </w:p>
        </w:tc>
      </w:tr>
      <w:tr>
        <w:trPr>
          <w:trHeight w:val="223"/>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120" w:type="dxa"/>
            <w:vAlign w:val="bottom"/>
            <w:tcBorders>
              <w:bottom w:val="single" w:sz="8" w:color="CFF0FC"/>
            </w:tcBorders>
          </w:tcPr>
          <w:p>
            <w:pPr>
              <w:spacing w:after="0"/>
              <w:rPr>
                <w:sz w:val="19"/>
                <w:szCs w:val="19"/>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ind w:left="500"/>
              <w:spacing w:after="0"/>
              <w:rPr>
                <w:sz w:val="20"/>
                <w:szCs w:val="20"/>
                <w:color w:val="auto"/>
              </w:rPr>
            </w:pPr>
            <w:r>
              <w:rPr>
                <w:rFonts w:ascii="Arial" w:cs="Arial" w:eastAsia="Arial" w:hAnsi="Arial"/>
                <w:sz w:val="18"/>
                <w:szCs w:val="18"/>
                <w:color w:val="auto"/>
              </w:rPr>
              <w:t>Acquisition of property and equipment</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r>
      <w:tr>
        <w:trPr>
          <w:trHeight w:val="229"/>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Payment on earn-out liability</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(199)</w:t>
            </w:r>
          </w:p>
        </w:tc>
      </w:tr>
      <w:tr>
        <w:trPr>
          <w:trHeight w:val="223"/>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FF0FC"/>
            </w:tcBorders>
          </w:tcPr>
          <w:p>
            <w:pPr>
              <w:spacing w:after="0"/>
              <w:rPr>
                <w:sz w:val="19"/>
                <w:szCs w:val="19"/>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ind w:left="500"/>
              <w:spacing w:after="0"/>
              <w:rPr>
                <w:sz w:val="20"/>
                <w:szCs w:val="20"/>
                <w:color w:val="auto"/>
              </w:rPr>
            </w:pPr>
            <w:r>
              <w:rPr>
                <w:rFonts w:ascii="Arial" w:cs="Arial" w:eastAsia="Arial" w:hAnsi="Arial"/>
                <w:sz w:val="18"/>
                <w:szCs w:val="18"/>
                <w:color w:val="auto"/>
              </w:rPr>
              <w:t>Proceeds from PPP loan</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Taxes paid related to net share settlements of equity awards</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w:t>
            </w:r>
          </w:p>
        </w:tc>
      </w:tr>
      <w:tr>
        <w:trPr>
          <w:trHeight w:val="223"/>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1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FF0FC"/>
            </w:tcBorders>
          </w:tcPr>
          <w:p>
            <w:pPr>
              <w:spacing w:after="0"/>
              <w:rPr>
                <w:sz w:val="19"/>
                <w:szCs w:val="19"/>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exchange rate changes</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1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12,653</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21,194</w:t>
            </w:r>
          </w:p>
        </w:tc>
        <w:tc>
          <w:tcPr>
            <w:tcW w:w="120" w:type="dxa"/>
            <w:vAlign w:val="bottom"/>
            <w:shd w:val="clear" w:color="auto" w:fill="CFF0FC"/>
          </w:tcPr>
          <w:p>
            <w:pPr>
              <w:spacing w:after="0"/>
              <w:rPr>
                <w:sz w:val="19"/>
                <w:szCs w:val="19"/>
                <w:color w:val="auto"/>
              </w:rPr>
            </w:pPr>
          </w:p>
        </w:tc>
      </w:tr>
      <w:tr>
        <w:trPr>
          <w:trHeight w:val="263"/>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1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11,624</w:t>
            </w:r>
          </w:p>
        </w:tc>
        <w:tc>
          <w:tcPr>
            <w:tcW w:w="3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15,633</w:t>
            </w:r>
          </w:p>
        </w:tc>
        <w:tc>
          <w:tcPr>
            <w:tcW w:w="120" w:type="dxa"/>
            <w:vAlign w:val="bottom"/>
            <w:tcBorders>
              <w:bottom w:val="single" w:sz="8" w:color="CFF0FC"/>
            </w:tcBorders>
          </w:tcPr>
          <w:p>
            <w:pPr>
              <w:spacing w:after="0"/>
              <w:rPr>
                <w:sz w:val="22"/>
                <w:szCs w:val="22"/>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Cash paid during the period for income taxes</w:t>
            </w:r>
          </w:p>
        </w:tc>
        <w:tc>
          <w:tcPr>
            <w:tcW w:w="1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1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80"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28, 2019, which was filed with the Securities and Exchange Commission (“SEC”) on March 13, 2020. The results of operations for the three and six months ended June 27, 2020 and June 29, 2019 are not necessarily indicative of the results for the fiscal year ending January 2, 2021 or any future interim period. The three and six months ended June 27, 2020 and June 29, 2019,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have historically funded our operations primarily through sales of our products to customers, and through common stock and borrowing arrangements. As of June 27, 2020, our principal sources of liquidity consisted of cash and cash equivalents of $11.6 million. We have incurred net losses over the last several years, and as of June 27, 2020, have an accumulated deficit of approximately $55.0 million. We expect to continue to incur operating losses and negative cash flows from operations through July 3, 2021.</w:t>
      </w:r>
    </w:p>
    <w:p>
      <w:pPr>
        <w:spacing w:after="0" w:line="79"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Company’s significant accounting policies are disclosed in our Annual Report on Form 10-K for the year ended December 28, 2019, which was filed with the SEC on March 13,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40" w:firstLine="510"/>
        <w:spacing w:after="0" w:line="286" w:lineRule="auto"/>
        <w:rPr>
          <w:sz w:val="20"/>
          <w:szCs w:val="20"/>
          <w:color w:val="auto"/>
        </w:rPr>
      </w:pPr>
      <w:r>
        <w:rPr>
          <w:rFonts w:ascii="Arial" w:cs="Arial" w:eastAsia="Arial" w:hAnsi="Arial"/>
          <w:sz w:val="17"/>
          <w:szCs w:val="17"/>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5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Company has the following revenue transaction types: (1) Product Sale Only, (2) Laser Advantage Program (LAP), (3) Service Contracts, (4) System Repairs (outside of warranty) and (5) Royalty Revenue.</w:t>
      </w:r>
    </w:p>
    <w:p>
      <w:pPr>
        <w:spacing w:after="0" w:line="62" w:lineRule="exact"/>
        <w:rPr>
          <w:sz w:val="20"/>
          <w:szCs w:val="20"/>
          <w:color w:val="auto"/>
        </w:rPr>
      </w:pPr>
    </w:p>
    <w:p>
      <w:pPr>
        <w:ind w:left="1000" w:right="60" w:hanging="493"/>
        <w:spacing w:after="0" w:line="25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subsequent to the shipment to the distributors.</w:t>
      </w:r>
    </w:p>
    <w:p>
      <w:pPr>
        <w:spacing w:after="0" w:line="79" w:lineRule="exact"/>
        <w:rPr>
          <w:rFonts w:ascii="Arial" w:cs="Arial" w:eastAsia="Arial" w:hAnsi="Arial"/>
          <w:sz w:val="18"/>
          <w:szCs w:val="18"/>
          <w:color w:val="auto"/>
        </w:rPr>
      </w:pPr>
    </w:p>
    <w:p>
      <w:pPr>
        <w:ind w:left="1020" w:right="220"/>
        <w:spacing w:after="0" w:line="301" w:lineRule="auto"/>
        <w:rPr>
          <w:rFonts w:ascii="Arial" w:cs="Arial" w:eastAsia="Arial" w:hAnsi="Arial"/>
          <w:sz w:val="18"/>
          <w:szCs w:val="18"/>
          <w:color w:val="auto"/>
        </w:rPr>
      </w:pPr>
      <w:r>
        <w:rPr>
          <w:rFonts w:ascii="Arial" w:cs="Arial" w:eastAsia="Arial" w:hAnsi="Arial"/>
          <w:sz w:val="16"/>
          <w:szCs w:val="16"/>
          <w:color w:val="auto"/>
        </w:rPr>
        <w:t>The Company recognizes revenue from product sale at a point in time. When a system or disposables are sold without any additional deliverables,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49" w:lineRule="exact"/>
        <w:rPr>
          <w:rFonts w:ascii="Arial" w:cs="Arial" w:eastAsia="Arial" w:hAnsi="Arial"/>
          <w:sz w:val="18"/>
          <w:szCs w:val="18"/>
          <w:color w:val="auto"/>
        </w:rPr>
      </w:pPr>
    </w:p>
    <w:p>
      <w:pPr>
        <w:ind w:left="1000" w:hanging="493"/>
        <w:spacing w:after="0" w:line="273"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LAP Program: The Company sometimes enters into LAP contracts with customers.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(Cyclo G6 Laser) and receive a discount on the program’s minimum purchase requirements. Under ASC 606, this non-cash consideration must be included in the transaction price. However, the Company has determined that there is no value associated with the old machine and the trade in is essentially offered to encourage customers to purchase more consumables under the program.</w:t>
      </w:r>
    </w:p>
    <w:p>
      <w:pPr>
        <w:spacing w:after="0" w:line="69" w:lineRule="exact"/>
        <w:rPr>
          <w:rFonts w:ascii="Arial" w:cs="Arial" w:eastAsia="Arial" w:hAnsi="Arial"/>
          <w:sz w:val="17"/>
          <w:szCs w:val="17"/>
          <w:color w:val="auto"/>
        </w:rPr>
      </w:pPr>
    </w:p>
    <w:p>
      <w:pPr>
        <w:ind w:left="1020" w:right="40"/>
        <w:spacing w:after="0" w:line="263" w:lineRule="auto"/>
        <w:rPr>
          <w:rFonts w:ascii="Arial" w:cs="Arial" w:eastAsia="Arial" w:hAnsi="Arial"/>
          <w:sz w:val="17"/>
          <w:szCs w:val="17"/>
          <w:color w:val="auto"/>
        </w:rPr>
      </w:pPr>
      <w:r>
        <w:rPr>
          <w:rFonts w:ascii="Arial" w:cs="Arial" w:eastAsia="Arial" w:hAnsi="Arial"/>
          <w:sz w:val="18"/>
          <w:szCs w:val="18"/>
          <w:color w:val="auto"/>
        </w:rPr>
        <w:t>The Company recognizes revenue from product sales under the LAP program at a point in time.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5" w:lineRule="exact"/>
        <w:rPr>
          <w:rFonts w:ascii="Arial" w:cs="Arial" w:eastAsia="Arial" w:hAnsi="Arial"/>
          <w:sz w:val="17"/>
          <w:szCs w:val="17"/>
          <w:color w:val="auto"/>
        </w:rPr>
      </w:pPr>
    </w:p>
    <w:p>
      <w:pPr>
        <w:ind w:left="1000" w:right="120" w:hanging="493"/>
        <w:spacing w:after="0" w:line="286"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Service Contracts: The Company offers a standard two-year warranty on all system sales. The Company also offers a service contract which is sold to customers in incremental, one-year periods which begin subsequent to the expiration of the standard two-year warranty. The customer can opt to purchase the service contract at the time of the system sale or after the initial system sale.</w:t>
      </w:r>
    </w:p>
    <w:p>
      <w:pPr>
        <w:spacing w:after="0" w:line="57" w:lineRule="exact"/>
        <w:rPr>
          <w:rFonts w:ascii="Arial" w:cs="Arial" w:eastAsia="Arial" w:hAnsi="Arial"/>
          <w:sz w:val="17"/>
          <w:szCs w:val="17"/>
          <w:color w:val="auto"/>
        </w:rPr>
      </w:pPr>
    </w:p>
    <w:p>
      <w:pPr>
        <w:ind w:left="1020" w:right="560"/>
        <w:spacing w:after="0" w:line="277" w:lineRule="auto"/>
        <w:rPr>
          <w:rFonts w:ascii="Arial" w:cs="Arial" w:eastAsia="Arial" w:hAnsi="Arial"/>
          <w:sz w:val="17"/>
          <w:szCs w:val="17"/>
          <w:color w:val="auto"/>
        </w:rPr>
      </w:pPr>
      <w:r>
        <w:rPr>
          <w:rFonts w:ascii="Arial" w:cs="Arial" w:eastAsia="Arial" w:hAnsi="Arial"/>
          <w:sz w:val="18"/>
          <w:szCs w:val="18"/>
          <w:color w:val="auto"/>
        </w:rPr>
        <w:t>The Company recognizes revenue from service contracts ratably over the service period. Revenue recognition for the sale of a service contract is largely dependent on the timing of the sale as follows:</w:t>
      </w:r>
    </w:p>
    <w:p>
      <w:pPr>
        <w:spacing w:after="0" w:line="62" w:lineRule="exact"/>
        <w:rPr>
          <w:rFonts w:ascii="Arial" w:cs="Arial" w:eastAsia="Arial" w:hAnsi="Arial"/>
          <w:sz w:val="17"/>
          <w:szCs w:val="17"/>
          <w:color w:val="auto"/>
        </w:rPr>
      </w:pPr>
    </w:p>
    <w:p>
      <w:pPr>
        <w:ind w:left="1540" w:right="120" w:hanging="506"/>
        <w:spacing w:after="0" w:line="259" w:lineRule="auto"/>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8" w:lineRule="exact"/>
        <w:rPr>
          <w:rFonts w:ascii="Arial" w:cs="Arial" w:eastAsia="Arial" w:hAnsi="Arial"/>
          <w:sz w:val="18"/>
          <w:szCs w:val="18"/>
          <w:color w:val="auto"/>
        </w:rPr>
      </w:pPr>
    </w:p>
    <w:p>
      <w:pPr>
        <w:ind w:left="1540" w:hanging="506"/>
        <w:spacing w:after="0" w:line="291" w:lineRule="auto"/>
        <w:tabs>
          <w:tab w:leader="none" w:pos="1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sixty days after the initial sale, the sale of the service contract is deemed a separate contract and is deferred at the selling price and recognized ratably over the extended warranty period as the performance obligation is satisfied.</w:t>
      </w:r>
    </w:p>
    <w:p>
      <w:pPr>
        <w:spacing w:after="0" w:line="58" w:lineRule="exact"/>
        <w:rPr>
          <w:rFonts w:ascii="Arial" w:cs="Arial" w:eastAsia="Arial" w:hAnsi="Arial"/>
          <w:sz w:val="16"/>
          <w:szCs w:val="16"/>
          <w:color w:val="auto"/>
        </w:rPr>
      </w:pPr>
    </w:p>
    <w:p>
      <w:pPr>
        <w:ind w:left="1000" w:right="36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occasionally request repairs from the Company subsequent to the expiration of the standard warranty and outside of a service contract.</w:t>
      </w:r>
    </w:p>
    <w:p>
      <w:pPr>
        <w:spacing w:after="0" w:line="62" w:lineRule="exact"/>
        <w:rPr>
          <w:rFonts w:ascii="Arial" w:cs="Arial" w:eastAsia="Arial" w:hAnsi="Arial"/>
          <w:sz w:val="18"/>
          <w:szCs w:val="18"/>
          <w:color w:val="auto"/>
        </w:rPr>
      </w:pPr>
    </w:p>
    <w:p>
      <w:pPr>
        <w:ind w:left="1020" w:right="100"/>
        <w:spacing w:after="0" w:line="311" w:lineRule="auto"/>
        <w:rPr>
          <w:rFonts w:ascii="Arial" w:cs="Arial" w:eastAsia="Arial" w:hAnsi="Arial"/>
          <w:sz w:val="18"/>
          <w:szCs w:val="18"/>
          <w:color w:val="auto"/>
        </w:rPr>
      </w:pPr>
      <w:r>
        <w:rPr>
          <w:rFonts w:ascii="Arial" w:cs="Arial" w:eastAsia="Arial" w:hAnsi="Arial"/>
          <w:sz w:val="16"/>
          <w:szCs w:val="16"/>
          <w:color w:val="auto"/>
        </w:rPr>
        <w:t>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and as such, revenue is recognized as the repair services are rendered and the performance obligation satisfied.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1" w:name="page12"/>
    <w:bookmarkEnd w:id="11"/>
    <w:p>
      <w:pPr>
        <w:ind w:left="1000" w:right="4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Royalty Revenue: The Company has royalty agreements with two customers related to sale of the Company’s intellectual property. Under the terms of these agreements, the customer is to remit a percentage of sales to the Company.</w:t>
      </w:r>
    </w:p>
    <w:p>
      <w:pPr>
        <w:spacing w:after="0" w:line="62" w:lineRule="exact"/>
        <w:rPr>
          <w:sz w:val="20"/>
          <w:szCs w:val="20"/>
          <w:color w:val="auto"/>
        </w:rPr>
      </w:pPr>
    </w:p>
    <w:p>
      <w:pPr>
        <w:ind w:left="1020" w:right="80"/>
        <w:spacing w:after="0" w:line="257" w:lineRule="auto"/>
        <w:rPr>
          <w:sz w:val="20"/>
          <w:szCs w:val="20"/>
          <w:color w:val="auto"/>
        </w:rPr>
      </w:pPr>
      <w:r>
        <w:rPr>
          <w:rFonts w:ascii="Arial" w:cs="Arial" w:eastAsia="Arial" w:hAnsi="Arial"/>
          <w:sz w:val="18"/>
          <w:szCs w:val="18"/>
          <w:color w:val="auto"/>
        </w:rPr>
        <w:t>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8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net and Operating lease liabilities in our condensed consolidated balance sheets. As of June 27, 2020 and as of December 28, 2019, the Company was not a party to finance lease arrangements.</w:t>
      </w:r>
    </w:p>
    <w:p>
      <w:pPr>
        <w:spacing w:after="0" w:line="76"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available practical expedient, we account for the lease and non-lease components as a single lease component.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38"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months ended June 27, 2020, no single customer accounted for more than 10% of total revenues. For the six months ended June 27, 2020, one customer accounted for over 10% of total revenues, representing 12%. For the three and six months ended June 29, 2019, no single customer accounted for more than 10% of total revenues. As of June 27, 2020, one customer accounted for over 10% of our accounts receivable, representing 16%. As of December 28, 2019, one customer accounted for more than 10% of our accounts receivable, representing 11%.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condensed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Our shipping and handling costs billed to customers are included in revenues and the associated expense is recorded in cost of revenues for all periods presented.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Deferred revenue represents contract liabilities. Revenue related to service contracts is deferred and recognized on a straight-line basis over the period of the applicable service contract. Costs associated with these service arrangements are recognized as incurred.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ind w:left="520"/>
        <w:spacing w:after="0"/>
        <w:rPr>
          <w:sz w:val="20"/>
          <w:szCs w:val="20"/>
          <w:color w:val="auto"/>
        </w:rPr>
      </w:pPr>
      <w:r>
        <w:rPr>
          <w:rFonts w:ascii="Arial" w:cs="Arial" w:eastAsia="Arial" w:hAnsi="Arial"/>
          <w:sz w:val="16"/>
          <w:szCs w:val="16"/>
          <w:color w:val="auto"/>
        </w:rPr>
        <w:t>A reconciliation of the changes in the Company’s deferred revenue balance for the six months ended June 27, 2020 and June 29, 2019 is as follows:</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1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3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June 27, 2020</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June 29, 2019</w:t>
            </w: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11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Additions to deferral</w:t>
            </w: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10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4"/>
              </w:rPr>
              <w:t>(1,023)</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(1,232)</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Deductions from reserves</w:t>
            </w: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0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portion of deferred revenue</w:t>
            </w:r>
          </w:p>
        </w:tc>
        <w:tc>
          <w:tcPr>
            <w:tcW w:w="102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80" w:type="dxa"/>
            <w:vAlign w:val="bottom"/>
            <w:tcBorders>
              <w:bottom w:val="single" w:sz="8" w:color="CFF0FC"/>
            </w:tcBorders>
          </w:tcPr>
          <w:p>
            <w:pPr>
              <w:spacing w:after="0"/>
              <w:rPr>
                <w:sz w:val="19"/>
                <w:szCs w:val="19"/>
                <w:color w:val="auto"/>
              </w:rPr>
            </w:pPr>
          </w:p>
        </w:tc>
      </w:tr>
      <w:tr>
        <w:trPr>
          <w:trHeight w:val="22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deferred revenue</w:t>
            </w:r>
          </w:p>
        </w:tc>
        <w:tc>
          <w:tcPr>
            <w:tcW w:w="10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1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During the six months ended June 27, 2020 and June 29, 2019, approximately $0.6 million and $0.8 million were recognized pertaining to amounts deferred as of December 28, 2019 and December 29, 2018,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statement of operations as cost of revenues.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reconciliation of the changes in the Company’s warranty liability for the six months ended June 27, 2020 and June 29, 2019 is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1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9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June 27, 2020</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June 29, 2019</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380" w:type="dxa"/>
            <w:vAlign w:val="bottom"/>
            <w:tcBorders>
              <w:top w:val="single" w:sz="8" w:color="auto"/>
            </w:tcBorders>
            <w:shd w:val="clear" w:color="auto" w:fill="CFF0FC"/>
          </w:tcPr>
          <w:p>
            <w:pPr>
              <w:jc w:val="right"/>
              <w:ind w:right="11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1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13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Adjustment to pre-existing warranties</w:t>
            </w:r>
          </w:p>
        </w:tc>
        <w:tc>
          <w:tcPr>
            <w:tcW w:w="13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r>
      <w:tr>
        <w:trPr>
          <w:trHeight w:val="223"/>
        </w:trPr>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380" w:type="dxa"/>
            <w:vAlign w:val="bottom"/>
            <w:tcBorders>
              <w:top w:val="single" w:sz="8" w:color="auto"/>
              <w:bottom w:val="single" w:sz="8" w:color="auto"/>
            </w:tcBorders>
            <w:shd w:val="clear" w:color="auto" w:fill="CFF0FC"/>
          </w:tcPr>
          <w:p>
            <w:pPr>
              <w:jc w:val="right"/>
              <w:ind w:right="11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440" w:firstLine="510"/>
        <w:spacing w:after="0" w:line="342" w:lineRule="auto"/>
        <w:rPr>
          <w:sz w:val="20"/>
          <w:szCs w:val="20"/>
          <w:color w:val="auto"/>
        </w:rPr>
      </w:pPr>
      <w:r>
        <w:rPr>
          <w:rFonts w:ascii="Arial" w:cs="Arial" w:eastAsia="Arial" w:hAnsi="Arial"/>
          <w:sz w:val="16"/>
          <w:szCs w:val="16"/>
          <w:color w:val="auto"/>
        </w:rPr>
        <w:t>Certain reclassifications have been made to the prior year financial statements included in these condensed consolidated financial statements to conform to the current year presentation. The reclassifications had no impact on previously reported net loss or accumulated deficit.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117"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In December 2019, the Financial Accounting Standards Board (“FASB”) issued Accounting Standards Update (“ASU”) 2019-12, “Income Taxes (Topic 740): Simplifying the Accounting for Income Taxes” as part of its initiative to reduce complexity in the accounting standards. The standard eliminates certain exceptions related to the approach for intraperiod tax allocation, the methodology for calculating income taxes in an interim period and the recognition of deferred tax liabilities for outside basis differences. The standard also clarifies and simplifies other aspects of the accounting for income taxes. The standard is effective for fiscal years, and interim periods within those fiscal years, beginning after December 15, 2020. Early adoption is permitted. The Company is currently evaluating the impact that this guidance will have on its financial position and results of operations, if any.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inventories as of June 27, 2020 and December 29, 2018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June 27, 2020</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28, 2019</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1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ind w:right="11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2,627</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Work in process</w:t>
            </w:r>
          </w:p>
        </w:tc>
        <w:tc>
          <w:tcPr>
            <w:tcW w:w="2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1,111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12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4,557</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ind w:left="1140"/>
              <w:spacing w:after="0"/>
              <w:rPr>
                <w:sz w:val="20"/>
                <w:szCs w:val="20"/>
                <w:color w:val="auto"/>
              </w:rPr>
            </w:pPr>
            <w:r>
              <w:rPr>
                <w:rFonts w:ascii="Arial" w:cs="Arial" w:eastAsia="Arial" w:hAnsi="Arial"/>
                <w:sz w:val="18"/>
                <w:szCs w:val="18"/>
                <w:color w:val="auto"/>
              </w:rPr>
              <w:t>Total inventories</w:t>
            </w:r>
          </w:p>
        </w:tc>
        <w:tc>
          <w:tcPr>
            <w:tcW w:w="2120" w:type="dxa"/>
            <w:vAlign w:val="bottom"/>
          </w:tcPr>
          <w:p>
            <w:pPr>
              <w:spacing w:after="0"/>
              <w:rPr>
                <w:sz w:val="19"/>
                <w:szCs w:val="19"/>
                <w:color w:val="auto"/>
              </w:rPr>
            </w:pPr>
          </w:p>
        </w:tc>
        <w:tc>
          <w:tcPr>
            <w:tcW w:w="1380" w:type="dxa"/>
            <w:vAlign w:val="bottom"/>
            <w:tcBorders>
              <w:bottom w:val="single" w:sz="8" w:color="auto"/>
            </w:tcBorders>
          </w:tcPr>
          <w:p>
            <w:pPr>
              <w:jc w:val="right"/>
              <w:ind w:right="11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7,847</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120" w:type="dxa"/>
            <w:vAlign w:val="bottom"/>
            <w:vMerge w:val="restart"/>
          </w:tcPr>
          <w:p>
            <w:pPr>
              <w:jc w:val="right"/>
              <w:ind w:right="250"/>
              <w:spacing w:after="0"/>
              <w:rPr>
                <w:sz w:val="20"/>
                <w:szCs w:val="20"/>
                <w:color w:val="auto"/>
              </w:rPr>
            </w:pPr>
            <w:r>
              <w:rPr>
                <w:rFonts w:ascii="Arial" w:cs="Arial" w:eastAsia="Arial" w:hAnsi="Arial"/>
                <w:sz w:val="18"/>
                <w:szCs w:val="18"/>
                <w:color w:val="auto"/>
              </w:rPr>
              <w:t>13</w:t>
            </w: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value of goodwill was $0.5 million as of June 27, 2020 and December 28, 2019.</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2020 and determined that its goodwill was not impaired. As of June 27, 2020, the Company had not identified any factors that indicated there was an impairment of its goodwill and determined that no additional impairment analysis was then required.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components of gross and net intangible asset balances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27, 2020</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28, 2019</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2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3"/>
              </w:rPr>
              <w:t>Gross</w:t>
            </w: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780" w:type="dxa"/>
            <w:vAlign w:val="bottom"/>
          </w:tcPr>
          <w:p>
            <w:pPr>
              <w:jc w:val="center"/>
              <w:ind w:left="128"/>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Remaining</w:t>
            </w: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240" w:type="dxa"/>
            <w:vAlign w:val="bottom"/>
            <w:gridSpan w:val="2"/>
            <w:vMerge w:val="continue"/>
          </w:tcPr>
          <w:p>
            <w:pPr>
              <w:spacing w:after="0"/>
              <w:rPr>
                <w:sz w:val="12"/>
                <w:szCs w:val="12"/>
                <w:color w:val="auto"/>
              </w:rPr>
            </w:pPr>
          </w:p>
        </w:tc>
        <w:tc>
          <w:tcPr>
            <w:tcW w:w="78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78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Amortization Life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76</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4.75 Years</w:t>
            </w:r>
          </w:p>
        </w:tc>
        <w:tc>
          <w:tcPr>
            <w:tcW w:w="1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six months ended June 27, 2020 and June 29, 2019, amortization expense totaled $8 thousand for each period.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amortization of customer relationships was charged to sales and marketing expense. Future estimated amortization expense (in thousands):</w:t>
      </w:r>
    </w:p>
    <w:p>
      <w:pPr>
        <w:spacing w:after="0" w:line="289"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Fiscal Year:</w:t>
            </w:r>
          </w:p>
        </w:tc>
        <w:tc>
          <w:tcPr>
            <w:tcW w:w="9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2020 (six months)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9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2022</w:t>
            </w:r>
          </w:p>
        </w:tc>
        <w:tc>
          <w:tcPr>
            <w:tcW w:w="9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9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2024</w:t>
            </w:r>
          </w:p>
        </w:tc>
        <w:tc>
          <w:tcPr>
            <w:tcW w:w="9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9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23"/>
        </w:trPr>
        <w:tc>
          <w:tcPr>
            <w:tcW w:w="5860" w:type="dxa"/>
            <w:vAlign w:val="bottom"/>
          </w:tcPr>
          <w:p>
            <w:pPr>
              <w:ind w:left="2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0"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117" w:lineRule="exact"/>
        <w:rPr>
          <w:rFonts w:ascii="Arial" w:cs="Arial" w:eastAsia="Arial" w:hAnsi="Arial"/>
          <w:sz w:val="18"/>
          <w:szCs w:val="18"/>
          <w:color w:val="auto"/>
        </w:rPr>
      </w:pPr>
    </w:p>
    <w:p>
      <w:pPr>
        <w:ind w:left="1000" w:right="20" w:hanging="493"/>
        <w:spacing w:after="0" w:line="25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79"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right="880" w:firstLine="510"/>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38"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accounts receivable, accounts payable, and accrued expenses as of June 27, 2020 and December 29, 2018, approximate fair value because of the short maturity of these instruments.</w:t>
      </w:r>
    </w:p>
    <w:p>
      <w:pPr>
        <w:spacing w:after="0" w:line="16"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As of June 27, 2020 and December 28, 2019, financial assets measured and recognized at fair value on a recurring basis and classified under the appropriate level of the fair value hierarchy as described above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June 27, 2020</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As of December 28, 2019</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3"/>
              </w:rPr>
              <w:t>Fair Value Measurements</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tcPr>
          <w:p>
            <w:pPr>
              <w:ind w:left="40"/>
              <w:spacing w:after="0" w:line="155" w:lineRule="exact"/>
              <w:rPr>
                <w:sz w:val="20"/>
                <w:szCs w:val="20"/>
                <w:color w:val="auto"/>
              </w:rPr>
            </w:pPr>
            <w:r>
              <w:rPr>
                <w:rFonts w:ascii="Arial" w:cs="Arial" w:eastAsia="Arial" w:hAnsi="Arial"/>
                <w:sz w:val="14"/>
                <w:szCs w:val="14"/>
                <w:b w:val="1"/>
                <w:bCs w:val="1"/>
                <w:color w:val="auto"/>
              </w:rPr>
              <w:t>Fair Value Measurements</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39"/>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w w:val="88"/>
              </w:rPr>
              <w:t>Level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99"/>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108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114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700" w:type="dxa"/>
            <w:vAlign w:val="bottom"/>
          </w:tcPr>
          <w:p>
            <w:pPr>
              <w:jc w:val="right"/>
              <w:ind w:right="21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8,745</w:t>
            </w:r>
          </w:p>
        </w:tc>
        <w:tc>
          <w:tcPr>
            <w:tcW w:w="8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60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8,745</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10,711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11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10,711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Company’s Level 1 financial assets are money market funds whose fair values are based on quoted market prices. The Company does not have any Level 2 and Level 3 financial assets or liabilities.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PPP Loan</w:t>
      </w:r>
    </w:p>
    <w:p>
      <w:pPr>
        <w:spacing w:after="0" w:line="12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On April 23, 2020, the Company qualified for and received a loan pursuant to the Paycheck Protection Program, a program implemented by the U.S. Small Business Administration under the Coronavirus Aid, Relief, and Economic Security Act, from a qualified lender (the “PPP Lender”), for an aggregate principal amount of approximately $2.5 million (the "PPP Loan"). The PPP Loan bears interest at a fixed rate of 1.0% per annum, with the first six months of interest deferred, has a term of two years, and is unsecured and guaranteed by the U.S. Small Business Administration. The principal amount of the PPP Loan is subject to forgiveness under the Paycheck Protection Program upon the Company’s request to the extent that the PPP Loan proceeds are used to pay expenses permitted by the Paycheck Protection Program, including payroll costs, covered rent and mortgage obligations, and covered utility payments incurred by the Company. The Company intends to apply for forgiveness of the PPP Loan with respect to these covered expenses. To the extent that all or part of the PPP Loan is not forgiven, the Company will be required to pay interest on the PPP Loan at a rate of 1.0% per annum, and commencing in October 2020 principal and interest payments will be required through the maturity date in April 2022. The terms of the PPP Loan provide for customary events of default including, among other things, payment defaults, breach of representations, and insolvency events.</w:t>
      </w:r>
    </w:p>
    <w:p>
      <w:pPr>
        <w:spacing w:after="0" w:line="60" w:lineRule="exact"/>
        <w:rPr>
          <w:sz w:val="20"/>
          <w:szCs w:val="20"/>
          <w:color w:val="auto"/>
        </w:rPr>
      </w:pPr>
    </w:p>
    <w:p>
      <w:pPr>
        <w:jc w:val="both"/>
        <w:ind w:right="540" w:firstLine="510"/>
        <w:spacing w:after="0" w:line="259" w:lineRule="auto"/>
        <w:rPr>
          <w:sz w:val="20"/>
          <w:szCs w:val="20"/>
          <w:color w:val="auto"/>
        </w:rPr>
      </w:pPr>
      <w:r>
        <w:rPr>
          <w:rFonts w:ascii="Arial" w:cs="Arial" w:eastAsia="Arial" w:hAnsi="Arial"/>
          <w:sz w:val="18"/>
          <w:szCs w:val="18"/>
          <w:color w:val="auto"/>
        </w:rPr>
        <w:t>The U.S. Department of the Treasury has announced that it will conduct audits for PPP loans that exceed $2 million. Should we be audited or reviewed by the U.S. Department of the Treasury or the U.S. Small Business Administration as a result of the SBA Loan or filing an application for forgiveness or otherwise and receive an adverse outcome in such an audit, we could be required to return the full amount of the SBA Loan and may potentially be subject to civil and criminal fines and penalties.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COVID-19 pandemic has created and may continue to create significant uncertainty in global markets, which has disrupted and harmed, and may continue to disrupt and harm, the Company's business, financial condition, and results of operations. Beginning in the middle of March 2020, the pandemic and responses thereto contributed to a decrease in the demand for our products, primarily due to most hospitals ceasing elective surgical procedures. This impact continued through second quarter of 2020 and into the third quarter of 2020. The extent of the impact of COVID-19 on the Company's operational and financial performance will depend on certain developments, including but not limited to the duration and spread of the outbreak, duration of local, state and federal issued public health orders, impact on our customers and our sales cycles, impact on our employees and impact on regional and worldwide economies and markets in general, all of which are uncertain and cannot be predicted.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Commitments.</w:t>
      </w:r>
    </w:p>
    <w:p>
      <w:pPr>
        <w:spacing w:after="0" w:line="117" w:lineRule="exact"/>
        <w:rPr>
          <w:sz w:val="20"/>
          <w:szCs w:val="20"/>
          <w:color w:val="auto"/>
        </w:rPr>
      </w:pPr>
    </w:p>
    <w:p>
      <w:pPr>
        <w:jc w:val="both"/>
        <w:ind w:right="80" w:firstLine="510"/>
        <w:spacing w:after="0" w:line="286" w:lineRule="auto"/>
        <w:rPr>
          <w:sz w:val="20"/>
          <w:szCs w:val="20"/>
          <w:color w:val="auto"/>
        </w:rPr>
      </w:pPr>
      <w:r>
        <w:rPr>
          <w:rFonts w:ascii="Arial" w:cs="Arial" w:eastAsia="Arial" w:hAnsi="Arial"/>
          <w:sz w:val="17"/>
          <w:szCs w:val="17"/>
          <w:color w:val="auto"/>
        </w:rPr>
        <w:t>Our operating lease commitments consist of facility and office equipment leases. Operating lease expenses for the six months ended June 27, 2020 and June 29, 2019 were approximately $0.7 million. The weighted average discount rate used in calculating the present value of lease payments was 5.4%. As of June 27, 2020, the weighted average remaining lease term for our operating leases was 1.7 years.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The following represents maturities of operating lease liabilities as of June 27, 2020 (in thousands):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7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Lease Payments</w:t>
            </w:r>
          </w:p>
        </w:tc>
        <w:tc>
          <w:tcPr>
            <w:tcW w:w="0" w:type="dxa"/>
            <w:vAlign w:val="bottom"/>
          </w:tcPr>
          <w:p>
            <w:pPr>
              <w:spacing w:after="0"/>
              <w:rPr>
                <w:sz w:val="1"/>
                <w:szCs w:val="1"/>
                <w:color w:val="auto"/>
              </w:rPr>
            </w:pPr>
          </w:p>
        </w:tc>
      </w:tr>
      <w:tr>
        <w:trPr>
          <w:trHeight w:val="223"/>
        </w:trPr>
        <w:tc>
          <w:tcPr>
            <w:tcW w:w="7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2020 (6 months)</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520" w:firstLine="510"/>
        <w:spacing w:after="0" w:line="263" w:lineRule="auto"/>
        <w:rPr>
          <w:sz w:val="20"/>
          <w:szCs w:val="20"/>
          <w:color w:val="auto"/>
        </w:rPr>
      </w:pPr>
      <w:r>
        <w:rPr>
          <w:rFonts w:ascii="Arial" w:cs="Arial" w:eastAsia="Arial" w:hAnsi="Arial"/>
          <w:sz w:val="18"/>
          <w:szCs w:val="18"/>
          <w:color w:val="auto"/>
        </w:rPr>
        <w:t>Our purchase commitments consist primarily of non-cancellable purchase commitments with vendors to manufacture certain components and ophthalmic instrumentation. As of June 27, 2020, our future minimum payments through fiscal year 2021 for our purchase commitments was approximately $9.9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56"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02" w:lineRule="exact"/>
        <w:rPr>
          <w:sz w:val="20"/>
          <w:szCs w:val="20"/>
          <w:color w:val="auto"/>
        </w:rPr>
      </w:pPr>
    </w:p>
    <w:p>
      <w:pPr>
        <w:ind w:right="6940" w:firstLine="8"/>
        <w:spacing w:after="0" w:line="378" w:lineRule="auto"/>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Stock-Based Compensation Stock-Based Compensation</w:t>
      </w:r>
    </w:p>
    <w:p>
      <w:pPr>
        <w:ind w:right="20" w:firstLine="510"/>
        <w:spacing w:after="0" w:line="279" w:lineRule="auto"/>
        <w:rPr>
          <w:sz w:val="20"/>
          <w:szCs w:val="20"/>
          <w:color w:val="auto"/>
        </w:rPr>
      </w:pPr>
      <w:r>
        <w:rPr>
          <w:rFonts w:ascii="Arial" w:cs="Arial" w:eastAsia="Arial" w:hAnsi="Arial"/>
          <w:sz w:val="17"/>
          <w:szCs w:val="17"/>
          <w:color w:val="auto"/>
        </w:rPr>
        <w:t>The Company accounts for stock-based compensation granted to employees and directors, including employees stock option awards, restricted stock and restricted stock units in accordance with ASC 718</w:t>
      </w:r>
      <w:r>
        <w:rPr>
          <w:rFonts w:ascii="Arial" w:cs="Arial" w:eastAsia="Arial" w:hAnsi="Arial"/>
          <w:sz w:val="17"/>
          <w:szCs w:val="17"/>
          <w:i w:val="1"/>
          <w:iCs w:val="1"/>
          <w:color w:val="auto"/>
        </w:rPr>
        <w:t>, “Compensation – Stock Compensation”</w:t>
      </w:r>
      <w:r>
        <w:rPr>
          <w:rFonts w:ascii="Arial" w:cs="Arial" w:eastAsia="Arial" w:hAnsi="Arial"/>
          <w:sz w:val="17"/>
          <w:szCs w:val="17"/>
          <w:color w:val="auto"/>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63"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The Company values options using the Black-Scholes option pricing model. Time-based restricted stock units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ind w:right="760" w:firstLine="510"/>
        <w:spacing w:after="0" w:line="277" w:lineRule="auto"/>
        <w:rPr>
          <w:sz w:val="20"/>
          <w:szCs w:val="20"/>
          <w:color w:val="auto"/>
        </w:rPr>
      </w:pPr>
      <w:r>
        <w:rPr>
          <w:rFonts w:ascii="Arial" w:cs="Arial" w:eastAsia="Arial" w:hAnsi="Arial"/>
          <w:sz w:val="18"/>
          <w:szCs w:val="18"/>
          <w:color w:val="auto"/>
        </w:rPr>
        <w:t>The terms of awards granted during the six months ended June 27, 2020 were consistent with those described in the consolidated financial statements included in our Annual Report on Form 10-K for the year ended December 28,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ind w:right="20" w:firstLine="510"/>
        <w:spacing w:after="0" w:line="277" w:lineRule="auto"/>
        <w:rPr>
          <w:sz w:val="20"/>
          <w:szCs w:val="20"/>
          <w:color w:val="auto"/>
        </w:rPr>
      </w:pPr>
      <w:r>
        <w:rPr>
          <w:rFonts w:ascii="Arial" w:cs="Arial" w:eastAsia="Arial" w:hAnsi="Arial"/>
          <w:sz w:val="18"/>
          <w:szCs w:val="18"/>
          <w:color w:val="auto"/>
        </w:rPr>
        <w:t>The following table shows stock-based compensation expenses included in the condensed consolidated statements of operations for the three and six months ended June 27, 2020 and June 29, 2019:</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23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20" w:type="dxa"/>
            <w:vAlign w:val="bottom"/>
            <w:gridSpan w:val="6"/>
          </w:tcPr>
          <w:p>
            <w:pPr>
              <w:ind w:lef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5240" w:type="dxa"/>
            <w:vAlign w:val="bottom"/>
            <w:vMerge w:val="continue"/>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w w:val="90"/>
              </w:rPr>
              <w:t>June 27, 2020</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w w:val="87"/>
              </w:rPr>
              <w:t>June 29, 2019</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0"/>
              </w:rPr>
              <w:t>June 27, 2020</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w w:val="90"/>
              </w:rPr>
              <w:t>June 29,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expense capitalized to inventory was immaterial for the six months ended June 27, 2020 and June 29, 2019.</w:t>
      </w:r>
    </w:p>
    <w:p>
      <w:pPr>
        <w:spacing w:after="0" w:line="1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Occasionally, the Company will grant stock-based instruments to non-employees. During the six months ended June 27, 2020 and June 29, 2019, the amount of stock-based compensation related to non-employee options and RSUs was not material.</w:t>
      </w:r>
    </w:p>
    <w:p>
      <w:pPr>
        <w:spacing w:after="0" w:line="6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As of June 27, 2020, there was $2.5 million of total unrecognized compensation cost, net of expected forfeitures, related to non-vested stock-based compensation arrangements. The cost is expected to be recognized over a weighted average period of 2.3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options information during the six months ended June 27, 2020:</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6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Per Share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28, 2019</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1,383,552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4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6.11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78,500</w:t>
            </w:r>
          </w:p>
        </w:tc>
        <w:tc>
          <w:tcPr>
            <w:tcW w:w="140" w:type="dxa"/>
            <w:vAlign w:val="bottom"/>
          </w:tcPr>
          <w:p>
            <w:pPr>
              <w:spacing w:after="0"/>
              <w:rPr>
                <w:sz w:val="19"/>
                <w:szCs w:val="19"/>
                <w:color w:val="auto"/>
              </w:rPr>
            </w:pPr>
          </w:p>
        </w:tc>
        <w:tc>
          <w:tcPr>
            <w:tcW w:w="1280" w:type="dxa"/>
            <w:vAlign w:val="bottom"/>
            <w:gridSpan w:val="2"/>
          </w:tcPr>
          <w:p>
            <w:pPr>
              <w:jc w:val="right"/>
              <w:ind w:right="104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4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(185,388)</w:t>
            </w:r>
          </w:p>
        </w:tc>
        <w:tc>
          <w:tcPr>
            <w:tcW w:w="1280" w:type="dxa"/>
            <w:vAlign w:val="bottom"/>
            <w:gridSpan w:val="2"/>
          </w:tcPr>
          <w:p>
            <w:pPr>
              <w:jc w:val="right"/>
              <w:ind w:right="104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6.95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June 27, 2020</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1,276,664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gridSpan w:val="2"/>
            <w:shd w:val="clear" w:color="auto" w:fill="CFF0FC"/>
          </w:tcPr>
          <w:p>
            <w:pPr>
              <w:jc w:val="right"/>
              <w:ind w:right="1048"/>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5"/>
              </w:rPr>
              <w:t>5.74</w:t>
            </w:r>
          </w:p>
        </w:tc>
        <w:tc>
          <w:tcPr>
            <w:tcW w:w="48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weighted average grant date fair value of the options granted was $1.01 and $1.93 per share for the six months ended June 27, 2020 and June 29, 2019, respectively.</w:t>
      </w:r>
    </w:p>
    <w:p>
      <w:pPr>
        <w:spacing w:after="0" w:line="6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Company uses the Black-Scholes option-pricing model to estimate the fair value of stock-based awards (options) with the following weighted average assumptions: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6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4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Six Months Ended</w:t>
            </w:r>
          </w:p>
        </w:tc>
      </w:tr>
      <w:tr>
        <w:trPr>
          <w:trHeight w:val="155"/>
        </w:trPr>
        <w:tc>
          <w:tcPr>
            <w:tcW w:w="504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June 27, 2020</w:t>
            </w: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w w:val="98"/>
              </w:rPr>
              <w:t>June 29, 2019</w:t>
            </w:r>
          </w:p>
        </w:tc>
        <w:tc>
          <w:tcPr>
            <w:tcW w:w="28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w w:val="96"/>
              </w:rPr>
              <w:t>June 27, 2020</w:t>
            </w:r>
          </w:p>
        </w:tc>
        <w:tc>
          <w:tcPr>
            <w:tcW w:w="28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w w:val="96"/>
              </w:rPr>
              <w:t>June 29, 2019</w:t>
            </w:r>
          </w:p>
        </w:tc>
        <w:tc>
          <w:tcPr>
            <w:tcW w:w="18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Average risk free interest rate</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0.27%</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1.74%</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0.39%</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4.55 years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4.55 years</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4.55 years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4.55 years</w:t>
            </w: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Average volatility</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bl>
    <w:p>
      <w:pPr>
        <w:spacing w:after="0" w:line="22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Performance stock options granted with market conditions are valued using a Monte Carlo simulation model in combination with a Black-Scholes option pricing model.</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Information regarding stock options outstanding, vested, expected to vest, and exercisable as of June 27, 2020 is summarized below:</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340" w:type="dxa"/>
            <w:vAlign w:val="bottom"/>
          </w:tcPr>
          <w:p>
            <w:pPr>
              <w:jc w:val="right"/>
              <w:ind w:right="397"/>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Life (Years)</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1,276,664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340" w:type="dxa"/>
            <w:vAlign w:val="bottom"/>
          </w:tcPr>
          <w:p>
            <w:pPr>
              <w:jc w:val="right"/>
              <w:spacing w:after="0"/>
              <w:rPr>
                <w:sz w:val="20"/>
                <w:szCs w:val="20"/>
                <w:color w:val="auto"/>
              </w:rPr>
            </w:pPr>
            <w:r>
              <w:rPr>
                <w:rFonts w:ascii="Arial" w:cs="Arial" w:eastAsia="Arial" w:hAnsi="Arial"/>
                <w:sz w:val="18"/>
                <w:szCs w:val="18"/>
                <w:color w:val="auto"/>
              </w:rPr>
              <w:t>1,127,406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515,816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aggregate intrinsic value in the table above represents the pre-tax intrinsic value, based on the Company’s closing price as of June 27, 2020, that would have been received by option holders had all option holders exercised their stock options as of that date. This amount changes based on the fair market value of the Company’s common stock. The total intrinsic value of options exercised for the six months ended June 27, 2020 and June 29, 2019 was approximately $0 thousand.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Restricted Stock Units and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restricted stock units (“RSUs”) activity for the six months ended June 27, 2020 is summarized below:</w:t>
      </w:r>
    </w:p>
    <w:p>
      <w:pPr>
        <w:sectPr>
          <w:pgSz w:w="11900" w:h="16838" w:orient="portrait"/>
          <w:cols w:equalWidth="0" w:num="1">
            <w:col w:w="11220"/>
          </w:cols>
          <w:pgMar w:left="320" w:top="233"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Outstanding as of December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-124460</wp:posOffset>
            </wp:positionV>
            <wp:extent cx="427736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Restricted stock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Restricted stock units released</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Restricted stock units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1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Outstanding as of June 27,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Shares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411,133</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276,327</w:t>
      </w:r>
    </w:p>
    <w:p>
      <w:pPr>
        <w:spacing w:after="0" w:line="23" w:lineRule="exact"/>
        <w:rPr>
          <w:sz w:val="20"/>
          <w:szCs w:val="20"/>
          <w:color w:val="auto"/>
        </w:rPr>
      </w:pPr>
    </w:p>
    <w:p>
      <w:pPr>
        <w:jc w:val="right"/>
        <w:ind w:right="2260"/>
        <w:spacing w:after="0"/>
        <w:rPr>
          <w:sz w:val="20"/>
          <w:szCs w:val="20"/>
          <w:color w:val="auto"/>
        </w:rPr>
      </w:pPr>
      <w:r>
        <w:rPr>
          <w:rFonts w:ascii="Arial" w:cs="Arial" w:eastAsia="Arial" w:hAnsi="Arial"/>
          <w:sz w:val="18"/>
          <w:szCs w:val="18"/>
          <w:color w:val="auto"/>
        </w:rPr>
        <w:t>(73,652)</w:t>
      </w:r>
    </w:p>
    <w:p>
      <w:pPr>
        <w:spacing w:after="0" w:line="23" w:lineRule="exact"/>
        <w:rPr>
          <w:sz w:val="20"/>
          <w:szCs w:val="20"/>
          <w:color w:val="auto"/>
        </w:rPr>
      </w:pPr>
    </w:p>
    <w:p>
      <w:pPr>
        <w:jc w:val="right"/>
        <w:ind w:right="2260"/>
        <w:spacing w:after="0"/>
        <w:rPr>
          <w:sz w:val="20"/>
          <w:szCs w:val="20"/>
          <w:color w:val="auto"/>
        </w:rPr>
      </w:pPr>
      <w:r>
        <w:rPr>
          <w:rFonts w:ascii="Arial" w:cs="Arial" w:eastAsia="Arial" w:hAnsi="Arial"/>
          <w:sz w:val="18"/>
          <w:szCs w:val="18"/>
          <w:color w:val="auto"/>
        </w:rPr>
        <w:t>(103,785)</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510,023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31750</wp:posOffset>
            </wp:positionV>
            <wp:extent cx="7200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819" w:lineRule="exact"/>
        <w:rPr>
          <w:sz w:val="20"/>
          <w:szCs w:val="20"/>
          <w:color w:val="auto"/>
        </w:rPr>
      </w:pPr>
    </w:p>
    <w:p>
      <w:pPr>
        <w:sectPr>
          <w:pgSz w:w="11900" w:h="16838" w:orient="portrait"/>
          <w:cols w:equalWidth="0" w:num="2">
            <w:col w:w="7320" w:space="720"/>
            <w:col w:w="3180"/>
          </w:cols>
          <w:pgMar w:left="320" w:top="233" w:right="359" w:bottom="1440" w:gutter="0" w:footer="0" w:header="0"/>
          <w:type w:val="continuous"/>
        </w:sectPr>
      </w:pPr>
    </w:p>
    <w:p>
      <w:pPr>
        <w:ind w:right="80" w:firstLine="510"/>
        <w:spacing w:after="0" w:line="262" w:lineRule="auto"/>
        <w:rPr>
          <w:sz w:val="20"/>
          <w:szCs w:val="20"/>
          <w:color w:val="auto"/>
        </w:rPr>
      </w:pPr>
      <w:r>
        <w:rPr>
          <w:rFonts w:ascii="Arial" w:cs="Arial" w:eastAsia="Arial" w:hAnsi="Arial"/>
          <w:sz w:val="18"/>
          <w:szCs w:val="18"/>
          <w:color w:val="auto"/>
        </w:rPr>
        <w:t xml:space="preserve">The Company calculates its interim tax provision in accordance with the provisions of ASC 740-270, </w:t>
      </w:r>
      <w:r>
        <w:rPr>
          <w:rFonts w:ascii="Arial" w:cs="Arial" w:eastAsia="Arial" w:hAnsi="Arial"/>
          <w:sz w:val="18"/>
          <w:szCs w:val="18"/>
          <w:i w:val="1"/>
          <w:iCs w:val="1"/>
          <w:color w:val="auto"/>
        </w:rPr>
        <w:t>Income Taxes; Interim Reporting</w:t>
      </w:r>
      <w:r>
        <w:rPr>
          <w:rFonts w:ascii="Arial" w:cs="Arial" w:eastAsia="Arial" w:hAnsi="Arial"/>
          <w:sz w:val="18"/>
          <w:szCs w:val="18"/>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$12 thousand and $15 thousand for the six months ended June 27, 2020 and June 29, 2019,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second quarter of fiscal year 2020, based on the Company’s recent history of losses and its forecasted losses, management believes on the more likely than not basis that a full valuation allowance is required. Accordingly, the Company continues to provide a full valuation allowance on its federal and states deferred tax assets.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The Company accounts for its uncertain tax positions in accordance with ASC 740. As of December 28, 2019, the Company had $1.2 million of unrecognized tax benefits, none of the unrecognized tax benefits would result in a change in the Company’s effective tax rate if recognized in future years.</w:t>
      </w:r>
    </w:p>
    <w:p>
      <w:pPr>
        <w:spacing w:after="0" w:line="16"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The Company is not aware of any other uncertain tax positions that could result in significant additional payments, accruals, or other material deviation in this estimate during the fiscal year.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CARES Act.</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On March 27, 2020, the “Coronavirus Aid, Relief and Economic Security (CARES) Act” (the “CARES Act”) was signed into law. The CARES Act includes provisions relating to refundable payroll tax credits, deferment of the employer portion of certain payroll taxes, net operating loss carryback periods, alternative minimum tax credit refunds, modifications to the net interest deduction limitations and technical corrections to tax depreciation methods for qualified improvement property. These provisions are not expected to have a material effect on the Company’s consolidated financial statements. The Company obtained a PPP Loan. A portion, or all, of the PPP Loan may be forgiven. If the PPP Loan is forgiven, the Company may qualify to not include the debt forgiveness income as taxable income. Given the Company has a full valuation allowance, the impact of the PPP Loan is not expected to be material.</w:t>
      </w:r>
    </w:p>
    <w:p>
      <w:pPr>
        <w:spacing w:after="0" w:line="87"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The Company is subject to United States federal income tax as well as to income taxes in state jurisdictions. The Company’s federal and state income tax returns are open to examination by tax authorities for three years and three-to-five years,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Computation of Basic and Diluted Net Loss Per Common Share</w:t>
      </w:r>
    </w:p>
    <w:p>
      <w:pPr>
        <w:spacing w:after="0" w:line="121"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restricted stock units and awards and are calculated under the treasury stock method. Common stock equivalent shares from unexercised stock options, and unvested restricted stock units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6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For the three months ended June 27, 2020 and June 29, 2019, potential shares from stock options and RSUs totaling 1,273,348 and 1,156,722 shares, respectively, were excluded from the computation of diluted weighted average shares outstanding. For the six months ended June 27, 2020 and June 29, 2019, potential shares from stock options and RSUs totaling 1,245,966 and 1,133,684 shares, respectively, were excluded from the computation of diluted weighted average shares outstanding.</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numerator and denominator of basic and diluted net loss per common share is provided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4"/>
                <w:szCs w:val="14"/>
                <w:color w:val="auto"/>
              </w:rPr>
            </w:pPr>
          </w:p>
        </w:tc>
        <w:tc>
          <w:tcPr>
            <w:tcW w:w="23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5"/>
        </w:trPr>
        <w:tc>
          <w:tcPr>
            <w:tcW w:w="5240" w:type="dxa"/>
            <w:vAlign w:val="bottom"/>
            <w:vMerge w:val="continue"/>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0"/>
              </w:rPr>
              <w:t>June 27, 2020</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w w:val="90"/>
              </w:rPr>
              <w:t>June 29, 2019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0"/>
              </w:rPr>
              <w:t>June 27, 2020</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87"/>
              </w:rPr>
              <w:t>June 29,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240" w:type="dxa"/>
            <w:vAlign w:val="bottom"/>
          </w:tcPr>
          <w:p>
            <w:pPr>
              <w:ind w:left="48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(4,431)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(5,467)</w:t>
            </w:r>
          </w:p>
        </w:tc>
        <w:tc>
          <w:tcPr>
            <w:tcW w:w="0" w:type="dxa"/>
            <w:vAlign w:val="bottom"/>
          </w:tcPr>
          <w:p>
            <w:pPr>
              <w:spacing w:after="0"/>
              <w:rPr>
                <w:sz w:val="1"/>
                <w:szCs w:val="1"/>
                <w:color w:val="auto"/>
              </w:rPr>
            </w:pPr>
          </w:p>
        </w:tc>
      </w:tr>
      <w:tr>
        <w:trPr>
          <w:trHeight w:val="210"/>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Weighted average shares of common stock (basic)</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13,792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13,648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Weighted average shares of common stock (diluted)</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13,792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13,648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480"/>
              <w:spacing w:after="0"/>
              <w:rPr>
                <w:sz w:val="20"/>
                <w:szCs w:val="20"/>
                <w:color w:val="auto"/>
              </w:rPr>
            </w:pPr>
            <w:r>
              <w:rPr>
                <w:rFonts w:ascii="Arial" w:cs="Arial" w:eastAsia="Arial" w:hAnsi="Arial"/>
                <w:sz w:val="18"/>
                <w:szCs w:val="18"/>
                <w:color w:val="auto"/>
              </w:rPr>
              <w:t>Basic net loss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(0.18)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0"/>
        </w:trPr>
        <w:tc>
          <w:tcPr>
            <w:tcW w:w="52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 net loss per share</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Segments</w:t>
      </w:r>
    </w:p>
    <w:p>
      <w:pPr>
        <w:spacing w:after="0" w:line="12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Company operates in one segment, ophthalmology. The Company develops, manufactures and markets medical devices. Our revenues arise from the sale of consoles, delivery devices, consumables, service, and support activities.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product group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5"/>
        </w:trPr>
        <w:tc>
          <w:tcPr>
            <w:tcW w:w="3100" w:type="dxa"/>
            <w:vAlign w:val="bottom"/>
            <w:vMerge w:val="continue"/>
          </w:tcPr>
          <w:p>
            <w:pPr>
              <w:spacing w:after="0"/>
              <w:rPr>
                <w:sz w:val="13"/>
                <w:szCs w:val="13"/>
                <w:color w:val="auto"/>
              </w:rPr>
            </w:pPr>
          </w:p>
        </w:tc>
        <w:tc>
          <w:tcPr>
            <w:tcW w:w="2060" w:type="dxa"/>
            <w:vAlign w:val="bottom"/>
          </w:tcPr>
          <w:p>
            <w:pPr>
              <w:spacing w:after="0"/>
              <w:rPr>
                <w:sz w:val="13"/>
                <w:szCs w:val="13"/>
                <w:color w:val="auto"/>
              </w:rPr>
            </w:pPr>
          </w:p>
        </w:tc>
        <w:tc>
          <w:tcPr>
            <w:tcW w:w="124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June 27, 2020</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w w:val="90"/>
              </w:rPr>
              <w:t>June 29, 2019</w:t>
            </w: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June 27, 2020</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w w:val="90"/>
              </w:rPr>
              <w:t>June 29,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Cyclo G6</w:t>
            </w:r>
          </w:p>
        </w:tc>
        <w:tc>
          <w:tcPr>
            <w:tcW w:w="20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w:t>
            </w: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5,036</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Retina</w:t>
            </w: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5,248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Other(1)</w:t>
            </w:r>
          </w:p>
        </w:tc>
        <w:tc>
          <w:tcPr>
            <w:tcW w:w="20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3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Total revenues</w:t>
            </w:r>
          </w:p>
        </w:tc>
        <w:tc>
          <w:tcPr>
            <w:tcW w:w="206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6,219</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w:t>
            </w:r>
          </w:p>
        </w:tc>
        <w:tc>
          <w:tcPr>
            <w:tcW w:w="3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15,240</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right="940" w:hanging="5"/>
        <w:spacing w:after="0" w:line="341" w:lineRule="auto"/>
        <w:tabs>
          <w:tab w:leader="none" w:pos="83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service contract revenues of $311 and $296 and $627 and $604 recognized during the three and six months ended June 27, 2020 and June 29, 2019, respectively. Other also includes revenues from paid service, royalty, freight and legacy G probes.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Revenue information shown by geographic region, based on the sales destination,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5"/>
        </w:trPr>
        <w:tc>
          <w:tcPr>
            <w:tcW w:w="320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124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June 27, 2020</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w w:val="90"/>
              </w:rPr>
              <w:t>June 29, 2019</w:t>
            </w: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June 27, 2020</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w w:val="90"/>
              </w:rPr>
              <w:t>June 29,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9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5,327</w:t>
            </w: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7,612</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Europe</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Rest of Americas</w:t>
            </w:r>
          </w:p>
        </w:tc>
        <w:tc>
          <w:tcPr>
            <w:tcW w:w="1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Asia/Pacific Rim</w:t>
            </w:r>
          </w:p>
        </w:tc>
        <w:tc>
          <w:tcPr>
            <w:tcW w:w="19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3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9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6,219</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10,426</w:t>
            </w:r>
          </w:p>
        </w:tc>
        <w:tc>
          <w:tcPr>
            <w:tcW w:w="3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15,240</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are attributed to countries based on the location of end customers.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Other than the United States, no individual country accounted for more than 10% of the Company’s revenues during the three months ended June 27, 2020. Other than the United States, Japan accounted for more than 10% of the Company’s revenues during the six months ended June 27, 2020, representing 12%. Other than the United States, no individual country accounted for more than 10% of the Company’s revenues during the three and six months ended June 29, 2019. The United States accounted for 51.0% and 51.1% of revenues for the three months ended June 27, 2020 and June 29, 2019, respectively. International sales accounted for 49.0% and 48.9% of revenues for the three months ended June 27, 2020 and June 29, 2019, respectively. For the six months ended June 27, 2020 and June 29, 2019, the United States accounted for 49.9% and 50.1% of revenues, respectively. For the six months ended June 27, 2020 and June 29, 2019, international sales accounted for 50.1% and 49.9% of revenues, respectively.</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0" w:name="page21"/>
    <w:bookmarkEnd w:id="20"/>
    <w:p>
      <w:pPr>
        <w:ind w:right="3800"/>
        <w:spacing w:after="0" w:line="37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113"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 laser system used for the treatment of glaucoma;</w:t>
      </w:r>
    </w:p>
    <w:p>
      <w:pPr>
        <w:spacing w:after="0" w:line="117" w:lineRule="exact"/>
        <w:rPr>
          <w:rFonts w:ascii="Arial" w:cs="Arial" w:eastAsia="Arial" w:hAnsi="Arial"/>
          <w:sz w:val="18"/>
          <w:szCs w:val="18"/>
          <w:color w:val="auto"/>
        </w:rPr>
      </w:pPr>
    </w:p>
    <w:p>
      <w:pPr>
        <w:ind w:left="1000" w:right="280" w:hanging="493"/>
        <w:spacing w:after="0" w:line="282"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 and IQ 577 laser photocoagulation systems, which are used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diabetic macular edema and other retinal diseases; and</w:t>
      </w:r>
    </w:p>
    <w:p>
      <w:pPr>
        <w:spacing w:after="0" w:line="53" w:lineRule="exact"/>
        <w:rPr>
          <w:rFonts w:ascii="Arial" w:cs="Arial" w:eastAsia="Arial" w:hAnsi="Arial"/>
          <w:sz w:val="18"/>
          <w:szCs w:val="18"/>
          <w:color w:val="auto"/>
        </w:rPr>
      </w:pPr>
    </w:p>
    <w:p>
      <w:pPr>
        <w:ind w:left="1000" w:right="100" w:hanging="493"/>
        <w:spacing w:after="0" w:line="266"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 TX, OcuLight SL, OcuLight SLx, OcuLight GL and OcuLight</w:t>
      </w:r>
      <w:r>
        <w:rPr>
          <w:rFonts w:ascii="Arial" w:cs="Arial" w:eastAsia="Arial" w:hAnsi="Arial"/>
          <w:sz w:val="18"/>
          <w:szCs w:val="18"/>
          <w:b w:val="1"/>
          <w:bCs w:val="1"/>
          <w:color w:val="auto"/>
        </w:rPr>
        <w:t xml:space="preserve"> </w:t>
      </w:r>
      <w:r>
        <w:rPr>
          <w:rFonts w:ascii="Arial" w:cs="Arial" w:eastAsia="Arial" w:hAnsi="Arial"/>
          <w:sz w:val="18"/>
          <w:szCs w:val="18"/>
          <w:color w:val="auto"/>
        </w:rPr>
        <w:t>GLx laser photocoagulation systems. These systems are often used in vitrectomy procedures, which are used to treat proliferative diabetic retinopathy, macular holes, retinal tears and detachments.</w:t>
      </w:r>
    </w:p>
    <w:p>
      <w:pPr>
        <w:spacing w:after="0" w:line="72"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patented MicroPulse P3 (“MP3”) probe and G-Probe;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 family of products used in vitrectomy procedures.</w:t>
      </w:r>
    </w:p>
    <w:p>
      <w:pPr>
        <w:spacing w:after="0" w:line="12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Ophthalmologists typically use our laser systems in hospital operating room (“OR”) and ambulatory surgical centers (“ASCs”), as well as their offices and clinics. In the ORs and ASCs, ophthalmologists use our laser systems with either an indirect laser ophthalmoscope or a consumable, single use MP3 probe, G-Probe or EndoProbe.</w:t>
      </w:r>
    </w:p>
    <w:p>
      <w:pPr>
        <w:spacing w:after="0" w:line="76"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Our products are sold in the United States and Germany predominantly through a direct sales force and internationally (aside from Germany) primarily through independent distributors.</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the currency fluctuations.</w:t>
      </w:r>
    </w:p>
    <w:p>
      <w:pPr>
        <w:spacing w:after="0" w:line="80"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Cost of revenues consists primarily of our direct manufacturing costs which includes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4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14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to our Business</w:t>
      </w:r>
    </w:p>
    <w:p>
      <w:pPr>
        <w:spacing w:after="0" w:line="12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outbreak of the COVID-19 has been declared a pandemic by the World Health Organization and continues to spread globally. The spread of COVID-19 has caused public health officials to recommend, and governments to enact, precautions to mitigate the spread of the virus, including travel restrictions and bans, extensive social distancing guidelines and issuing a “shelter-in-place” order in many regions of the world. The pandemic and these related responses have caused, and are expected to continue to cause a global slowdown of economic activity (including the decrease in demand for a broad variety of goods and services), disruptions in global supply chains and significant volatility and disruption of financial markets. We have adopted several measures in response to the COVID-19 outbreak including instructing employees to work from home while under shelter-in-place orders, slowing our manufacturing operations, and restricting non-critical business travel by our employees. Furthermore, we cannot be certain that these actions will mitigate some or all of the negative effects of the pandemic on our business. The extent of the negative effects of COVID-19 on our financial condition or results of operations remains uncertain. Any actual effects on our financial condition or results of operations may differ from any estimates reflected in our financial statements, and such effects may not be fully reflected in our financial condition or results of operations until future periods, if at all.</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ind w:right="120" w:firstLine="510"/>
        <w:spacing w:after="0" w:line="291" w:lineRule="auto"/>
        <w:rPr>
          <w:sz w:val="20"/>
          <w:szCs w:val="20"/>
          <w:color w:val="auto"/>
        </w:rPr>
      </w:pPr>
      <w:r>
        <w:rPr>
          <w:rFonts w:ascii="Arial" w:cs="Arial" w:eastAsia="Arial" w:hAnsi="Arial"/>
          <w:sz w:val="16"/>
          <w:szCs w:val="16"/>
          <w:color w:val="auto"/>
        </w:rPr>
        <w:t>The Company has been deemed an essential business and therefore, has continued to operate in a more limited capacity during the pandemic. In April and May, following shelter-in-place orders, the Company operated with limited personnel at our facilities to continue essential operations. In June 2020, we implemented return-to-work phases in conjunction with a social distancing protocol to safely continue essential operations to best meet customer demands in light of the pandemic. The Company will continue to actively monitor the situation and may take further actions altering our business operations that we determine are in the best interests of our employees, customers, communities, business partners, suppliers, and shareholders, or as required by federal, state, or local authorities. It is not clear what the potential effects any such alterations or modifications may have on our business, including the effects on the Company's customers, employees, and prospects, or on our financial results for the remainder of fiscal year 2020.</w:t>
      </w:r>
    </w:p>
    <w:p>
      <w:pPr>
        <w:spacing w:after="0" w:line="58"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In the second quarter of 2020, revenue decreased approximately 40% as compared to the same period in 2019. This decrease was primarily attributed to the decrease in surgical elective procedures using our products, in part caused by limitations on the availability of such procedures and hospitals’ capacities to provide them and delays in capital purchases caused by the general uncertainty in the near term business environment. The extent to which our operations will be impacted by the outbreak will depend largely on future developments, which are highly uncertain and cannot be accurately predicted, including new information which may emerge concerning the severity of the outbreak and actions by government authorities, hospitals and private businesses to contain the outbreak or recover from its impact, among other things. Due to the nature of the Company’s business, the availability of elective surgical procedures and customers’ ability to make capital purchases directly impacts the Company’s revenue and operations. We are actively monitoring the ongoing impact of the COVID-19 pandemic and its impact on elective surgical procedures throughout the U.S.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results of operations to be impacted for so long as the COVID-19 pandemic continues.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more information on risks associated with the COVID-19 outbreak, see the section titled “Risk Factors” in Item 1A of Part II.</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operating data as a percentage of revenues: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330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Three Months Ended</w:t>
            </w:r>
          </w:p>
        </w:tc>
        <w:tc>
          <w:tcPr>
            <w:tcW w:w="316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5"/>
        </w:trPr>
        <w:tc>
          <w:tcPr>
            <w:tcW w:w="3640" w:type="dxa"/>
            <w:vAlign w:val="bottom"/>
            <w:tcBorders>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June 27, 2020</w:t>
            </w:r>
          </w:p>
        </w:tc>
        <w:tc>
          <w:tcPr>
            <w:tcW w:w="38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June 29, 2019</w:t>
            </w:r>
          </w:p>
        </w:tc>
        <w:tc>
          <w:tcPr>
            <w:tcW w:w="380" w:type="dxa"/>
            <w:vAlign w:val="bottom"/>
            <w:tcBorders>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June 27, 2020</w:t>
            </w:r>
          </w:p>
        </w:tc>
        <w:tc>
          <w:tcPr>
            <w:tcW w:w="38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June 29, 2019</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Cost of revenues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61.3%</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56.4%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12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vMerge w:val="continue"/>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38.7%</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43.6%</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41.5%</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13.0%</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8.9%</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Sales and marketing</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43.3%</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33.2%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27.2%</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25.2%</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22.2%</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vMerge w:val="continue"/>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83.5%</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67.3%</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70.6%</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vMerge w:val="continue"/>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(44.8%)</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(23.7%)</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(29.1%)</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9"/>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 before provision for</w:t>
            </w:r>
          </w:p>
        </w:tc>
        <w:tc>
          <w:tcPr>
            <w:tcW w:w="12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(44.6%)</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(23.1%)</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(29.0%)</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2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vMerge w:val="continue"/>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(44.7%)</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(23.2%)</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(29.1%)</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following comparisons are between the three months ended June 27, 2020 and June 29,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38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June 27, 2020</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June 29, 2019</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Cyclo G6</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w:t>
            </w: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(36.9%)</w:t>
            </w:r>
          </w:p>
        </w:tc>
        <w:tc>
          <w:tcPr>
            <w:tcW w:w="58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Retina</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(2,640)</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(329)</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10,426</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22" w:name="page23"/>
    <w:bookmarkEnd w:id="22"/>
    <w:p>
      <w:pPr>
        <w:ind w:right="140" w:firstLine="510"/>
        <w:spacing w:after="0" w:line="275" w:lineRule="auto"/>
        <w:rPr>
          <w:sz w:val="20"/>
          <w:szCs w:val="20"/>
          <w:color w:val="auto"/>
        </w:rPr>
      </w:pPr>
      <w:r>
        <w:rPr>
          <w:rFonts w:ascii="Arial" w:cs="Arial" w:eastAsia="Arial" w:hAnsi="Arial"/>
          <w:sz w:val="17"/>
          <w:szCs w:val="17"/>
          <w:color w:val="auto"/>
        </w:rPr>
        <w:t>Our total revenues decreased by $4.2 million, or 40.4%, from $10.4 million to $6.2 million. The decrease is primarily due to a decrease in sales of our retina products, Cyclo G6 products and other revenues as our business was impacted by the COVID-19 pandemic. Revenues from retina products decreased 50.3%, driven by a decrease in both domestic and international as capital equipment sales were especially impacted by the pandemic. Revenues from Cyclo G6 products decreased 36.9%, driven primarily by a decrease in Cyclo G6 probes sales. Other revenues, comprised of service, royalty, freight and legacy G probes, decreased 18.0% due mainly to a decrease in legacy G probes and royalty revenues.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Gross profit decreased by $2.1 million, or 47.1%, from $4.5 million to $2.4 million. Gross margin decreased by 4.9 percentage points from 43.6% to 38.7%. The decrease in gross margin was primarily attributable to an increase in manufacturing overhead rate as a result of fixed overhead expenditures being absorbed over a lower sales volume.</w:t>
      </w:r>
    </w:p>
    <w:p>
      <w:pPr>
        <w:spacing w:after="0" w:line="76"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Research and development (“R&amp;D”) expenses decreased by $0.1 million, or 13.1%, from $0.9 million to $0.8 million. The decrease in spending was primarily attributable to a decrease in personnel costs due to a reduction in headcount.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Sales and marketing expenses decreased by $0.8 million, or 22.2%, from $3.5 million to $2.7 million. The decrease was primarily attributable to a decrease in personnel costs as a result of a reduction in headcount, lower commission expense due to lower sales, lower travel expenses and lower marketing program expenses as a consequence of the COVID-19 pandemic reducing business activity.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720" w:firstLine="510"/>
        <w:spacing w:after="0" w:line="308" w:lineRule="auto"/>
        <w:rPr>
          <w:sz w:val="20"/>
          <w:szCs w:val="20"/>
          <w:color w:val="auto"/>
        </w:rPr>
      </w:pPr>
      <w:r>
        <w:rPr>
          <w:rFonts w:ascii="Arial" w:cs="Arial" w:eastAsia="Arial" w:hAnsi="Arial"/>
          <w:sz w:val="17"/>
          <w:szCs w:val="17"/>
          <w:color w:val="auto"/>
        </w:rPr>
        <w:t>General and administrative expenses decreased by $0.9 million, or 35.6%, from $2.6 million to $1.7 million. The decrease in spending was primarily attributable to a decrease in personnel costs as a result of a reduction in headcount and lower legal expenses.</w:t>
      </w:r>
    </w:p>
    <w:p>
      <w:pPr>
        <w:spacing w:after="0" w:line="3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Management anticipates operating with the reduction in headcount and consequently lower costs for the foreseeable future as it continues to focus on managing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Other income, net amounted to $9 thousand, compared to other income, net of $58 thousand. Other income, net, consisted primarily of interest income and the change in expense associated with the re-measurement of contingent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$5 thousand and $9 thousand, respectively.</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following comparisons are between the six months ended June 27, 2020 and June 29,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6"/>
              <w:spacing w:after="0"/>
              <w:rPr>
                <w:sz w:val="20"/>
                <w:szCs w:val="20"/>
                <w:color w:val="auto"/>
              </w:rPr>
            </w:pPr>
            <w:r>
              <w:rPr>
                <w:rFonts w:ascii="Arial" w:cs="Arial" w:eastAsia="Arial" w:hAnsi="Arial"/>
                <w:sz w:val="14"/>
                <w:szCs w:val="14"/>
                <w:b w:val="1"/>
                <w:bCs w:val="1"/>
                <w:color w:val="auto"/>
                <w:w w:val="92"/>
              </w:rPr>
              <w:t>Six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38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June 27, 2020</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June 29, 2019</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14"/>
                <w:szCs w:val="14"/>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Cyclo G6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Retina</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6,742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(4,105)</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(255)</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(5,781)</w:t>
            </w: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r>
      <w:tr>
        <w:trPr>
          <w:trHeight w:val="20"/>
        </w:trPr>
        <w:tc>
          <w:tcPr>
            <w:tcW w:w="3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Our total revenues decreased by $5.8 million, or 27.5%, from $21.0 million to $15.2 million. The decrease is primarily due to a decrease in sales of our retina products, Cyclo G6 products and other revenues as our business was impacted by the COVID-19 pandemic. Revenues from retina products decreased 37.8%, driven by a decrease in both domestic and international as capital equipment sales were especially impacted by the pandemic. Revenues from Cyclo G6 products decreased 22.0%, driven primarily by a decrease in Cyclo G6 probes sales. Other revenues, comprised of service, royalty, freight and legacy G probes, decreased 6.9% due mainly to a decrease in legacy G probes revenues.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Gross profit decreased by $2.5 million, or 28.2%, from $8.8 million to $6.3 million. Gross margin decreased by 0.4 percentage points from 41.9% to 41.5%. The decrease in gross margin was primarily attributable to an increase in manufacturing overhead rate as a result of fixed overhead expenditures being absorbed over a lower sales volume.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right="300" w:firstLine="510"/>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Research and development (“R&amp;D”) expenses decreased by $0.4 million, or 19.1%, from $1.9 million to $1.5 million. The decrease in spending was primarily attributable to a decrease in personnel costs due to a reduction in headcount.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Sales and marketing expenses decreased by $1.7 million, or 22.6%, from $7.6 million to $5.8 million. The decrease was primarily attributable to a decrease in personnel costs as a result of a reduction in headcount, lower commission expense due to lower sales, lower travel expenses and lower marketing program expenses as a consequence of the COVID-19 pandemic reducing business activity.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720" w:firstLine="510"/>
        <w:spacing w:after="0" w:line="308" w:lineRule="auto"/>
        <w:rPr>
          <w:sz w:val="20"/>
          <w:szCs w:val="20"/>
          <w:color w:val="auto"/>
        </w:rPr>
      </w:pPr>
      <w:r>
        <w:rPr>
          <w:rFonts w:ascii="Arial" w:cs="Arial" w:eastAsia="Arial" w:hAnsi="Arial"/>
          <w:sz w:val="17"/>
          <w:szCs w:val="17"/>
          <w:color w:val="auto"/>
        </w:rPr>
        <w:t>General and administrative expenses decreased by $1.5 million, or 30.4%, from $4.9 million to $3.4 million. The decrease in spending was primarily attributable to a decrease in personnel costs as a result of a reduction in headcount and lower legal expenses.</w:t>
      </w:r>
    </w:p>
    <w:p>
      <w:pPr>
        <w:spacing w:after="0" w:line="3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Management anticipates operating with the reduction in headcount and consequently lower costs for the foreseeable future as it continues to focus on managing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Other income, net amounted to $18 thousand, compared to other income, net of $52 thousand. Other income, net, consisted primarily of interest income and the change in expense associated with the re-measurement of contingent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$12 thousand and $15 thousand,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6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As of June 27, 2020, we had cash and cash equivalents of $11.6 million and working capital of $18.1 million compared to cash and cash equivalents of $12.7 million and working capital of $20.8 million as of December 28, 2019.</w:t>
      </w:r>
    </w:p>
    <w:p>
      <w:pPr>
        <w:spacing w:after="0" w:line="62"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Net cash used in operating activities was $3.4 million in the six months ended June 27, 2020 compared to $5.2 million in the six months ended June 29, 2019. The decrease in net cash used in operating activities, expressed in direct cash flow terms, was primarily due to lower vendor payments and lower employee compensation, partially offset by a reduction in cash receipts from customers.</w:t>
      </w:r>
    </w:p>
    <w:p>
      <w:pPr>
        <w:spacing w:after="0" w:line="76"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For the six months ended June 27, 2020, net cash used in investing activities was $0.1 million, which consisted of capital expenditures. Net cash used in investing activities for the six months ended June 29, 2019 was $0.3 million, which consisted of $0.1 million on capital expenditures and $0.2 million for payment of the contingent earn-out liability.</w:t>
      </w:r>
    </w:p>
    <w:p>
      <w:pPr>
        <w:spacing w:after="0" w:line="76"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For the six months ended June 27, 2020, net cash provided by financing activities was $2.5 million, primarily from the proceeds from a U.S. Small Business Association Loan (the “SBA Loan”) pursuant to the Payroll Protection Program (“PPP”) established under the CARES Act. For the six months ended June 29, 2019, net cash used in financing activities was $0.1 million, which consisted of payroll taxes related to net share settlement of equity awards.</w:t>
      </w:r>
    </w:p>
    <w:p>
      <w:pPr>
        <w:spacing w:after="0" w:line="79"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have historically funded our operations primarily through sales of our products to customers, and through common stock and borrowing arrangements. As of June 27, 2020, our principal sources of liquidity consisted of cash and cash equivalents of $11.6 million. We have incurred net losses over the last several years, and as of June 27, 2020, have an accumulated deficit of approximately $55.0 million. We expect to continue to incur operating losses and negative cash flows from operations through July 3, 2021.</w:t>
      </w:r>
    </w:p>
    <w:p>
      <w:pPr>
        <w:spacing w:after="0" w:line="79"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provide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7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June 27, 2020. Based on the foregoing, our Principal Executive Officer and our Principal Financial Officer concluded that our disclosure controls and procedures were effective at the reasonable assurance level.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addition to the other information contained in this Quarterly Report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420" w:firstLine="510"/>
        <w:spacing w:after="0" w:line="320" w:lineRule="auto"/>
        <w:rPr>
          <w:sz w:val="20"/>
          <w:szCs w:val="20"/>
          <w:color w:val="auto"/>
        </w:rPr>
      </w:pPr>
      <w:r>
        <w:rPr>
          <w:rFonts w:ascii="Arial" w:cs="Arial" w:eastAsia="Arial" w:hAnsi="Arial"/>
          <w:sz w:val="15"/>
          <w:szCs w:val="15"/>
          <w:b w:val="1"/>
          <w:bCs w:val="1"/>
          <w:i w:val="1"/>
          <w:iCs w:val="1"/>
          <w:color w:val="auto"/>
        </w:rPr>
        <w:t xml:space="preserve">The effects of the COVID-19 pandemic have disrupted, and may continue to significantly disrupt, our operations, including our ability to manufacture and supply products and perform research and development activities, our customers’ usage of our products as demand declines in elective surgeries in response to COVID-19, all of which have had and expected to continue to have a material and adverse effect on our business, future revenues and financial condition. </w:t>
      </w:r>
      <w:r>
        <w:rPr>
          <w:rFonts w:ascii="Arial" w:cs="Arial" w:eastAsia="Arial" w:hAnsi="Arial"/>
          <w:sz w:val="15"/>
          <w:szCs w:val="15"/>
          <w:b w:val="1"/>
          <w:bCs w:val="1"/>
          <w:i w:val="1"/>
          <w:iCs w:val="1"/>
          <w:color w:val="212529"/>
        </w:rPr>
        <w:t>We are unable to predict the extent to which the pandemic and related impacts will continue to adversely</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212529"/>
        </w:rPr>
        <w:t>impact our business operations, financial performance, results of operations, financial position and the achievement of our strategic objectives.</w:t>
      </w:r>
    </w:p>
    <w:p>
      <w:pPr>
        <w:spacing w:after="0" w:line="3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business, results of operation and financial performance have been negatively impacted by the COVID-19 pandemic and related public health responses, such as shelter-in-place orders, social distancing protocols, and travel restrictions in many of the countries and regions in which we have operations or manufacturing partners. Due to these impacts and measures, we have experienced and may continue to experience significant and unpredictable reductions in the demand for our products as healthcare customers divert medical resources and priorities towards the treatment of diseases related to COVID-19. In addition, our customers may delay, cancel or redirect planned capital expenditures in order to focus resources on COVID-19 or in response to economic disruption related to COVID-19. For example, during the six months ended June 27, 2020, we experienced significant decline in treatment and procedure volume worldwide, as healthcare systems diverted resources to meet the increasing demands of managing COVID-19. In addition, the American College of Surgeons, U.S. surgeon general, and medical societies are evaluating the risks of minimally invasive surgeries in the presence of infectious diseases, which we expect will continue to negatively impact the usage of our products and the number of ophthalmic treatments and procedures performed. If these recommendations continue to remain in place and the volume of elective procedures remains low, our results of operations and financial condition will continue to be adversely affected.</w:t>
      </w:r>
    </w:p>
    <w:p>
      <w:pPr>
        <w:spacing w:after="0" w:line="74"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As a result of the COVID-19 outbreak around the world, we implemented certain travel restrictions, temporarily limited the number of employees permitted onsite in our offices and implemented work-from-home rules. This has caused disruption and delays in our ability to operate and manufacture, test and assemble products in our internal facilities, particularly in our Mountain View, California facility, and has limited our ability to continue certain research and development activities which could materially and adversely affect our ability to develop new products and technologies on the timelines we previously anticipated.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firstLine="510"/>
        <w:spacing w:after="0" w:line="286" w:lineRule="auto"/>
        <w:rPr>
          <w:sz w:val="20"/>
          <w:szCs w:val="20"/>
          <w:color w:val="auto"/>
        </w:rPr>
      </w:pPr>
      <w:r>
        <w:rPr>
          <w:rFonts w:ascii="Arial" w:cs="Arial" w:eastAsia="Arial" w:hAnsi="Arial"/>
          <w:sz w:val="16"/>
          <w:szCs w:val="16"/>
          <w:color w:val="auto"/>
        </w:rPr>
        <w:t xml:space="preserve">The COVID-19 pandemic has created economic uncertainty and volatility in the financial markets around the world, resulting in an economic downturn that has affected and will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w:t>
      </w:r>
      <w:r>
        <w:rPr>
          <w:rFonts w:ascii="Arial" w:cs="Arial" w:eastAsia="Arial" w:hAnsi="Arial"/>
          <w:sz w:val="16"/>
          <w:szCs w:val="16"/>
          <w:color w:val="212529"/>
        </w:rPr>
        <w:t>The</w:t>
      </w:r>
      <w:r>
        <w:rPr>
          <w:rFonts w:ascii="Arial" w:cs="Arial" w:eastAsia="Arial" w:hAnsi="Arial"/>
          <w:sz w:val="16"/>
          <w:szCs w:val="16"/>
          <w:color w:val="auto"/>
        </w:rPr>
        <w:t xml:space="preserve"> </w:t>
      </w:r>
      <w:r>
        <w:rPr>
          <w:rFonts w:ascii="Arial" w:cs="Arial" w:eastAsia="Arial" w:hAnsi="Arial"/>
          <w:sz w:val="16"/>
          <w:szCs w:val="16"/>
          <w:color w:val="212529"/>
        </w:rPr>
        <w:t xml:space="preserve">ultimate impact of the COVID-19 pandemic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 </w:t>
      </w:r>
      <w:r>
        <w:rPr>
          <w:rFonts w:ascii="Arial" w:cs="Arial" w:eastAsia="Arial" w:hAnsi="Arial"/>
          <w:sz w:val="16"/>
          <w:szCs w:val="16"/>
          <w:color w:val="000000"/>
        </w:rPr>
        <w:t>Although the magnitude of the impact of COVID-19 on our business operations remains</w:t>
      </w:r>
      <w:r>
        <w:rPr>
          <w:rFonts w:ascii="Arial" w:cs="Arial" w:eastAsia="Arial" w:hAnsi="Arial"/>
          <w:sz w:val="16"/>
          <w:szCs w:val="16"/>
          <w:color w:val="212529"/>
        </w:rPr>
        <w:t xml:space="preserve"> </w:t>
      </w:r>
      <w:r>
        <w:rPr>
          <w:rFonts w:ascii="Arial" w:cs="Arial" w:eastAsia="Arial" w:hAnsi="Arial"/>
          <w:sz w:val="16"/>
          <w:szCs w:val="16"/>
          <w:color w:val="000000"/>
        </w:rPr>
        <w:t>uncertain and difficult to predict, and this remains a highly dynamic situation, we have experienced and will continue to experience in subsequent periods, disruptions to our business that will likely continue to adversely impact our business, financial condition and results of operations.</w:t>
      </w:r>
    </w:p>
    <w:p>
      <w:pPr>
        <w:spacing w:after="0" w:line="63"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b w:val="1"/>
          <w:bCs w:val="1"/>
          <w:i w:val="1"/>
          <w:iCs w:val="1"/>
          <w:color w:val="auto"/>
        </w:rPr>
        <w:t>We have incurred indebtedness under the CARES Act which may be subject to audit, may not be forgivable and may eventually have to be repaid. Any repayment of such indebtedness may limit the funds available to us and may restrict our flexibility in operating our business or otherwise adversely affect our results of operations.</w:t>
      </w:r>
    </w:p>
    <w:p>
      <w:pPr>
        <w:spacing w:after="0" w:line="76" w:lineRule="exact"/>
        <w:rPr>
          <w:sz w:val="20"/>
          <w:szCs w:val="20"/>
          <w:color w:val="auto"/>
        </w:rPr>
      </w:pPr>
    </w:p>
    <w:p>
      <w:pPr>
        <w:ind w:right="120" w:firstLine="510"/>
        <w:spacing w:after="0" w:line="288" w:lineRule="auto"/>
        <w:rPr>
          <w:sz w:val="20"/>
          <w:szCs w:val="20"/>
          <w:color w:val="auto"/>
        </w:rPr>
      </w:pPr>
      <w:r>
        <w:rPr>
          <w:rFonts w:ascii="Arial" w:cs="Arial" w:eastAsia="Arial" w:hAnsi="Arial"/>
          <w:sz w:val="16"/>
          <w:szCs w:val="16"/>
          <w:color w:val="auto"/>
        </w:rPr>
        <w:t>In April 2020, the Company received an aggregate principal amount of approximately $2.5 million U.S. Small Business Administration Loan (the “SBA Loan”) pursuant to the Payroll Protection Program (“PPP”), established under the CARES Act. The Company may apply for forgiveness of the amount due on the loan if it fulfills certain conditions and applies the loan proceeds to payroll and certain other enumerated items under the CARES Act. Amounts outstanding under the loan will bear a fixed interest rate of 1.00% per annum with a maturity date of April 22, 2022, two years from commencement date. All payments are deferred for six months with interest accruing over the entire period of the SBA Loan. The U.S. Department of the Treasury has announced that it will conduct audits for PPP loans that exceed $2 million. Should we be audited or reviewed by the U.S. Department of the Treasury or the U.S. Small Business Administration as a result of the SBA Loan or filing an application for forgiveness or otherwise, such audit or review could result in the diversion of management’s time and attention, generate negative publicity and cause us to incur legal and reputational costs. If we were to be audited and receive an adverse outcome in such an audit, we could be required to return the full amount of the SBA Loan and may potentially be subject to civil and criminal fines and penalties. We may not have the resources to repay the SBA Loan if required to do so by the federal government.</w:t>
      </w:r>
    </w:p>
    <w:p>
      <w:pPr>
        <w:spacing w:after="0" w:line="60"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If all or substantially all of the SBA Loan is not forgiven or it is subsequently determined that it must be repaid, we may be required to use a substantial portion of our cash flows from operations to pay interest and principal on the SBA Loan. Although we have no current intention of repaying the SBA Loan, we may decide to repay it in the future. Any such repayment of the SBA Loan will reduce the funds available to us for working capital, capital expenditures, and other corporate purposes and may limit our ability to obtain additional financing for working capital, capital expenditures, expansion plans, and other investments or divert funds that are otherwise necessary to run our business. We cannot assure you that our business will generate sufficient cash flow from operations or that future financing will be available to us in amounts sufficient to enable us to make required and timely repayments on our indebtedness, or to fund our operations. To date, we have used a substantial amount of cash for operating activities, and we cannot assure you when we will begin to generate cash from operating activities in amounts sufficient to service our debt. Additionally, though we believe we are eligible for the SBA Loan under the PPP, our receipt of the SBA Loan could result in negative publicity, or expose us to liability under the federal False Claims Act, which prohibits the known filing of a false claim or the known use of false statements to obtain payment from the federal government, if it is determined that we were in fact not eligible to take the SBA Loan in the first instance.</w:t>
      </w:r>
    </w:p>
    <w:p>
      <w:pPr>
        <w:spacing w:after="0" w:line="7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addition, although we are reviewing and may seek additional available benefits under the CARES Act, we cannot predict the manner in which such benefits will be allocated or administered and we cannot assure you that we will be able to access such benefits in a timely manner or at all. Certain of the benefits under the CARES Act have not previously been administered on the present scale or at all. Government or third party program administrators may be unable to cope with the volume of applications in the near term and any benefits we receive may not be as extensive as those for which we apply, may impose additional conditions and restrictions on our operations or may otherwise provide less relief than we contemplate. If the U.S. government or any other governmental authority agrees to provide additional crisis relief assistance that we accept, it may impose certain requirements on the recipients of the aid, including restrictions on executive officer compensation, dividends, prepayment of debt, limitations on debt and other similar restrictions that will apply for a period of time after the aid is repaid or redeemed in full. We cannot assure you that any such government crisis relief assistance will not significantly limit our corporate activities or be on terms that are favorable to us. Such restrictions and terms could adversely impact our business and limit our operations and revenue as a result.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7" w:name="page28"/>
    <w:bookmarkEnd w:id="27"/>
    <w:p>
      <w:pPr>
        <w:ind w:right="820" w:firstLine="510"/>
        <w:spacing w:after="0" w:line="277"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62"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41"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In the past several years, we have experienced supply chain, production and training issues as we have expanded our product lines and sales volumes, and may experience similar issues in the future as we continue to grow our business. For example, we have contracted with a manufacturing company located in Wuhan, China for certain laser systems scheduled for release in the latter half of 2020. Due to the COVID-19 or coronavirus outbreak, release of our manufacturing process and launch of these new laser systems may be delayed or disrupted, and we may need to incur costs to replace or shift this manufacturing process elsewhere.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58"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57"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41"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occurrence of any one or more of the foregoing factors could seriously harm our business, financial condition and results of operations.</w:t>
      </w:r>
    </w:p>
    <w:p>
      <w:pPr>
        <w:spacing w:after="0" w:line="12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b w:val="1"/>
          <w:bCs w:val="1"/>
          <w:i w:val="1"/>
          <w:iCs w:val="1"/>
          <w:color w:val="auto"/>
        </w:rPr>
        <w:t>We rely on our direct and independent sales forces and network of international distributors to sell our products and any failure to maintain our sales force and distributor relationships could harm our business.</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16 employees and one independent representative, respectively and our direct sales force in Germany consists of one employee. Our international independent distributors are managed by a team of five people. We generally grant our distributors exclusive territories for the sale of our products in specified countries.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would be adversely affected.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8" w:name="page29"/>
    <w:bookmarkEnd w:id="28"/>
    <w:p>
      <w:pPr>
        <w:ind w:firstLine="510"/>
        <w:spacing w:after="0" w:line="291" w:lineRule="auto"/>
        <w:rPr>
          <w:sz w:val="20"/>
          <w:szCs w:val="20"/>
          <w:color w:val="auto"/>
        </w:rPr>
      </w:pPr>
      <w:r>
        <w:rPr>
          <w:rFonts w:ascii="Arial" w:cs="Arial" w:eastAsia="Arial" w:hAnsi="Arial"/>
          <w:sz w:val="16"/>
          <w:szCs w:val="16"/>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and distributor agreements are generally terminable at will by either party and independents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 Additionally, our sales forces’ operations have been disrupted by the COVID-19 pandemic, as many are no longer allowed to travel and must instead perform their services from home, which could have an impact on their ability to sell and distribute our products.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Growth in our sales and marketing organization may create operational challenges without immediately offsetting benefits.</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56"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It can take six months or longer before our internal sales representatives are fully trained and productive in selling our solution to prospective clients. This ramp period presents a number of operational challenges as the cost of recruiting, hiring and carrying new sales representatives cannot be offset by the revenue such new sales representatives produce until after they complete their ramp periods. If we cannot reliably develop our sales representatives to a productive level, or if we lose productive representatives in whom we have heavily invested, our future growth rates and revenue will suffer.</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derive, and expect to continue to derive, a large portion of our revenues from international sales. For the second quarter of fiscal year 2020, our international sales were $3.0 million, or 49.0% of total revenues. We anticipate that international sales will continue to account for a significant portion of our revenues in the foreseeable future. All of our international revenues and costs for the second quarter of fiscal year 2020 have been denominated in U.S. dollars except for a sale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56"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the COVID-19 pandemic on the global economy and financial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9" w:name="page30"/>
    <w:bookmarkEnd w:id="29"/>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adverse tax consequences, such as those related to changes in tax laws or tax rates or their interpretations;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17" w:lineRule="exact"/>
        <w:rPr>
          <w:rFonts w:ascii="Arial" w:cs="Arial" w:eastAsia="Arial" w:hAnsi="Arial"/>
          <w:sz w:val="18"/>
          <w:szCs w:val="18"/>
          <w:color w:val="auto"/>
        </w:rPr>
      </w:pPr>
    </w:p>
    <w:p>
      <w:pPr>
        <w:ind w:left="1000" w:right="300" w:hanging="493"/>
        <w:spacing w:after="0" w:line="308"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38" w:lineRule="exact"/>
        <w:rPr>
          <w:rFonts w:ascii="Arial" w:cs="Arial" w:eastAsia="Arial" w:hAnsi="Arial"/>
          <w:sz w:val="17"/>
          <w:szCs w:val="17"/>
          <w:color w:val="auto"/>
        </w:rPr>
      </w:pPr>
    </w:p>
    <w:p>
      <w:pPr>
        <w:ind w:left="1000" w:right="38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one or more of these factors stated above could have a material adverse effect on our business, financial condition or results of operations.</w:t>
      </w:r>
    </w:p>
    <w:p>
      <w:pPr>
        <w:spacing w:after="0" w:line="140" w:lineRule="exact"/>
        <w:rPr>
          <w:sz w:val="20"/>
          <w:szCs w:val="20"/>
          <w:color w:val="auto"/>
        </w:rPr>
      </w:pPr>
    </w:p>
    <w:p>
      <w:pPr>
        <w:ind w:right="480" w:firstLine="510"/>
        <w:spacing w:after="0" w:line="279" w:lineRule="auto"/>
        <w:rPr>
          <w:sz w:val="20"/>
          <w:szCs w:val="20"/>
          <w:color w:val="auto"/>
        </w:rPr>
      </w:pPr>
      <w:r>
        <w:rPr>
          <w:rFonts w:ascii="Arial" w:cs="Arial" w:eastAsia="Arial" w:hAnsi="Arial"/>
          <w:sz w:val="17"/>
          <w:szCs w:val="17"/>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63"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b w:val="1"/>
          <w:bCs w:val="1"/>
          <w:i w:val="1"/>
          <w:iCs w:val="1"/>
          <w:color w:val="auto"/>
        </w:rPr>
        <w:t>If we fail to develop and successfully introduce new products and applications or fail to improve our existing products, our business prospects and operating results may suffer.</w:t>
      </w:r>
    </w:p>
    <w:p>
      <w:pPr>
        <w:spacing w:after="0" w:line="62"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In addition, our research and development process has been slowed by the impact of COVID-19, and should the COVID-19 economic restrictions worsen, it could delay and disrupt our research and development processes even further.</w:t>
      </w:r>
    </w:p>
    <w:p>
      <w:pPr>
        <w:spacing w:after="0" w:line="56"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7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17"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For example, the COVID-19 pandemic has and may continue to cause adverse impacts on global economic activity which could negatively impact our business. In addition, political and social turmoil related to international conflicts and terrorist acts may put further pressure on economic conditions in the United States and abroad.</w:t>
      </w:r>
    </w:p>
    <w:p>
      <w:pPr>
        <w:spacing w:after="0" w:line="6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8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If economic uncertainty persisted, or if the economy entered a prolonged period of decelerating growth, our results of operations may be harmed.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17"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38"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uncertainties and political concerns, including the impact of COVID-19;</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delays or reductions in product shipments, or product recalls, resulting from manufacturing, distribution or other operational issues;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117"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variances in shipment volumes as a result of product, supply chain and training issues;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117" w:lineRule="exact"/>
        <w:rPr>
          <w:sz w:val="20"/>
          <w:szCs w:val="20"/>
          <w:color w:val="auto"/>
        </w:rPr>
      </w:pPr>
    </w:p>
    <w:p>
      <w:pPr>
        <w:ind w:right="520" w:firstLine="510"/>
        <w:spacing w:after="0" w:line="342"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8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62"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2"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COVID-19 pandemic on timing of ophthalmic treatment procedures;</w:t>
      </w:r>
    </w:p>
    <w:p>
      <w:pPr>
        <w:spacing w:after="0" w:line="117" w:lineRule="exact"/>
        <w:rPr>
          <w:rFonts w:ascii="Arial" w:cs="Arial" w:eastAsia="Arial" w:hAnsi="Arial"/>
          <w:sz w:val="18"/>
          <w:szCs w:val="18"/>
          <w:color w:val="auto"/>
        </w:rPr>
      </w:pPr>
    </w:p>
    <w:p>
      <w:pPr>
        <w:ind w:left="1000" w:right="8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and clinical study outcomes;</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1" w:name="page32"/>
    <w:bookmarkEnd w:id="31"/>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11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Cyclo G6 probe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17"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4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principal ophthalmic laser competitors are Alcon, Inc., Novartis AG, Bausch Health Companies Inc., Carl Zeiss Meditec AG, Ellex Medical Lasers, Ltd., Lumenis Ltd., Nidek Co. Ltd., Quantel Medical SA, and Topcon Corporation.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Holdings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4"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6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84"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49" w:lineRule="exact"/>
        <w:rPr>
          <w:sz w:val="20"/>
          <w:szCs w:val="20"/>
          <w:color w:val="auto"/>
        </w:rPr>
      </w:pPr>
    </w:p>
    <w:p>
      <w:pPr>
        <w:jc w:val="both"/>
        <w:ind w:right="80" w:firstLine="510"/>
        <w:spacing w:after="0" w:line="301" w:lineRule="auto"/>
        <w:rPr>
          <w:sz w:val="20"/>
          <w:szCs w:val="20"/>
          <w:color w:val="auto"/>
        </w:rPr>
      </w:pPr>
      <w:r>
        <w:rPr>
          <w:rFonts w:ascii="Arial" w:cs="Arial" w:eastAsia="Arial" w:hAnsi="Arial"/>
          <w:sz w:val="16"/>
          <w:szCs w:val="16"/>
          <w:color w:val="auto"/>
        </w:rPr>
        <w:t>Sales or issuances of a substantial amount of securities, or the perception that such sales could occur, may adversely affect prevailing market prices for our common stock. As of June 27, 2020, we had 13,856,969 shares of common stock outstanding, all of which shares were, and continue to be, eligible for sale in the public market, subject in some cases to compliance with the requirements of Rule 144, including the volume limitations and manner of sale requirements. Future resales of our common stock by our existing stockholders could cause the market price of our common stock to decline.</w:t>
      </w:r>
    </w:p>
    <w:p>
      <w:pPr>
        <w:spacing w:after="0" w:line="4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As of June 27, 2020, holders of an aggregate of 973,204 shares of our common stock have rights, subject to some conditions, to require us to file registration statements covering their shares or to include their shares in registration statements that we may file for ourselves or our other stockholders. In addition, the shares of common stock subject to outstanding options and Restricted Stock Units under our 2008 Equity Incentive Plan and the shares reserved for future issuance under the Incentive Plan may become eligible for sale in the public markets in the future, subject to certain legal and control limitations.</w:t>
      </w:r>
    </w:p>
    <w:p>
      <w:pPr>
        <w:spacing w:after="0" w:line="8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ind w:right="80" w:firstLine="510"/>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 xml:space="preserve">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particularly given the recent ruling in </w:t>
      </w:r>
      <w:r>
        <w:rPr>
          <w:rFonts w:ascii="Arial" w:cs="Arial" w:eastAsia="Arial" w:hAnsi="Arial"/>
          <w:sz w:val="17"/>
          <w:szCs w:val="17"/>
          <w:i w:val="1"/>
          <w:iCs w:val="1"/>
          <w:color w:val="auto"/>
        </w:rPr>
        <w:t>Texas v. Azar</w:t>
      </w:r>
      <w:r>
        <w:rPr>
          <w:rFonts w:ascii="Arial" w:cs="Arial" w:eastAsia="Arial" w:hAnsi="Arial"/>
          <w:sz w:val="17"/>
          <w:szCs w:val="17"/>
          <w:color w:val="auto"/>
        </w:rPr>
        <w:t xml:space="preserve"> to invalidate the law as unconstitutional.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ongoing </w:t>
      </w:r>
      <w:r>
        <w:rPr>
          <w:rFonts w:ascii="Arial" w:cs="Arial" w:eastAsia="Arial" w:hAnsi="Arial"/>
          <w:sz w:val="18"/>
          <w:szCs w:val="18"/>
          <w:i w:val="1"/>
          <w:iCs w:val="1"/>
          <w:color w:val="auto"/>
        </w:rPr>
        <w:t>Texas v. Azar</w:t>
      </w:r>
      <w:r>
        <w:rPr>
          <w:rFonts w:ascii="Arial" w:cs="Arial" w:eastAsia="Arial" w:hAnsi="Arial"/>
          <w:sz w:val="18"/>
          <w:szCs w:val="18"/>
          <w:color w:val="auto"/>
        </w:rPr>
        <w:t xml:space="preserve"> case). Denial of coverage and reimbursement of our products, or the revocation or changes to coverage and reimbursement policies, could have a material adverse effect on our business, results of operations and financial condition.</w:t>
      </w:r>
    </w:p>
    <w:p>
      <w:pPr>
        <w:spacing w:after="0" w:line="84"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4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62"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3" w:name="page34"/>
    <w:bookmarkEnd w:id="33"/>
    <w:p>
      <w:pPr>
        <w:ind w:firstLine="510"/>
        <w:spacing w:after="0" w:line="286"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40"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5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68" w:lineRule="exact"/>
        <w:rPr>
          <w:sz w:val="20"/>
          <w:szCs w:val="20"/>
          <w:color w:val="auto"/>
        </w:rPr>
      </w:pPr>
    </w:p>
    <w:p>
      <w:pPr>
        <w:ind w:right="720" w:firstLine="510"/>
        <w:spacing w:after="0" w:line="342"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16"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1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Our patent portfolio includes 23 active United States patents and six active foreign patents on the technologies related to our products and processes. In addition, we have six patent applications pending in the United States and 12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73"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8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6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lose key personnel or fail to integrate replacement personnel successfully, our ability to manage our business could be impaired.</w:t>
      </w:r>
    </w:p>
    <w:p>
      <w:pPr>
        <w:spacing w:after="0" w:line="140"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88" w:lineRule="exact"/>
        <w:rPr>
          <w:sz w:val="20"/>
          <w:szCs w:val="20"/>
          <w:color w:val="auto"/>
        </w:rPr>
      </w:pPr>
    </w:p>
    <w:p>
      <w:pPr>
        <w:ind w:right="520" w:firstLine="510"/>
        <w:spacing w:after="0" w:line="342"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5" w:name="page36"/>
    <w:bookmarkEnd w:id="35"/>
    <w:p>
      <w:pPr>
        <w:ind w:left="52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sources. In addition, some of these suppliers are relatively small private companies whose operations may be disrupted or discontinued at any time. There are risks associated with the use of independent manufacturers, including the following:</w:t>
      </w:r>
    </w:p>
    <w:p>
      <w:pPr>
        <w:spacing w:after="0" w:line="80"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COVID-19 on global supply chains and market stability;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unavailability of shortages or limitations on the ability to obtain supplies of components and products in the quantities that we require;</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of suppliers to manufacture and assemble components and products to our specifications, and potentially reduced quality; and</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obtain components and products at acceptable prices.</w:t>
      </w:r>
    </w:p>
    <w:p>
      <w:pPr>
        <w:spacing w:after="0" w:line="11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catastrophic wildfires, as well as intermittent power outages. Any such loss at any of our facilities caused by fires, flooding, power outages, or earthquakes could disrupt our operations, delay production, shipments and revenue and result in large expense to repair and replace our facilities.</w:t>
      </w:r>
    </w:p>
    <w:p>
      <w:pPr>
        <w:spacing w:after="0" w:line="80"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rely on information technology systems to keep financial records and corporate records, communicate with staff and external parties and operate other critical functions, including sales and manufacturing processes. Our information technology systems are potentially vulnerable to disruption due to breakdown or malicious intrusion and computer viruses. If we were to experience a prolonged system disruption in our information technology systems, it could negatively impact the coordination of our sales, planning and manufacturing activities, which could adversely affect our business. In addition, in order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84"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In addition, our information technology systems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63"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While we have implemented a number of protective measures, including firewalls, antivirus and malware detection tools, patches, log monitors, routine back-ups, system audits, routine password modifications and disaster recovery procedures, such measures may not be adequate or implemented properly to prevent or fully address the adverse effect of such events, and in some cases we may be unaware of an incident or its magnitude and effects.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6" w:name="page37"/>
    <w:bookmarkEnd w:id="36"/>
    <w:p>
      <w:pPr>
        <w:ind w:right="200" w:firstLine="510"/>
        <w:spacing w:after="0" w:line="263" w:lineRule="auto"/>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6"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market our products to numerous health care providers, including physicians, hospitals, ASCs,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56"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FDA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74"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80"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Directives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directives (93/42/EEC), and it substantially changes the way that medical devices are brought to market in the EU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7" w:name="page38"/>
    <w:bookmarkEnd w:id="37"/>
    <w:p>
      <w:pPr>
        <w:ind w:right="440" w:firstLine="510"/>
        <w:spacing w:after="0" w:line="342" w:lineRule="auto"/>
        <w:rPr>
          <w:sz w:val="20"/>
          <w:szCs w:val="20"/>
          <w:color w:val="auto"/>
        </w:rPr>
      </w:pPr>
      <w:r>
        <w:rPr>
          <w:rFonts w:ascii="Arial" w:cs="Arial" w:eastAsia="Arial" w:hAnsi="Arial"/>
          <w:sz w:val="16"/>
          <w:szCs w:val="16"/>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1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6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73"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62"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11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49"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8" w:name="page39"/>
    <w:bookmarkEnd w:id="38"/>
    <w:p>
      <w:pPr>
        <w:ind w:firstLine="510"/>
        <w:spacing w:after="0" w:line="257" w:lineRule="auto"/>
        <w:rPr>
          <w:sz w:val="20"/>
          <w:szCs w:val="20"/>
          <w:color w:val="auto"/>
        </w:rPr>
      </w:pPr>
      <w:r>
        <w:rPr>
          <w:rFonts w:ascii="Arial" w:cs="Arial" w:eastAsia="Arial" w:hAnsi="Arial"/>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80"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For example, on February 23, 2018, we initiated a worldwide voluntary recall of a specific laser accessory called the TruFocus LIO Premiere™ (“LIO”). The LIO is a head-mounted indirect ophthalmoscope that connects to our laser console and is used to view and perform laser treatment on a patient’s retina. This recall was prompted after we received reports of three adverse events from one physician in the U.S.,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Our termination request is pending.</w:t>
      </w:r>
    </w:p>
    <w:p>
      <w:pPr>
        <w:spacing w:after="0" w:line="84"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obtained FDA clearance for an updated TruFocus LIO Premiere™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once launched,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spacing w:after="0" w:line="6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2"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We may be subject to product liability claims from time to time. Our products are highly complex and some are used to treat extremely delicate eye tissue. We believe we maintain adequate levels of product liability insurance.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Significant developments resulting from recent and potential changes in United States trade policies could have a material adverse effect on us.</w:t>
      </w:r>
    </w:p>
    <w:p>
      <w:pPr>
        <w:spacing w:after="0" w:line="15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Certain of our materials may be subject to the effects of various trade agreements, treaties and tariffs. The current U.S. presidential administration has imposed tariffs on various goods from various countries, including China, Canada and the European Union (“EU”), and announced intentions to impose furthermore significant tariffs on certain United States imports. As a result, Canada, the EU, China and other countries have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86"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5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ind w:left="520"/>
        <w:spacing w:after="0"/>
        <w:rPr>
          <w:sz w:val="20"/>
          <w:szCs w:val="20"/>
          <w:color w:val="auto"/>
        </w:rPr>
      </w:pPr>
      <w:r>
        <w:rPr>
          <w:rFonts w:ascii="Arial" w:cs="Arial" w:eastAsia="Arial" w:hAnsi="Arial"/>
          <w:sz w:val="16"/>
          <w:szCs w:val="16"/>
          <w:b w:val="1"/>
          <w:bCs w:val="1"/>
          <w:i w:val="1"/>
          <w:iCs w:val="1"/>
          <w:color w:val="auto"/>
        </w:rPr>
        <w:t>Changes in U.S. tax laws could have a material adverse effect on our business, cash flow, results of operations or financial conditions.</w:t>
      </w:r>
    </w:p>
    <w:p>
      <w:pPr>
        <w:spacing w:after="0" w:line="140"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49"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the Company’s net operating loss carryovers and valuation allowance, there is no impact to its consolidated financial statements as a result of the accounting for the tax effects of the Tax Act.</w:t>
      </w:r>
    </w:p>
    <w:p>
      <w:pPr>
        <w:spacing w:after="0" w:line="80"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76" w:lineRule="exact"/>
        <w:rPr>
          <w:sz w:val="20"/>
          <w:szCs w:val="20"/>
          <w:color w:val="auto"/>
        </w:rPr>
      </w:pPr>
    </w:p>
    <w:p>
      <w:pPr>
        <w:jc w:val="both"/>
        <w:ind w:right="600" w:firstLine="510"/>
        <w:spacing w:after="0" w:line="263" w:lineRule="auto"/>
        <w:rPr>
          <w:sz w:val="20"/>
          <w:szCs w:val="20"/>
          <w:color w:val="auto"/>
        </w:rPr>
      </w:pPr>
      <w:r>
        <w:rPr>
          <w:rFonts w:ascii="Arial" w:cs="Arial" w:eastAsia="Arial" w:hAnsi="Arial"/>
          <w:sz w:val="18"/>
          <w:szCs w:val="18"/>
          <w:b w:val="1"/>
          <w:bCs w:val="1"/>
          <w:i w:val="1"/>
          <w:i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76"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60"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80"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pacing w:after="0" w:line="117" w:lineRule="exact"/>
        <w:rPr>
          <w:rFonts w:ascii="Arial" w:cs="Arial" w:eastAsia="Arial" w:hAnsi="Arial"/>
          <w:sz w:val="18"/>
          <w:szCs w:val="18"/>
          <w:color w:val="auto"/>
        </w:rPr>
      </w:pPr>
    </w:p>
    <w:p>
      <w:pPr>
        <w:ind w:left="1000" w:right="9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integrating an acquired company’s technologies, services, employees, customers, partners, business operations and administrative and software management systems with ours;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realizing the benefits of the acquired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our management’s time and attention from other business concerns;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customer reaction to the product acquisition;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expenses.</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ind w:right="40" w:firstLine="510"/>
        <w:spacing w:after="0" w:line="308" w:lineRule="auto"/>
        <w:rPr>
          <w:sz w:val="20"/>
          <w:szCs w:val="20"/>
          <w:color w:val="auto"/>
        </w:rPr>
      </w:pPr>
      <w:r>
        <w:rPr>
          <w:rFonts w:ascii="Arial" w:cs="Arial" w:eastAsia="Arial" w:hAnsi="Arial"/>
          <w:sz w:val="17"/>
          <w:szCs w:val="17"/>
          <w:b w:val="1"/>
          <w:bCs w:val="1"/>
          <w:i w:val="1"/>
          <w:iCs w:val="1"/>
          <w:color w:val="auto"/>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spacing w:after="0" w:line="38"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We evaluate the performance and strategic fit of all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58"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6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2011/65/EU relating to Restrictions on the Use of Certain Hazardous Substances “RoHS Directive,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58" w:lineRule="exact"/>
        <w:rPr>
          <w:sz w:val="20"/>
          <w:szCs w:val="20"/>
          <w:color w:val="auto"/>
        </w:rPr>
      </w:pPr>
    </w:p>
    <w:p>
      <w:pPr>
        <w:ind w:right="320" w:firstLine="510"/>
        <w:spacing w:after="0" w:line="275"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29"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During the second quarter of fiscal year 2020, the trading price of our common stock fluctuated from a low of $1.40 per share to a high of $2.58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Because we do not intend to pay dividends, stockholders will benefit from an investment in our common stock only if it appreciates in value.</w:t>
      </w:r>
    </w:p>
    <w:p>
      <w:pPr>
        <w:spacing w:after="0" w:line="140"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80"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1" w:name="page42"/>
    <w:bookmarkEnd w:id="41"/>
    <w:p>
      <w:pPr>
        <w:ind w:left="520"/>
        <w:spacing w:after="0"/>
        <w:rPr>
          <w:sz w:val="20"/>
          <w:szCs w:val="20"/>
          <w:color w:val="auto"/>
        </w:rPr>
      </w:pPr>
      <w:r>
        <w:rPr>
          <w:rFonts w:ascii="Arial" w:cs="Arial" w:eastAsia="Arial" w:hAnsi="Arial"/>
          <w:sz w:val="16"/>
          <w:szCs w:val="16"/>
          <w:b w:val="1"/>
          <w:bCs w:val="1"/>
          <w:i w:val="1"/>
          <w:iCs w:val="1"/>
          <w:color w:val="auto"/>
        </w:rPr>
        <w:t>Ownership of our common stock is concentrated among a few investors, which may affect the ability of a third party to acquire control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103"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as of June 27, 2020.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79" w:lineRule="exact"/>
        <w:rPr>
          <w:sz w:val="20"/>
          <w:szCs w:val="20"/>
          <w:color w:val="auto"/>
        </w:rPr>
      </w:pPr>
    </w:p>
    <w:p>
      <w:pPr>
        <w:jc w:val="both"/>
        <w:ind w:right="540" w:firstLine="510"/>
        <w:spacing w:after="0" w:line="311" w:lineRule="auto"/>
        <w:rPr>
          <w:sz w:val="20"/>
          <w:szCs w:val="20"/>
          <w:color w:val="auto"/>
        </w:rPr>
      </w:pPr>
      <w:r>
        <w:rPr>
          <w:rFonts w:ascii="Arial" w:cs="Arial" w:eastAsia="Arial" w:hAnsi="Arial"/>
          <w:sz w:val="16"/>
          <w:szCs w:val="16"/>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4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8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6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8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68"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our board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117"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the chairman of the board, chief executive officer or president, thus prohibiting a stockholder from calling a special meeting;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11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2" w:name="page43"/>
    <w:bookmarkEnd w:id="42"/>
    <w:p>
      <w:pPr>
        <w:ind w:right="4979"/>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Sales of Unregistered Securities</w:t>
      </w: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220" w:type="dxa"/>
            <w:vAlign w:val="bottom"/>
            <w:tcBorders>
              <w:top w:val="single" w:sz="8" w:color="auto"/>
            </w:tcBorders>
            <w:gridSpan w:val="4"/>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Certification of Principal Executive Officer pursuant to Securities Exchange Act Rules 13a-14(a) and 15d-14(a).</w:t>
              </w:r>
            </w:hyperlink>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Certification of Principal Financial Officer pursuant to Securities Exchange Act Rules 13a-14(a) and 15d-14(a).</w:t>
              </w:r>
            </w:hyperlink>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9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Act of 2002.</w:t>
              </w:r>
            </w:hyperlink>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-1593850</wp:posOffset>
            </wp:positionV>
            <wp:extent cx="17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-1593850</wp:posOffset>
            </wp:positionV>
            <wp:extent cx="171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09" w:lineRule="exact"/>
        <w:rPr>
          <w:sz w:val="20"/>
          <w:szCs w:val="20"/>
          <w:color w:val="auto"/>
        </w:rPr>
      </w:pPr>
    </w:p>
    <w:p>
      <w:pPr>
        <w:ind w:left="500" w:right="120" w:hanging="492"/>
        <w:spacing w:after="0" w:line="259"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21"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IRIDEX, the IRIDEX logo, IRIS Medical, MicroPulse, OcuLight, SmartKey, and EndoProbe, are our registered trademarks. G-Probe, DioPexy, DioVet, TruFocus, TrueCW, IQ 577, IQ 532, Cyclo G6, TxCell, OtoProbe, Symphony, EasyFit, Endoview, MoistAir and GreenTip product names are our trademarks. All other trademarks or trade names appearing in this Quarterly Report on Form 10-Q are the property of their respective owners.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IRIDEX Corporation (Registrant)</w:t>
            </w:r>
          </w:p>
        </w:tc>
      </w:tr>
      <w:tr>
        <w:trPr>
          <w:trHeight w:val="459"/>
        </w:trPr>
        <w:tc>
          <w:tcPr>
            <w:tcW w:w="3540" w:type="dxa"/>
            <w:vAlign w:val="bottom"/>
          </w:tcPr>
          <w:p>
            <w:pPr>
              <w:spacing w:after="0"/>
              <w:rPr>
                <w:sz w:val="20"/>
                <w:szCs w:val="20"/>
                <w:color w:val="auto"/>
              </w:rPr>
            </w:pPr>
            <w:r>
              <w:rPr>
                <w:rFonts w:ascii="Arial" w:cs="Arial" w:eastAsia="Arial" w:hAnsi="Arial"/>
                <w:sz w:val="18"/>
                <w:szCs w:val="18"/>
                <w:color w:val="auto"/>
              </w:rPr>
              <w:t>Date: August 7, 2020</w:t>
            </w:r>
          </w:p>
        </w:tc>
        <w:tc>
          <w:tcPr>
            <w:tcW w:w="7700" w:type="dxa"/>
            <w:vAlign w:val="bottom"/>
            <w:gridSpan w:val="4"/>
          </w:tcPr>
          <w:p>
            <w:pPr>
              <w:ind w:left="2900"/>
              <w:spacing w:after="0"/>
              <w:rPr>
                <w:sz w:val="20"/>
                <w:szCs w:val="20"/>
                <w:color w:val="auto"/>
              </w:rPr>
            </w:pPr>
            <w:r>
              <w:rPr>
                <w:rFonts w:ascii="Arial" w:cs="Arial" w:eastAsia="Arial" w:hAnsi="Arial"/>
                <w:sz w:val="18"/>
                <w:szCs w:val="18"/>
                <w:color w:val="auto"/>
              </w:rPr>
              <w:t>By:  /s/ DAVID I. BRUCE</w:t>
            </w:r>
          </w:p>
        </w:tc>
      </w:tr>
      <w:tr>
        <w:trPr>
          <w:trHeight w:val="27"/>
        </w:trPr>
        <w:tc>
          <w:tcPr>
            <w:tcW w:w="3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22"/>
        </w:trPr>
        <w:tc>
          <w:tcPr>
            <w:tcW w:w="35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80"/>
              <w:spacing w:after="0"/>
              <w:rPr>
                <w:sz w:val="20"/>
                <w:szCs w:val="20"/>
                <w:color w:val="auto"/>
              </w:rPr>
            </w:pPr>
            <w:r>
              <w:rPr>
                <w:rFonts w:ascii="Arial" w:cs="Arial" w:eastAsia="Arial" w:hAnsi="Arial"/>
                <w:sz w:val="18"/>
                <w:szCs w:val="18"/>
                <w:color w:val="auto"/>
              </w:rPr>
              <w:t>David I. Bruce</w:t>
            </w:r>
          </w:p>
        </w:tc>
      </w:tr>
      <w:tr>
        <w:trPr>
          <w:trHeight w:val="216"/>
        </w:trPr>
        <w:tc>
          <w:tcPr>
            <w:tcW w:w="3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3540" w:type="dxa"/>
            <w:vAlign w:val="bottom"/>
          </w:tcPr>
          <w:p>
            <w:pPr>
              <w:spacing w:after="0"/>
              <w:rPr>
                <w:sz w:val="20"/>
                <w:szCs w:val="20"/>
                <w:color w:val="auto"/>
              </w:rPr>
            </w:pPr>
            <w:r>
              <w:rPr>
                <w:rFonts w:ascii="Arial" w:cs="Arial" w:eastAsia="Arial" w:hAnsi="Arial"/>
                <w:sz w:val="18"/>
                <w:szCs w:val="18"/>
                <w:color w:val="auto"/>
              </w:rPr>
              <w:t>Date: August 7, 2020</w:t>
            </w:r>
          </w:p>
        </w:tc>
        <w:tc>
          <w:tcPr>
            <w:tcW w:w="7700" w:type="dxa"/>
            <w:vAlign w:val="bottom"/>
            <w:gridSpan w:val="4"/>
          </w:tcPr>
          <w:p>
            <w:pPr>
              <w:ind w:left="2920"/>
              <w:spacing w:after="0"/>
              <w:rPr>
                <w:sz w:val="20"/>
                <w:szCs w:val="20"/>
                <w:color w:val="auto"/>
              </w:rPr>
            </w:pPr>
            <w:r>
              <w:rPr>
                <w:rFonts w:ascii="Arial" w:cs="Arial" w:eastAsia="Arial" w:hAnsi="Arial"/>
                <w:sz w:val="18"/>
                <w:szCs w:val="18"/>
                <w:color w:val="auto"/>
              </w:rPr>
              <w:t>By:  /s/ JAMES H. MACKANESS</w:t>
            </w:r>
          </w:p>
        </w:tc>
      </w:tr>
      <w:tr>
        <w:trPr>
          <w:trHeight w:val="195"/>
        </w:trPr>
        <w:tc>
          <w:tcPr>
            <w:tcW w:w="35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Name:</w:t>
            </w:r>
          </w:p>
        </w:tc>
        <w:tc>
          <w:tcPr>
            <w:tcW w:w="38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James H. Mackaness</w:t>
            </w:r>
          </w:p>
        </w:tc>
      </w:tr>
      <w:tr>
        <w:trPr>
          <w:trHeight w:val="216"/>
        </w:trPr>
        <w:tc>
          <w:tcPr>
            <w:tcW w:w="3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80"/>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3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(Principal Financial Officer)</w:t>
            </w:r>
          </w:p>
        </w:tc>
      </w:tr>
      <w:tr>
        <w:trPr>
          <w:trHeight w:val="675"/>
        </w:trPr>
        <w:tc>
          <w:tcPr>
            <w:tcW w:w="3540" w:type="dxa"/>
            <w:vAlign w:val="bottom"/>
          </w:tcPr>
          <w:p>
            <w:pPr>
              <w:spacing w:after="0"/>
              <w:rPr>
                <w:sz w:val="24"/>
                <w:szCs w:val="24"/>
                <w:color w:val="auto"/>
              </w:rPr>
            </w:pPr>
          </w:p>
        </w:tc>
        <w:tc>
          <w:tcPr>
            <w:tcW w:w="3280" w:type="dxa"/>
            <w:vAlign w:val="bottom"/>
          </w:tcPr>
          <w:p>
            <w:pPr>
              <w:jc w:val="right"/>
              <w:ind w:right="101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I. Bruce, certify that:</w:t>
      </w:r>
    </w:p>
    <w:p>
      <w:pPr>
        <w:spacing w:after="0" w:line="117"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40" w:hanging="493"/>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52"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I. BRUCE</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David I. Bruce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 Mackaness, certify that:</w:t>
      </w:r>
    </w:p>
    <w:p>
      <w:pPr>
        <w:spacing w:after="0" w:line="117"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40" w:hanging="493"/>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52"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 MACKANESS</w:t>
            </w:r>
          </w:p>
        </w:tc>
      </w:t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James H. Mackaness</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86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 David I. Bruce, pursuant to 18 U.S.C. Section 1350, as adopted pursuant to Section 906 of the Sarbanes-Oxley Act of 2002, certify that the Quarterly Report of IRIDEX Corporation on Form 10-Q for the fiscal quarter ended June 27, 2020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I.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I. Bruce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 James H. Mackaness, pursuant to 18 U.S.C. Section 1350, as adopted pursuant to Section 906 of the Sarbanes-Oxley Act of 2002, certify that the Quarterly Report of IRIDEX Corporation on Form 10-Q for the fiscal quarter ended June 27, 2020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H. Mackaness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Interim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lvl w:ilvl="1">
      <w:lvlJc w:val="left"/>
      <w:lvlText w:val="%2."/>
      <w:numFmt w:val="lowerLetter"/>
      <w:start w:val="1"/>
    </w:lvl>
  </w:abstractNum>
  <w:abstractNum w:abstractNumId="5">
    <w:nsid w:val="7FDCC233"/>
    <w:multiLevelType w:val="hybridMultilevel"/>
    <w:lvl w:ilvl="0">
      <w:lvlJc w:val="left"/>
      <w:lvlText w:val="(%1)"/>
      <w:numFmt w:val="decimal"/>
      <w:start w:val="5"/>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8"/>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2020-08-10T06:28:50Z</dcterms:created>
  <dcterms:modified xsi:type="dcterms:W3CDTF">2020-08-10T06:28:50Z</dcterms:modified>
</cp:coreProperties>
</file>