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64770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72390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(Mark One)</w:t>
      </w:r>
    </w:p>
    <w:p>
      <w:pPr>
        <w:ind w:left="560" w:hanging="552"/>
        <w:spacing w:after="0" w:line="182" w:lineRule="auto"/>
        <w:tabs>
          <w:tab w:leader="none" w:pos="560" w:val="left"/>
        </w:tabs>
        <w:numPr>
          <w:ilvl w:val="0"/>
          <w:numId w:val="1"/>
        </w:numPr>
        <w:rPr>
          <w:rFonts w:ascii="MS PGothic" w:cs="MS PGothic" w:eastAsia="MS PGothic" w:hAnsi="MS PGothic"/>
          <w:sz w:val="30"/>
          <w:szCs w:val="30"/>
          <w:color w:val="auto"/>
          <w:vertAlign w:val="subscript"/>
        </w:rPr>
      </w:pPr>
      <w:r>
        <w:rPr>
          <w:rFonts w:ascii="Arial" w:cs="Arial" w:eastAsia="Arial" w:hAnsi="Arial"/>
          <w:sz w:val="13"/>
          <w:szCs w:val="13"/>
          <w:b w:val="1"/>
          <w:bCs w:val="1"/>
          <w:color w:val="auto"/>
        </w:rPr>
        <w:t>ANNUAL REPORT PURSUANT TO SECTION 13 OR 15(d) OF THE SECURITY EXCHANGE ACT OF 1934</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fiscal year ended December 30, 2017</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560" w:hanging="552"/>
        <w:spacing w:after="0" w:line="182" w:lineRule="auto"/>
        <w:tabs>
          <w:tab w:leader="none" w:pos="560" w:val="left"/>
        </w:tabs>
        <w:numPr>
          <w:ilvl w:val="0"/>
          <w:numId w:val="2"/>
        </w:numPr>
        <w:rPr>
          <w:rFonts w:ascii="MS PGothic" w:cs="MS PGothic" w:eastAsia="MS PGothic" w:hAnsi="MS PGothic"/>
          <w:sz w:val="30"/>
          <w:szCs w:val="30"/>
          <w:color w:val="auto"/>
          <w:vertAlign w:val="subscript"/>
        </w:rPr>
      </w:pPr>
      <w:r>
        <w:rPr>
          <w:rFonts w:ascii="Arial" w:cs="Arial" w:eastAsia="Arial" w:hAnsi="Arial"/>
          <w:sz w:val="13"/>
          <w:szCs w:val="13"/>
          <w:b w:val="1"/>
          <w:bCs w:val="1"/>
          <w:color w:val="auto"/>
        </w:rPr>
        <w:t>TRANSITION REPORT PURSUANT TO SECTION 13 OR 15(d) OF THE SECURITY EXCHANGE ACT OF 1934</w:t>
      </w:r>
    </w:p>
    <w:p>
      <w:pPr>
        <w:spacing w:after="0" w:line="81" w:lineRule="exact"/>
        <w:rPr>
          <w:sz w:val="24"/>
          <w:szCs w:val="24"/>
          <w:color w:val="auto"/>
        </w:rPr>
      </w:pPr>
    </w:p>
    <w:tbl>
      <w:tblPr>
        <w:tblLayout w:type="fixed"/>
        <w:tblInd w:w="394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w w:val="94"/>
              </w:rPr>
              <w:t>For the transition period from</w:t>
            </w: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11"/>
        </w:trPr>
        <w:tc>
          <w:tcPr>
            <w:tcW w:w="3520" w:type="dxa"/>
            <w:vAlign w:val="bottom"/>
            <w:gridSpan w:val="6"/>
          </w:tcPr>
          <w:p>
            <w:pPr>
              <w:ind w:left="720"/>
              <w:spacing w:after="0"/>
              <w:rPr>
                <w:sz w:val="20"/>
                <w:szCs w:val="20"/>
                <w:color w:val="auto"/>
              </w:rPr>
            </w:pPr>
            <w:r>
              <w:rPr>
                <w:rFonts w:ascii="Arial" w:cs="Arial" w:eastAsia="Arial" w:hAnsi="Arial"/>
                <w:sz w:val="14"/>
                <w:szCs w:val="14"/>
                <w:b w:val="1"/>
                <w:bCs w:val="1"/>
                <w:color w:val="auto"/>
              </w:rPr>
              <w:t>Commission File Number 0-27598</w:t>
            </w:r>
          </w:p>
        </w:tc>
        <w:tc>
          <w:tcPr>
            <w:tcW w:w="40" w:type="dxa"/>
            <w:vAlign w:val="bottom"/>
          </w:tcPr>
          <w:p>
            <w:pPr>
              <w:spacing w:after="0"/>
              <w:rPr>
                <w:sz w:val="18"/>
                <w:szCs w:val="18"/>
                <w:color w:val="auto"/>
              </w:rPr>
            </w:pPr>
          </w:p>
        </w:tc>
      </w:tr>
      <w:tr>
        <w:trPr>
          <w:trHeight w:val="80"/>
        </w:trPr>
        <w:tc>
          <w:tcPr>
            <w:tcW w:w="9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IRIDEX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56515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jc w:val="center"/>
              <w:ind w:left="2010"/>
              <w:spacing w:after="0"/>
              <w:rPr>
                <w:sz w:val="20"/>
                <w:szCs w:val="20"/>
                <w:color w:val="auto"/>
              </w:rPr>
            </w:pPr>
            <w:r>
              <w:rPr>
                <w:rFonts w:ascii="Arial" w:cs="Arial" w:eastAsia="Arial" w:hAnsi="Arial"/>
                <w:sz w:val="14"/>
                <w:szCs w:val="14"/>
                <w:b w:val="1"/>
                <w:bCs w:val="1"/>
                <w:color w:val="auto"/>
                <w:w w:val="94"/>
              </w:rPr>
              <w:t>Delaware</w:t>
            </w: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tcPr>
          <w:p>
            <w:pPr>
              <w:jc w:val="right"/>
              <w:ind w:right="2430"/>
              <w:spacing w:after="0"/>
              <w:rPr>
                <w:sz w:val="20"/>
                <w:szCs w:val="20"/>
                <w:color w:val="auto"/>
              </w:rPr>
            </w:pPr>
            <w:r>
              <w:rPr>
                <w:rFonts w:ascii="Arial" w:cs="Arial" w:eastAsia="Arial" w:hAnsi="Arial"/>
                <w:sz w:val="14"/>
                <w:szCs w:val="14"/>
                <w:b w:val="1"/>
                <w:bCs w:val="1"/>
                <w:color w:val="auto"/>
              </w:rPr>
              <w:t>77-0210467</w:t>
            </w:r>
          </w:p>
        </w:tc>
        <w:tc>
          <w:tcPr>
            <w:tcW w:w="0" w:type="dxa"/>
            <w:vAlign w:val="bottom"/>
          </w:tcPr>
          <w:p>
            <w:pPr>
              <w:spacing w:after="0"/>
              <w:rPr>
                <w:sz w:val="1"/>
                <w:szCs w:val="1"/>
                <w:color w:val="auto"/>
              </w:rPr>
            </w:pPr>
          </w:p>
        </w:tc>
      </w:tr>
      <w:tr>
        <w:trPr>
          <w:trHeight w:val="174"/>
        </w:trPr>
        <w:tc>
          <w:tcPr>
            <w:tcW w:w="7500" w:type="dxa"/>
            <w:vAlign w:val="bottom"/>
            <w:gridSpan w:val="6"/>
          </w:tcPr>
          <w:p>
            <w:pPr>
              <w:jc w:val="center"/>
              <w:ind w:right="1712"/>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3920" w:type="dxa"/>
            <w:vAlign w:val="bottom"/>
          </w:tcPr>
          <w:p>
            <w:pPr>
              <w:ind w:left="4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234"/>
        </w:trPr>
        <w:tc>
          <w:tcPr>
            <w:tcW w:w="3660" w:type="dxa"/>
            <w:vAlign w:val="bottom"/>
          </w:tcPr>
          <w:p>
            <w:pPr>
              <w:jc w:val="center"/>
              <w:ind w:left="90"/>
              <w:spacing w:after="0"/>
              <w:rPr>
                <w:sz w:val="20"/>
                <w:szCs w:val="20"/>
                <w:color w:val="auto"/>
              </w:rPr>
            </w:pPr>
            <w:r>
              <w:rPr>
                <w:rFonts w:ascii="Arial" w:cs="Arial" w:eastAsia="Arial" w:hAnsi="Arial"/>
                <w:sz w:val="14"/>
                <w:szCs w:val="14"/>
                <w:b w:val="1"/>
                <w:bCs w:val="1"/>
                <w:color w:val="auto"/>
                <w:w w:val="92"/>
              </w:rPr>
              <w:t>1212 Terra Bella Avenue</w:t>
            </w:r>
          </w:p>
        </w:tc>
        <w:tc>
          <w:tcPr>
            <w:tcW w:w="2880" w:type="dxa"/>
            <w:vAlign w:val="bottom"/>
            <w:gridSpan w:val="4"/>
          </w:tcPr>
          <w:p>
            <w:pPr>
              <w:jc w:val="center"/>
              <w:ind w:left="1130"/>
              <w:spacing w:after="0"/>
              <w:rPr>
                <w:sz w:val="20"/>
                <w:szCs w:val="20"/>
                <w:color w:val="auto"/>
              </w:rPr>
            </w:pPr>
            <w:r>
              <w:rPr>
                <w:rFonts w:ascii="Arial" w:cs="Arial" w:eastAsia="Arial" w:hAnsi="Arial"/>
                <w:sz w:val="14"/>
                <w:szCs w:val="14"/>
                <w:b w:val="1"/>
                <w:bCs w:val="1"/>
                <w:color w:val="auto"/>
                <w:w w:val="87"/>
              </w:rPr>
              <w:t>(650) 940-4700</w:t>
            </w:r>
          </w:p>
        </w:tc>
        <w:tc>
          <w:tcPr>
            <w:tcW w:w="960" w:type="dxa"/>
            <w:vAlign w:val="bottom"/>
          </w:tcPr>
          <w:p>
            <w:pPr>
              <w:spacing w:after="0"/>
              <w:rPr>
                <w:sz w:val="20"/>
                <w:szCs w:val="20"/>
                <w:color w:val="auto"/>
              </w:rPr>
            </w:pPr>
          </w:p>
        </w:tc>
        <w:tc>
          <w:tcPr>
            <w:tcW w:w="3920" w:type="dxa"/>
            <w:vAlign w:val="bottom"/>
          </w:tcPr>
          <w:p>
            <w:pPr>
              <w:jc w:val="right"/>
              <w:ind w:right="1650"/>
              <w:spacing w:after="0"/>
              <w:rPr>
                <w:sz w:val="20"/>
                <w:szCs w:val="20"/>
                <w:color w:val="auto"/>
              </w:rPr>
            </w:pPr>
            <w:r>
              <w:rPr>
                <w:rFonts w:ascii="Arial" w:cs="Arial" w:eastAsia="Arial" w:hAnsi="Arial"/>
                <w:sz w:val="14"/>
                <w:szCs w:val="14"/>
                <w:b w:val="1"/>
                <w:bCs w:val="1"/>
                <w:color w:val="auto"/>
              </w:rPr>
              <w:t>94043</w:t>
            </w:r>
          </w:p>
        </w:tc>
        <w:tc>
          <w:tcPr>
            <w:tcW w:w="0" w:type="dxa"/>
            <w:vAlign w:val="bottom"/>
          </w:tcPr>
          <w:p>
            <w:pPr>
              <w:spacing w:after="0"/>
              <w:rPr>
                <w:sz w:val="1"/>
                <w:szCs w:val="1"/>
                <w:color w:val="auto"/>
              </w:rPr>
            </w:pPr>
          </w:p>
        </w:tc>
      </w:tr>
      <w:tr>
        <w:trPr>
          <w:trHeight w:val="158"/>
        </w:trPr>
        <w:tc>
          <w:tcPr>
            <w:tcW w:w="3660" w:type="dxa"/>
            <w:vAlign w:val="bottom"/>
          </w:tcPr>
          <w:p>
            <w:pPr>
              <w:jc w:val="center"/>
              <w:ind w:left="90"/>
              <w:spacing w:after="0" w:line="159" w:lineRule="exact"/>
              <w:rPr>
                <w:sz w:val="20"/>
                <w:szCs w:val="20"/>
                <w:color w:val="auto"/>
              </w:rPr>
            </w:pPr>
            <w:r>
              <w:rPr>
                <w:rFonts w:ascii="Arial" w:cs="Arial" w:eastAsia="Arial" w:hAnsi="Arial"/>
                <w:sz w:val="14"/>
                <w:szCs w:val="14"/>
                <w:b w:val="1"/>
                <w:bCs w:val="1"/>
                <w:color w:val="auto"/>
                <w:w w:val="96"/>
              </w:rPr>
              <w:t>Mountain View, CA</w:t>
            </w:r>
          </w:p>
        </w:tc>
        <w:tc>
          <w:tcPr>
            <w:tcW w:w="3840" w:type="dxa"/>
            <w:vAlign w:val="bottom"/>
            <w:gridSpan w:val="5"/>
          </w:tcPr>
          <w:p>
            <w:pPr>
              <w:jc w:val="center"/>
              <w:ind w:left="210"/>
              <w:spacing w:after="0" w:line="159" w:lineRule="exact"/>
              <w:rPr>
                <w:sz w:val="20"/>
                <w:szCs w:val="20"/>
                <w:color w:val="auto"/>
              </w:rPr>
            </w:pPr>
            <w:r>
              <w:rPr>
                <w:rFonts w:ascii="Arial" w:cs="Arial" w:eastAsia="Arial" w:hAnsi="Arial"/>
                <w:sz w:val="14"/>
                <w:szCs w:val="14"/>
                <w:b w:val="1"/>
                <w:bCs w:val="1"/>
                <w:color w:val="auto"/>
                <w:w w:val="85"/>
              </w:rPr>
              <w:t>(Registrant’s telephone number, including area code)</w:t>
            </w:r>
          </w:p>
        </w:tc>
        <w:tc>
          <w:tcPr>
            <w:tcW w:w="3920" w:type="dxa"/>
            <w:vAlign w:val="bottom"/>
          </w:tcPr>
          <w:p>
            <w:pPr>
              <w:jc w:val="center"/>
              <w:ind w:left="50"/>
              <w:spacing w:after="0" w:line="159" w:lineRule="exact"/>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74"/>
        </w:trPr>
        <w:tc>
          <w:tcPr>
            <w:tcW w:w="3660" w:type="dxa"/>
            <w:vAlign w:val="bottom"/>
          </w:tcPr>
          <w:p>
            <w:pPr>
              <w:jc w:val="center"/>
              <w:ind w:left="9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660" w:type="dxa"/>
            <w:vAlign w:val="bottom"/>
          </w:tcPr>
          <w:p>
            <w:pPr>
              <w:spacing w:after="0"/>
              <w:rPr>
                <w:sz w:val="18"/>
                <w:szCs w:val="18"/>
                <w:color w:val="auto"/>
              </w:rPr>
            </w:pPr>
          </w:p>
        </w:tc>
        <w:tc>
          <w:tcPr>
            <w:tcW w:w="3840" w:type="dxa"/>
            <w:vAlign w:val="bottom"/>
            <w:gridSpan w:val="5"/>
          </w:tcPr>
          <w:p>
            <w:pPr>
              <w:jc w:val="center"/>
              <w:ind w:left="21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Borders>
              <w:bottom w:val="single" w:sz="8" w:color="auto"/>
            </w:tcBorders>
          </w:tcPr>
          <w:p>
            <w:pPr>
              <w:jc w:val="center"/>
              <w:ind w:left="1890"/>
              <w:spacing w:after="0"/>
              <w:rPr>
                <w:sz w:val="20"/>
                <w:szCs w:val="20"/>
                <w:color w:val="auto"/>
              </w:rPr>
            </w:pPr>
            <w:r>
              <w:rPr>
                <w:rFonts w:ascii="Arial" w:cs="Arial" w:eastAsia="Arial" w:hAnsi="Arial"/>
                <w:sz w:val="14"/>
                <w:szCs w:val="14"/>
                <w:b w:val="1"/>
                <w:bCs w:val="1"/>
                <w:color w:val="auto"/>
                <w:w w:val="88"/>
              </w:rPr>
              <w:t>Title of Each Class</w:t>
            </w: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2"/>
          </w:tcPr>
          <w:p>
            <w:pPr>
              <w:jc w:val="center"/>
              <w:ind w:right="650"/>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173"/>
        </w:trPr>
        <w:tc>
          <w:tcPr>
            <w:tcW w:w="3660" w:type="dxa"/>
            <w:vAlign w:val="bottom"/>
          </w:tcPr>
          <w:p>
            <w:pPr>
              <w:jc w:val="center"/>
              <w:ind w:left="1890"/>
              <w:spacing w:after="0"/>
              <w:rPr>
                <w:sz w:val="20"/>
                <w:szCs w:val="20"/>
                <w:color w:val="auto"/>
              </w:rPr>
            </w:pPr>
            <w:r>
              <w:rPr>
                <w:rFonts w:ascii="Arial" w:cs="Arial" w:eastAsia="Arial" w:hAnsi="Arial"/>
                <w:sz w:val="14"/>
                <w:szCs w:val="14"/>
                <w:b w:val="1"/>
                <w:bCs w:val="1"/>
                <w:color w:val="auto"/>
                <w:w w:val="95"/>
              </w:rPr>
              <w:t>Common</w:t>
            </w: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920" w:type="dxa"/>
            <w:vAlign w:val="bottom"/>
          </w:tcPr>
          <w:p>
            <w:pPr>
              <w:jc w:val="center"/>
              <w:ind w:right="1610"/>
              <w:spacing w:after="0"/>
              <w:rPr>
                <w:sz w:val="20"/>
                <w:szCs w:val="20"/>
                <w:color w:val="auto"/>
              </w:rPr>
            </w:pPr>
            <w:r>
              <w:rPr>
                <w:rFonts w:ascii="Arial" w:cs="Arial" w:eastAsia="Arial" w:hAnsi="Arial"/>
                <w:sz w:val="14"/>
                <w:szCs w:val="14"/>
                <w:b w:val="1"/>
                <w:bCs w:val="1"/>
                <w:color w:val="auto"/>
                <w:w w:val="99"/>
              </w:rPr>
              <w:t>NASDAQ Global Market</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3840" w:type="dxa"/>
            <w:vAlign w:val="bottom"/>
            <w:gridSpan w:val="5"/>
          </w:tcPr>
          <w:p>
            <w:pPr>
              <w:jc w:val="center"/>
              <w:ind w:left="210"/>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3840" w:type="dxa"/>
            <w:vAlign w:val="bottom"/>
            <w:gridSpan w:val="5"/>
          </w:tcPr>
          <w:p>
            <w:pPr>
              <w:jc w:val="center"/>
              <w:ind w:left="19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900" w:type="dxa"/>
            <w:vAlign w:val="bottom"/>
            <w:gridSpan w:val="2"/>
          </w:tcPr>
          <w:p>
            <w:pPr>
              <w:spacing w:after="0"/>
              <w:rPr>
                <w:sz w:val="5"/>
                <w:szCs w:val="5"/>
                <w:color w:val="auto"/>
              </w:rPr>
            </w:pPr>
          </w:p>
        </w:tc>
        <w:tc>
          <w:tcPr>
            <w:tcW w:w="1640" w:type="dxa"/>
            <w:vAlign w:val="bottom"/>
            <w:tcBorders>
              <w:bottom w:val="single" w:sz="8" w:color="auto"/>
            </w:tcBorders>
            <w:gridSpan w:val="3"/>
          </w:tcPr>
          <w:p>
            <w:pPr>
              <w:spacing w:after="0"/>
              <w:rPr>
                <w:sz w:val="5"/>
                <w:szCs w:val="5"/>
                <w:color w:val="auto"/>
              </w:rPr>
            </w:pPr>
          </w:p>
        </w:tc>
        <w:tc>
          <w:tcPr>
            <w:tcW w:w="960" w:type="dxa"/>
            <w:vAlign w:val="bottom"/>
          </w:tcPr>
          <w:p>
            <w:pPr>
              <w:spacing w:after="0"/>
              <w:rPr>
                <w:sz w:val="5"/>
                <w:szCs w:val="5"/>
                <w:color w:val="auto"/>
              </w:rPr>
            </w:pPr>
          </w:p>
        </w:tc>
        <w:tc>
          <w:tcPr>
            <w:tcW w:w="392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21"/>
        </w:trPr>
        <w:tc>
          <w:tcPr>
            <w:tcW w:w="7500" w:type="dxa"/>
            <w:vAlign w:val="bottom"/>
            <w:gridSpan w:val="6"/>
          </w:tcPr>
          <w:p>
            <w:pPr>
              <w:ind w:left="560"/>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 of 1933.</w:t>
            </w:r>
          </w:p>
        </w:tc>
        <w:tc>
          <w:tcPr>
            <w:tcW w:w="3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left="560"/>
        <w:spacing w:after="0" w:line="161" w:lineRule="exact"/>
        <w:tabs>
          <w:tab w:leader="none" w:pos="9960" w:val="left"/>
          <w:tab w:leader="none" w:pos="1048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Securities Exchange Act of 1934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2"/>
          <w:szCs w:val="12"/>
          <w:color w:val="auto"/>
        </w:rPr>
        <w:t>☐</w:t>
      </w:r>
      <w:r>
        <w:rPr>
          <w:rFonts w:ascii="Arial" w:cs="Arial" w:eastAsia="Arial" w:hAnsi="Arial"/>
          <w:sz w:val="14"/>
          <w:szCs w:val="14"/>
          <w:color w:val="auto"/>
        </w:rPr>
        <w:tab/>
        <w:t xml:space="preserve">No </w:t>
      </w:r>
      <w:r>
        <w:rPr>
          <w:rFonts w:ascii="MS PGothic" w:cs="MS PGothic" w:eastAsia="MS PGothic" w:hAnsi="MS PGothic"/>
          <w:sz w:val="12"/>
          <w:szCs w:val="12"/>
          <w:color w:val="auto"/>
        </w:rPr>
        <w:t>☑</w:t>
      </w:r>
    </w:p>
    <w:p>
      <w:pPr>
        <w:spacing w:after="0" w:line="56" w:lineRule="exact"/>
        <w:rPr>
          <w:sz w:val="24"/>
          <w:szCs w:val="24"/>
          <w:color w:val="auto"/>
        </w:rPr>
      </w:pPr>
    </w:p>
    <w:p>
      <w:pPr>
        <w:jc w:val="both"/>
        <w:ind w:right="20" w:firstLine="555"/>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8" w:lineRule="exact"/>
        <w:rPr>
          <w:sz w:val="24"/>
          <w:szCs w:val="24"/>
          <w:color w:val="auto"/>
        </w:rPr>
      </w:pPr>
    </w:p>
    <w:p>
      <w:pPr>
        <w:ind w:right="80" w:firstLine="555"/>
        <w:spacing w:after="0" w:line="167"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2"/>
          <w:szCs w:val="12"/>
          <w:color w:val="auto"/>
        </w:rPr>
        <w:t xml:space="preserve"> No </w:t>
      </w:r>
      <w:r>
        <w:rPr>
          <w:rFonts w:ascii="MS PGothic" w:cs="MS PGothic" w:eastAsia="MS PGothic" w:hAnsi="MS PGothic"/>
          <w:sz w:val="11"/>
          <w:szCs w:val="11"/>
          <w:color w:val="auto"/>
        </w:rPr>
        <w:t>☐</w:t>
      </w:r>
    </w:p>
    <w:p>
      <w:pPr>
        <w:spacing w:after="0" w:line="19" w:lineRule="exact"/>
        <w:rPr>
          <w:sz w:val="24"/>
          <w:szCs w:val="24"/>
          <w:color w:val="auto"/>
        </w:rPr>
      </w:pPr>
    </w:p>
    <w:p>
      <w:pPr>
        <w:ind w:right="380" w:firstLine="555"/>
        <w:spacing w:after="0" w:line="167"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1"/>
          <w:szCs w:val="11"/>
          <w:color w:val="auto"/>
        </w:rPr>
        <w:t>☑</w:t>
      </w:r>
    </w:p>
    <w:p>
      <w:pPr>
        <w:spacing w:after="0" w:line="19" w:lineRule="exact"/>
        <w:rPr>
          <w:sz w:val="24"/>
          <w:szCs w:val="24"/>
          <w:color w:val="auto"/>
        </w:rPr>
      </w:pPr>
    </w:p>
    <w:p>
      <w:pPr>
        <w:ind w:right="140" w:firstLine="555"/>
        <w:spacing w:after="0" w:line="29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tbl>
      <w:tblPr>
        <w:tblLayout w:type="fixed"/>
        <w:tblInd w:w="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19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19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6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21"/>
                <w:szCs w:val="21"/>
                <w:color w:val="auto"/>
              </w:rPr>
            </w:pPr>
          </w:p>
        </w:tc>
        <w:tc>
          <w:tcPr>
            <w:tcW w:w="1960" w:type="dxa"/>
            <w:vAlign w:val="bottom"/>
          </w:tcPr>
          <w:p>
            <w:pPr>
              <w:spacing w:after="0"/>
              <w:rPr>
                <w:sz w:val="21"/>
                <w:szCs w:val="21"/>
                <w:color w:val="auto"/>
              </w:rPr>
            </w:pPr>
          </w:p>
        </w:tc>
      </w:tr>
    </w:tbl>
    <w:p>
      <w:pPr>
        <w:spacing w:after="0" w:line="4" w:lineRule="exact"/>
        <w:rPr>
          <w:sz w:val="24"/>
          <w:szCs w:val="24"/>
          <w:color w:val="auto"/>
        </w:rPr>
      </w:pPr>
    </w:p>
    <w:p>
      <w:pPr>
        <w:ind w:right="200" w:firstLine="55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 w:lineRule="exact"/>
        <w:rPr>
          <w:sz w:val="24"/>
          <w:szCs w:val="24"/>
          <w:color w:val="auto"/>
        </w:rPr>
      </w:pPr>
    </w:p>
    <w:p>
      <w:pPr>
        <w:ind w:left="560"/>
        <w:spacing w:after="0" w:line="161" w:lineRule="exact"/>
        <w:tabs>
          <w:tab w:leader="none" w:pos="6860" w:val="left"/>
          <w:tab w:leader="none" w:pos="73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2"/>
          <w:szCs w:val="12"/>
          <w:color w:val="auto"/>
        </w:rPr>
        <w:t>☐</w:t>
      </w:r>
      <w:r>
        <w:rPr>
          <w:rFonts w:ascii="Arial" w:cs="Arial" w:eastAsia="Arial" w:hAnsi="Arial"/>
          <w:sz w:val="14"/>
          <w:szCs w:val="14"/>
          <w:color w:val="auto"/>
        </w:rPr>
        <w:tab/>
        <w:t xml:space="preserve">No  </w:t>
      </w:r>
      <w:r>
        <w:rPr>
          <w:rFonts w:ascii="MS PGothic" w:cs="MS PGothic" w:eastAsia="MS PGothic" w:hAnsi="MS PGothic"/>
          <w:sz w:val="12"/>
          <w:szCs w:val="12"/>
          <w:color w:val="auto"/>
        </w:rPr>
        <w:t>☑</w:t>
      </w:r>
    </w:p>
    <w:p>
      <w:pPr>
        <w:spacing w:after="0" w:line="56" w:lineRule="exact"/>
        <w:rPr>
          <w:sz w:val="24"/>
          <w:szCs w:val="24"/>
          <w:color w:val="auto"/>
        </w:rPr>
      </w:pPr>
    </w:p>
    <w:p>
      <w:pPr>
        <w:ind w:right="80" w:firstLine="555"/>
        <w:spacing w:after="0" w:line="278" w:lineRule="auto"/>
        <w:rPr>
          <w:sz w:val="20"/>
          <w:szCs w:val="20"/>
          <w:color w:val="auto"/>
        </w:rPr>
      </w:pPr>
      <w:r>
        <w:rPr>
          <w:rFonts w:ascii="Arial" w:cs="Arial" w:eastAsia="Arial" w:hAnsi="Arial"/>
          <w:sz w:val="12"/>
          <w:szCs w:val="12"/>
          <w:color w:val="auto"/>
        </w:rPr>
        <w:t>The aggregate market value of the voting common equity held by non-affiliates of the Registrant was approximately $59,582,384 as of July 1, 2017 the last business day of the Registrant’s most recently completed second fiscal quarter, based on the closing price reported for such date on the NASDAQ Global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spacing w:after="0" w:line="9" w:lineRule="exact"/>
        <w:rPr>
          <w:sz w:val="24"/>
          <w:szCs w:val="24"/>
          <w:color w:val="auto"/>
        </w:rPr>
      </w:pPr>
    </w:p>
    <w:p>
      <w:pPr>
        <w:ind w:left="560"/>
        <w:spacing w:after="0"/>
        <w:rPr>
          <w:sz w:val="20"/>
          <w:szCs w:val="20"/>
          <w:color w:val="auto"/>
        </w:rPr>
      </w:pPr>
      <w:r>
        <w:rPr>
          <w:rFonts w:ascii="Arial" w:cs="Arial" w:eastAsia="Arial" w:hAnsi="Arial"/>
          <w:sz w:val="14"/>
          <w:szCs w:val="14"/>
          <w:color w:val="auto"/>
        </w:rPr>
        <w:t>As of March 1, 2018, Registrant had 11,627,515 shares of common stock outstanding.</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4" w:lineRule="exact"/>
        <w:rPr>
          <w:sz w:val="24"/>
          <w:szCs w:val="24"/>
          <w:color w:val="auto"/>
        </w:rPr>
      </w:pPr>
    </w:p>
    <w:p>
      <w:pPr>
        <w:ind w:left="560"/>
        <w:spacing w:after="0"/>
        <w:rPr>
          <w:sz w:val="20"/>
          <w:szCs w:val="20"/>
          <w:color w:val="auto"/>
        </w:rPr>
      </w:pPr>
      <w:r>
        <w:rPr>
          <w:rFonts w:ascii="Arial" w:cs="Arial" w:eastAsia="Arial" w:hAnsi="Arial"/>
          <w:sz w:val="12"/>
          <w:szCs w:val="12"/>
          <w:color w:val="auto"/>
        </w:rPr>
        <w:t>Certain parts of the Proxy Statement for the Registrant’s 2018 Annual Meeting of Stockholders (the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USE OF FORWARD-LOOKING STATEMENTS</w:t>
      </w:r>
    </w:p>
    <w:p>
      <w:pPr>
        <w:spacing w:after="0" w:line="121"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this document, we refer to Iridex Corporation and its subsidiaries (unless the context otherwise requires) as “we,” the “Company” or “Iridex.” With the exception of historical information contained in this Annual Report on Form 10-K, content herein may contain “forward looking statements” that are made pursuant to the Safe Harbor Provisions of the Private Securities Litigation Reform Act of 1995. These statements are based on management’s current expectations and are subject to uncertainty and changes in circumstances. We cannot guarantee that any forward looking statements will be accurate, although we believe that we have been reasonable in our expectations and assumptions. Investors should realize that if underlying assumptions prove inaccurate or unknown risks or uncertainties materialize, actual results could vary materially from our expectations and projections. These factors include general economic conditions, delays and risks associated with the performance of contracts, risks associated with international sales and currency fluctuations, uncertainties as a result of research and development, acceptable results from clinical studies, including publication of results and patient/procedure data with varying levels of statistical relevance, risks involved in introducing and marketing new products, regulatory compliance, potential acquisitions, consumer and industry acceptance, litigation and/or contemplated 510(k) filings, the ability to achieve and maintain profitability in our business lines, and other factors discussed in this Annual Report on Form 10-K, subsequent Quarterly Reports on Form 10-Q and Current Reports on Form 8-K. We disclaim any obligation to update any forward-looking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60" w:type="dxa"/>
            <w:vAlign w:val="bottom"/>
            <w:gridSpan w:val="7"/>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76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ind w:left="1440"/>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61"/>
        </w:trPr>
        <w:tc>
          <w:tcPr>
            <w:tcW w:w="7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80" w:type="dxa"/>
            <w:vAlign w:val="bottom"/>
            <w:tcBorders>
              <w:bottom w:val="single" w:sz="8" w:color="0000EE"/>
            </w:tcBorders>
          </w:tcPr>
          <w:p>
            <w:pPr>
              <w:ind w:left="4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740" w:type="dxa"/>
            <w:vAlign w:val="bottom"/>
            <w:gridSpan w:val="18"/>
          </w:tcPr>
          <w:p>
            <w:pPr>
              <w:spacing w:after="0"/>
              <w:rPr>
                <w:sz w:val="17"/>
                <w:szCs w:val="17"/>
                <w:color w:val="auto"/>
              </w:rPr>
            </w:pPr>
          </w:p>
        </w:tc>
        <w:tc>
          <w:tcPr>
            <w:tcW w:w="1980" w:type="dxa"/>
            <w:vAlign w:val="bottom"/>
          </w:tcPr>
          <w:p>
            <w:pPr>
              <w:jc w:val="center"/>
              <w:ind w:left="1331"/>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Item</w:t>
              </w:r>
            </w:hyperlink>
          </w:p>
        </w:tc>
        <w:tc>
          <w:tcPr>
            <w:tcW w:w="8620" w:type="dxa"/>
            <w:vAlign w:val="bottom"/>
            <w:gridSpan w:val="20"/>
          </w:tcPr>
          <w:p>
            <w:pPr>
              <w:ind w:left="6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1A. Risk Factors</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Item</w:t>
              </w:r>
            </w:hyperlink>
          </w:p>
        </w:tc>
        <w:tc>
          <w:tcPr>
            <w:tcW w:w="2400" w:type="dxa"/>
            <w:vAlign w:val="bottom"/>
            <w:tcBorders>
              <w:bottom w:val="single" w:sz="8" w:color="0000EE"/>
            </w:tcBorders>
            <w:gridSpan w:val="10"/>
          </w:tcPr>
          <w:p>
            <w:pPr>
              <w:ind w:left="60"/>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1B. Unresolved Staff Comments</w:t>
              </w:r>
            </w:hyperlink>
          </w:p>
        </w:tc>
        <w:tc>
          <w:tcPr>
            <w:tcW w:w="6220" w:type="dxa"/>
            <w:vAlign w:val="bottom"/>
            <w:gridSpan w:val="10"/>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w:t>
              </w:r>
            </w:hyperlink>
          </w:p>
        </w:tc>
        <w:tc>
          <w:tcPr>
            <w:tcW w:w="8420" w:type="dxa"/>
            <w:vAlign w:val="bottom"/>
            <w:gridSpan w:val="19"/>
          </w:tcPr>
          <w:p>
            <w:pPr>
              <w:ind w:left="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8420" w:type="dxa"/>
            <w:vAlign w:val="bottom"/>
            <w:gridSpan w:val="19"/>
          </w:tcPr>
          <w:p>
            <w:pPr>
              <w:ind w:left="4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4.</w:t>
              </w:r>
            </w:hyperlink>
          </w:p>
        </w:tc>
        <w:tc>
          <w:tcPr>
            <w:tcW w:w="8420" w:type="dxa"/>
            <w:vAlign w:val="bottom"/>
            <w:gridSpan w:val="19"/>
          </w:tcPr>
          <w:p>
            <w:pPr>
              <w:ind w:left="4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c>
          <w:tcPr>
            <w:tcW w:w="8420" w:type="dxa"/>
            <w:vAlign w:val="bottom"/>
            <w:tcBorders>
              <w:bottom w:val="single" w:sz="8" w:color="0000EE"/>
            </w:tcBorders>
            <w:gridSpan w:val="19"/>
          </w:tcPr>
          <w:p>
            <w:pPr>
              <w:ind w:left="40"/>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and Related Stockholder Matters, and Issuer Purchases of Equity Securities</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6.</w:t>
              </w:r>
            </w:hyperlink>
          </w:p>
        </w:tc>
        <w:tc>
          <w:tcPr>
            <w:tcW w:w="1800" w:type="dxa"/>
            <w:vAlign w:val="bottom"/>
            <w:tcBorders>
              <w:bottom w:val="single" w:sz="8" w:color="0000EE"/>
            </w:tcBorders>
            <w:gridSpan w:val="6"/>
          </w:tcPr>
          <w:p>
            <w:pPr>
              <w:ind w:left="40"/>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Selected Financial Data</w:t>
              </w:r>
            </w:hyperlink>
          </w:p>
        </w:tc>
        <w:tc>
          <w:tcPr>
            <w:tcW w:w="6620" w:type="dxa"/>
            <w:vAlign w:val="bottom"/>
            <w:gridSpan w:val="13"/>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8420" w:type="dxa"/>
            <w:vAlign w:val="bottom"/>
            <w:gridSpan w:val="19"/>
          </w:tcPr>
          <w:p>
            <w:pPr>
              <w:ind w:left="4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Item</w:t>
              </w:r>
            </w:hyperlink>
          </w:p>
        </w:tc>
        <w:tc>
          <w:tcPr>
            <w:tcW w:w="4720" w:type="dxa"/>
            <w:vAlign w:val="bottom"/>
            <w:tcBorders>
              <w:top w:val="single" w:sz="8" w:color="0000EE"/>
              <w:bottom w:val="single" w:sz="8" w:color="0000EE"/>
            </w:tcBorders>
            <w:gridSpan w:val="15"/>
          </w:tcPr>
          <w:p>
            <w:pPr>
              <w:ind w:left="60"/>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7A. Quantitative and Qualitative Disclosures About Market Risk</w:t>
              </w:r>
            </w:hyperlink>
          </w:p>
        </w:tc>
        <w:tc>
          <w:tcPr>
            <w:tcW w:w="1960" w:type="dxa"/>
            <w:vAlign w:val="bottom"/>
            <w:tcBorders>
              <w:top w:val="single" w:sz="8" w:color="0000EE"/>
            </w:tcBorders>
            <w:gridSpan w:val="2"/>
          </w:tcPr>
          <w:p>
            <w:pPr>
              <w:spacing w:after="0"/>
              <w:rPr>
                <w:sz w:val="17"/>
                <w:szCs w:val="17"/>
                <w:color w:val="auto"/>
              </w:rPr>
            </w:pPr>
          </w:p>
        </w:tc>
        <w:tc>
          <w:tcPr>
            <w:tcW w:w="1940" w:type="dxa"/>
            <w:vAlign w:val="bottom"/>
            <w:gridSpan w:val="3"/>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8.</w:t>
              </w:r>
            </w:hyperlink>
          </w:p>
        </w:tc>
        <w:tc>
          <w:tcPr>
            <w:tcW w:w="3360" w:type="dxa"/>
            <w:vAlign w:val="bottom"/>
            <w:tcBorders>
              <w:bottom w:val="single" w:sz="8" w:color="0000EE"/>
            </w:tcBorders>
            <w:gridSpan w:val="12"/>
          </w:tcPr>
          <w:p>
            <w:pPr>
              <w:ind w:left="40"/>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Financial Statements and Supplementary Data</w:t>
              </w:r>
            </w:hyperlink>
          </w:p>
        </w:tc>
        <w:tc>
          <w:tcPr>
            <w:tcW w:w="5060" w:type="dxa"/>
            <w:vAlign w:val="bottom"/>
            <w:gridSpan w:val="7"/>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9.</w:t>
              </w:r>
            </w:hyperlink>
          </w:p>
        </w:tc>
        <w:tc>
          <w:tcPr>
            <w:tcW w:w="8420" w:type="dxa"/>
            <w:vAlign w:val="bottom"/>
            <w:gridSpan w:val="19"/>
          </w:tcPr>
          <w:p>
            <w:pPr>
              <w:ind w:left="4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2140" w:type="dxa"/>
            <w:vAlign w:val="bottom"/>
            <w:tcBorders>
              <w:top w:val="single" w:sz="8" w:color="0000EE"/>
              <w:bottom w:val="single" w:sz="8" w:color="0000EE"/>
            </w:tcBorders>
            <w:gridSpan w:val="9"/>
          </w:tcPr>
          <w:p>
            <w:pPr>
              <w:ind w:left="60"/>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9A. Controls and Procedures</w:t>
              </w:r>
            </w:hyperlink>
          </w:p>
        </w:tc>
        <w:tc>
          <w:tcPr>
            <w:tcW w:w="4560" w:type="dxa"/>
            <w:vAlign w:val="bottom"/>
            <w:tcBorders>
              <w:top w:val="single" w:sz="8" w:color="0000EE"/>
            </w:tcBorders>
            <w:gridSpan w:val="9"/>
          </w:tcPr>
          <w:p>
            <w:pPr>
              <w:spacing w:after="0"/>
              <w:rPr>
                <w:sz w:val="17"/>
                <w:szCs w:val="17"/>
                <w:color w:val="auto"/>
              </w:rPr>
            </w:pPr>
          </w:p>
        </w:tc>
        <w:tc>
          <w:tcPr>
            <w:tcW w:w="1920" w:type="dxa"/>
            <w:vAlign w:val="bottom"/>
            <w:gridSpan w:val="2"/>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Item</w:t>
              </w:r>
            </w:hyperlink>
          </w:p>
        </w:tc>
        <w:tc>
          <w:tcPr>
            <w:tcW w:w="8620" w:type="dxa"/>
            <w:vAlign w:val="bottom"/>
            <w:gridSpan w:val="20"/>
          </w:tcPr>
          <w:p>
            <w:pPr>
              <w:ind w:left="6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9B. Other Information</w:t>
              </w:r>
            </w:hyperlink>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Part III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Item</w:t>
              </w:r>
            </w:hyperlink>
          </w:p>
        </w:tc>
        <w:tc>
          <w:tcPr>
            <w:tcW w:w="4420" w:type="dxa"/>
            <w:vAlign w:val="bottom"/>
            <w:tcBorders>
              <w:bottom w:val="single" w:sz="8" w:color="0000EE"/>
            </w:tcBorders>
            <w:gridSpan w:val="14"/>
          </w:tcPr>
          <w:p>
            <w:pPr>
              <w:ind w:left="60"/>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10. Directors, Executive Officers and Corporate Governance</w:t>
              </w:r>
            </w:hyperlink>
          </w:p>
        </w:tc>
        <w:tc>
          <w:tcPr>
            <w:tcW w:w="4200" w:type="dxa"/>
            <w:vAlign w:val="bottom"/>
            <w:gridSpan w:val="6"/>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Item</w:t>
              </w:r>
            </w:hyperlink>
          </w:p>
        </w:tc>
        <w:tc>
          <w:tcPr>
            <w:tcW w:w="2120" w:type="dxa"/>
            <w:vAlign w:val="bottom"/>
            <w:tcBorders>
              <w:bottom w:val="single" w:sz="8" w:color="0000EE"/>
            </w:tcBorders>
            <w:gridSpan w:val="8"/>
          </w:tcPr>
          <w:p>
            <w:pPr>
              <w:ind w:left="60"/>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11. Executive Compensation</w:t>
              </w:r>
            </w:hyperlink>
          </w:p>
        </w:tc>
        <w:tc>
          <w:tcPr>
            <w:tcW w:w="6500" w:type="dxa"/>
            <w:vAlign w:val="bottom"/>
            <w:gridSpan w:val="12"/>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Item</w:t>
              </w:r>
            </w:hyperlink>
          </w:p>
        </w:tc>
        <w:tc>
          <w:tcPr>
            <w:tcW w:w="7620" w:type="dxa"/>
            <w:vAlign w:val="bottom"/>
            <w:tcBorders>
              <w:bottom w:val="single" w:sz="8" w:color="0000EE"/>
            </w:tcBorders>
            <w:gridSpan w:val="19"/>
          </w:tcPr>
          <w:p>
            <w:pPr>
              <w:ind w:left="60"/>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12. Security Ownership of Certain Beneficial Owners and Management and Related Stockholder Matters</w:t>
              </w:r>
            </w:hyperlink>
          </w:p>
        </w:tc>
        <w:tc>
          <w:tcPr>
            <w:tcW w:w="1000" w:type="dxa"/>
            <w:vAlign w:val="bottom"/>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Item</w:t>
              </w:r>
            </w:hyperlink>
          </w:p>
        </w:tc>
        <w:tc>
          <w:tcPr>
            <w:tcW w:w="5780" w:type="dxa"/>
            <w:vAlign w:val="bottom"/>
            <w:tcBorders>
              <w:bottom w:val="single" w:sz="8" w:color="0000EE"/>
            </w:tcBorders>
            <w:gridSpan w:val="16"/>
          </w:tcPr>
          <w:p>
            <w:pPr>
              <w:ind w:left="60"/>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13. Certain Relationships and Related Transactions, and Director Independence</w:t>
              </w:r>
            </w:hyperlink>
          </w:p>
        </w:tc>
        <w:tc>
          <w:tcPr>
            <w:tcW w:w="2840" w:type="dxa"/>
            <w:vAlign w:val="bottom"/>
            <w:gridSpan w:val="4"/>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Item</w:t>
              </w:r>
            </w:hyperlink>
          </w:p>
        </w:tc>
        <w:tc>
          <w:tcPr>
            <w:tcW w:w="3180" w:type="dxa"/>
            <w:vAlign w:val="bottom"/>
            <w:tcBorders>
              <w:bottom w:val="single" w:sz="8" w:color="0000EE"/>
            </w:tcBorders>
            <w:gridSpan w:val="11"/>
          </w:tcPr>
          <w:p>
            <w:pPr>
              <w:ind w:left="60"/>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14. Principal Accountant Fees and Services</w:t>
              </w:r>
            </w:hyperlink>
          </w:p>
        </w:tc>
        <w:tc>
          <w:tcPr>
            <w:tcW w:w="5440" w:type="dxa"/>
            <w:vAlign w:val="bottom"/>
            <w:gridSpan w:val="9"/>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Part IV</w:t>
              </w:r>
            </w:hyperlink>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Item</w:t>
              </w:r>
            </w:hyperlink>
          </w:p>
        </w:tc>
        <w:tc>
          <w:tcPr>
            <w:tcW w:w="3480" w:type="dxa"/>
            <w:vAlign w:val="bottom"/>
            <w:tcBorders>
              <w:bottom w:val="single" w:sz="8" w:color="0000EE"/>
            </w:tcBorders>
            <w:gridSpan w:val="12"/>
          </w:tcPr>
          <w:p>
            <w:pPr>
              <w:ind w:left="60"/>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15. Exhibits and Financial Statement Schedules</w:t>
              </w:r>
            </w:hyperlink>
          </w:p>
        </w:tc>
        <w:tc>
          <w:tcPr>
            <w:tcW w:w="5140" w:type="dxa"/>
            <w:vAlign w:val="bottom"/>
            <w:gridSpan w:val="8"/>
          </w:tcPr>
          <w:p>
            <w:pPr>
              <w:spacing w:after="0"/>
              <w:rPr>
                <w:sz w:val="17"/>
                <w:szCs w:val="17"/>
                <w:color w:val="auto"/>
              </w:rPr>
            </w:pPr>
          </w:p>
        </w:tc>
        <w:tc>
          <w:tcPr>
            <w:tcW w:w="1980" w:type="dxa"/>
            <w:vAlign w:val="bottom"/>
          </w:tcPr>
          <w:p>
            <w:pPr>
              <w:jc w:val="center"/>
              <w:ind w:left="1351"/>
              <w:spacing w:after="0" w:line="19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76">
              <w:r>
                <w:rPr>
                  <w:rFonts w:ascii="Arial" w:cs="Arial" w:eastAsia="Arial" w:hAnsi="Arial"/>
                  <w:sz w:val="18"/>
                  <w:szCs w:val="18"/>
                  <w:color w:val="0000EE"/>
                  <w:w w:val="85"/>
                </w:rPr>
                <w:t>Signatures</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jc w:val="center"/>
              <w:ind w:left="1351"/>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0" w:firstLine="555"/>
        <w:spacing w:after="0" w:line="218" w:lineRule="exact"/>
        <w:rPr>
          <w:sz w:val="20"/>
          <w:szCs w:val="20"/>
          <w:color w:val="auto"/>
        </w:rPr>
      </w:pPr>
      <w:r>
        <w:rPr>
          <w:rFonts w:ascii="Arial" w:cs="Arial" w:eastAsia="Arial" w:hAnsi="Arial"/>
          <w:sz w:val="17"/>
          <w:szCs w:val="17"/>
          <w:i w:val="1"/>
          <w:iCs w:val="1"/>
          <w:color w:val="auto"/>
        </w:rPr>
        <w:t>This Annual Report on Form 10-K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 these words.</w:t>
      </w:r>
    </w:p>
    <w:p>
      <w:pPr>
        <w:spacing w:after="0" w:line="9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the captions “Item 1A. Risk Factors - Factors That May Affect Future Results” in this Annual Report on Form 10-K for a more detailed description of these significant risks and uncertainties. The reader is cautioned not to place undue reliance on these forward-looking statements, which reflect management’s analysis only as of the date of this Annual Report on Form 10-K. We undertake no obligation to update such forward-looking statements to reflect events or circumstances occurring after the date of this report.</w:t>
      </w:r>
    </w:p>
    <w:p>
      <w:pPr>
        <w:spacing w:after="0" w:line="85"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i w:val="1"/>
          <w:iCs w:val="1"/>
          <w:color w:val="auto"/>
        </w:rPr>
        <w:t>As used in this Annual Report on Form 10-K, the terms “Company,” “IRIDEX,” “we,” “us” and “our” refer to IRIDEX Corporation, and its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120" w:right="380" w:hanging="558"/>
        <w:spacing w:after="0" w:line="282"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120" w:right="200" w:hanging="558"/>
        <w:spacing w:after="0" w:line="266"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jc w:val="center"/>
        <w:ind w:right="44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Ophthalmologists typically use our laser systems in hospital operating rooms (“ORs”) and ambulatory surgical centers (“ASCs”), as well as their offices and clinics. In the ORs and ASCs, ophthalmologists use our laser systems with either an indirect laser ophthalmoscope or a consumable, single use MP3 probe, G-Probe or EndoProbe.</w:t>
      </w:r>
    </w:p>
    <w:p>
      <w:pPr>
        <w:spacing w:after="0" w:line="73" w:lineRule="exact"/>
        <w:rPr>
          <w:sz w:val="20"/>
          <w:szCs w:val="20"/>
          <w:color w:val="auto"/>
        </w:rPr>
      </w:pPr>
    </w:p>
    <w:p>
      <w:pPr>
        <w:ind w:right="340" w:firstLine="555"/>
        <w:spacing w:after="0" w:line="279" w:lineRule="auto"/>
        <w:rPr>
          <w:sz w:val="20"/>
          <w:szCs w:val="20"/>
          <w:color w:val="auto"/>
        </w:rPr>
      </w:pPr>
      <w:r>
        <w:rPr>
          <w:rFonts w:ascii="Arial" w:cs="Arial" w:eastAsia="Arial" w:hAnsi="Arial"/>
          <w:sz w:val="18"/>
          <w:szCs w:val="18"/>
          <w:color w:val="auto"/>
        </w:rPr>
        <w:t>Our products are sold in the United States predominantly through a direct sales force and internationally primarily through independent distributors. Total revenues in 2017, 2016 and 2015 were $41.6 million, $46.2 million and $41.8 million, respectively. We generated net (loss) income of $(12.9) million, $(11.7) million and $0.5 million in 2017, 2016 and 2015,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firstLine="555"/>
        <w:spacing w:after="0" w:line="259" w:lineRule="auto"/>
        <w:rPr>
          <w:sz w:val="20"/>
          <w:szCs w:val="20"/>
          <w:color w:val="auto"/>
        </w:rPr>
      </w:pPr>
      <w:r>
        <w:rPr>
          <w:rFonts w:ascii="Arial" w:cs="Arial" w:eastAsia="Arial" w:hAnsi="Arial"/>
          <w:sz w:val="18"/>
          <w:szCs w:val="18"/>
          <w:color w:val="auto"/>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Ophthalmology is a large and growing global market that is driven by the aging world population and the onset of chronic diseases. We currently target the glaucoma and retina disease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Glaucoma</w:t>
      </w:r>
    </w:p>
    <w:p>
      <w:pPr>
        <w:spacing w:after="0" w:line="117"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Glaucoma is a leading cause of blindness in the world. Glaucoma is a progressive, chronic disease and vision loss resulting from glaucoma currently cannot be regained. According to Market Scope, more than 80 million people worldwide have glaucoma, while only 24.7 million people have been diagnosed. Glaucoma is most commonly associated with elevated levels of pressure within the eye, or intraocular pressure (“IOP”). Elevated IOP often occurs when aqueous humor, the thin watery fluid that fills the front of the eye, is not circulating normally and draining properly. Currently, reducing IOP is the only proven treatment for glaucoma with treatments primarily focused on improving the flow of aqueous humor through the eye’s trabecular meshwork and uveoscleral outflow pathways. Market Scope estimates 2015 global sales of $5.0 billion for products used to treat glaucoma.</w:t>
      </w:r>
    </w:p>
    <w:p>
      <w:pPr>
        <w:spacing w:after="0" w:line="70"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Pharmaceutical products represent $4.7 billion of this estimate but have significant shortcomings. Pharmaceuticals are typically the first treatment method prescribed for glaucoma. These pharmaceutical treatments are commonly self-administered in drop form by the patients. Patients often have difficulties applying the pharmaceutical drops properly and may fail to appropriately or timely apply the medication, which may significantly reduce the effectiveness of the pharmaceutical. This poor adherence to and lack of persistence with glaucoma medication regimens have been documented in numerous independent studies, which often place the incidence of patient noncompliance up to or above 50%, particularly in patients on two or more prescription eye drops. Even when administered correctly, pharmaceuticals have demonstrated reduced efficacy over time.</w:t>
      </w:r>
    </w:p>
    <w:p>
      <w:pPr>
        <w:spacing w:after="0" w:line="70"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When pharmaceuticals lose their effectiveness, appropriate treatment options are determined based on the progression and severity of the disease and include traditional laser therapy (e.g. selective laser trabeculoplasty (“SLT”), minimally invasive stents/shunts (e.g. MIGS), and open surgery (e.g. trabeculectomy)). These treatment alternatives also have significant shortcomings due to treatment effects that dissipate over time, repeat procedures that are less effective or not clinically advised, limited indications of use, and significant complication risks.</w:t>
      </w:r>
    </w:p>
    <w:p>
      <w:pPr>
        <w:spacing w:after="0" w:line="63" w:lineRule="exact"/>
        <w:rPr>
          <w:sz w:val="20"/>
          <w:szCs w:val="20"/>
          <w:color w:val="auto"/>
        </w:rPr>
      </w:pPr>
    </w:p>
    <w:p>
      <w:pPr>
        <w:ind w:right="680" w:firstLine="555"/>
        <w:spacing w:after="0" w:line="277" w:lineRule="auto"/>
        <w:rPr>
          <w:sz w:val="20"/>
          <w:szCs w:val="20"/>
          <w:color w:val="auto"/>
        </w:rPr>
      </w:pPr>
      <w:r>
        <w:rPr>
          <w:rFonts w:ascii="Arial" w:cs="Arial" w:eastAsia="Arial" w:hAnsi="Arial"/>
          <w:sz w:val="18"/>
          <w:szCs w:val="18"/>
          <w:color w:val="auto"/>
        </w:rPr>
        <w:t>We believe that because of the limitations of these traditional treatment alternatives, a clear unmet medical need exists in the management of glaucoma patients.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Retina</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Market Scope estimates 2015 global sales of $9.0 billion for products used to treat retina diseases. Our medical retina business focuses on the treatment of diabetic macular edema (“DME”) which is part of a broader disease state called diabetic retinopathy. Diabetic retinopathy is a common complication of diabetes which impairs vision over time and, if left untreated, can lead to blindness. It is projected by 2030 that there will be 430 million diabetic patients globally. Previous clinical publications indicated 28.5% of diabetic patients can develop some form of diabetic retinopathy. Traditional laser photocoagulation and a regimen of injected pharmaceuticals are currently the standard treatment for this disease and are associated with significant shortcomings. Traditional laser photocoagulation can stabilize the patient’s vision over the long term but presents a risk of varying degrees of vision loss to the patient. Pharmaceuticals can stabilize vision in the near term but require repeated injections. The injections are painful and the patients may experience side effects including increased risk of eye infections. Furthermore, a regimen of repeated pharmaceutical injections is very costly to the physician and patient, in terms of time, and to the healthcare system, in terms of dollars spent on treatment.</w:t>
      </w:r>
    </w:p>
    <w:p>
      <w:pPr>
        <w:spacing w:after="0" w:line="74"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shortcomings in treating retinal diseases have led to a renewed interest in alternative approaches that may provide better or comparable patient outcomes at lower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Our traditional laser technology was developed to perform laser photocoagulation by using a mode which delivers continuously-on laser light, which is referred to as continuous wave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5" w:name="page6"/>
    <w:bookmarkEnd w:id="5"/>
    <w:p>
      <w:pPr>
        <w:ind w:right="20" w:firstLine="555"/>
        <w:spacing w:after="0" w:line="297" w:lineRule="auto"/>
        <w:rPr>
          <w:sz w:val="20"/>
          <w:szCs w:val="20"/>
          <w:color w:val="auto"/>
        </w:rPr>
      </w:pPr>
      <w:r>
        <w:rPr>
          <w:rFonts w:ascii="Arial" w:cs="Arial" w:eastAsia="Arial" w:hAnsi="Arial"/>
          <w:sz w:val="16"/>
          <w:szCs w:val="16"/>
          <w:color w:val="auto"/>
        </w:rPr>
        <w:t>We developed our proprietary MicroPulse technology with the goal of harnessing the clinical benefits of CW mode while minimizing the associated tissue damage. MicroPulse is a method of delivering laser energy using a mode which chops the CW beam into short, microsecond long, laser pulses. The laser pulses are intended to generate the desired therapeutic response while the time in between laser pulses is believed to enable the tissue to cool and thereby minimize tissue damage. This is analogous to holding one’s hand continuously over a candle versus waving it back and forth. When held continuously, the candle would cause burning and scar tissue. However, when exposed intermittently the candle only heats the tissue without burning.</w:t>
      </w:r>
    </w:p>
    <w:p>
      <w:pPr>
        <w:spacing w:after="0" w:line="50"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color w:val="auto"/>
        </w:rPr>
        <w:t>There is a growing body of clinical evidence that has been published over the past 10 years that demonstrates that MicroPulse therapy is clinically effective with limited tissue damage for the treatment of glaucoma and retinal diseases. Currently, we have developed three applications of our MicroPulse technology for the treatment of eye diseases: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60" w:type="dxa"/>
            <w:vAlign w:val="bottom"/>
            <w:tcBorders>
              <w:right w:val="single" w:sz="8" w:color="auto"/>
            </w:tcBorders>
          </w:tcPr>
          <w:p>
            <w:pPr>
              <w:spacing w:after="0"/>
              <w:rPr>
                <w:sz w:val="24"/>
                <w:szCs w:val="24"/>
                <w:color w:val="auto"/>
              </w:rPr>
            </w:pP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MicroPulse Applications</w:t>
            </w:r>
          </w:p>
        </w:tc>
        <w:tc>
          <w:tcPr>
            <w:tcW w:w="7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480" w:type="dxa"/>
            <w:vAlign w:val="bottom"/>
          </w:tcPr>
          <w:p>
            <w:pPr>
              <w:spacing w:after="0"/>
              <w:rPr>
                <w:sz w:val="24"/>
                <w:szCs w:val="24"/>
                <w:color w:val="auto"/>
              </w:rPr>
            </w:pPr>
          </w:p>
        </w:tc>
      </w:tr>
      <w:tr>
        <w:trPr>
          <w:trHeight w:val="303"/>
        </w:trPr>
        <w:tc>
          <w:tcPr>
            <w:tcW w:w="26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Glaucoma – uveoscleral outflow</w:t>
            </w: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6"/>
              </w:rPr>
              <w:t xml:space="preserve">Treats glaucoma with our recently introduced Cyclo G6 laser system. </w:t>
            </w:r>
            <w:r>
              <w:rPr>
                <w:rFonts w:ascii="Arial" w:cs="Arial" w:eastAsia="Arial" w:hAnsi="Arial"/>
                <w:sz w:val="18"/>
                <w:szCs w:val="18"/>
                <w:color w:val="auto"/>
                <w:w w:val="96"/>
              </w:rPr>
              <w:t>MicroPulse laser is</w:t>
            </w:r>
          </w:p>
        </w:tc>
        <w:tc>
          <w:tcPr>
            <w:tcW w:w="480" w:type="dxa"/>
            <w:vAlign w:val="bottom"/>
          </w:tcPr>
          <w:p>
            <w:pPr>
              <w:spacing w:after="0"/>
              <w:rPr>
                <w:sz w:val="24"/>
                <w:szCs w:val="24"/>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delivered through a proprietary single-use disposable probe we call the MicroPulse P3 (MP3)</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probe. By targeting an anatomical area of the eye called “Pars Plana” it is believed that the MP3</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procedure may improve uveoscleral outflow and thus lower IOP and may reduce the number of eye</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drop medications. The MP3 procedure has the potential to be used across a wide spectrum of</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glaucoma disease severity, given its believed therapeutics benefits and non-incisional approach with</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minimal tissue damage and complications. We believe that the MP3 procedure has several</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important competitive advantages over alternative therapies with respect to invasiveness, sustained</w:t>
            </w:r>
          </w:p>
        </w:tc>
        <w:tc>
          <w:tcPr>
            <w:tcW w:w="480" w:type="dxa"/>
            <w:vAlign w:val="bottom"/>
          </w:tcPr>
          <w:p>
            <w:pPr>
              <w:spacing w:after="0"/>
              <w:rPr>
                <w:sz w:val="18"/>
                <w:szCs w:val="18"/>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7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IOP reduction and does not inhibit the physicians from the use of alternative procedures.</w:t>
            </w:r>
          </w:p>
        </w:tc>
        <w:tc>
          <w:tcPr>
            <w:tcW w:w="480" w:type="dxa"/>
            <w:vAlign w:val="bottom"/>
          </w:tcPr>
          <w:p>
            <w:pPr>
              <w:spacing w:after="0"/>
              <w:rPr>
                <w:sz w:val="20"/>
                <w:szCs w:val="20"/>
                <w:color w:val="auto"/>
              </w:rPr>
            </w:pPr>
          </w:p>
        </w:tc>
      </w:tr>
      <w:tr>
        <w:trPr>
          <w:trHeight w:val="303"/>
        </w:trPr>
        <w:tc>
          <w:tcPr>
            <w:tcW w:w="26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Glaucoma - trabecular meshwork outflow</w:t>
            </w: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2"/>
              </w:rPr>
              <w:t xml:space="preserve">Treats glaucoma with our IQ laser systems. </w:t>
            </w:r>
            <w:r>
              <w:rPr>
                <w:rFonts w:ascii="Arial" w:cs="Arial" w:eastAsia="Arial" w:hAnsi="Arial"/>
                <w:sz w:val="18"/>
                <w:szCs w:val="18"/>
                <w:color w:val="auto"/>
                <w:w w:val="92"/>
              </w:rPr>
              <w:t>MicroPulse laser is delivered through a mechanical</w:t>
            </w:r>
          </w:p>
        </w:tc>
        <w:tc>
          <w:tcPr>
            <w:tcW w:w="480" w:type="dxa"/>
            <w:vAlign w:val="bottom"/>
          </w:tcPr>
          <w:p>
            <w:pPr>
              <w:spacing w:after="0"/>
              <w:rPr>
                <w:sz w:val="24"/>
                <w:szCs w:val="24"/>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and optical delivery device and targets the trabecular meshwork. Physicians describe the technique</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as MicroPulse Laser Trabeculoplasty (“MLT”). It is believed that the MLT procedure improves</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trabecular meshwork outflow and thus lowers IOP. We believe that the MLT procedure provides</w:t>
            </w:r>
          </w:p>
        </w:tc>
        <w:tc>
          <w:tcPr>
            <w:tcW w:w="480" w:type="dxa"/>
            <w:vAlign w:val="bottom"/>
          </w:tcPr>
          <w:p>
            <w:pPr>
              <w:spacing w:after="0"/>
              <w:rPr>
                <w:sz w:val="18"/>
                <w:szCs w:val="18"/>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7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incremental clinical benefits relative to other laser trabeculoplasty procedures such as SLT.</w:t>
            </w:r>
          </w:p>
        </w:tc>
        <w:tc>
          <w:tcPr>
            <w:tcW w:w="480" w:type="dxa"/>
            <w:vAlign w:val="bottom"/>
          </w:tcPr>
          <w:p>
            <w:pPr>
              <w:spacing w:after="0"/>
              <w:rPr>
                <w:sz w:val="20"/>
                <w:szCs w:val="20"/>
                <w:color w:val="auto"/>
              </w:rPr>
            </w:pPr>
          </w:p>
        </w:tc>
      </w:tr>
      <w:tr>
        <w:trPr>
          <w:trHeight w:val="303"/>
        </w:trPr>
        <w:tc>
          <w:tcPr>
            <w:tcW w:w="26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Medical Retina - DME</w:t>
            </w: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Treats DME with our IQ laser systems</w:t>
            </w:r>
            <w:r>
              <w:rPr>
                <w:rFonts w:ascii="Arial" w:cs="Arial" w:eastAsia="Arial" w:hAnsi="Arial"/>
                <w:sz w:val="18"/>
                <w:szCs w:val="18"/>
                <w:color w:val="auto"/>
                <w:w w:val="93"/>
              </w:rPr>
              <w:t>. MicroPulse laser is administered through a mechanical</w:t>
            </w:r>
          </w:p>
        </w:tc>
        <w:tc>
          <w:tcPr>
            <w:tcW w:w="480" w:type="dxa"/>
            <w:vAlign w:val="bottom"/>
          </w:tcPr>
          <w:p>
            <w:pPr>
              <w:spacing w:after="0"/>
              <w:rPr>
                <w:sz w:val="24"/>
                <w:szCs w:val="24"/>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optical delivery device that rapidly delivers multiple treatment spots on the retina. Our</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MicroPulse laser is uniquely believed to be “fovea friendly” in that the laser can be used to treat the</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fovea, the center of the field of vision in the retina, without any loss of visual function. Instead of</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causing thermal damage like traditional lasers, MicroPulse is believed to induce a therapeutic</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response through the recruitment of biological factors such as heat shock proteins. We believe that</w:t>
            </w:r>
          </w:p>
        </w:tc>
        <w:tc>
          <w:tcPr>
            <w:tcW w:w="480" w:type="dxa"/>
            <w:vAlign w:val="bottom"/>
          </w:tcPr>
          <w:p>
            <w:pPr>
              <w:spacing w:after="0"/>
              <w:rPr>
                <w:sz w:val="18"/>
                <w:szCs w:val="18"/>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7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the treatment of DME with MicroPulse has several competitive advantages over alternate therapies</w:t>
            </w:r>
          </w:p>
        </w:tc>
        <w:tc>
          <w:tcPr>
            <w:tcW w:w="480" w:type="dxa"/>
            <w:vAlign w:val="bottom"/>
          </w:tcPr>
          <w:p>
            <w:pPr>
              <w:spacing w:after="0"/>
              <w:rPr>
                <w:sz w:val="18"/>
                <w:szCs w:val="18"/>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7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with respect to long term vision stability, visual function, and cost effectiveness.</w:t>
            </w:r>
          </w:p>
        </w:tc>
        <w:tc>
          <w:tcPr>
            <w:tcW w:w="480" w:type="dxa"/>
            <w:vAlign w:val="bottom"/>
          </w:tcPr>
          <w:p>
            <w:pPr>
              <w:spacing w:after="0"/>
              <w:rPr>
                <w:sz w:val="20"/>
                <w:szCs w:val="20"/>
                <w:color w:val="auto"/>
              </w:rPr>
            </w:pPr>
          </w:p>
        </w:tc>
      </w:tr>
      <w:tr>
        <w:trPr>
          <w:trHeight w:val="642"/>
        </w:trPr>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40" w:type="dxa"/>
            <w:vAlign w:val="bottom"/>
          </w:tcPr>
          <w:p>
            <w:pPr>
              <w:jc w:val="right"/>
              <w:ind w:right="511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7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We are one of the worldwide leaders in developing, manufacturing, marketing, selling and servicing innovative medical laser systems and associated instrumentation for the treatment of sight-threatening eye diseases. Our strategy is to leverage our existing brand and distribution channel in the ophthalmology market to promote the adoption of MicroPulse as a viable treatment alternative for glaucoma and retinal diseases and consequently to commercialize a broad array of products that:</w:t>
      </w:r>
    </w:p>
    <w:p>
      <w:pPr>
        <w:spacing w:after="0" w:line="79"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therapeutic outcomes for patients suffering from sight-threatening eye diseases;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 efficiency of physicians and reduce their costs;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economic benefits to healthcare systems.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achieve these goals we are pursuing a number of organic initiatives which we anticipate will be supplemented from time to time by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the successful execution of this strategy will lead to profitable growth and enhanced shareholder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We utilize a systems approach to product design. Each system includes a laser console, which generates the laser energy, and a number of interchangeable delivery devices or disposable probes for use in specific clinical applications. This approach allows our customers to purchase a basic laser system and add additional delivery devices or disposable probes as their needs expand or as new applications develop. We believe that this systems approach is our distinguishing characteristic and also brings economies-of-scale to our product development and manufacturing efforts because individual applications do not require the design and manufacture of complete stand-alone products. We offer three basic product categories: 1) laser consoles, 2) delivery devices which are optical-mechanical products that mount to ophthalmologists diagnostic equipment and transmit the laser and 3) single-use disposable probes that transmit the laser light to a targeted region within the inside of an eye.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Laser Consoles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laser consoles, which are identified below, incorporate the economic and technical benefits of solid state and semiconductor laser technology.</w:t>
      </w:r>
    </w:p>
    <w:p>
      <w:pPr>
        <w:spacing w:after="0" w:line="14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i w:val="1"/>
          <w:iCs w:val="1"/>
          <w:color w:val="auto"/>
        </w:rPr>
        <w:t xml:space="preserve">Glaucoma: Cyclo G6 Laser System. </w:t>
      </w:r>
      <w:r>
        <w:rPr>
          <w:rFonts w:ascii="Arial" w:cs="Arial" w:eastAsia="Arial" w:hAnsi="Arial"/>
          <w:sz w:val="18"/>
          <w:szCs w:val="18"/>
          <w:color w:val="auto"/>
        </w:rPr>
        <w:t>The newest addition to our console portfolio, the Cyclo G6 is an infrared (810nm) laser designed to treat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diagnosed with a range of glaucoma disease states. The product received U.S. Food and Drug Administration (“FDA”) approval in January 2015, and commenced commercial sales in March 2015. The Cyclo G6 system is sold with a family of probes that are disposable, including our patented MP3 probe that utilizes our MicroPulse technology and our G-Probe.</w:t>
      </w:r>
    </w:p>
    <w:p>
      <w:pPr>
        <w:spacing w:after="0" w:line="79"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i w:val="1"/>
          <w:iCs w:val="1"/>
          <w:color w:val="auto"/>
        </w:rPr>
        <w:t xml:space="preserve">Medical retina: IQ laser systems. </w:t>
      </w:r>
      <w:r>
        <w:rPr>
          <w:rFonts w:ascii="Arial" w:cs="Arial" w:eastAsia="Arial" w:hAnsi="Arial"/>
          <w:sz w:val="18"/>
          <w:szCs w:val="18"/>
          <w:color w:val="auto"/>
        </w:rPr>
        <w:t>Our IQ laser systems offer our MicroPulse technology but also have CW capabilities. Our IQ 577 delivers visible</w:t>
      </w:r>
      <w:r>
        <w:rPr>
          <w:rFonts w:ascii="Arial" w:cs="Arial" w:eastAsia="Arial" w:hAnsi="Arial"/>
          <w:sz w:val="18"/>
          <w:szCs w:val="18"/>
          <w:i w:val="1"/>
          <w:iCs w:val="1"/>
          <w:color w:val="auto"/>
        </w:rPr>
        <w:t xml:space="preserve"> </w:t>
      </w:r>
      <w:r>
        <w:rPr>
          <w:rFonts w:ascii="Arial" w:cs="Arial" w:eastAsia="Arial" w:hAnsi="Arial"/>
          <w:sz w:val="18"/>
          <w:szCs w:val="18"/>
          <w:color w:val="auto"/>
        </w:rPr>
        <w:t>yellow (577nm) laser light and our IQ 532 delivers visible green (532nm) laser light. Our IQ laser systems are typically used with our TxCell Scanning Laser Delivery System and our Slit Lamp Adapters when used to treat DME with MicroPulse.</w:t>
      </w:r>
    </w:p>
    <w:p>
      <w:pPr>
        <w:spacing w:after="0" w:line="73"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i w:val="1"/>
          <w:iCs w:val="1"/>
          <w:color w:val="auto"/>
        </w:rPr>
        <w:t xml:space="preserve">Surgical retina: OcuLight laser systems. </w:t>
      </w:r>
      <w:r>
        <w:rPr>
          <w:rFonts w:ascii="Arial" w:cs="Arial" w:eastAsia="Arial" w:hAnsi="Arial"/>
          <w:sz w:val="18"/>
          <w:szCs w:val="18"/>
          <w:color w:val="auto"/>
        </w:rPr>
        <w:t>Our OcuLight TX, OcuLight GL, and OcuLightGLx lasers deliver visible green (532nm) laser light. Our</w:t>
      </w:r>
      <w:r>
        <w:rPr>
          <w:rFonts w:ascii="Arial" w:cs="Arial" w:eastAsia="Arial" w:hAnsi="Arial"/>
          <w:sz w:val="18"/>
          <w:szCs w:val="18"/>
          <w:i w:val="1"/>
          <w:iCs w:val="1"/>
          <w:color w:val="auto"/>
        </w:rPr>
        <w:t xml:space="preserve"> </w:t>
      </w:r>
      <w:r>
        <w:rPr>
          <w:rFonts w:ascii="Arial" w:cs="Arial" w:eastAsia="Arial" w:hAnsi="Arial"/>
          <w:sz w:val="18"/>
          <w:szCs w:val="18"/>
          <w:color w:val="auto"/>
        </w:rPr>
        <w:t>OcuLight SL and OcuLightSLx lasers deliver infrared (810 nm) laser light.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delivery devices are typically used with our IQ and OcuLight laser systems:</w:t>
      </w:r>
    </w:p>
    <w:p>
      <w:pPr>
        <w:spacing w:after="0" w:line="117" w:lineRule="exact"/>
        <w:rPr>
          <w:sz w:val="20"/>
          <w:szCs w:val="20"/>
          <w:color w:val="auto"/>
        </w:rPr>
      </w:pPr>
    </w:p>
    <w:p>
      <w:pPr>
        <w:ind w:right="220" w:firstLine="555"/>
        <w:spacing w:after="0" w:line="308" w:lineRule="auto"/>
        <w:rPr>
          <w:sz w:val="20"/>
          <w:szCs w:val="20"/>
          <w:color w:val="auto"/>
        </w:rPr>
      </w:pPr>
      <w:r>
        <w:rPr>
          <w:rFonts w:ascii="Arial" w:cs="Arial" w:eastAsia="Arial" w:hAnsi="Arial"/>
          <w:sz w:val="17"/>
          <w:szCs w:val="17"/>
          <w:i w:val="1"/>
          <w:iCs w:val="1"/>
          <w:color w:val="auto"/>
        </w:rPr>
        <w:t xml:space="preserve">TxCell Scanning Laser Delivery System (“TxCell”). </w:t>
      </w:r>
      <w:r>
        <w:rPr>
          <w:rFonts w:ascii="Arial" w:cs="Arial" w:eastAsia="Arial" w:hAnsi="Arial"/>
          <w:sz w:val="17"/>
          <w:szCs w:val="17"/>
          <w:color w:val="auto"/>
        </w:rPr>
        <w:t>TxCell allows the physician to perform multi-spot pattern scanning for efficient delivery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MicroPulse laser. The TxCell has been an important contributor to the adoption of our IQ laser systems for the treatment of DME.</w:t>
      </w:r>
    </w:p>
    <w:p>
      <w:pPr>
        <w:spacing w:after="0" w:line="38"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 xml:space="preserve">Slit Lamp Adapter (“SLA”). </w:t>
      </w:r>
      <w:r>
        <w:rPr>
          <w:rFonts w:ascii="Arial" w:cs="Arial" w:eastAsia="Arial" w:hAnsi="Arial"/>
          <w:sz w:val="18"/>
          <w:szCs w:val="18"/>
          <w:color w:val="auto"/>
        </w:rPr>
        <w:t>These adapters allow the physician to utilize a standard slit lamp in both diagnosis and treatment procedures.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can install an SLA in a few minutes and convert standard diagnostic slit lamps into a therapeutic laser delivery system. SLAs are used in treatment procedures for both retinal diseases and glaucoma.</w:t>
      </w:r>
    </w:p>
    <w:p>
      <w:pPr>
        <w:spacing w:after="0" w:line="73"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i w:val="1"/>
          <w:iCs w:val="1"/>
          <w:color w:val="auto"/>
        </w:rPr>
        <w:t xml:space="preserve">Laser Indirect Ophthalmoscope (“LIO”). </w:t>
      </w:r>
      <w:r>
        <w:rPr>
          <w:rFonts w:ascii="Arial" w:cs="Arial" w:eastAsia="Arial" w:hAnsi="Arial"/>
          <w:sz w:val="18"/>
          <w:szCs w:val="18"/>
          <w:color w:val="auto"/>
        </w:rPr>
        <w:t>The indirect ophthalmoscope is designed to be worn on the physician’s head and to be used in procedures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peripheral retinal disorders, particularly in infants or adults requiring treatment in the supine position. This product can be used in both diagnosis and treatment procedures at the point-of-care.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Single-use disposable probes</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i w:val="1"/>
          <w:iCs w:val="1"/>
          <w:color w:val="auto"/>
        </w:rPr>
        <w:t xml:space="preserve">MicroPulse P3 Probe. </w:t>
      </w:r>
      <w:r>
        <w:rPr>
          <w:rFonts w:ascii="Arial" w:cs="Arial" w:eastAsia="Arial" w:hAnsi="Arial"/>
          <w:sz w:val="18"/>
          <w:szCs w:val="18"/>
          <w:color w:val="auto"/>
        </w:rPr>
        <w:t>The MP3 Probe is used with our Cylco G6 laser systems and is our probe that delivers our MicroPulse laser to treat</w:t>
      </w:r>
      <w:r>
        <w:rPr>
          <w:rFonts w:ascii="Arial" w:cs="Arial" w:eastAsia="Arial" w:hAnsi="Arial"/>
          <w:sz w:val="18"/>
          <w:szCs w:val="18"/>
          <w:i w:val="1"/>
          <w:iCs w:val="1"/>
          <w:color w:val="auto"/>
        </w:rPr>
        <w:t xml:space="preserve"> </w:t>
      </w:r>
      <w:r>
        <w:rPr>
          <w:rFonts w:ascii="Arial" w:cs="Arial" w:eastAsia="Arial" w:hAnsi="Arial"/>
          <w:sz w:val="18"/>
          <w:szCs w:val="18"/>
          <w:color w:val="auto"/>
        </w:rPr>
        <w:t>glaucoma. It is believed that the MP3 procedure reduces IOP by improving uveoscleral outflow. The MP3 Probe can be performed on an anesthetized eye in the doctor’s office or OR. The non-invasive procedure takes just a few minutes and results in minimal discomfort and post-operative recovery for the patient. We believe that the MP3 procedure may be used to treat a wide variety of glaucoma states, including early to late stage glaucoma as well as open-angle and closed angle glaucoma. The MP3 Probe is a sterile disposable product.</w:t>
      </w:r>
    </w:p>
    <w:p>
      <w:pPr>
        <w:spacing w:after="0" w:line="80"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i w:val="1"/>
          <w:iCs w:val="1"/>
          <w:color w:val="auto"/>
        </w:rPr>
        <w:t xml:space="preserve">G-Probe. </w:t>
      </w:r>
      <w:r>
        <w:rPr>
          <w:rFonts w:ascii="Arial" w:cs="Arial" w:eastAsia="Arial" w:hAnsi="Arial"/>
          <w:sz w:val="16"/>
          <w:szCs w:val="16"/>
          <w:color w:val="auto"/>
        </w:rPr>
        <w:t>The G-Probe is used in procedures to treat uncontrolled glaucoma, typically described as “refractory glaucoma”. The G-Probe delivers CW</w:t>
      </w:r>
      <w:r>
        <w:rPr>
          <w:rFonts w:ascii="Arial" w:cs="Arial" w:eastAsia="Arial" w:hAnsi="Arial"/>
          <w:sz w:val="16"/>
          <w:szCs w:val="16"/>
          <w:i w:val="1"/>
          <w:iCs w:val="1"/>
          <w:color w:val="auto"/>
        </w:rPr>
        <w:t xml:space="preserve"> </w:t>
      </w:r>
      <w:r>
        <w:rPr>
          <w:rFonts w:ascii="Arial" w:cs="Arial" w:eastAsia="Arial" w:hAnsi="Arial"/>
          <w:sz w:val="16"/>
          <w:szCs w:val="16"/>
          <w:color w:val="auto"/>
        </w:rPr>
        <w:t>laser to the ciliary body and is believed to stop the production of aqueous humor, thus reducing IOP. The G-Probe’s non-invasive procedure takes approximately ten minutes and is performed on an anesthetized eye in the doctor’s office or OR. The G-Probe is a sterile disposable product.</w:t>
      </w:r>
    </w:p>
    <w:p>
      <w:pPr>
        <w:spacing w:after="0" w:line="39"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i w:val="1"/>
          <w:iCs w:val="1"/>
          <w:color w:val="auto"/>
        </w:rPr>
        <w:t xml:space="preserve">G-Probe Illuminate. </w:t>
      </w:r>
      <w:r>
        <w:rPr>
          <w:rFonts w:ascii="Arial" w:cs="Arial" w:eastAsia="Arial" w:hAnsi="Arial"/>
          <w:sz w:val="18"/>
          <w:szCs w:val="18"/>
          <w:color w:val="auto"/>
        </w:rPr>
        <w:t>The G-Probe Illuminate is also used in procedures to treat refractory glaucoma. The proprietary illumination feature allows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targeted treatment and may offer additional clinical benefits. The G-Probe Illuminate is a sterile disposable product.</w:t>
      </w:r>
    </w:p>
    <w:p>
      <w:pPr>
        <w:spacing w:after="0" w:line="6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i w:val="1"/>
          <w:iCs w:val="1"/>
          <w:color w:val="auto"/>
        </w:rPr>
        <w:t xml:space="preserve">EndoProbe. </w:t>
      </w:r>
      <w:r>
        <w:rPr>
          <w:rFonts w:ascii="Arial" w:cs="Arial" w:eastAsia="Arial" w:hAnsi="Arial"/>
          <w:sz w:val="18"/>
          <w:szCs w:val="18"/>
          <w:color w:val="auto"/>
        </w:rPr>
        <w:t>Our EndoProbe family of products are used for endophotocoagulation, a retinal treatment procedure performed in the hospital OR or</w:t>
      </w:r>
      <w:r>
        <w:rPr>
          <w:rFonts w:ascii="Arial" w:cs="Arial" w:eastAsia="Arial" w:hAnsi="Arial"/>
          <w:sz w:val="18"/>
          <w:szCs w:val="18"/>
          <w:i w:val="1"/>
          <w:iCs w:val="1"/>
          <w:color w:val="auto"/>
        </w:rPr>
        <w:t xml:space="preserve"> </w:t>
      </w:r>
      <w:r>
        <w:rPr>
          <w:rFonts w:ascii="Arial" w:cs="Arial" w:eastAsia="Arial" w:hAnsi="Arial"/>
          <w:sz w:val="18"/>
          <w:szCs w:val="18"/>
          <w:color w:val="auto"/>
        </w:rPr>
        <w:t>surgery center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700" w:firstLine="555"/>
        <w:spacing w:after="0" w:line="277" w:lineRule="auto"/>
        <w:rPr>
          <w:sz w:val="20"/>
          <w:szCs w:val="20"/>
          <w:color w:val="auto"/>
        </w:rPr>
      </w:pPr>
      <w:r>
        <w:rPr>
          <w:rFonts w:ascii="Arial" w:cs="Arial" w:eastAsia="Arial" w:hAnsi="Arial"/>
          <w:sz w:val="18"/>
          <w:szCs w:val="18"/>
          <w:color w:val="auto"/>
        </w:rPr>
        <w:t>We have close working relationships with researchers, clinicians and practicing physicians around the world who provide new ideas, test the feasibility of these new ideas and assist us in validating new products and new applications before they are introduced.</w:t>
      </w:r>
    </w:p>
    <w:p>
      <w:pPr>
        <w:spacing w:after="0" w:line="6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Our internal research and development (“R&amp;D”) activities are performed by a current team of 13 engineers, scientists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firmware and delivery devices. The R&amp;D process integrates all of the necessary disciplines of the Company from product inception through customer acceptance. This process facilitates reliable new product innovations and a consistent pipeline of innovative products for our customers.</w:t>
      </w:r>
    </w:p>
    <w:p>
      <w:pPr>
        <w:spacing w:after="0" w:line="85"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Our research activities are managed internally by our R&amp;D staff. We supplement our internal R&amp;D staff by hiring consultants and/or partnering with physicians to gain specialized expertise and understanding. Research efforts are directed toward the development of new products and new applications for our existing products, as well as the identification of markets not currently addressed by our products.</w:t>
      </w:r>
    </w:p>
    <w:p>
      <w:pPr>
        <w:spacing w:after="0" w:line="73"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believe that it is important to make a substantial contribution to improving clinical outcomes. For instance, we have made substantial investments in researching and improving the treatment of serious eye diseases such as glaucoma and retinal disease. The objectives of developing new treatments and applications are to expand the potential patient population, to more effectively and more economically treat diseases, to treat patients earlier in the treatment regimen and to reduce the side effects of treatment.</w:t>
      </w:r>
    </w:p>
    <w:p>
      <w:pPr>
        <w:spacing w:after="0" w:line="79"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During the three years ended December 30, 2017, December 31, 2016 and January 2, 2016, we incurred R&amp;D expenses of $5.7 million, $5.4 million and $5.2 million and or 13.8%, 11.6% and 12.5% of sales, respectively.</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We consider clinical projects to be a component of our R&amp;D efforts and they may or may not result in additional commercial opportunities.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Revenue by Region</w:t>
      </w:r>
    </w:p>
    <w:p>
      <w:pPr>
        <w:spacing w:after="0" w:line="121"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Our revenues are generated from various regions throughout the world. Sales made in the United States are predominantly through our direct sales force. Our sales outside the United States are made through independent distributors. In June 2017, we hired a sales manager to handle our direct sales of our recently established office in Germany. The following is an analysis of net sales from continuing operations by geographic region.</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FY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FY 2015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680" w:type="dxa"/>
            <w:vAlign w:val="bottom"/>
            <w:gridSpan w:val="2"/>
            <w:vMerge w:val="restart"/>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December 30,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23"/>
        </w:trPr>
        <w:tc>
          <w:tcPr>
            <w:tcW w:w="26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23,017</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Americas, excluding the U.S.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5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Customer Support</w:t>
      </w:r>
    </w:p>
    <w:p>
      <w:pPr>
        <w:spacing w:after="0" w:line="12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Our products are currently sold for use by ophthalmologists specializing in the treatment of eye disease in retina, glaucoma and pediatric eye diseases. Other customers include research and teaching hospitals, government installations, surgical centers, hospitals, and office clinics (outpatient). No single customer or distributor accounted for 10% or more of total revenues in fiscal years 2017, 2016 and 2015.</w:t>
      </w:r>
    </w:p>
    <w:p>
      <w:pPr>
        <w:spacing w:after="0" w:line="73"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an “around-the-clock” telephone service line to service our customers. If a problem with a depot serviceable product cannot be diagnosed and resolved by telephone, a service loaner is shipped overnight to domestic customers under warranty or service contract, and by the most rapid delivery means available to our international customers, and the problem unit is returned to us. The small size and rugged design of our products allows for economical shipment and quick response to customers worldwide.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We sell and market our products in the United States predominantly through our direct sales force and internationally through independent distributors and our new sales manager in Germany. Currently we have a direct sales force of 22 employees who are engaged in sales efforts within the United States and 7 personnel engaged in managing our distribution sales efforts internationally. We also contract for the services of 7 independent sales representatives to supplement our U.S. direct sales efforts. Our sales are administered through our corporate headquarters in Mountain View, California.</w:t>
      </w:r>
    </w:p>
    <w:p>
      <w:pPr>
        <w:spacing w:after="0" w:line="46"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International sales represented 44.7%, 45.5% and 42.6% of our sales in 2017, 2016 and 2015, respectively. We believe that our international sales will continue to represent a significant portion of our revenues for the foreseeable future. Our international sales are made principally to customers in Europe, Asia, the Pacific Rim, the Middle East, Russia, Africa and Latin America. Our distribution agreements with our international distributors are generally exclusive and typically can be terminated by either party without cause with 90 days’ notice. International sales may be adversely affected by currency fluctuations, the imposition of governmental controls, restrictions on export technology, political instability, trade restrictions, changes in tariffs and the economic condition in each country in which we sell our products.</w:t>
      </w:r>
    </w:p>
    <w:p>
      <w:pPr>
        <w:spacing w:after="0" w:line="85" w:lineRule="exact"/>
        <w:rPr>
          <w:sz w:val="20"/>
          <w:szCs w:val="20"/>
          <w:color w:val="auto"/>
        </w:rPr>
      </w:pPr>
    </w:p>
    <w:p>
      <w:pPr>
        <w:ind w:right="320" w:firstLine="555"/>
        <w:spacing w:after="0" w:line="312" w:lineRule="auto"/>
        <w:rPr>
          <w:sz w:val="20"/>
          <w:szCs w:val="20"/>
          <w:color w:val="auto"/>
        </w:rPr>
      </w:pPr>
      <w:r>
        <w:rPr>
          <w:rFonts w:ascii="Arial" w:cs="Arial" w:eastAsia="Arial" w:hAnsi="Arial"/>
          <w:sz w:val="16"/>
          <w:szCs w:val="16"/>
          <w:color w:val="auto"/>
        </w:rPr>
        <w:t>To support our sales process, we conduct marketing programs which include: our website, clinical education, social media, email marketing, trade shows, public relations, market research, key opinion leader collaborations and advertising in trade and academic journals and newsletters. We typically participate in over 85 trade shows worldwide on an annual basis. These meetings allow us to present our products to existing and prospective buyers.</w:t>
      </w:r>
    </w:p>
    <w:p>
      <w:pPr>
        <w:spacing w:after="0" w:line="39"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Through marketing, we collaborate with our customers to identify new products and applications which help meet their needs, and in turn provides us with new product concepts, enhances our ability to identify new applications for our products and validates new procedures using our products. Customers include key opinion leaders who are often the heads of the departments in which they work or professors at universities. We believe that these luminaries in the field of ophthalmology are key to the successful introduction of new products and the subsequent acceptance of these new products by the general market. Acceptance of our products by these early adopters is key to our strategy in the validation and commercialization of our new products.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manufacture of our visible light and infrared laser consoles and the related delivery devices is a highly complex and precise process. Completed systems must pass quality control and reliability tests before shipment. Our manufacturing activities consist of specifying, sourcing, assembling and testing of components and certain subassemblies for assembly into our final product. Currently we have a total of 18 employees engaged in manufacturing activities for these products.</w:t>
      </w:r>
    </w:p>
    <w:p>
      <w:pPr>
        <w:spacing w:after="0" w:line="79"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The medical devices manufactured by us are subject to extensive regulation by numerous governmental authorities, including federal, state, and foreign governmental agencies. The principal regulator in the United States is the FDA. In April 1998, we received certification for ISO 9001/EN 46001, which is an international quality system standard that documents compliance to the European Medical Device Directive. In February 2004, we were certified to ISO 13485:2003, which replaced ISO 9001/EN46001 as the international standard for quality systems as applied to medical devices. In August 2008, we received FDA 510(k) clearance on our family of IRIDEX IQ laser systems. This clearance covers the IRIDEX IQ 532 and IQ 577 laser systems and their associated delivery devices to deliver laser energy in either CW or MicroPulse mode. In January 2015, we received FDA 510(k) clearance for Cyclo G6. These laser systems are intended for a wide range of specific applications in the medical specialties of ophthalmology.</w:t>
      </w:r>
    </w:p>
    <w:p>
      <w:pPr>
        <w:spacing w:after="0" w:line="70"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products demonstrating compliance to the European Medical Device Directive and all applicable standards. In July 1998, we received CE mark certification under Annex II guidelines, the most stringent path to CE certification. With Annex II CE mark certification, we have demonstrated our ability to both understand and comply with all applicable standards under the European Medical Device Directive. Currently, all of our released products are CE marked. Continued certification is based on successful review of the process by our European Registrar during its annual audit. Any loss of certification would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such as RetinaLabs and Ocunetics. We file patent applications to protect technology, inventions and improvements that are significant to the development of our business. Our patent portfolio includes 25 active United States patents and 13 active foreign patents on the technologies related to our continuing products and processes, which have expiration dates ranging</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from 2018 to 2034. We have 10 patent applications pending in the United States and 12 foreign patent applications pending. Our patent applications may not be approved.</w:t>
      </w:r>
    </w:p>
    <w:p>
      <w:pPr>
        <w:spacing w:after="0" w:line="62"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The medical devices marketed and manufactured by us are subject to extensive regulation by numerous governmental authorities, including federal, state, and foreign governmental agencies. Pursuant to the Federal Food, Drug, and Cosmetic Act, as amended, and the regulations promulgated thereunder (“FDA Act”),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59"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In the United States, medical devices are classified into one of three classes (Class I, II or III). The class to which the device is assigned determines, among other things, the type of pre-marketing submission/application required for FDA clearance to market. If the device is classified as Class I or II, and if it is not exempt, a 510(k) pre-market notification will be required for marketing. Under FDA regulations, Class I devices are subject to general controls (for example, labeling, pre-market notification and adherence to Quality System Regulations (“QSRs”) requirements). Class II devices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of the device’s safety and efficacy be performed.</w:t>
      </w:r>
    </w:p>
    <w:p>
      <w:pPr>
        <w:spacing w:after="0" w:line="75"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three and six months from the date of submission to grant a 510(k) clearance, but it may take longer.</w:t>
      </w:r>
    </w:p>
    <w:p>
      <w:pPr>
        <w:spacing w:after="0" w:line="79"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color w:val="auto"/>
        </w:rPr>
        <w:t>A not substantially equivalent determination, or a request for additional information, could delay the market introduction of new products that fall into this category and could have a materially adverse effect on our business, financial condition and results of operations. For any of our products that are cleared through the 510(k) process, modifications or enhancements that could significantly affect the safety or efficacy of the device or that constitute a major change to the intended use of the device will require new 510(k) submissions.</w:t>
      </w:r>
    </w:p>
    <w:p>
      <w:pPr>
        <w:spacing w:after="0" w:line="79"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We have obtained 510(k) clearances for all of our marketed products. We have also modified aspects of our products since receiving regulatory clearance, and we have submitted special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spacing w:after="0" w:line="59"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Any products manufactured or distributed by us pursuant to FDA clearances or approvals are subject to pervasive and continuing regulation by the FDA, including record keeping requirements and reporting of adverse experiences with the use of the device. Device manufacturers are required to register their establishments and list their devices with the FDA and certain state agencies, and are subject to periodic inspections by the FDA and certain state agencies. The FDA Act requires devices to be manufactured to comply with applicable QSR regulations which impose certain procedural and documentation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jc w:val="both"/>
        <w:ind w:right="120"/>
        <w:spacing w:after="0" w:line="264" w:lineRule="auto"/>
        <w:rPr>
          <w:sz w:val="20"/>
          <w:szCs w:val="20"/>
          <w:color w:val="auto"/>
        </w:rPr>
      </w:pPr>
      <w:r>
        <w:rPr>
          <w:rFonts w:ascii="Arial" w:cs="Arial" w:eastAsia="Arial" w:hAnsi="Arial"/>
          <w:sz w:val="18"/>
          <w:szCs w:val="18"/>
          <w:color w:val="auto"/>
        </w:rPr>
        <w:t>requirements upon us with respect to design, development, manufacturing and quality assurance activities. We are subject to unannounced inspections by the FDA and the Food and Drug Branch of the California Department of Health Services, to determine our compliance with the QSR and other regulations, and these inspections may include the manufacturing facilities of our subcontractors.</w:t>
      </w:r>
    </w:p>
    <w:p>
      <w:pPr>
        <w:spacing w:after="0" w:line="7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spacing w:after="0" w:line="8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Export of our products is regulated by the FDA and is covered by the Export Amendment of 1996, which greatly expanded the export of approved and unapproved United States medical devices. However, some foreign countries require manufacturers to provide an FDA certificate of products for export (“CPE”)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 CPE if significant outstanding QSR violations exist.</w:t>
      </w:r>
    </w:p>
    <w:p>
      <w:pPr>
        <w:spacing w:after="0" w:line="80"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We are also regulated under the Radiation Control for Health and Safety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w:t>
      </w:r>
    </w:p>
    <w:p>
      <w:pPr>
        <w:spacing w:after="0" w:line="46"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European Union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7" w:lineRule="exact"/>
        <w:rPr>
          <w:sz w:val="20"/>
          <w:szCs w:val="20"/>
          <w:color w:val="auto"/>
        </w:rPr>
      </w:pPr>
    </w:p>
    <w:p>
      <w:pPr>
        <w:jc w:val="both"/>
        <w:ind w:right="160" w:firstLine="555"/>
        <w:spacing w:after="0" w:line="279" w:lineRule="auto"/>
        <w:rPr>
          <w:sz w:val="20"/>
          <w:szCs w:val="20"/>
          <w:color w:val="auto"/>
        </w:rPr>
      </w:pPr>
      <w:r>
        <w:rPr>
          <w:rFonts w:ascii="Arial" w:cs="Arial" w:eastAsia="Arial" w:hAnsi="Arial"/>
          <w:sz w:val="17"/>
          <w:szCs w:val="17"/>
          <w:color w:val="auto"/>
        </w:rPr>
        <w:t>Changes in existing requirements or adoption of new requirements or policies by the FDA or other foreign and domestic regulatory authorities could adversely affect our ability to comply with regulatory requirements. Failure to comply 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associated with an in-patient hospitalization based on the patient’s discharge diagnosis, regardless of the actual costs incurred by the hospital or physician in furnishing the care and regardless of the specific devices used in that procedure.</w:t>
      </w:r>
    </w:p>
    <w:p>
      <w:pPr>
        <w:spacing w:after="0" w:line="62"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 private third-party payers’ policies may limit or eliminate reimbursement for procedures employing our products, which could have a material adverse effect on our business, results of operations and financial condition.</w:t>
      </w:r>
    </w:p>
    <w:p>
      <w:pPr>
        <w:spacing w:after="0" w:line="64" w:lineRule="exact"/>
        <w:rPr>
          <w:sz w:val="20"/>
          <w:szCs w:val="20"/>
          <w:color w:val="auto"/>
        </w:rPr>
      </w:pPr>
    </w:p>
    <w:p>
      <w:pPr>
        <w:ind w:right="320" w:firstLine="555"/>
        <w:spacing w:after="0" w:line="312" w:lineRule="auto"/>
        <w:rPr>
          <w:sz w:val="20"/>
          <w:szCs w:val="20"/>
          <w:color w:val="auto"/>
        </w:rPr>
      </w:pPr>
      <w:r>
        <w:rPr>
          <w:rFonts w:ascii="Arial" w:cs="Arial" w:eastAsia="Arial" w:hAnsi="Arial"/>
          <w:sz w:val="16"/>
          <w:szCs w:val="16"/>
          <w:color w:val="auto"/>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Seasonality</w:t>
      </w:r>
    </w:p>
    <w:p>
      <w:pPr>
        <w:spacing w:after="0" w:line="121" w:lineRule="exact"/>
        <w:rPr>
          <w:sz w:val="20"/>
          <w:szCs w:val="20"/>
          <w:color w:val="auto"/>
        </w:rPr>
      </w:pPr>
    </w:p>
    <w:p>
      <w:pPr>
        <w:ind w:right="140" w:firstLine="555"/>
        <w:spacing w:after="0" w:line="286" w:lineRule="auto"/>
        <w:rPr>
          <w:sz w:val="20"/>
          <w:szCs w:val="20"/>
          <w:color w:val="auto"/>
        </w:rPr>
      </w:pPr>
      <w:r>
        <w:rPr>
          <w:rFonts w:ascii="Arial" w:cs="Arial" w:eastAsia="Arial" w:hAnsi="Arial"/>
          <w:sz w:val="17"/>
          <w:szCs w:val="17"/>
          <w:color w:val="auto"/>
        </w:rPr>
        <w:t>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As of December 30, 2017, we had a total of 116 full-time equivalent employees engaged in our ongoing operations, including 49 in operations (including manufacturing, quality, logistics and service), 39 in sales and marketing which does not include the 7 independent sales representatives, 13 in R&amp;D and 15 in finance and administration. We also employ, from time to time, a number of temporary and part-time employees as well as consultants on a contract basis. As of December 30, 2017, we employed 38 such persons. Our future success will depend in part on our ability to attract, train, retain and motivate highly qualified employees, who are in great demand. We may not be successful in attracting and retaining such personnel. Our employees are not represented by a collective bargaining organization, and we have never experienced a work stoppage or strike. We consider our employee relations to be good.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at www.sec.gov. These periodic reports and amendments are also available, free of charge, on our website at </w:t>
      </w:r>
      <w:r>
        <w:rPr>
          <w:rFonts w:ascii="Arial" w:cs="Arial" w:eastAsia="Arial" w:hAnsi="Arial"/>
          <w:sz w:val="18"/>
          <w:szCs w:val="18"/>
          <w:u w:val="single" w:color="auto"/>
          <w:color w:val="auto"/>
        </w:rPr>
        <w:t>www.IRIDEX.com</w:t>
      </w:r>
      <w:r>
        <w:rPr>
          <w:rFonts w:ascii="Arial" w:cs="Arial" w:eastAsia="Arial" w:hAnsi="Arial"/>
          <w:sz w:val="18"/>
          <w:szCs w:val="18"/>
          <w:color w:val="auto"/>
        </w:rPr>
        <w:t>, as soon as reasonably practicable after such reports are electronically filed with the SEC.</w:t>
      </w:r>
    </w:p>
    <w:p>
      <w:pPr>
        <w:spacing w:after="0" w:line="79"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(www.facebook.com/IRIDEX) and Twitter feed (https://twitter.com/IRIDEX). Any information on, or that can be accessed through, our website and social media channels is not part of this report.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340" w:firstLine="555"/>
        <w:spacing w:after="0" w:line="264" w:lineRule="auto"/>
        <w:rPr>
          <w:sz w:val="20"/>
          <w:szCs w:val="20"/>
          <w:color w:val="auto"/>
        </w:rPr>
      </w:pPr>
      <w:r>
        <w:rPr>
          <w:rFonts w:ascii="Arial" w:cs="Arial" w:eastAsia="Arial" w:hAnsi="Arial"/>
          <w:sz w:val="18"/>
          <w:szCs w:val="18"/>
          <w:color w:val="auto"/>
        </w:rPr>
        <w:t>In addition to the other information contained in this Annual Report Form 10-K,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57"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81"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8" w:lineRule="exact"/>
        <w:rPr>
          <w:sz w:val="20"/>
          <w:szCs w:val="20"/>
          <w:color w:val="auto"/>
        </w:rPr>
      </w:pPr>
    </w:p>
    <w:p>
      <w:pPr>
        <w:ind w:right="360" w:firstLine="555"/>
        <w:spacing w:after="0" w:line="312"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39" w:lineRule="exact"/>
        <w:rPr>
          <w:sz w:val="20"/>
          <w:szCs w:val="20"/>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occurrence of any one or more of the foregoing factors could seriously harm our business,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4" w:name="page15"/>
    <w:bookmarkEnd w:id="14"/>
    <w:p>
      <w:pPr>
        <w:ind w:right="160" w:firstLine="555"/>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140" w:firstLine="555"/>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relationships with independent distributors outside the United States, and the establishment of our direct sales capabilities in Germany. Currently our direct and independent sales forces within the United States consist of approximately 22 employees and 7 independent representatives, respectively.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84"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We have increase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7"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fiscal year ended December 30, 2017, our international sales were $18.6 million, or 44.7% of total revenues. We anticipate that international sales will continue to account for a significant portion of our revenues in the foreseeable future. All of our international revenues and costs for the year ended December 30, 2017 have been denominated in U.S. dollars except for a sale transacted through our German subsidiary. As a result, an increase in the value of the U.S. dollar relative to foreign currencies makes our U.S. dollar-denominated our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7" w:lineRule="exact"/>
        <w:rPr>
          <w:sz w:val="20"/>
          <w:szCs w:val="20"/>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 w:name="page16"/>
    <w:bookmarkEnd w:id="15"/>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120" w:right="340" w:hanging="558"/>
        <w:spacing w:after="0" w:line="308"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120" w:right="40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129"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we fail to develop and successfully introduce new products and applications, our business prospects and operating results may suffer.</w:t>
      </w:r>
    </w:p>
    <w:p>
      <w:pPr>
        <w:spacing w:after="0" w:line="140"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80"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could cause our net revenues to decline.</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79"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 w:name="page17"/>
    <w:bookmarkEnd w:id="16"/>
    <w:p>
      <w:pPr>
        <w:ind w:right="300"/>
        <w:spacing w:after="0" w:line="279" w:lineRule="auto"/>
        <w:rPr>
          <w:sz w:val="20"/>
          <w:szCs w:val="20"/>
          <w:color w:val="auto"/>
        </w:rPr>
      </w:pPr>
      <w:r>
        <w:rPr>
          <w:rFonts w:ascii="Arial" w:cs="Arial" w:eastAsia="Arial" w:hAnsi="Arial"/>
          <w:sz w:val="17"/>
          <w:szCs w:val="17"/>
          <w:color w:val="auto"/>
        </w:rPr>
        <w:t>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640" w:firstLine="555"/>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7" w:name="page18"/>
    <w:bookmarkEnd w:id="17"/>
    <w:p>
      <w:pPr>
        <w:ind w:right="400" w:firstLine="555"/>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120" w:right="9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9"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6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and Health Care and Education Affordability Reconciliation Act of 2010 (collectively, the “Affordable Care Act”), and the current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8" w:name="page19"/>
    <w:bookmarkEnd w:id="18"/>
    <w:p>
      <w:pPr>
        <w:jc w:val="both"/>
        <w:ind w:right="80"/>
        <w:spacing w:after="0" w:line="264" w:lineRule="auto"/>
        <w:rPr>
          <w:sz w:val="20"/>
          <w:szCs w:val="20"/>
          <w:color w:val="auto"/>
        </w:rPr>
      </w:pPr>
      <w:r>
        <w:rPr>
          <w:rFonts w:ascii="Arial" w:cs="Arial" w:eastAsia="Arial" w:hAnsi="Arial"/>
          <w:sz w:val="18"/>
          <w:szCs w:val="18"/>
          <w:color w:val="auto"/>
        </w:rPr>
        <w:t>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3"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50" w:lineRule="exact"/>
        <w:rPr>
          <w:sz w:val="20"/>
          <w:szCs w:val="20"/>
          <w:color w:val="auto"/>
        </w:rPr>
      </w:pPr>
    </w:p>
    <w:p>
      <w:pPr>
        <w:ind w:right="180" w:firstLine="555"/>
        <w:spacing w:after="0" w:line="302"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6"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4"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ind w:left="56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collaborations could have a material adverse effect on our ability to introduce new products or applications and therefore could have a material adverse effect on our business, results of operations and financial condition.</w:t>
      </w:r>
    </w:p>
    <w:p>
      <w:pPr>
        <w:spacing w:after="0" w:line="57"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will be seriously harmed, particularly if the average selling price of our products decreases significantly without a corresponding increase in sales.</w:t>
      </w:r>
    </w:p>
    <w:p>
      <w:pPr>
        <w:spacing w:after="0" w:line="80" w:lineRule="exact"/>
        <w:rPr>
          <w:sz w:val="20"/>
          <w:szCs w:val="20"/>
          <w:color w:val="auto"/>
        </w:rPr>
      </w:pPr>
    </w:p>
    <w:p>
      <w:pPr>
        <w:ind w:right="820" w:firstLine="555"/>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25 active United States patents and 13 active foreign patents on the technologies related to our products and processes. In addition, we have 10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4" w:lineRule="exact"/>
        <w:rPr>
          <w:sz w:val="20"/>
          <w:szCs w:val="20"/>
          <w:color w:val="auto"/>
        </w:rPr>
      </w:pPr>
    </w:p>
    <w:p>
      <w:pPr>
        <w:ind w:right="420" w:firstLine="555"/>
        <w:spacing w:after="0" w:line="257"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we may not have adequate remedies for any breach. Also, our trade secrets may become known to or independently developed by competitors.</w:t>
      </w:r>
    </w:p>
    <w:p>
      <w:pPr>
        <w:spacing w:after="0" w:line="129"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after November 2000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70"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 If we are unsuccessful in prosecuting our claims against Quantel, this could have a material adverse effect on our business, results of operations and financial condition.</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100" w:firstLine="555"/>
        <w:spacing w:after="0" w:line="290"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58" w:lineRule="exact"/>
        <w:rPr>
          <w:sz w:val="20"/>
          <w:szCs w:val="20"/>
          <w:color w:val="auto"/>
        </w:rPr>
      </w:pPr>
    </w:p>
    <w:p>
      <w:pPr>
        <w:ind w:right="620" w:firstLine="555"/>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1" w:name="page22"/>
    <w:bookmarkEnd w:id="21"/>
    <w:p>
      <w:pPr>
        <w:ind w:left="56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555"/>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46" w:lineRule="exact"/>
        <w:rPr>
          <w:sz w:val="20"/>
          <w:szCs w:val="20"/>
          <w:color w:val="auto"/>
        </w:rPr>
      </w:pPr>
    </w:p>
    <w:p>
      <w:pPr>
        <w:ind w:left="1120" w:hanging="558"/>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39" w:lineRule="exact"/>
        <w:rPr>
          <w:sz w:val="20"/>
          <w:szCs w:val="20"/>
          <w:color w:val="auto"/>
        </w:rPr>
      </w:pPr>
    </w:p>
    <w:p>
      <w:pPr>
        <w:ind w:right="360" w:firstLine="555"/>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medical devices that we market and manufacture are subject to extensive regulation by the FDA and by foreign and state governments. Under the Food, Drug and Cosmetic Act (“FDCA”)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FDCA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right="120"/>
        <w:spacing w:after="0" w:line="264" w:lineRule="auto"/>
        <w:rPr>
          <w:sz w:val="20"/>
          <w:szCs w:val="20"/>
          <w:color w:val="auto"/>
        </w:rPr>
      </w:pPr>
      <w:r>
        <w:rPr>
          <w:rFonts w:ascii="Arial" w:cs="Arial" w:eastAsia="Arial" w:hAnsi="Arial"/>
          <w:sz w:val="18"/>
          <w:szCs w:val="18"/>
          <w:color w:val="auto"/>
        </w:rPr>
        <w:t>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3"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100" w:firstLine="555"/>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2" w:lineRule="exact"/>
        <w:rPr>
          <w:sz w:val="20"/>
          <w:szCs w:val="20"/>
          <w:color w:val="auto"/>
        </w:rPr>
      </w:pPr>
    </w:p>
    <w:p>
      <w:pPr>
        <w:ind w:right="580" w:firstLine="555"/>
        <w:spacing w:after="0" w:line="308" w:lineRule="auto"/>
        <w:rPr>
          <w:sz w:val="20"/>
          <w:szCs w:val="20"/>
          <w:color w:val="auto"/>
        </w:rPr>
      </w:pPr>
      <w:r>
        <w:rPr>
          <w:rFonts w:ascii="Arial" w:cs="Arial" w:eastAsia="Arial" w:hAnsi="Arial"/>
          <w:sz w:val="17"/>
          <w:szCs w:val="17"/>
          <w:b w:val="1"/>
          <w:bCs w:val="1"/>
          <w:i w:val="1"/>
          <w:iCs w:val="1"/>
          <w:color w:val="auto"/>
        </w:rPr>
        <w:t>Any clinical trials that we may undertake for regulatory approval or marketing reasons will be an expensive, lengthy, costly, and uncertain process, and could result in delays in new product introductions or even an inability to release a product.</w:t>
      </w:r>
    </w:p>
    <w:p>
      <w:pPr>
        <w:spacing w:after="0" w:line="38"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We may be required to undertake clinical trials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70"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3" w:name="page24"/>
    <w:bookmarkEnd w:id="23"/>
    <w:p>
      <w:pPr>
        <w:jc w:val="both"/>
        <w:ind w:right="100"/>
        <w:spacing w:after="0" w:line="264" w:lineRule="auto"/>
        <w:rPr>
          <w:sz w:val="20"/>
          <w:szCs w:val="20"/>
          <w:color w:val="auto"/>
        </w:rPr>
      </w:pPr>
      <w:r>
        <w:rPr>
          <w:rFonts w:ascii="Arial" w:cs="Arial" w:eastAsia="Arial" w:hAnsi="Arial"/>
          <w:sz w:val="18"/>
          <w:szCs w:val="18"/>
          <w:color w:val="auto"/>
        </w:rPr>
        <w:t>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3"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b w:val="1"/>
          <w:bCs w:val="1"/>
          <w:i w:val="1"/>
          <w:iCs w:val="1"/>
          <w:color w:val="auto"/>
        </w:rPr>
        <w:t>If we modify one of our FDA approved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6"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39"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On February 23, 2018, we initiated a voluntary recall of a specific laser accessory called the TruFocus LIO Premiere™ (“LIO”). The LIO is a headmounted indirect ophthalmoscopes that connects to our laser console and is used to view and perform retina laser treatment on a patient’s eye. There are 104 TruFocus LIO Premiere units at customer sites worldwide. We have received reports of three adverse events occurring during procedures in which the TruFocus LIO Premiere was used.</w:t>
      </w:r>
    </w:p>
    <w:p>
      <w:pPr>
        <w:spacing w:after="0" w:line="79"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negatively affect our future sales and financial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4" w:name="page25"/>
    <w:bookmarkEnd w:id="24"/>
    <w:p>
      <w:pPr>
        <w:ind w:right="40" w:firstLine="555"/>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200" w:firstLine="555"/>
        <w:spacing w:after="0" w:line="302"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46" w:lineRule="exact"/>
        <w:rPr>
          <w:sz w:val="20"/>
          <w:szCs w:val="20"/>
          <w:color w:val="auto"/>
        </w:rPr>
      </w:pPr>
    </w:p>
    <w:p>
      <w:pPr>
        <w:ind w:right="520" w:firstLine="555"/>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Since 1989, we have completed six acquisitions. 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120" w:right="104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the EPS,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are subject to federal, state and foreign laws governing our business practices which, if violated, could result in substantial penalties.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137"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who are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ind w:left="56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Legislation commonly referred to as the Tax Cuts and Jobs Act (the “Act”) was enacted in December 2017, and contains many significant changes to the U.S. federal income tax laws, the consequences of which have not yet been determined. Changes in corporate tax rates, the realizability of the net deferred tax assets relating to our U.S. operations, the taxation of foreign earnings, and the deductibility of expenses contained in the Act or other tax reform legislation could have a material impact on the value of our deferred tax assets, could result in significant one-time charges in the current or future taxable years, and could increase our future U.S. tax expense. The foregoing items could have a material adverse effect on our business, cash flow, results of operations or financial conditions.</w:t>
      </w:r>
    </w:p>
    <w:p>
      <w:pPr>
        <w:spacing w:after="0" w:line="85"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with these with the development and regulatory documentation for our products. Failure to meet these standards could limit the ability to market our products in those regions which require compliance to such standards or subject us to fines and penalties. Examples of such standards include laws governing the hazardous material content of our devices and products, such as the European Union (“EU”) Directive 2011/65/EU relating to Restrictions on the Use of Certain Hazardous Substances “RoHS Directive, and the EU Directive 2012/19/EU on Waste Electrical and Electronic Equipment or “WEEE Directive”. Similar laws and regulations have been passed or are pending in several other jurisdictions and may be enacted in other regions, including in the United States, and we are, or may in the future be, subject to these laws and regulations.</w:t>
      </w:r>
    </w:p>
    <w:p>
      <w:pPr>
        <w:spacing w:after="0" w:line="59" w:lineRule="exact"/>
        <w:rPr>
          <w:sz w:val="20"/>
          <w:szCs w:val="20"/>
          <w:color w:val="auto"/>
        </w:rPr>
      </w:pPr>
    </w:p>
    <w:p>
      <w:pPr>
        <w:ind w:right="520" w:firstLine="555"/>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Ownership of Our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fiscal year ended December 30, 2017, the trading price of our common stock fluctuated from a low of $7.62 per share to a high of $15.99 per share. During the fourth fiscal quarter ended December 30, 2017, the trading price of our common stock fluctuated from $7.62 per share to a high of $9.94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Future sales and issuances of securities could negatively affect our stock price and dilute the ownership interest of our existing investors.</w:t>
      </w:r>
    </w:p>
    <w:p>
      <w:pPr>
        <w:spacing w:after="0" w:line="140"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Future sales or issuances of securities by us could decrease the value of our common stock, dilute stockholders’ voting power and reduce future potential earnings per share. To raise capital, we may sell common stock, convertible securities or other equity-linked securities in one or more transactions at prices and in a manner we determine from time to time. If we sell additional equity securities, the ownership interest of existing investors or the EPS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8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Sales or issuances of a substantial amount of securities, or the perception that such sales could occur, may adversely affect prevailing market prices for our common stock. As of December 30, 2017, we had 11,596,274 shares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ind w:right="200"/>
        <w:spacing w:after="0" w:line="264" w:lineRule="auto"/>
        <w:rPr>
          <w:sz w:val="20"/>
          <w:szCs w:val="20"/>
          <w:color w:val="auto"/>
        </w:rPr>
      </w:pPr>
      <w:r>
        <w:rPr>
          <w:rFonts w:ascii="Arial" w:cs="Arial" w:eastAsia="Arial" w:hAnsi="Arial"/>
          <w:sz w:val="18"/>
          <w:szCs w:val="18"/>
          <w:color w:val="auto"/>
        </w:rPr>
        <w:t>outstanding, all of which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73"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As of December 30, 2017, holders of an aggregate of 982,742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46"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benefit from an investment in our common stock will depend entirely upon any future appreciation. There is no guarantee that our common stock will appreciate in value or even maintain the price at which stockholders have purchased their shares.</w:t>
      </w:r>
    </w:p>
    <w:p>
      <w:pPr>
        <w:spacing w:after="0" w:line="70"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December 30, 2017.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our failure to raise capital when needed could prevent us from growing.</w:t>
      </w:r>
    </w:p>
    <w:p>
      <w:pPr>
        <w:spacing w:after="0" w:line="129" w:lineRule="exact"/>
        <w:rPr>
          <w:sz w:val="20"/>
          <w:szCs w:val="20"/>
          <w:color w:val="auto"/>
        </w:rPr>
      </w:pPr>
    </w:p>
    <w:p>
      <w:pPr>
        <w:jc w:val="both"/>
        <w:ind w:right="60" w:firstLine="555"/>
        <w:spacing w:after="0" w:line="286"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w:t>
      </w:r>
    </w:p>
    <w:p>
      <w:pPr>
        <w:spacing w:after="0" w:line="57"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5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ind w:right="360"/>
        <w:spacing w:after="0" w:line="302" w:lineRule="auto"/>
        <w:rPr>
          <w:sz w:val="20"/>
          <w:szCs w:val="20"/>
          <w:color w:val="auto"/>
        </w:rPr>
      </w:pPr>
      <w:r>
        <w:rPr>
          <w:rFonts w:ascii="Arial" w:cs="Arial" w:eastAsia="Arial" w:hAnsi="Arial"/>
          <w:sz w:val="16"/>
          <w:szCs w:val="16"/>
          <w:color w:val="auto"/>
        </w:rPr>
        <w:t>deficiencies were to persist. We are an accelerated filer and our independent registered public accounting firm is required to formally attest to the effectiveness of our internal control over financial reporting pursuant to Section 404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46"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8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8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4" w:lineRule="exact"/>
        <w:rPr>
          <w:sz w:val="20"/>
          <w:szCs w:val="20"/>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or by a committee of our board of directors, thus prohibiting a stockholder from calling a special meeting;</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280" w:firstLine="555"/>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lease a 37,166 square feet facility in Mountain View, California pursuant to a lease that is scheduled to expire in February 2022.</w:t>
      </w:r>
    </w:p>
    <w:p>
      <w:pPr>
        <w:spacing w:after="0" w:line="117"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8" w:name="page29"/>
    <w:bookmarkEnd w:id="28"/>
    <w:p>
      <w:pPr>
        <w:jc w:val="both"/>
        <w:ind w:right="280"/>
        <w:spacing w:after="0" w:line="264" w:lineRule="auto"/>
        <w:rPr>
          <w:sz w:val="20"/>
          <w:szCs w:val="20"/>
          <w:color w:val="auto"/>
        </w:rPr>
      </w:pPr>
      <w:r>
        <w:rPr>
          <w:rFonts w:ascii="Arial" w:cs="Arial" w:eastAsia="Arial" w:hAnsi="Arial"/>
          <w:sz w:val="18"/>
          <w:szCs w:val="18"/>
          <w:color w:val="auto"/>
        </w:rPr>
        <w:t>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w:t>
      </w:r>
    </w:p>
    <w:p>
      <w:pPr>
        <w:spacing w:after="0" w:line="7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In addition, 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20"/>
        <w:spacing w:after="0" w:line="378"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 Market Information for Common Equity</w:t>
      </w:r>
    </w:p>
    <w:p>
      <w:pPr>
        <w:ind w:right="60" w:firstLine="555"/>
        <w:spacing w:after="0" w:line="264" w:lineRule="auto"/>
        <w:rPr>
          <w:sz w:val="20"/>
          <w:szCs w:val="20"/>
          <w:color w:val="auto"/>
        </w:rPr>
      </w:pPr>
      <w:r>
        <w:rPr>
          <w:rFonts w:ascii="Arial" w:cs="Arial" w:eastAsia="Arial" w:hAnsi="Arial"/>
          <w:sz w:val="18"/>
          <w:szCs w:val="18"/>
          <w:color w:val="auto"/>
        </w:rPr>
        <w:t>Our common stock is currently, and since our initial public offering on February 15, 1996, has been quoted on the NASDAQ Global Market under the symbol “IRIX”. The following table sets forth for the periods indicated the high and low sales prices for our common stock, as reported on the NASDAQ Global Market.</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2"/>
          </w:tcPr>
          <w:p>
            <w:pPr>
              <w:ind w:left="4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Low</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Fiscal 2017</w:t>
            </w:r>
          </w:p>
        </w:tc>
        <w:tc>
          <w:tcPr>
            <w:tcW w:w="5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11.52</w:t>
            </w:r>
          </w:p>
        </w:tc>
        <w:tc>
          <w:tcPr>
            <w:tcW w:w="30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color w:val="auto"/>
              </w:rPr>
              <w:t>Fiscal 2016</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16.39</w:t>
            </w:r>
          </w:p>
        </w:tc>
        <w:tc>
          <w:tcPr>
            <w:tcW w:w="30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13.52</w:t>
            </w: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10.70</w:t>
            </w:r>
          </w:p>
        </w:tc>
        <w:tc>
          <w:tcPr>
            <w:tcW w:w="300" w:type="dxa"/>
            <w:vAlign w:val="bottom"/>
          </w:tcPr>
          <w:p>
            <w:pPr>
              <w:spacing w:after="0"/>
              <w:rPr>
                <w:sz w:val="20"/>
                <w:szCs w:val="20"/>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20"/>
                <w:szCs w:val="20"/>
                <w:color w:val="auto"/>
              </w:rPr>
            </w:pPr>
          </w:p>
        </w:tc>
      </w:tr>
    </w:tbl>
    <w:p>
      <w:pPr>
        <w:spacing w:after="0" w:line="201" w:lineRule="exact"/>
        <w:rPr>
          <w:sz w:val="20"/>
          <w:szCs w:val="20"/>
          <w:color w:val="auto"/>
        </w:rPr>
      </w:pPr>
    </w:p>
    <w:p>
      <w:pPr>
        <w:jc w:val="both"/>
        <w:ind w:right="320" w:firstLine="555"/>
        <w:spacing w:after="0" w:line="312" w:lineRule="auto"/>
        <w:rPr>
          <w:sz w:val="20"/>
          <w:szCs w:val="20"/>
          <w:color w:val="auto"/>
        </w:rPr>
      </w:pPr>
      <w:r>
        <w:rPr>
          <w:rFonts w:ascii="Arial" w:cs="Arial" w:eastAsia="Arial" w:hAnsi="Arial"/>
          <w:sz w:val="16"/>
          <w:szCs w:val="16"/>
          <w:color w:val="auto"/>
        </w:rPr>
        <w:t>On March 1, 2018, the closing price on the NASDAQ Global Market for our common stock was $5.72 per share. As of March 1, 2018, there were approximately 40 holders of record (not in street name) of our common stock. Because many of our shares of common stock are held by brokers and other institutions on behalf of our stockholders, we are unable to estimate the total number of stockholders represented by these record 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We have never paid cash dividends on our common stock. We currently intend to retain any earnings for use in our business and do not anticipate paying cash dividends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following graph compares the cumulative total return on our Common Stock during the last five fiscal years with the NASDAQ Composite Index and the NASDAQ Medical Equipment Index during the same period. The graph shows the value, at the end of each of the last five fiscal years, of $100 invested in the Common Stock or the indices on December 29, 2012. The graph depicts the change in value of our Common Stock relative to the noted indices as of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128905</wp:posOffset>
            </wp:positionV>
            <wp:extent cx="3730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12/29/12</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12/28/13</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1/3/15</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1/2/16</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12/31/16</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12/30/17</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85"/>
        </w:trPr>
        <w:tc>
          <w:tcPr>
            <w:tcW w:w="4320" w:type="dxa"/>
            <w:vAlign w:val="bottom"/>
            <w:gridSpan w:val="2"/>
          </w:tcPr>
          <w:p>
            <w:pPr>
              <w:ind w:left="1140"/>
              <w:spacing w:after="0"/>
              <w:rPr>
                <w:sz w:val="20"/>
                <w:szCs w:val="20"/>
                <w:color w:val="auto"/>
              </w:rPr>
            </w:pPr>
            <w:r>
              <w:rPr>
                <w:rFonts w:ascii="Arial" w:cs="Arial" w:eastAsia="Arial" w:hAnsi="Arial"/>
                <w:sz w:val="18"/>
                <w:szCs w:val="18"/>
                <w:color w:val="auto"/>
              </w:rPr>
              <w:t>IRIDEX Corporation</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4"/>
                <w:szCs w:val="24"/>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257.18</w:t>
            </w:r>
          </w:p>
        </w:tc>
        <w:tc>
          <w:tcPr>
            <w:tcW w:w="80" w:type="dxa"/>
            <w:vAlign w:val="bottom"/>
          </w:tcPr>
          <w:p>
            <w:pPr>
              <w:spacing w:after="0"/>
              <w:rPr>
                <w:sz w:val="24"/>
                <w:szCs w:val="24"/>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228.99</w:t>
            </w:r>
          </w:p>
        </w:tc>
        <w:tc>
          <w:tcPr>
            <w:tcW w:w="80" w:type="dxa"/>
            <w:vAlign w:val="bottom"/>
          </w:tcPr>
          <w:p>
            <w:pPr>
              <w:spacing w:after="0"/>
              <w:rPr>
                <w:sz w:val="24"/>
                <w:szCs w:val="24"/>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247.07</w:t>
            </w:r>
          </w:p>
        </w:tc>
        <w:tc>
          <w:tcPr>
            <w:tcW w:w="80" w:type="dxa"/>
            <w:vAlign w:val="bottom"/>
          </w:tcPr>
          <w:p>
            <w:pPr>
              <w:spacing w:after="0"/>
              <w:rPr>
                <w:sz w:val="24"/>
                <w:szCs w:val="24"/>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373.94</w:t>
            </w:r>
          </w:p>
        </w:tc>
        <w:tc>
          <w:tcPr>
            <w:tcW w:w="80" w:type="dxa"/>
            <w:vAlign w:val="bottom"/>
          </w:tcPr>
          <w:p>
            <w:pPr>
              <w:spacing w:after="0"/>
              <w:rPr>
                <w:sz w:val="24"/>
                <w:szCs w:val="24"/>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202.66</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116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w:t>
            </w:r>
          </w:p>
        </w:tc>
        <w:tc>
          <w:tcPr>
            <w:tcW w:w="9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141.63</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162.09</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173.33</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187.19</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242.29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NASDAQ Medical Equipment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118.21</w:t>
            </w:r>
          </w:p>
        </w:tc>
        <w:tc>
          <w:tcPr>
            <w:tcW w:w="80" w:type="dxa"/>
            <w:vAlign w:val="bottom"/>
          </w:tcPr>
          <w:p>
            <w:pPr>
              <w:spacing w:after="0"/>
              <w:rPr>
                <w:sz w:val="20"/>
                <w:szCs w:val="20"/>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139.19</w:t>
            </w:r>
          </w:p>
        </w:tc>
        <w:tc>
          <w:tcPr>
            <w:tcW w:w="80" w:type="dxa"/>
            <w:vAlign w:val="bottom"/>
          </w:tcPr>
          <w:p>
            <w:pPr>
              <w:spacing w:after="0"/>
              <w:rPr>
                <w:sz w:val="20"/>
                <w:szCs w:val="20"/>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155.48</w:t>
            </w:r>
          </w:p>
        </w:tc>
        <w:tc>
          <w:tcPr>
            <w:tcW w:w="80" w:type="dxa"/>
            <w:vAlign w:val="bottom"/>
          </w:tcPr>
          <w:p>
            <w:pPr>
              <w:spacing w:after="0"/>
              <w:rPr>
                <w:sz w:val="20"/>
                <w:szCs w:val="20"/>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164.37</w:t>
            </w:r>
          </w:p>
        </w:tc>
        <w:tc>
          <w:tcPr>
            <w:tcW w:w="80" w:type="dxa"/>
            <w:vAlign w:val="bottom"/>
          </w:tcPr>
          <w:p>
            <w:pPr>
              <w:spacing w:after="0"/>
              <w:rPr>
                <w:sz w:val="20"/>
                <w:szCs w:val="20"/>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232.47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88"/>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314"/>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4459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754370"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55"/>
        <w:spacing w:after="0" w:line="301" w:lineRule="auto"/>
        <w:rPr>
          <w:sz w:val="20"/>
          <w:szCs w:val="20"/>
          <w:color w:val="auto"/>
        </w:rPr>
      </w:pPr>
      <w:r>
        <w:rPr>
          <w:rFonts w:ascii="Arial" w:cs="Arial" w:eastAsia="Arial" w:hAnsi="Arial"/>
          <w:sz w:val="16"/>
          <w:szCs w:val="16"/>
          <w:color w:val="auto"/>
        </w:rPr>
        <w:t>On January 3, 2017, we issued an additional 172,500 new common shares in connection with the underwriters exercising their overallotment option at $14.00 per share, before underwriting discount and commissions. The issuance of stock pursuant to the underwriters’ overallotment option generated net proceeds to us of approximately $2.3 million, after deducting underwriting commissions of $0.1 million. The offer and sale of all of the shares in the public offering was registered under the Securities Act pursuant to a registration statement on Form S-3 (File No. 333- 213094). Roth Capital Partners, LLC acted as the underwriter. There has been no material change in the planned use of proceeds as described in our final prospectus filed with the SEC on December 9, 2016 pursuant to Rule 424(b) of the Securities Act. We invested the funds received in registered money market funds.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and the related notes appearing in Item 8 “Financial Statements and Supplementary Data” of this report.</w:t>
      </w:r>
    </w:p>
    <w:p>
      <w:pPr>
        <w:spacing w:after="0" w:line="7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consolidated statements of income data for the years ended January 2, 2016, December 31, 2016 and December 30, 2017 and the consolidated balance sheet data as of December 31, 2016 and December 30, 2017 are derived from our audited consolidated financial statements appearing in Item 8 of this report. The consolidated statements of income data for the years ended December 28, 2013 and January 3, 2015 and the consolidated balance sheet data as of December 28, 2013, January 3, 2015 and January 2, 2016 are derived from our audited consolidated financial statements that are not included in this report. The historical results are not necessarily indicative of the results to be expected in any future period.</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income statement data:</w:t>
      </w:r>
    </w:p>
    <w:p>
      <w:pPr>
        <w:spacing w:after="0" w:line="311"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FY 2013</w:t>
            </w:r>
          </w:p>
        </w:tc>
        <w:tc>
          <w:tcPr>
            <w:tcW w:w="22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FY 2014</w:t>
            </w:r>
          </w:p>
        </w:tc>
        <w:tc>
          <w:tcPr>
            <w:tcW w:w="22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FY 2015</w:t>
            </w:r>
          </w:p>
        </w:tc>
        <w:tc>
          <w:tcPr>
            <w:tcW w:w="220" w:type="dxa"/>
            <w:vAlign w:val="bottom"/>
          </w:tcPr>
          <w:p>
            <w:pPr>
              <w:spacing w:after="0"/>
              <w:rPr>
                <w:sz w:val="16"/>
                <w:szCs w:val="16"/>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FY 2016</w:t>
            </w:r>
          </w:p>
        </w:tc>
        <w:tc>
          <w:tcPr>
            <w:tcW w:w="16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FY 2017</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9"/>
                <w:szCs w:val="19"/>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(iu thousands)</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28,</w:t>
            </w:r>
          </w:p>
        </w:tc>
        <w:tc>
          <w:tcPr>
            <w:tcW w:w="22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January 3, 2015</w:t>
            </w:r>
          </w:p>
        </w:tc>
        <w:tc>
          <w:tcPr>
            <w:tcW w:w="22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January 2, 2016</w:t>
            </w: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68"/>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440" w:type="dxa"/>
            <w:vAlign w:val="bottom"/>
            <w:gridSpan w:val="2"/>
          </w:tcPr>
          <w:p>
            <w:pPr>
              <w:ind w:left="580"/>
              <w:spacing w:after="0"/>
              <w:rPr>
                <w:sz w:val="20"/>
                <w:szCs w:val="20"/>
                <w:color w:val="auto"/>
              </w:rPr>
            </w:pPr>
            <w:r>
              <w:rPr>
                <w:rFonts w:ascii="Arial" w:cs="Arial" w:eastAsia="Arial" w:hAnsi="Arial"/>
                <w:sz w:val="18"/>
                <w:szCs w:val="18"/>
                <w:color w:val="auto"/>
              </w:rPr>
              <w:t>Total revenues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38,273</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42,814</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41,757</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46,158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41,593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3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(2,565)</w:t>
            </w:r>
          </w:p>
        </w:tc>
        <w:tc>
          <w:tcPr>
            <w:tcW w:w="1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(12,888)</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96"/>
              </w:rPr>
              <w:t>(Loss) income per share - Basic</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360" w:type="dxa"/>
            <w:vAlign w:val="bottom"/>
            <w:gridSpan w:val="5"/>
          </w:tcPr>
          <w:p>
            <w:pPr>
              <w:jc w:val="right"/>
              <w:ind w:right="20"/>
              <w:spacing w:after="0"/>
              <w:rPr>
                <w:sz w:val="20"/>
                <w:szCs w:val="20"/>
                <w:color w:val="auto"/>
              </w:rPr>
            </w:pPr>
            <w:r>
              <w:rPr>
                <w:rFonts w:ascii="Arial" w:cs="Arial" w:eastAsia="Arial" w:hAnsi="Arial"/>
                <w:sz w:val="18"/>
                <w:szCs w:val="18"/>
                <w:color w:val="auto"/>
              </w:rPr>
              <w:t>(1.15)</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24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(Loss) income per share - Diluted</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3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1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32"/>
        </w:trPr>
        <w:tc>
          <w:tcPr>
            <w:tcW w:w="2440" w:type="dxa"/>
            <w:vAlign w:val="bottom"/>
            <w:gridSpan w:val="2"/>
          </w:tcPr>
          <w:p>
            <w:pPr>
              <w:spacing w:after="0"/>
              <w:rPr>
                <w:sz w:val="20"/>
                <w:szCs w:val="20"/>
                <w:color w:val="auto"/>
              </w:rPr>
            </w:pPr>
            <w:r>
              <w:rPr>
                <w:rFonts w:ascii="Arial" w:cs="Arial" w:eastAsia="Arial" w:hAnsi="Arial"/>
                <w:sz w:val="18"/>
                <w:szCs w:val="18"/>
                <w:color w:val="auto"/>
              </w:rPr>
              <w:t>Selected balance sheet data:</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FY 2013</w:t>
            </w:r>
          </w:p>
        </w:tc>
        <w:tc>
          <w:tcPr>
            <w:tcW w:w="220" w:type="dxa"/>
            <w:vAlign w:val="bottom"/>
          </w:tcPr>
          <w:p>
            <w:pPr>
              <w:spacing w:after="0"/>
              <w:rPr>
                <w:sz w:val="24"/>
                <w:szCs w:val="24"/>
                <w:color w:val="auto"/>
              </w:rPr>
            </w:pPr>
          </w:p>
        </w:tc>
        <w:tc>
          <w:tcPr>
            <w:tcW w:w="126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FY 2014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94"/>
              </w:rPr>
              <w:t>FY 2015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FY 2016</w:t>
            </w:r>
          </w:p>
        </w:tc>
        <w:tc>
          <w:tcPr>
            <w:tcW w:w="16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FY 2017</w:t>
            </w:r>
          </w:p>
        </w:tc>
        <w:tc>
          <w:tcPr>
            <w:tcW w:w="0" w:type="dxa"/>
            <w:vAlign w:val="bottom"/>
          </w:tcPr>
          <w:p>
            <w:pPr>
              <w:spacing w:after="0"/>
              <w:rPr>
                <w:sz w:val="1"/>
                <w:szCs w:val="1"/>
                <w:color w:val="auto"/>
              </w:rPr>
            </w:pPr>
          </w:p>
        </w:tc>
      </w:tr>
      <w:tr>
        <w:trPr>
          <w:trHeight w:val="171"/>
        </w:trPr>
        <w:tc>
          <w:tcPr>
            <w:tcW w:w="2440" w:type="dxa"/>
            <w:vAlign w:val="bottom"/>
            <w:gridSpan w:val="2"/>
          </w:tcPr>
          <w:p>
            <w:pPr>
              <w:ind w:left="580"/>
              <w:spacing w:after="0"/>
              <w:rPr>
                <w:sz w:val="20"/>
                <w:szCs w:val="20"/>
                <w:color w:val="auto"/>
              </w:rPr>
            </w:pPr>
            <w:r>
              <w:rPr>
                <w:rFonts w:ascii="Arial" w:cs="Arial" w:eastAsia="Arial" w:hAnsi="Arial"/>
                <w:sz w:val="14"/>
                <w:szCs w:val="14"/>
                <w:b w:val="1"/>
                <w:bCs w:val="1"/>
                <w:color w:val="auto"/>
              </w:rPr>
              <w:t>(iu thousands)</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December 28, 2013</w:t>
            </w:r>
          </w:p>
        </w:tc>
        <w:tc>
          <w:tcPr>
            <w:tcW w:w="220" w:type="dxa"/>
            <w:vAlign w:val="bottom"/>
          </w:tcPr>
          <w:p>
            <w:pPr>
              <w:spacing w:after="0"/>
              <w:rPr>
                <w:sz w:val="14"/>
                <w:szCs w:val="14"/>
                <w:color w:val="auto"/>
              </w:rPr>
            </w:pPr>
          </w:p>
        </w:tc>
        <w:tc>
          <w:tcPr>
            <w:tcW w:w="12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January 3, 2015</w:t>
            </w:r>
          </w:p>
        </w:tc>
        <w:tc>
          <w:tcPr>
            <w:tcW w:w="240" w:type="dxa"/>
            <w:vAlign w:val="bottom"/>
          </w:tcPr>
          <w:p>
            <w:pPr>
              <w:spacing w:after="0"/>
              <w:rPr>
                <w:sz w:val="14"/>
                <w:szCs w:val="14"/>
                <w:color w:val="auto"/>
              </w:rPr>
            </w:pPr>
          </w:p>
        </w:tc>
        <w:tc>
          <w:tcPr>
            <w:tcW w:w="12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January 2, 2016</w:t>
            </w:r>
          </w:p>
        </w:tc>
        <w:tc>
          <w:tcPr>
            <w:tcW w:w="240" w:type="dxa"/>
            <w:vAlign w:val="bottom"/>
          </w:tcPr>
          <w:p>
            <w:pPr>
              <w:spacing w:after="0"/>
              <w:rPr>
                <w:sz w:val="14"/>
                <w:szCs w:val="14"/>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December 31, 2016</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30, 2017</w:t>
            </w:r>
          </w:p>
        </w:tc>
        <w:tc>
          <w:tcPr>
            <w:tcW w:w="0" w:type="dxa"/>
            <w:vAlign w:val="bottom"/>
          </w:tcPr>
          <w:p>
            <w:pPr>
              <w:spacing w:after="0"/>
              <w:rPr>
                <w:sz w:val="1"/>
                <w:szCs w:val="1"/>
                <w:color w:val="auto"/>
              </w:rPr>
            </w:pPr>
          </w:p>
        </w:tc>
      </w:tr>
      <w:tr>
        <w:trPr>
          <w:trHeight w:val="156"/>
        </w:trPr>
        <w:tc>
          <w:tcPr>
            <w:tcW w:w="600" w:type="dxa"/>
            <w:vAlign w:val="bottom"/>
            <w:vMerge w:val="restart"/>
          </w:tcPr>
          <w:p>
            <w:pPr>
              <w:spacing w:after="0"/>
              <w:rPr>
                <w:sz w:val="13"/>
                <w:szCs w:val="13"/>
                <w:color w:val="auto"/>
              </w:rPr>
            </w:pPr>
          </w:p>
        </w:tc>
        <w:tc>
          <w:tcPr>
            <w:tcW w:w="18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0" w:type="dxa"/>
            <w:vAlign w:val="bottom"/>
            <w:vMerge w:val="continue"/>
          </w:tcPr>
          <w:p>
            <w:pPr>
              <w:spacing w:after="0"/>
              <w:rPr>
                <w:sz w:val="19"/>
                <w:szCs w:val="19"/>
                <w:color w:val="auto"/>
              </w:rPr>
            </w:pPr>
          </w:p>
        </w:tc>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33,677</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41,818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41,823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vMerge w:val="restart"/>
          </w:tcPr>
          <w:p>
            <w:pPr>
              <w:spacing w:after="0"/>
              <w:rPr>
                <w:sz w:val="19"/>
                <w:szCs w:val="19"/>
                <w:color w:val="auto"/>
              </w:rPr>
            </w:pPr>
          </w:p>
        </w:tc>
        <w:tc>
          <w:tcPr>
            <w:tcW w:w="1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vMerge w:val="continue"/>
          </w:tcPr>
          <w:p>
            <w:pPr>
              <w:spacing w:after="0"/>
              <w:rPr>
                <w:sz w:val="19"/>
                <w:szCs w:val="19"/>
                <w:color w:val="auto"/>
              </w:rPr>
            </w:pPr>
          </w:p>
        </w:tc>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w w:val="94"/>
              </w:rPr>
              <w:t>Total long term liabilities</w:t>
            </w:r>
          </w:p>
        </w:tc>
        <w:tc>
          <w:tcPr>
            <w:tcW w:w="6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vMerge w:val="restart"/>
          </w:tcPr>
          <w:p>
            <w:pPr>
              <w:spacing w:after="0"/>
              <w:rPr>
                <w:sz w:val="19"/>
                <w:szCs w:val="19"/>
                <w:color w:val="auto"/>
              </w:rPr>
            </w:pPr>
          </w:p>
        </w:tc>
        <w:tc>
          <w:tcPr>
            <w:tcW w:w="1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vMerge w:val="continue"/>
          </w:tcPr>
          <w:p>
            <w:pPr>
              <w:spacing w:after="0"/>
              <w:rPr>
                <w:sz w:val="18"/>
                <w:szCs w:val="18"/>
                <w:color w:val="auto"/>
              </w:rPr>
            </w:pPr>
          </w:p>
        </w:tc>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Total shareholders'</w:t>
            </w:r>
          </w:p>
        </w:tc>
        <w:tc>
          <w:tcPr>
            <w:tcW w:w="6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25,854</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33,736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33,688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39,160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ind w:firstLine="555"/>
        <w:spacing w:after="0" w:line="302"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recently introduced Cyclo G6 laser system used for the treatment of glaucoma;</w:t>
      </w:r>
    </w:p>
    <w:p>
      <w:pPr>
        <w:spacing w:after="0" w:line="117" w:lineRule="exact"/>
        <w:rPr>
          <w:rFonts w:ascii="Arial" w:cs="Arial" w:eastAsia="Arial" w:hAnsi="Arial"/>
          <w:sz w:val="18"/>
          <w:szCs w:val="18"/>
          <w:color w:val="auto"/>
        </w:rPr>
      </w:pPr>
    </w:p>
    <w:p>
      <w:pPr>
        <w:ind w:left="1120" w:right="380" w:hanging="558"/>
        <w:spacing w:after="0" w:line="282"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120" w:right="200" w:hanging="558"/>
        <w:spacing w:after="0" w:line="282"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ind w:left="1120"/>
        <w:spacing w:after="0"/>
        <w:rPr>
          <w:sz w:val="20"/>
          <w:szCs w:val="20"/>
          <w:color w:val="auto"/>
        </w:rPr>
      </w:pPr>
      <w:r>
        <w:rPr>
          <w:rFonts w:ascii="Arial" w:cs="Arial" w:eastAsia="Arial" w:hAnsi="Arial"/>
          <w:sz w:val="18"/>
          <w:szCs w:val="18"/>
          <w:color w:val="auto"/>
        </w:rPr>
        <w:t>procedures, which are used to treat proliferative diabetic retinopathy, macular holes, retinal tears and detachments.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business generates recurring revenues through sales of consumable products, predominantly single-use laser probe devices and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instrumentation, as well as repair, servicing and extended service contracts for our laser systems. Our laser probes consist of the following product lines:</w:t>
      </w:r>
    </w:p>
    <w:p>
      <w:pPr>
        <w:spacing w:after="0" w:line="122"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Glaucoma </w:t>
      </w:r>
      <w:r>
        <w:rPr>
          <w:rFonts w:ascii="Arial" w:cs="Arial" w:eastAsia="Arial" w:hAnsi="Arial"/>
          <w:sz w:val="17"/>
          <w:szCs w:val="17"/>
          <w:color w:val="auto"/>
        </w:rPr>
        <w:t>– Probes used in our glaucoma product line include our recently patented MicroPulse P3 (“MP3”) probe and G-Probe; and</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Ophthalmologists typically use our laser systems in hospital ORs and ambulatory surgical centers (“ASCs”), as well as their offices and clinics. In the ORs and ASCs, ophthalmologists use our laser systems with either an indirect laser ophthalmoscope or a consumable, single use MP3 probe, G-Probe or EndoProbe.</w:t>
      </w:r>
    </w:p>
    <w:p>
      <w:pPr>
        <w:spacing w:after="0" w:line="100"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Our products are sold in the United States, predominantly through a direct sales force, and internationally, through independent distributors. Total revenues in 2017, 2016 and 2015 were $41.6 million, $46.2 million and $41.8 million, respectively. We generated net (loss) income of $(12.9) million, $(11.7) million and $0.5 million in 2017, 2016 and 2015, respectively.</w:t>
      </w:r>
    </w:p>
    <w:p>
      <w:pPr>
        <w:spacing w:after="0" w:line="73"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w:t>
      </w:r>
    </w:p>
    <w:p>
      <w:pPr>
        <w:spacing w:after="0" w:line="79" w:lineRule="exact"/>
        <w:rPr>
          <w:sz w:val="20"/>
          <w:szCs w:val="20"/>
          <w:color w:val="auto"/>
        </w:rPr>
      </w:pPr>
    </w:p>
    <w:p>
      <w:pPr>
        <w:ind w:right="480" w:firstLine="555"/>
        <w:spacing w:after="0" w:line="308" w:lineRule="auto"/>
        <w:rPr>
          <w:sz w:val="20"/>
          <w:szCs w:val="20"/>
          <w:color w:val="auto"/>
        </w:rPr>
      </w:pPr>
      <w:r>
        <w:rPr>
          <w:rFonts w:ascii="Arial" w:cs="Arial" w:eastAsia="Arial" w:hAnsi="Arial"/>
          <w:sz w:val="17"/>
          <w:szCs w:val="17"/>
          <w:color w:val="auto"/>
        </w:rPr>
        <w:t>Cost of revenues consists primarily of the cost of components and sub-systems, assembling, packaging, shipping and testing components at our facility, direct labor and associated overhead, warranty, royalty and amortization of intangible assets and depot service costs.</w:t>
      </w:r>
    </w:p>
    <w:p>
      <w:pPr>
        <w:spacing w:after="0" w:line="38"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- 2017, 2016 and 2015</w:t>
      </w:r>
    </w:p>
    <w:p>
      <w:pPr>
        <w:spacing w:after="0" w:line="121" w:lineRule="exact"/>
        <w:rPr>
          <w:sz w:val="20"/>
          <w:szCs w:val="20"/>
          <w:color w:val="auto"/>
        </w:rPr>
      </w:pPr>
    </w:p>
    <w:p>
      <w:pPr>
        <w:ind w:right="20" w:firstLine="555"/>
        <w:spacing w:after="0" w:line="309" w:lineRule="auto"/>
        <w:rPr>
          <w:sz w:val="20"/>
          <w:szCs w:val="20"/>
          <w:color w:val="auto"/>
        </w:rPr>
      </w:pPr>
      <w:r>
        <w:rPr>
          <w:rFonts w:ascii="Arial" w:cs="Arial" w:eastAsia="Arial" w:hAnsi="Arial"/>
          <w:sz w:val="18"/>
          <w:szCs w:val="18"/>
          <w:color w:val="auto"/>
        </w:rPr>
        <w:t>Our fiscal year ends on the Saturday closest to December 31. Fiscal 2017 ended on December 30, 2017, fiscal 2016 ended on December 31, 2016 and fiscal 2015 ended on January 2, 2016. Fiscal years 2017, 2016 and 2015 each included 52 weeks of operations.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3" w:name="page34"/>
    <w:bookmarkEnd w:id="33"/>
    <w:p>
      <w:pPr>
        <w:ind w:left="560"/>
        <w:spacing w:after="0"/>
        <w:rPr>
          <w:sz w:val="20"/>
          <w:szCs w:val="20"/>
          <w:color w:val="auto"/>
        </w:rPr>
      </w:pPr>
      <w:r>
        <w:rPr>
          <w:rFonts w:ascii="Arial" w:cs="Arial" w:eastAsia="Arial" w:hAnsi="Arial"/>
          <w:sz w:val="18"/>
          <w:szCs w:val="18"/>
          <w:color w:val="auto"/>
        </w:rPr>
        <w:t>The following table sets forth certain operating data as a percentage of revenue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Percentage of Revenue</w:t>
            </w: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1"/>
              </w:rPr>
              <w:t>Years Ended</w:t>
            </w:r>
          </w:p>
        </w:tc>
        <w:tc>
          <w:tcPr>
            <w:tcW w:w="1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FY 2017</w:t>
            </w:r>
          </w:p>
        </w:tc>
        <w:tc>
          <w:tcPr>
            <w:tcW w:w="34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FY 2016</w:t>
            </w:r>
          </w:p>
        </w:tc>
        <w:tc>
          <w:tcPr>
            <w:tcW w:w="36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FY 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December 30,</w:t>
            </w:r>
          </w:p>
        </w:tc>
        <w:tc>
          <w:tcPr>
            <w:tcW w:w="34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December 31,</w:t>
            </w:r>
          </w:p>
        </w:tc>
        <w:tc>
          <w:tcPr>
            <w:tcW w:w="3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January 2, 2016</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revenues</w:t>
            </w:r>
          </w:p>
        </w:tc>
        <w:tc>
          <w:tcPr>
            <w:tcW w:w="1480" w:type="dxa"/>
            <w:vAlign w:val="bottom"/>
            <w:gridSpan w:val="2"/>
          </w:tcPr>
          <w:p>
            <w:pPr>
              <w:jc w:val="right"/>
              <w:ind w:right="128"/>
              <w:spacing w:after="0"/>
              <w:rPr>
                <w:sz w:val="20"/>
                <w:szCs w:val="20"/>
                <w:color w:val="auto"/>
              </w:rPr>
            </w:pPr>
            <w:r>
              <w:rPr>
                <w:rFonts w:ascii="Arial" w:cs="Arial" w:eastAsia="Arial" w:hAnsi="Arial"/>
                <w:sz w:val="18"/>
                <w:szCs w:val="18"/>
                <w:color w:val="auto"/>
              </w:rPr>
              <w:t>62.7%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vMerge w:val="continue"/>
            <w:shd w:val="clear" w:color="auto" w:fill="CFF0FC"/>
          </w:tcPr>
          <w:p>
            <w:pPr>
              <w:spacing w:after="0"/>
              <w:rPr>
                <w:sz w:val="19"/>
                <w:szCs w:val="19"/>
                <w:color w:val="auto"/>
              </w:rPr>
            </w:pPr>
          </w:p>
        </w:tc>
        <w:tc>
          <w:tcPr>
            <w:tcW w:w="1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37.3%</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45.1%</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13.8%</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11.6%</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gridSpan w:val="2"/>
          </w:tcPr>
          <w:p>
            <w:pPr>
              <w:jc w:val="right"/>
              <w:ind w:right="128"/>
              <w:spacing w:after="0"/>
              <w:rPr>
                <w:sz w:val="20"/>
                <w:szCs w:val="20"/>
                <w:color w:val="auto"/>
              </w:rPr>
            </w:pPr>
            <w:r>
              <w:rPr>
                <w:rFonts w:ascii="Arial" w:cs="Arial" w:eastAsia="Arial" w:hAnsi="Arial"/>
                <w:sz w:val="18"/>
                <w:szCs w:val="18"/>
                <w:color w:val="auto"/>
              </w:rPr>
              <w:t>35.0%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19.9%</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16.5%</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Gain on sale of intellectual property</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(0.4%)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long-lived assets</w:t>
            </w:r>
          </w:p>
        </w:tc>
        <w:tc>
          <w:tcPr>
            <w:tcW w:w="1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1480" w:type="dxa"/>
            <w:vAlign w:val="bottom"/>
            <w:gridSpan w:val="2"/>
          </w:tcPr>
          <w:p>
            <w:pPr>
              <w:jc w:val="right"/>
              <w:ind w:right="128"/>
              <w:spacing w:after="0"/>
              <w:rPr>
                <w:sz w:val="20"/>
                <w:szCs w:val="20"/>
                <w:color w:val="auto"/>
              </w:rPr>
            </w:pPr>
            <w:r>
              <w:rPr>
                <w:rFonts w:ascii="Arial" w:cs="Arial" w:eastAsia="Arial" w:hAnsi="Arial"/>
                <w:sz w:val="18"/>
                <w:szCs w:val="18"/>
                <w:color w:val="auto"/>
              </w:rPr>
              <w:t>68.3%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vMerge w:val="continue"/>
            <w:shd w:val="clear" w:color="auto" w:fill="CFF0FC"/>
          </w:tcPr>
          <w:p>
            <w:pPr>
              <w:spacing w:after="0"/>
              <w:rPr>
                <w:sz w:val="19"/>
                <w:szCs w:val="19"/>
                <w:color w:val="auto"/>
              </w:rPr>
            </w:pPr>
          </w:p>
        </w:tc>
        <w:tc>
          <w:tcPr>
            <w:tcW w:w="1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(31.0%)</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(Loss) income from operations before (benefit from) provision</w:t>
            </w:r>
          </w:p>
        </w:tc>
        <w:tc>
          <w:tcPr>
            <w:tcW w:w="11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 income taxes</w:t>
            </w:r>
          </w:p>
        </w:tc>
        <w:tc>
          <w:tcPr>
            <w:tcW w:w="1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(31.2%)</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vMerge w:val="continue"/>
            <w:shd w:val="clear" w:color="auto" w:fill="CFF0FC"/>
          </w:tcPr>
          <w:p>
            <w:pPr>
              <w:spacing w:after="0"/>
              <w:rPr>
                <w:sz w:val="19"/>
                <w:szCs w:val="19"/>
                <w:color w:val="auto"/>
              </w:rPr>
            </w:pPr>
          </w:p>
        </w:tc>
        <w:tc>
          <w:tcPr>
            <w:tcW w:w="1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(30.9%)</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(25.4%)</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2017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total revenues decreased $4.6 million or 10.0% from $46.2 million in 2016 to $41.6 million in 2017. The decrease was due primarily from a decrease in our domestic systems revenues, international systems revenues, and recurring revenues of $2.3 million, $2.0 million and $0.3 million respectively. The decrease in domestic systems revenues was primarily due to a decrease in sales of our retina products and an increase in our sales return reserve related to our voluntary recall of 104 TruFocus LIO Premiere™ laser indirect ophthalmoscopes (“LIO”). For further information about the LIO recall, see footnote 17 “Subsequent Events” of Item 8 “Financial Statements and Supplementary Data” of this report. The decrease in international systems revenues was primarily due to a decrease in sales of our retina products. The decrease in recurring revenues was due to a decrease in sales of our legacy probes that was partially offset by an increase in our G6 related probes.</w:t>
      </w:r>
    </w:p>
    <w:p>
      <w:pPr>
        <w:spacing w:after="0" w:line="8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2017 we implemented the Laser Advantage Program (“LAP”) that some of our domestic customers have utilized. Under the LAP, we ship a G6 laser along with an initial purchase of G6 probes and an agreement to purchase additional G6 probes. Ownership on the console is transferred to the customer after they purchase the additional required number of probes on or before the end of a specified period. As title on the console does not transfer until the earlier of when the additional required probes are purchased or at the end of the term, in accordance with the multiple element arrangement guidance under ASC 605, the Company has determined that revenue from LAP sales of G6 lasers should be recognized only when that uncertainty is resolved and title of the console passes to the customers.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FY 2017</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FY 2016</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Change in $</w:t>
            </w:r>
          </w:p>
        </w:tc>
        <w:tc>
          <w:tcPr>
            <w:tcW w:w="2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Systems – domestic</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Systems – international</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Gross profit was $15.5 million in 2017 compared with $20.8 million in 2016, a decrease of $5.3 million or 25.5%.</w:t>
      </w:r>
    </w:p>
    <w:p>
      <w:pPr>
        <w:spacing w:after="0" w:line="117" w:lineRule="exact"/>
        <w:rPr>
          <w:sz w:val="20"/>
          <w:szCs w:val="20"/>
          <w:color w:val="auto"/>
        </w:rPr>
      </w:pPr>
    </w:p>
    <w:p>
      <w:pPr>
        <w:jc w:val="both"/>
        <w:ind w:right="500" w:firstLine="555"/>
        <w:spacing w:after="0" w:line="286" w:lineRule="auto"/>
        <w:rPr>
          <w:sz w:val="20"/>
          <w:szCs w:val="20"/>
          <w:color w:val="auto"/>
        </w:rPr>
      </w:pPr>
      <w:r>
        <w:rPr>
          <w:rFonts w:ascii="Arial" w:cs="Arial" w:eastAsia="Arial" w:hAnsi="Arial"/>
          <w:sz w:val="17"/>
          <w:szCs w:val="17"/>
          <w:color w:val="auto"/>
        </w:rPr>
        <w:t>Gross margin, which is defined as gross profit as a percentage of revenues, was 37.3% in 2017 compared with 45.1% in 2016, a decrease of 7.8 percentage points. Gross margin decreased primarily due to additional costs related to our LIO product recall, unfavorable product and geographic mix changes, lower selling price for our retina products, and an increase in manufacturing variances.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ind w:right="160" w:firstLine="555"/>
        <w:spacing w:after="0" w:line="342" w:lineRule="auto"/>
        <w:rPr>
          <w:sz w:val="20"/>
          <w:szCs w:val="20"/>
          <w:color w:val="auto"/>
        </w:rPr>
      </w:pPr>
      <w:r>
        <w:rPr>
          <w:rFonts w:ascii="Arial" w:cs="Arial" w:eastAsia="Arial" w:hAnsi="Arial"/>
          <w:sz w:val="16"/>
          <w:szCs w:val="16"/>
          <w:color w:val="auto"/>
        </w:rPr>
        <w:t>Gross margins are expected to continue to fluctuate due to changes in the relative proportions of domestic and international sales, the product mix of sales, manufacturing variances, total unit volume changes that lead to greater or lesser production efficiencies, sales return and a variety of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17"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R&amp;D expenses increased $0.4 million or 6.8% from $5.4 million in 2016 to $5.7 million in 2017. The increase was attributable primarily to an increase in non-cash stock compensation and an increase in patent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right="320" w:firstLine="555"/>
        <w:spacing w:after="0" w:line="264" w:lineRule="auto"/>
        <w:rPr>
          <w:sz w:val="20"/>
          <w:szCs w:val="20"/>
          <w:color w:val="auto"/>
        </w:rPr>
      </w:pPr>
      <w:r>
        <w:rPr>
          <w:rFonts w:ascii="Arial" w:cs="Arial" w:eastAsia="Arial" w:hAnsi="Arial"/>
          <w:sz w:val="18"/>
          <w:szCs w:val="18"/>
          <w:color w:val="auto"/>
        </w:rPr>
        <w:t>Sales and marketing expenses increased $4.3 million or 41.4%, from $10.3 million in 2016 to $14.5 million in 2017. The increase was attributable primarily to an increase in headcount and associated costs, an increase in commission expense, an increase in trade shows, as well as an increase in other general selling and marketing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General and administrative expenses increased $0.6 million or 8.1%, from $7.6 million in 2016 to $8.3 million in 2017. The increase in spending was attributable primarily to an increase in headcount and associated costs, an increase in accounting, audit and tax expenses, and an increase in other public company reporting and compliance expenses, partially offset by a decrease in severance costs and legal expense. The increase in our accounting, audit and tax, and other public company reporting and compliance expenses was due primarily to our change during 2016 in filing status from a smaller reporting company to an accelerated filer.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intellectual property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2017, we recognized a $0.2 million gain on sale of intellectual property which was written off in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1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Other expense totaled $0.1 million in 2017 and was attributable primarily to an increase in the fair value re-measurement of the contingent earn-out liabilities of the RetinalLab acquisition, partially offset by interest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20" w:firstLine="555"/>
        <w:spacing w:after="0" w:line="279" w:lineRule="auto"/>
        <w:rPr>
          <w:sz w:val="20"/>
          <w:szCs w:val="20"/>
          <w:color w:val="auto"/>
        </w:rPr>
      </w:pPr>
      <w:r>
        <w:rPr>
          <w:rFonts w:ascii="Arial" w:cs="Arial" w:eastAsia="Arial" w:hAnsi="Arial"/>
          <w:sz w:val="17"/>
          <w:szCs w:val="17"/>
          <w:color w:val="auto"/>
        </w:rPr>
        <w:t>We recorded a benefit for income taxes of $(0.1) million for the year ended December 30, 2017 compared to a provision for income taxes of $9.1 million for the year ended December 31, 2016. The effective tax rate for the year ended December 30, 2017 was 0.96% compared to an effective tax rate of (341)% for the year ended December 31, 2016. Our effective tax rate in 2016 is mainly due to the change in valuation allowance. The income tax valuation allowance was $12.3 million at the end of 2017 compared to $11.1 million at the end of 2016.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2016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Our total revenues increased $4.4 million or 10.5% from $41.8 million in 2015 to $46.2 million in 2016. The increase was due primarily to an increase in our international system sales and to a lesser extent, our domestic system sales. This increase in our system sales was due to an increase in sales of G6 lasers, which was partially offset by a decrease in sales of our retina products, mainly in the United States. Our recurring revenues also increased, mainly due to the increase in sales of our G6 related probes, partially offset by a decrease in sales of our legacy probes.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FY 2016</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FY 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Change in $</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 in %</w:t>
            </w:r>
          </w:p>
        </w:tc>
        <w:tc>
          <w:tcPr>
            <w:tcW w:w="18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Systems – domestic</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Systems – international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5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w:t>
      </w:r>
    </w:p>
    <w:p>
      <w:pPr>
        <w:spacing w:after="0" w:line="117"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Gross profit was $20.8 million in 2016 compared with $20.0 million in 2015, an increase of $0.9 million or 4.4%. Gross margin, which is defined as gross profit as a percentage of revenues, was 45.1% in 2016 compared with 47.8% in 2015, a decrease of 2.7 percentage points. The decrease in gross margin was attributable primarily to an unfavorable shift in geographic mix; our international sales, which are lower margin sales, increased more quickly than our domestic sales. We also continued to experience price compression on our international sales due to the strength of the US dollar.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1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R&amp;D expenses increased $0.2 million or 2.9% from $5.2 million in 2015 to $5.4 million in 2016. The increase in spending was attributable primarily to an increase in investments in headcount and associated costs. The increase in headcount reflects our continuing investment in enhancements of existing products as well as development associated with bringing new products to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right="360" w:firstLine="555"/>
        <w:spacing w:after="0" w:line="264" w:lineRule="auto"/>
        <w:rPr>
          <w:sz w:val="20"/>
          <w:szCs w:val="20"/>
          <w:color w:val="auto"/>
        </w:rPr>
      </w:pPr>
      <w:r>
        <w:rPr>
          <w:rFonts w:ascii="Arial" w:cs="Arial" w:eastAsia="Arial" w:hAnsi="Arial"/>
          <w:sz w:val="18"/>
          <w:szCs w:val="18"/>
          <w:color w:val="auto"/>
        </w:rPr>
        <w:t>Sales and marketing expenses increased $1.4 million or 15.5%, from $8.9 million in 2015 to $10.3 million in 2016. The increase was attributable primarily to an increase in headcount and associated costs, an increase in commission expense, an increase in trade shows, as well as an increase in other general selling and marketing expenses to support growth in revenues.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0" w:firstLine="555"/>
        <w:spacing w:after="0" w:line="257" w:lineRule="auto"/>
        <w:rPr>
          <w:sz w:val="20"/>
          <w:szCs w:val="20"/>
          <w:color w:val="auto"/>
        </w:rPr>
      </w:pPr>
      <w:r>
        <w:rPr>
          <w:rFonts w:ascii="Arial" w:cs="Arial" w:eastAsia="Arial" w:hAnsi="Arial"/>
          <w:sz w:val="18"/>
          <w:szCs w:val="18"/>
          <w:color w:val="auto"/>
        </w:rPr>
        <w:t>General and administrative expenses increased $2.1 million or 37.6%, from $5.6 million in 2015 to $7.6 million in 2016. The increase in spending was attributable primarily to an increase in severance costs, an increase in non-cash stock-based compensation charges, an increase in bonus and profit sharing, an increase in consulting and temporary employees, an increase in legal expenses, an increase in audit and tax expenses, and an increase in public company expenses. We expected an increase in our audit and tax expenses, as well as other public company expenses, as a result of the change in our filing status from a smaller reporting company to an accelerated filer.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Impairment of intangible assets, which increased $0.1 million in 2016 compared to 2015, was attributable primarily to the impairment of Ocunetics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Other expense totaled $0.1 million in 2016 and was attributable to an increase in the fair value re-measurement of the contingent earn-out liabilities of the RetinaLabs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Based on our fiscal year 2015 performance and our forecast of future losses, it was more likely than not that we would not realize our deferred tax assets. Therefore we recorded a full valuation allowance against all of our deferred tax assets. We recorded a provision for income taxes of $9.1 million in 2016 compared to a benefit from income taxes of $0.2 million in 2015, which was attributed primarily to the establishment of a valuation allowance for the deferred tax asset.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2017 and 2016</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As of December 30, 2017, we had cash and cash equivalents of $21.7 million, no debt and working capital of $29.1 million compared to cash and cash equivalents of $23.7 million, no debt and working capital of $37.7 million as of December 31, 2016.</w:t>
      </w:r>
    </w:p>
    <w:p>
      <w:pPr>
        <w:spacing w:after="0" w:line="62" w:lineRule="exact"/>
        <w:rPr>
          <w:sz w:val="20"/>
          <w:szCs w:val="20"/>
          <w:color w:val="auto"/>
        </w:rPr>
      </w:pPr>
    </w:p>
    <w:p>
      <w:pPr>
        <w:ind w:right="20" w:firstLine="555"/>
        <w:spacing w:after="0" w:line="274" w:lineRule="auto"/>
        <w:rPr>
          <w:sz w:val="20"/>
          <w:szCs w:val="20"/>
          <w:color w:val="auto"/>
        </w:rPr>
      </w:pPr>
      <w:r>
        <w:rPr>
          <w:rFonts w:ascii="Arial" w:cs="Arial" w:eastAsia="Arial" w:hAnsi="Arial"/>
          <w:sz w:val="17"/>
          <w:szCs w:val="17"/>
          <w:color w:val="auto"/>
        </w:rPr>
        <w:t>During 2017, net cash of $3.6 million was used in operating activities, primarily from our net loss of $12.9 million, partially offset by a change in operating assets and liabilities which generated $6.4 million net cash and the add back of non-cash items of $2.9 million. The $6.4 million generated by the change in operating assets and liabilities was a result primarily of a decrease in accounts receivable of $2.2 million, a decrease in inventory of $2.1 million, an increase in accrued warranty of $1.1 million and an increase in deferred revenue of $1.1 million. The add back of non-cash items consisted mainly of a decrease in stock-based compensation of $1.9 million and depreciation and amortization of $0.9 million. We used $0.8 million net cash in investing activities, primarily due to $0.6 million on capital expenditures and $0.4 million to pay a contingent earn-out liability arising from our past acquisition, partially offset by net proceeds received from the sale of an intellectual property of $0.2 million. Net cash provided by financing activities was $2.3 million, which consisted of $2.3 million net proceeds arising from the issuance of common stock and $0.4 million from exercises of stock options, partially offset by $0.3 million to pay for payroll taxes related to net shares settlement of equity awards.</w:t>
      </w:r>
    </w:p>
    <w:p>
      <w:pPr>
        <w:spacing w:after="0" w:line="71" w:lineRule="exact"/>
        <w:rPr>
          <w:sz w:val="20"/>
          <w:szCs w:val="20"/>
          <w:color w:val="auto"/>
        </w:rPr>
      </w:pPr>
    </w:p>
    <w:p>
      <w:pPr>
        <w:ind w:right="220" w:firstLine="555"/>
        <w:spacing w:after="0" w:line="286" w:lineRule="auto"/>
        <w:rPr>
          <w:sz w:val="20"/>
          <w:szCs w:val="20"/>
          <w:color w:val="auto"/>
        </w:rPr>
      </w:pPr>
      <w:r>
        <w:rPr>
          <w:rFonts w:ascii="Arial" w:cs="Arial" w:eastAsia="Arial" w:hAnsi="Arial"/>
          <w:sz w:val="17"/>
          <w:szCs w:val="17"/>
          <w:color w:val="auto"/>
        </w:rPr>
        <w:t>In December 2016 and January 2017, we completed a registered public offering of 1,332,500 shares of our common stock for net proceeds of $17.1 million after deducting related legal and equity expenses underwriting discounts and commissions of approximately $1.4 million. The 1,332,500 shares include the exercise in full by the underwriters of their option to purchase an additional 172,500 shares of our common stock.</w:t>
      </w:r>
    </w:p>
    <w:p>
      <w:pPr>
        <w:spacing w:after="0" w:line="57" w:lineRule="exact"/>
        <w:rPr>
          <w:sz w:val="20"/>
          <w:szCs w:val="20"/>
          <w:color w:val="auto"/>
        </w:rPr>
      </w:pPr>
    </w:p>
    <w:p>
      <w:pPr>
        <w:ind w:right="1640" w:firstLine="555"/>
        <w:spacing w:after="0" w:line="375" w:lineRule="auto"/>
        <w:rPr>
          <w:sz w:val="20"/>
          <w:szCs w:val="20"/>
          <w:color w:val="auto"/>
        </w:rPr>
      </w:pPr>
      <w:r>
        <w:rPr>
          <w:rFonts w:ascii="Arial" w:cs="Arial" w:eastAsia="Arial" w:hAnsi="Arial"/>
          <w:sz w:val="18"/>
          <w:szCs w:val="18"/>
          <w:color w:val="auto"/>
        </w:rPr>
        <w:t xml:space="preserve">We believe our existing cash and cash equivalents will be sufficient to meet our anticipated cash needs over the next 12 months. </w:t>
      </w:r>
      <w:r>
        <w:rPr>
          <w:rFonts w:ascii="Arial" w:cs="Arial" w:eastAsia="Arial" w:hAnsi="Arial"/>
          <w:sz w:val="18"/>
          <w:szCs w:val="18"/>
          <w:i w:val="1"/>
          <w:iCs w:val="1"/>
          <w:color w:val="auto"/>
        </w:rPr>
        <w:t>Comparison of 2016 and 2015</w:t>
      </w:r>
    </w:p>
    <w:p>
      <w:pPr>
        <w:spacing w:after="0" w:line="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As of December 31, 2016, we had cash and cash equivalents of $23.7 million, no debt and working capital of $37.7 million compared to cash and cash equivalents of $10.0 million, no debt and working capital of $23.3 million as of January 2, 2016.</w:t>
      </w:r>
    </w:p>
    <w:p>
      <w:pPr>
        <w:spacing w:after="0" w:line="6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During 2016, net cash of $0.1 million was used in operating activities, primarily from our net loss of $11.7 million, and operating assets and liabilities consumed $0.2 million net cash, primarily from an increase in accounts receivable of $0.9 million, an increase in inventory of $0.5 million, a decrease in accounts payable of $0.2 million, partially offset by an increase in accrued compensation of $0.8 million, an increase in accrued expenses of $0.5 million and a net change in other operating assets and liabilities of $0.1 million. This was partially offset by the add back of the following non-cash items - decrease in deferred income taxes of $9.0 million, stock-based compensation of $1.8 million, depreciation and amortization of $0.6 million and other non-cash items of $0.3 million. We used $1.5 million net cash in investing activities, $1.1 million on capital expenditures and $0.4 million to pay a contingent earn-out liability arising from our past acquisitions. Net cash provided by financing activities was $15.4 million, which consisted of $14.8 million net proceeds arising from the issuance of common stock and $0.7 million from exercises of stock options, partially offset by $0.1 million to pay for payroll taxes related to net shares settlement of equity awards and $0.1 million to purchase stock under our stock repurchase program.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Contractual Payment Obligations</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As of December 30, 2017, our contractual payment obligations that were fixed and determinable to third parties for non-cancelable operating leases, contract manufacturers and other purchase commitments were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&lt;1 year</w:t>
            </w:r>
          </w:p>
        </w:tc>
        <w:tc>
          <w:tcPr>
            <w:tcW w:w="2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 payments (1)</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Commitments to contract manufacturers and suppliers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leases primarily relate to leases of office space with terms expiring through February,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804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Our revenues arise from the sale of laser consoles, delivery devices, consumables and service and support activities. Revenue from product sales is recognized upon receipt of a purchase order and product shipment provided that no significant obligations remain and collectibility is reasonably assured. Shipments are generally made with Free-On-Board (“FOB”) shipping point terms, whereby title passes upon shipment from our dock. Any shipments with FOB receiving point terms are recorded as revenue when the shipment arrives at the receiving point. Cost is recognized as product sales revenue is recognized. The Company’s sales may include post-sales obligations for training or other deliverables. For revenue arrangements such as these, we recognize revenue in accordance with Accounting Standards Codification (“ASC”) 605, “Revenue Recognition, Multiple-Element Arrangements”. The Company allocates revenue among deliverables in multiple-element arrangements using the relative selling price method. Revenue allocated to each element is recognized when the basic revenue recognition criteria is met for each element. The Company is required to apply a hierarchy to determine the selling price to be used for allocating revenue to deliverables: (i) vendor-specific objective evidence of selling price (“VSOE”), (ii) third-party evidence of selling price (“TPE”) and (iii) best estimate of the selling price (“ESP”). In general, the Company is unable to establish VSOE or TPE for all of the elements in the arrangement; therefore, revenue is allocated to these elements based on the Company’s ESP, which the Company determines after considering multiple factors such as management approved pricing guidelines, geographic differences, market conditions, competitor pricing strategies, internal costs and gross margin objectives. These factors may vary over time depending upon the unique facts and circumstances related to each deliverable. As a result, the Company’s ESP for products and services could change. Revenues for post-sales obligations are recognized as the obligations are fulfilled.</w:t>
      </w:r>
    </w:p>
    <w:p>
      <w:pPr>
        <w:spacing w:after="0" w:line="64" w:lineRule="exact"/>
        <w:rPr>
          <w:sz w:val="20"/>
          <w:szCs w:val="20"/>
          <w:color w:val="auto"/>
        </w:rPr>
      </w:pPr>
    </w:p>
    <w:p>
      <w:pPr>
        <w:jc w:val="both"/>
        <w:ind w:right="100" w:firstLine="555"/>
        <w:spacing w:after="0" w:line="297" w:lineRule="auto"/>
        <w:rPr>
          <w:sz w:val="20"/>
          <w:szCs w:val="20"/>
          <w:color w:val="auto"/>
        </w:rPr>
      </w:pPr>
      <w:r>
        <w:rPr>
          <w:rFonts w:ascii="Arial" w:cs="Arial" w:eastAsia="Arial" w:hAnsi="Arial"/>
          <w:sz w:val="16"/>
          <w:szCs w:val="16"/>
          <w:color w:val="auto"/>
        </w:rPr>
        <w:t>In 2017 we implemented LAP that some of our domestic customers have utilized. Under the LAP, we ship a G6 laser along with an initial purchase of G6 probes and an agreement to purchase additional G6 probes. Ownership on the console is transferred to the customer after they purchase the additional required number of probes on or before the end of a specified period. As title on the console does not transfer until the earlier of when the additional required probes are purchased or at the end of the term, in accordance with the multiple element arrangement guidance under ASC 605, the Company has determined that revenue from LAP sales of G6 lasers should be recognized only when that uncertainty is resolved and title of the console passes to the customers.</w:t>
      </w:r>
    </w:p>
    <w:p>
      <w:pPr>
        <w:spacing w:after="0" w:line="50"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In international regions, we utilize distributors to market and sell our products. We recognize revenue upon shipment for sales to these independent, third-party distributors as we have no continuing obligations subsequent to shipment. Generally our distributors are responsible for all marketing, sales, installation, training and warranty labor coverage for our products. Our standard terms and conditions do not provide price protection or stock retention rights to any of our distributors.</w:t>
      </w:r>
    </w:p>
    <w:p>
      <w:pPr>
        <w:spacing w:after="0" w:line="79"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color w:val="auto"/>
        </w:rPr>
        <w:t>Royalty revenues are typically based on licensees’ net sales of products that utilize our technology and are recognized as earned in accordance with the contract terms when royalties from licensees can be reliably measured and collectibility is reasonably assured, such as upon the earlier of the receipt of a royalty statement from the licensee or upon payment by the licensee.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Inventories are stated at the lower of cost or market and include on-hand inventory physically held at our facility, sales demo inventory and service loaner inventory. Cost is determined on a standard cost basis which approximates actual cost on a first-in, first-out (“FIFO”) method. Lower of cost or market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both"/>
        <w:ind w:right="500"/>
        <w:spacing w:after="0" w:line="264" w:lineRule="auto"/>
        <w:rPr>
          <w:sz w:val="20"/>
          <w:szCs w:val="20"/>
          <w:color w:val="auto"/>
        </w:rPr>
      </w:pPr>
      <w:r>
        <w:rPr>
          <w:rFonts w:ascii="Arial" w:cs="Arial" w:eastAsia="Arial" w:hAnsi="Arial"/>
          <w:sz w:val="18"/>
          <w:szCs w:val="18"/>
          <w:color w:val="auto"/>
        </w:rPr>
        <w:t>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 and Allowance for Doubtful Accounts.</w:t>
      </w:r>
    </w:p>
    <w:p>
      <w:pPr>
        <w:spacing w:after="0" w:line="117"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 The balance for the provision of sales returns have not historically been material.</w:t>
      </w:r>
    </w:p>
    <w:p>
      <w:pPr>
        <w:spacing w:after="0" w:line="64" w:lineRule="exact"/>
        <w:rPr>
          <w:sz w:val="20"/>
          <w:szCs w:val="20"/>
          <w:color w:val="auto"/>
        </w:rPr>
      </w:pPr>
    </w:p>
    <w:p>
      <w:pPr>
        <w:ind w:right="220" w:firstLine="555"/>
        <w:spacing w:after="0" w:line="273"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Actual warranty costs incurred have not materially differed from those accrued. Our warranty policy is applicable to products which are considered defective in their performance or fail to meet the product specifications. Warranty costs are reflected in the consolidated statements of operations as cost of revenues.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In 2014, we released the valuation allowance against most of our deferred tax assets except that we retained a valuation allowance for certain deferred tax assets associated with our California research and development credit (“CA R&amp;D credit”). In 2016, based on the Company's recent history of earnings and its forecasted losses, management believes on the more likely than not basis that a full valuation allowance is required. Accordingly, in the fourth quarter of fiscal year 2016, the Company provided a full valuation allowance on its federal and states deferred tax assets.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80" w:firstLine="555"/>
        <w:spacing w:after="0" w:line="260" w:lineRule="auto"/>
        <w:rPr>
          <w:sz w:val="20"/>
          <w:szCs w:val="20"/>
          <w:color w:val="auto"/>
        </w:rPr>
      </w:pPr>
      <w:r>
        <w:rPr>
          <w:rFonts w:ascii="Arial" w:cs="Arial" w:eastAsia="Arial" w:hAnsi="Arial"/>
          <w:sz w:val="18"/>
          <w:szCs w:val="18"/>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December 30, 2017.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w:t>
      </w:r>
    </w:p>
    <w:p>
      <w:pPr>
        <w:spacing w:after="0" w:line="117" w:lineRule="exact"/>
        <w:rPr>
          <w:sz w:val="20"/>
          <w:szCs w:val="20"/>
          <w:color w:val="auto"/>
        </w:rPr>
      </w:pPr>
    </w:p>
    <w:p>
      <w:pPr>
        <w:jc w:val="both"/>
        <w:ind w:right="560" w:firstLine="555"/>
        <w:spacing w:after="0" w:line="264" w:lineRule="auto"/>
        <w:rPr>
          <w:sz w:val="20"/>
          <w:szCs w:val="20"/>
          <w:color w:val="auto"/>
        </w:rPr>
      </w:pPr>
      <w:r>
        <w:rPr>
          <w:rFonts w:ascii="Arial" w:cs="Arial" w:eastAsia="Arial" w:hAnsi="Arial"/>
          <w:sz w:val="18"/>
          <w:szCs w:val="18"/>
          <w:color w:val="auto"/>
        </w:rPr>
        <w:t>We account for stock-based compensation granted to employees and directors, including employees’ stock option awards, restricted stock and restricted stock units at grant date, based on the fair value of the award. Stock-based compensation is recognized as expense on a ratable basis over the requisite service period of the award.</w:t>
      </w:r>
    </w:p>
    <w:p>
      <w:pPr>
        <w:spacing w:after="0" w:line="73"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We value options using the Black-Scholes option pricing model. Restricted stock and time-based restricted stock units are valued at the grant date fair value of the underlying common shares. Performance-based restricted stock units are valued using the Monte Carlo simulation model. The Black-Scholes option pricing model requires the use of highly subjective and complex assumptions which determine the fair value of share-based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In May 2014, as part of its ongoing efforts to assist in the convergence of accounting principles generally accepted in the United States (“U.S. GAAP”) and International Financial Reporting Standards (“IFRS”), the Financial Accounting Standards Board (“FASB”) issued Accounting Standards Update (“ASU”) 2014-09, “Revenue from Contracts with Customers (Topic 606).” The new guidance sets forth a new five-step revenue recognition model which replaces the prior revenue recognition guidance in its entirety and is intended to eliminate numerous industry-specific pieces of revenue recognition guidance that have historically existed in U.S. GAAP. The underlying principle of the new standard is that a business or other organization will recognize revenue to depict the transfer of promised goods or services to customers in an amount that reflects what it expects in exchange for the goods or services. The standard also requires more detailed disclosures and provides additional guidance for transactions that were not addressed completely in the prior accounting guidance. The ASU provides alternative methods of initial adoption and is effective for annual and interim periods beginning after December 15, 2017. The FASB has issued several updates to the standard which i) defer the original effective date from January 1, 2017 to January 1, 2018, while allowing for early adoption as of January 1, 2017 (ASU 2015-14); ii) clarify the application of the principal versus agent guidance (ASU 2016-08); iii) clarify the guidance on inconsequential and perfunctory promises and licensing (ASU 2016-10); and (iv) clarify the guidance on certain sections of the guidance providing technical corrections and improvements (ASU 2016-10). In May 2016, the FASB issued ASU 2016-12, “Revenue from Contracts with Customers (Topic 606) Narrow-Scope Improvements and Practical Expedients”, to address certain narrow aspects of the guidance including collectibility criterion, collection of sales taxes from customers, noncash consideration, contract modifications and completed contracts. This issuance does not change the core principle of the guidance in the initial topic issued in May 2014. We will be adopting the standard using the modified retrospective method. The adoption of this standard in fiscal year 2018 is not expected to have a material impact on our consolidated financial statements.</w:t>
      </w:r>
    </w:p>
    <w:p>
      <w:pPr>
        <w:spacing w:after="0" w:line="7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July 2015, the FASB issued ASU 2015-11, “Simplifying the Measurement of Inventory.” Under this ASU, inventory will be measured at the “lower of cost and net realizable value” and options that currently exist for “market value” will be eliminated. The ASU defines net realizable value as the “estimated selling prices in the ordinary course of business, less reasonably predictable costs of completion, disposal, and transportation.” No other changes were made to the current guidance on inventory measurement. ASU 2015-11 is effective for interim and annual periods beginning after December 15, 2016. Early application is permitted and should be applied prospectively. The adoption of this standard in fiscal year 2017 did not have a material impact on our consolidated financial statements.</w:t>
      </w:r>
    </w:p>
    <w:p>
      <w:pPr>
        <w:spacing w:after="0" w:line="85"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In February 2016, the FASB issued ASU 2016-02, "Leases," amending ASC 842. This ASU requires us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We are currently evaluating the impact of this new standard on our consolidated financial statements.</w:t>
      </w:r>
    </w:p>
    <w:p>
      <w:pPr>
        <w:spacing w:after="0" w:line="50"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as part of its simplification initiative, which involves several aspects of accounting for share-based payment transactions, including the income tax consequences, classification of awards as either equity or liabilities, and classification on the statement of cash flows. The ASU is effective for annual periods beginning after December 15, 2016, and interim periods within those annual periods. Prior to ASU 2016-09, tax benefits in excess of compensation cost (“windfalls”) were recorded in equity, and tax deficiencies (“shortfalls”) were recorded in equity to the extent of previous windfalls, and then to the income statement. While the simplification reduces some of the administrative complexities by eliminating the need to track a “windfall pool,” it increases the volatility of income tax expense. The ASU also removes the requirement to delay recognition of a windfall tax benefit until it reduces current taxes payable. Under the new guidance, the benefit is recorded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0" w:name="page41"/>
    <w:bookmarkEnd w:id="40"/>
    <w:p>
      <w:pPr>
        <w:ind w:right="20"/>
        <w:spacing w:after="0" w:line="272" w:lineRule="auto"/>
        <w:rPr>
          <w:sz w:val="20"/>
          <w:szCs w:val="20"/>
          <w:color w:val="auto"/>
        </w:rPr>
      </w:pPr>
      <w:r>
        <w:rPr>
          <w:rFonts w:ascii="Arial" w:cs="Arial" w:eastAsia="Arial" w:hAnsi="Arial"/>
          <w:sz w:val="17"/>
          <w:szCs w:val="17"/>
          <w:color w:val="auto"/>
        </w:rPr>
        <w:t>when it arises, subject to normal valuation allowance considerations. Under the new guidance, entities are permitted to make an accounting policy election for the impact of forfeitures on the recognition of expense for share-based payment awards. Forfeitures can be estimated or recognized when they occur. Estimates of forfeitures are still required in certain circumstances, such as at the time of modification of an award or issuance of a replacement award in a business combination. As of January 1, 2017, the Company adopted ASU 2016-09 on a modified retrospective basis for the income statement impact of forfeitures and income taxes. Accordingly, the Company did not change forfeiture method as of January 1, 2017, therefore, there was no retained earnings impact. As of January 1, 2017, the Company also recognized an excess windfall, net of operating loss carryforwards that were converted into deferred tax net operating losses, of $1.39 million, with a corresponding increase in valuation allowance of $1.39 million.</w:t>
      </w:r>
    </w:p>
    <w:p>
      <w:pPr>
        <w:spacing w:after="0" w:line="7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amendment gives guidance and reduces diversity in practice with respect to certain types of cash flows. This ASU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currently evaluating the impact of this guidance on our consolidated financial statements.</w:t>
      </w:r>
    </w:p>
    <w:p>
      <w:pPr>
        <w:spacing w:after="0" w:line="85"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October 2016, the FASB issued ASU 2016-16, to ASC 740 "Income Taxes,"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The Company is currently evaluating the impact of this guidance on our financial statements and the timing of adoption.</w:t>
      </w:r>
    </w:p>
    <w:p>
      <w:pPr>
        <w:spacing w:after="0" w:line="64"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We are currently evaluating the effect of the adoption of this guidance on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due to adverse changes in financial and commodity market prices and rates. None of our international revenues and costs for the fiscal year ended December 30, 2017 have been denominated in foreign currencies and therefore changes in foreign currency rates will not have an impact on our income statement or cash flows. However, increases in the value of the U.S. dollar against any local currencies could cause our products to become relatively more expensive to customers in a particular country or region, leading to reduced revenue or profitability in that country or region. As we continue to expand our international sales, our non-U.S. dollar denominated revenue and our exposure to gains and losses on international currency transactions may increase. We currently do not engage in transactions to hedge against the risk of the currency fluctuation, but we may do so in the future.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color w:val="auto"/>
        </w:rPr>
        <w:t>Our consolidated balance sheets as of December 30, 2017 and December 31, 2016 and the consolidated statements of operations, comprehensive income, stockholders’ equity and cash flows for each of our fiscal years 2017, 2016 and 2015 together with the related notes and the report of our independent registered public accounting firm, are on the following pages. Additional required financial information is described in Item 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IRIDEX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have audited the accompanying consolidated balance sheets of IRIDEX Corporation (a Delaware corporation) and its subsidiaries (the “Company”) as of December 30, 2017 and December 31, 2016, and the related consolidated statements of operations, comprehensive income (loss), stockholders’ equity, and cash flows for each of the three years in the period ended December 30, 2017, and the related notes (collectively referred to as the “consolidated financial statements”). In our opinion, the consolidated financial statements present fairly, in all material respects, the financial position of the Company as of December 30, 2017 and December 31, 2016, and the results of its operations and its cash flows for each of the three years in the period ended December 30, 2017, in conformity with accounting principles generally accepted in the United States of America.</w:t>
      </w:r>
    </w:p>
    <w:p>
      <w:pPr>
        <w:spacing w:after="0" w:line="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30, 2017, based on criteria established in Internal Control—Integrated Framework (2013) issued by the Committee of Sponsoring Organizations of the Treadway Commission (COSO), and our report dated March 14, 2018, expressed an unqualified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FY 2017</w:t>
            </w:r>
          </w:p>
        </w:tc>
        <w:tc>
          <w:tcPr>
            <w:tcW w:w="280" w:type="dxa"/>
            <w:vAlign w:val="bottom"/>
          </w:tcPr>
          <w:p>
            <w:pPr>
              <w:spacing w:after="0"/>
              <w:rPr>
                <w:sz w:val="14"/>
                <w:szCs w:val="14"/>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FY 2016</w:t>
            </w:r>
          </w:p>
        </w:tc>
        <w:tc>
          <w:tcPr>
            <w:tcW w:w="0" w:type="dxa"/>
            <w:vAlign w:val="bottom"/>
          </w:tcPr>
          <w:p>
            <w:pPr>
              <w:spacing w:after="0"/>
              <w:rPr>
                <w:sz w:val="1"/>
                <w:szCs w:val="1"/>
                <w:color w:val="auto"/>
              </w:rPr>
            </w:pPr>
          </w:p>
        </w:tc>
      </w:tr>
      <w:tr>
        <w:trPr>
          <w:trHeight w:val="171"/>
        </w:trPr>
        <w:tc>
          <w:tcPr>
            <w:tcW w:w="6400" w:type="dxa"/>
            <w:vAlign w:val="bottom"/>
            <w:vMerge w:val="restart"/>
          </w:tcPr>
          <w:p>
            <w:pPr>
              <w:ind w:left="298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December 30, 2017</w:t>
            </w:r>
          </w:p>
        </w:tc>
        <w:tc>
          <w:tcPr>
            <w:tcW w:w="280" w:type="dxa"/>
            <w:vAlign w:val="bottom"/>
          </w:tcPr>
          <w:p>
            <w:pPr>
              <w:spacing w:after="0"/>
              <w:rPr>
                <w:sz w:val="14"/>
                <w:szCs w:val="14"/>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21,707</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$226 as of December 30, 2017 and $230 as of December 31, 2016</w:t>
            </w: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9,381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39,451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4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36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1,724</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2,153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4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Long-term liabilities: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w w:val="94"/>
              </w:rPr>
              <w:t>Preferred stock, $0.01 par value, 2,000,000 shares authorized, no shares issued and</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outstanding</w:t>
            </w: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260"/>
              <w:spacing w:after="0"/>
              <w:rPr>
                <w:sz w:val="20"/>
                <w:szCs w:val="20"/>
                <w:color w:val="auto"/>
              </w:rPr>
            </w:pPr>
            <w:r>
              <w:rPr>
                <w:rFonts w:ascii="Arial" w:cs="Arial" w:eastAsia="Arial" w:hAnsi="Arial"/>
                <w:sz w:val="18"/>
                <w:szCs w:val="18"/>
                <w:color w:val="auto"/>
              </w:rPr>
              <w:t>Issued and outstanding 11,596,274 and 11,304,736 shares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as of December 30, 2017 and December 31, 2016, respectively</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(28,989)</w:t>
            </w:r>
          </w:p>
        </w:tc>
        <w:tc>
          <w:tcPr>
            <w:tcW w:w="28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30,522</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41,646</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2017</w:t>
            </w:r>
          </w:p>
        </w:tc>
        <w:tc>
          <w:tcPr>
            <w:tcW w:w="16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FY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FY 2015</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30, 2017</w:t>
            </w:r>
          </w:p>
        </w:tc>
        <w:tc>
          <w:tcPr>
            <w:tcW w:w="16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41,593</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intellectual property</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(12,888)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w w:val="93"/>
              </w:rPr>
              <w:t>(Loss) income from operations before (benefit from) provision for income taxes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(12,867)</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w w:val="96"/>
              </w:rPr>
              <w:t>Weighted average shares used in computing net (loss) income per common</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FY 2017</w:t>
            </w:r>
          </w:p>
        </w:tc>
        <w:tc>
          <w:tcPr>
            <w:tcW w:w="240" w:type="dxa"/>
            <w:vAlign w:val="bottom"/>
          </w:tcPr>
          <w:p>
            <w:pPr>
              <w:spacing w:after="0"/>
              <w:rPr>
                <w:sz w:val="14"/>
                <w:szCs w:val="14"/>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FY 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2015</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00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14"/>
                <w:szCs w:val="14"/>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December 30, 2017</w:t>
            </w:r>
          </w:p>
        </w:tc>
        <w:tc>
          <w:tcPr>
            <w:tcW w:w="240" w:type="dxa"/>
            <w:vAlign w:val="bottom"/>
          </w:tcPr>
          <w:p>
            <w:pPr>
              <w:spacing w:after="0"/>
              <w:rPr>
                <w:sz w:val="14"/>
                <w:szCs w:val="14"/>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(12,867)</w:t>
            </w: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(12,867)</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360" w:type="dxa"/>
            <w:vAlign w:val="bottom"/>
            <w:gridSpan w:val="4"/>
            <w:vMerge w:val="restart"/>
          </w:tcPr>
          <w:p>
            <w:pPr>
              <w:jc w:val="right"/>
              <w:ind w:right="48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Accumulated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6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FY 2014: Balances, January 3, 2015</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9,786,695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38,511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(4,883)</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200" w:type="dxa"/>
            <w:vAlign w:val="bottom"/>
          </w:tcPr>
          <w:p>
            <w:pPr>
              <w:jc w:val="right"/>
              <w:spacing w:after="0"/>
              <w:rPr>
                <w:sz w:val="20"/>
                <w:szCs w:val="20"/>
                <w:color w:val="auto"/>
              </w:rPr>
            </w:pPr>
            <w:r>
              <w:rPr>
                <w:rFonts w:ascii="Arial" w:cs="Arial" w:eastAsia="Arial" w:hAnsi="Arial"/>
                <w:sz w:val="16"/>
                <w:szCs w:val="16"/>
                <w:color w:val="auto"/>
              </w:rPr>
              <w:t>277,733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Release of restricted stock</w:t>
            </w:r>
          </w:p>
        </w:tc>
        <w:tc>
          <w:tcPr>
            <w:tcW w:w="1200" w:type="dxa"/>
            <w:vAlign w:val="bottom"/>
          </w:tcPr>
          <w:p>
            <w:pPr>
              <w:jc w:val="right"/>
              <w:spacing w:after="0"/>
              <w:rPr>
                <w:sz w:val="20"/>
                <w:szCs w:val="20"/>
                <w:color w:val="auto"/>
              </w:rPr>
            </w:pPr>
            <w:r>
              <w:rPr>
                <w:rFonts w:ascii="Arial" w:cs="Arial" w:eastAsia="Arial" w:hAnsi="Arial"/>
                <w:sz w:val="16"/>
                <w:szCs w:val="16"/>
                <w:color w:val="auto"/>
              </w:rPr>
              <w:t>144,756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(606)</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Repurchase of employee share awards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Stock repurchase</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(199,776)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(1,563)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2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20"/>
                <w:szCs w:val="20"/>
                <w:color w:val="auto"/>
              </w:rPr>
            </w:pPr>
            <w:r>
              <w:rPr>
                <w:rFonts w:ascii="Arial" w:cs="Arial" w:eastAsia="Arial" w:hAnsi="Arial"/>
                <w:sz w:val="16"/>
                <w:szCs w:val="16"/>
                <w:color w:val="auto"/>
              </w:rPr>
              <w:t>FY 2015: Balances, January 2, 2016</w:t>
            </w:r>
          </w:p>
        </w:tc>
        <w:tc>
          <w:tcPr>
            <w:tcW w:w="1200" w:type="dxa"/>
            <w:vAlign w:val="bottom"/>
          </w:tcPr>
          <w:p>
            <w:pPr>
              <w:jc w:val="right"/>
              <w:spacing w:after="0"/>
              <w:rPr>
                <w:sz w:val="20"/>
                <w:szCs w:val="20"/>
                <w:color w:val="auto"/>
              </w:rPr>
            </w:pPr>
            <w:r>
              <w:rPr>
                <w:rFonts w:ascii="Arial" w:cs="Arial" w:eastAsia="Arial" w:hAnsi="Arial"/>
                <w:sz w:val="16"/>
                <w:szCs w:val="16"/>
                <w:color w:val="auto"/>
              </w:rPr>
              <w:t>10,009,408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37,986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(4,409)</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w w:val="93"/>
              </w:rPr>
              <w:t>Proceeds from issuance of common stock, net of issuance costs</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200" w:type="dxa"/>
            <w:vAlign w:val="bottom"/>
          </w:tcPr>
          <w:p>
            <w:pPr>
              <w:jc w:val="right"/>
              <w:spacing w:after="0"/>
              <w:rPr>
                <w:sz w:val="20"/>
                <w:szCs w:val="20"/>
                <w:color w:val="auto"/>
              </w:rPr>
            </w:pPr>
            <w:r>
              <w:rPr>
                <w:rFonts w:ascii="Arial" w:cs="Arial" w:eastAsia="Arial" w:hAnsi="Arial"/>
                <w:sz w:val="16"/>
                <w:szCs w:val="16"/>
                <w:color w:val="auto"/>
              </w:rPr>
              <w:t>126,077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Release of restricted stock</w:t>
            </w:r>
          </w:p>
        </w:tc>
        <w:tc>
          <w:tcPr>
            <w:tcW w:w="1200" w:type="dxa"/>
            <w:vAlign w:val="bottom"/>
          </w:tcPr>
          <w:p>
            <w:pPr>
              <w:jc w:val="right"/>
              <w:spacing w:after="0"/>
              <w:rPr>
                <w:sz w:val="20"/>
                <w:szCs w:val="20"/>
                <w:color w:val="auto"/>
              </w:rPr>
            </w:pPr>
            <w:r>
              <w:rPr>
                <w:rFonts w:ascii="Arial" w:cs="Arial" w:eastAsia="Arial" w:hAnsi="Arial"/>
                <w:sz w:val="16"/>
                <w:szCs w:val="16"/>
                <w:color w:val="auto"/>
              </w:rPr>
              <w:t>25,795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Stock repurchase</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(6,544)</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Net loss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(11,713)</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(11,713)</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FY 2016: Balances, December 31, 2016</w:t>
            </w: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vMerge w:val="continue"/>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11,304,736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124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55,158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(16,122)</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w w:val="93"/>
              </w:rPr>
              <w:t>Proceeds from issuance of common stock, net of issuance costs</w:t>
            </w:r>
          </w:p>
        </w:tc>
        <w:tc>
          <w:tcPr>
            <w:tcW w:w="1200" w:type="dxa"/>
            <w:vAlign w:val="bottom"/>
          </w:tcPr>
          <w:p>
            <w:pPr>
              <w:jc w:val="right"/>
              <w:spacing w:after="0"/>
              <w:rPr>
                <w:sz w:val="20"/>
                <w:szCs w:val="20"/>
                <w:color w:val="auto"/>
              </w:rPr>
            </w:pPr>
            <w:r>
              <w:rPr>
                <w:rFonts w:ascii="Arial" w:cs="Arial" w:eastAsia="Arial" w:hAnsi="Arial"/>
                <w:sz w:val="16"/>
                <w:szCs w:val="16"/>
                <w:color w:val="auto"/>
              </w:rPr>
              <w:t>172,500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stock option plan</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(333)</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Net loss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(12,867)</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(12,867)</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FY 2017: Balances, December 30, 2017</w:t>
            </w: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11,596,274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126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(28,989)</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FY 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2016</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FY 2015</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spacing w:after="0"/>
              <w:rPr>
                <w:sz w:val="14"/>
                <w:szCs w:val="1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30, 2017</w:t>
            </w:r>
          </w:p>
        </w:tc>
        <w:tc>
          <w:tcPr>
            <w:tcW w:w="100" w:type="dxa"/>
            <w:vAlign w:val="bottom"/>
          </w:tcPr>
          <w:p>
            <w:pPr>
              <w:spacing w:after="0"/>
              <w:rPr>
                <w:sz w:val="14"/>
                <w:szCs w:val="1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5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(12,867)</w:t>
            </w: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(11,713)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w w:val="95"/>
              </w:rPr>
              <w:t>Adjustments to reconcile net (loss) income to net cash (used in) provided by operating</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intellectual property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(865)</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(1,062)</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Proceeds from sale of intellectual property</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on earn-out liability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14,813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Repurchase of employee share awards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year</w:t>
            </w:r>
          </w:p>
        </w:tc>
        <w:tc>
          <w:tcPr>
            <w:tcW w:w="3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Cash paid during the year for: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5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5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IRIDEX Corporation (“IRIDEX”, the “Company”, “we”, “us”, or “our”) is a leading worldwide provider of therapeutic based laser systems, delivery devices and consumable instrumentation used to treat sight-threatening eye diseases in ophthalmology. Our ophthalmology products are sold in the United States predominantly through a direct and independent sales force and internationally through independent distributors.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Presentation.</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consolidated financial statements include the accounts of IRIDEX and our wholly owned subsidiaries. All significant intercompany accounts and transactions have been eliminated in consolidation.</w:t>
      </w:r>
    </w:p>
    <w:p>
      <w:pPr>
        <w:spacing w:after="0" w:line="62" w:lineRule="exact"/>
        <w:rPr>
          <w:sz w:val="20"/>
          <w:szCs w:val="20"/>
          <w:color w:val="auto"/>
        </w:rPr>
      </w:pPr>
    </w:p>
    <w:p>
      <w:pPr>
        <w:ind w:right="220" w:firstLine="555"/>
        <w:spacing w:after="0" w:line="279" w:lineRule="auto"/>
        <w:rPr>
          <w:sz w:val="20"/>
          <w:szCs w:val="20"/>
          <w:color w:val="auto"/>
        </w:rPr>
      </w:pPr>
      <w:r>
        <w:rPr>
          <w:rFonts w:ascii="Arial" w:cs="Arial" w:eastAsia="Arial" w:hAnsi="Arial"/>
          <w:sz w:val="18"/>
          <w:szCs w:val="18"/>
          <w:color w:val="auto"/>
        </w:rPr>
        <w:t>Our fiscal year always ends on the Saturday closest to December 31. Fiscal 2017 ended on December 30, 2017 (“FY 2017”), Fiscal 2016 ended on December 31, 2016 (“FY 2016”) and Fiscal 2015 ended on January 2, 2016 (“FY 2015”). Fiscal years 2017, 2016 and 2015 each included 52 weeks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color w:val="auto"/>
        </w:rPr>
        <w:t>We consider all highly liquid debt instruments with insignificant interest rate risk and an original maturity of three months or less when purchased to be cash equivalents. Cash equivalents consist primarily of cash deposits in money market funds that are available for withdrawal without restriction.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Sales Returns Allowance and Allowance for Doubtful Accounts.</w:t>
      </w:r>
    </w:p>
    <w:p>
      <w:pPr>
        <w:spacing w:after="0" w:line="117"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 The balance for the provision for sales returns was $570 thousand and $44 thousand as of December 30, 2017 and December 31, 2016, respectively, and is recorded within the deferred revenue accounts in the consolidated balance sheets.</w:t>
      </w:r>
    </w:p>
    <w:p>
      <w:pPr>
        <w:spacing w:after="0" w:line="70" w:lineRule="exact"/>
        <w:rPr>
          <w:sz w:val="20"/>
          <w:szCs w:val="20"/>
          <w:color w:val="auto"/>
        </w:rPr>
      </w:pPr>
    </w:p>
    <w:p>
      <w:pPr>
        <w:ind w:right="180" w:firstLine="555"/>
        <w:spacing w:after="0" w:line="273"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levels change, the level of accounts receivable would likely also change. In addition, in the event that customers were to delay their payments to us, the levels of accounts receivable would likely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48" w:name="page49"/>
    <w:bookmarkEnd w:id="48"/>
    <w:p>
      <w:pPr>
        <w:ind w:left="560"/>
        <w:spacing w:after="0"/>
        <w:rPr>
          <w:sz w:val="20"/>
          <w:szCs w:val="20"/>
          <w:color w:val="auto"/>
        </w:rPr>
      </w:pPr>
      <w:r>
        <w:rPr>
          <w:rFonts w:ascii="Arial" w:cs="Arial" w:eastAsia="Arial" w:hAnsi="Arial"/>
          <w:sz w:val="16"/>
          <w:szCs w:val="16"/>
          <w:color w:val="auto"/>
        </w:rPr>
        <w:t>A reconciliation of the changes in our allowance for doubtful accounts balances for the years ended December 30, 2017,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 2016 are as follows (in thousands):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7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The period</w:t>
            </w: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Additions</w:t>
            </w: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(Deductions)</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The period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Allowance for doubtful accounts Years ended</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30, 2017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 2016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117"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71"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$2.4 million and $1.6 million and the accumulated amortization was $850 thousand and $490 thousand as of December 30, 2017 and December 31, 2016, respectively. The net book value of demos and loaners is charged to cost of revenues when such demos or loaners are sold.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are calculated on a straight– line basis over the estimated useful lives of the assets, which is generally three years. Leasehold improvements are amortized over the lesser of their estimated useful lives or the lease term. Repairs and maintenance costs are expensed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Valuation of Goodwill and Intangible Assets.</w:t>
      </w:r>
    </w:p>
    <w:p>
      <w:pPr>
        <w:spacing w:after="0" w:line="117" w:lineRule="exact"/>
        <w:rPr>
          <w:sz w:val="20"/>
          <w:szCs w:val="20"/>
          <w:color w:val="auto"/>
        </w:rPr>
      </w:pPr>
    </w:p>
    <w:p>
      <w:pPr>
        <w:ind w:right="120" w:firstLine="555"/>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2017 and determined that its goodwill was not impaired. As of December 30, 2017, we had not identified any factors that indicated there was an impairment of our goodwill and determined that no additional impairment analysis was then required.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9" w:name="page50"/>
    <w:bookmarkEnd w:id="49"/>
    <w:p>
      <w:pPr>
        <w:ind w:right="40" w:firstLine="555"/>
        <w:spacing w:after="0" w:line="276" w:lineRule="auto"/>
        <w:rPr>
          <w:sz w:val="20"/>
          <w:szCs w:val="20"/>
          <w:color w:val="auto"/>
        </w:rPr>
      </w:pPr>
      <w:r>
        <w:rPr>
          <w:rFonts w:ascii="Arial" w:cs="Arial" w:eastAsia="Arial" w:hAnsi="Arial"/>
          <w:sz w:val="17"/>
          <w:szCs w:val="17"/>
          <w:color w:val="auto"/>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 Codification (“ASC”) 350, “Intangibles – Goodwill and Other” (“ASC 350”).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Our revenues arise from the sale of laser consoles, delivery devices, consumables and service and support activities. Revenue from product sales is recognized upon receipt of a purchase order and product shipment provided that no significant obligations remain and collectibility is reasonably assured. Shipments are generally made with Free-On-Board (“FOB”) shipping point terms, whereby title passes upon shipment from our dock. Any shipments with FOB receiving point terms are recorded as revenue when the shipment arrives at the receiving point. Cost is recognized as product sales revenue is recognized. The Company’s sales may include post-sales obligations for training or other deliverables. For revenue arrangements such as these, we recognize revenue in accordance with Accounting Standards Codification (“ASC”) 605, “Revenue Recognition, Multiple-Element Arrangements”. The Company allocates revenue among deliverables in multiple-element arrangements using the relative selling price method. Revenue allocated to each element is recognized when the basic revenue recognition criteria is met for each element. The Company is required to apply a hierarchy to determine the selling price to be used for allocating revenue to deliverables: (i) vendor-specific objective evidence of selling price (“VSOE”), (ii) third-party evidence of selling price (“TPE”) and (iii) best estimate of the selling price (“ESP”). In general, the Company is unable to establish VSOE or TPE for all of the elements in the arrangement; therefore, revenue is allocated to these elements based on the Company’s ESP, which the Company determines after considering multiple factors such as management approved pricing guidelines, geographic differences, market conditions, competitor pricing strategies, internal costs and gross margin objectives. These factors may vary over time depending upon the unique facts and circumstances related to each deliverable. As a result, the Company’s ESP for products and services could change. Revenues for post-sales obligations are recognized as the obligations are fulfilled.</w:t>
      </w:r>
    </w:p>
    <w:p>
      <w:pPr>
        <w:spacing w:after="0" w:line="64" w:lineRule="exact"/>
        <w:rPr>
          <w:sz w:val="20"/>
          <w:szCs w:val="20"/>
          <w:color w:val="auto"/>
        </w:rPr>
      </w:pPr>
    </w:p>
    <w:p>
      <w:pPr>
        <w:jc w:val="both"/>
        <w:ind w:right="100" w:firstLine="555"/>
        <w:spacing w:after="0" w:line="276" w:lineRule="auto"/>
        <w:rPr>
          <w:sz w:val="20"/>
          <w:szCs w:val="20"/>
          <w:color w:val="auto"/>
        </w:rPr>
      </w:pPr>
      <w:r>
        <w:rPr>
          <w:rFonts w:ascii="Arial" w:cs="Arial" w:eastAsia="Arial" w:hAnsi="Arial"/>
          <w:sz w:val="17"/>
          <w:szCs w:val="17"/>
          <w:color w:val="auto"/>
        </w:rPr>
        <w:t>In 2017 we implemented LAP that some of our domestic customers have utilized. Under the LAP, we ship a G6 laser along with an initial purchase of G6 probes and an agreement to purchase additional G6 probes. Ownership on the console is transferred to the customer after they purchase the additional required number of probes on or before the end of a specified period. As title on the console does not transfer until the earlier of when the additional required probes are purchased or at the end of the term, in accordance with the multiple element arrangement guidance under ASC 605, the Company has determined that revenue should be recognized when that uncertainty is resolved.</w:t>
      </w:r>
    </w:p>
    <w:p>
      <w:pPr>
        <w:spacing w:after="0" w:line="64"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In international regions, we utilize distributors to market and sell our products. We recognize revenue upon shipment for sales to these independent, third-party distributors as we have no continuing obligations subsequent to shipment. Generally our distributors are responsible for all marketing, sales, installation, training and warranty labor coverage for our products. Our standard terms and conditions do not provide price protection or stock retention rights to any of our distributors.</w:t>
      </w:r>
    </w:p>
    <w:p>
      <w:pPr>
        <w:spacing w:after="0" w:line="79" w:lineRule="exact"/>
        <w:rPr>
          <w:sz w:val="20"/>
          <w:szCs w:val="20"/>
          <w:color w:val="auto"/>
        </w:rPr>
      </w:pPr>
    </w:p>
    <w:p>
      <w:pPr>
        <w:jc w:val="both"/>
        <w:ind w:right="160" w:firstLine="555"/>
        <w:spacing w:after="0" w:line="264" w:lineRule="auto"/>
        <w:rPr>
          <w:sz w:val="20"/>
          <w:szCs w:val="20"/>
          <w:color w:val="auto"/>
        </w:rPr>
      </w:pPr>
      <w:r>
        <w:rPr>
          <w:rFonts w:ascii="Arial" w:cs="Arial" w:eastAsia="Arial" w:hAnsi="Arial"/>
          <w:sz w:val="18"/>
          <w:szCs w:val="18"/>
          <w:color w:val="auto"/>
        </w:rPr>
        <w:t>Royalty revenues are typically based on licensees’ net sales of products that utilize our technology and are recognized as earned in accordance with the contract terms when royalties from licensees can be reliably measured and collectibility is reasonably assured, such as upon the earlier of the receipt of a royalty statement from the licensee or upon payment by the licensee.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Taxes Collected from Customers and Remitted to Governmental Authorities.</w:t>
      </w:r>
    </w:p>
    <w:p>
      <w:pPr>
        <w:spacing w:after="0" w:line="117"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consolidated statements of operations as well as accrued expenses to the degree which is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Deferred Revenue.</w:t>
      </w:r>
    </w:p>
    <w:p>
      <w:pPr>
        <w:spacing w:after="0" w:line="117" w:lineRule="exact"/>
        <w:rPr>
          <w:sz w:val="20"/>
          <w:szCs w:val="20"/>
          <w:color w:val="auto"/>
        </w:rPr>
      </w:pPr>
    </w:p>
    <w:p>
      <w:pPr>
        <w:ind w:right="120" w:firstLine="555"/>
        <w:spacing w:after="0" w:line="312" w:lineRule="auto"/>
        <w:rPr>
          <w:sz w:val="20"/>
          <w:szCs w:val="20"/>
          <w:color w:val="auto"/>
        </w:rPr>
      </w:pPr>
      <w:r>
        <w:rPr>
          <w:rFonts w:ascii="Arial" w:cs="Arial" w:eastAsia="Arial" w:hAnsi="Arial"/>
          <w:sz w:val="16"/>
          <w:szCs w:val="16"/>
          <w:color w:val="auto"/>
        </w:rPr>
        <w:t>Revenue related to service contracts is deferred and recognized on a straight line basis over the period of the applicable service period. Costs associated with these service arrangements are recognized as incurred. Deferred revenue also includes the provision for sales returns. A reconciliation of the changes in our deferred revenue balances for the years ended December 30, 2017 and December 31, 2016 are as follows (in thousands):</w:t>
      </w:r>
    </w:p>
    <w:p>
      <w:pPr>
        <w:spacing w:after="0" w:line="39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FY 2015: Balance as of January 2, 2016</w:t>
            </w:r>
          </w:p>
        </w:tc>
        <w:tc>
          <w:tcPr>
            <w:tcW w:w="3300" w:type="dxa"/>
            <w:vAlign w:val="bottom"/>
            <w:gridSpan w:val="2"/>
            <w:shd w:val="clear" w:color="auto" w:fill="CFF0FC"/>
          </w:tcPr>
          <w:p>
            <w:pPr>
              <w:jc w:val="right"/>
              <w:ind w:right="985"/>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Additions to deferral</w:t>
            </w:r>
          </w:p>
        </w:tc>
        <w:tc>
          <w:tcPr>
            <w:tcW w:w="2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2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(1,358)</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FY 2016: Balance as of December 31, 2016</w:t>
            </w:r>
          </w:p>
        </w:tc>
        <w:tc>
          <w:tcPr>
            <w:tcW w:w="21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Additions to deferral</w:t>
            </w:r>
          </w:p>
        </w:tc>
        <w:tc>
          <w:tcPr>
            <w:tcW w:w="2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Revenue recognized</w:t>
            </w:r>
          </w:p>
        </w:tc>
        <w:tc>
          <w:tcPr>
            <w:tcW w:w="2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2017: Balance as of December 30, 2017</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Warranty.</w:t>
      </w:r>
    </w:p>
    <w:p>
      <w:pPr>
        <w:spacing w:after="0" w:line="117"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In March 2017, the Company began offering a 5 year warranty on the laser heads for its IQ 532/577 laser consoles. Actual warranty costs incurred have not materially differed from those accrued. The Company’s warranty policy is applicable to products which are considered defective in their performance or fail to meet the product specifications. Warranty costs are reflected in the statement of operations as cost of revenues. Additionally, from time to time, specific warranty accruals may be made if unforeseen technical problems arise. If estimates are determined to be greater than the actual amounts necessary, we may reverse a portion of such provisions in future periods. Warranty costs are reflected in the consolidated statements of operations as costs of revenues. A reconciliation of the changes in our warranty liability for the years ended December 30, 2017 and December 31, 2016 are as follows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FY 2015: Balance as of January 2, 2016</w:t>
            </w:r>
          </w:p>
        </w:tc>
        <w:tc>
          <w:tcPr>
            <w:tcW w:w="3340" w:type="dxa"/>
            <w:vAlign w:val="bottom"/>
            <w:gridSpan w:val="2"/>
            <w:shd w:val="clear" w:color="auto" w:fill="CFF0FC"/>
          </w:tcPr>
          <w:p>
            <w:pPr>
              <w:jc w:val="right"/>
              <w:ind w:right="1065"/>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FY 2016: Balance as of December 31, 2016</w:t>
            </w:r>
          </w:p>
        </w:tc>
        <w:tc>
          <w:tcPr>
            <w:tcW w:w="2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Accruals for product warranties</w:t>
            </w:r>
          </w:p>
        </w:tc>
        <w:tc>
          <w:tcPr>
            <w:tcW w:w="2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Cost of warranty claims</w:t>
            </w:r>
          </w:p>
        </w:tc>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2017: Balance as of December 30, 2017</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 Shipping and handling costs amounted to $0.3 million for each of the fiscal years 2017, 2016 and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expenditures are charged to operations as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Advertising and promotion costs are expensed as they are incurred; such costs were approximately $0.2 million in 2017, $0.1 million in 2016 and 2015 and are included in sales and marketing expenses in the accompanying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right="140" w:firstLine="555"/>
        <w:spacing w:after="0" w:line="302" w:lineRule="auto"/>
        <w:rPr>
          <w:sz w:val="20"/>
          <w:szCs w:val="20"/>
          <w:color w:val="auto"/>
        </w:rPr>
      </w:pPr>
      <w:r>
        <w:rPr>
          <w:rFonts w:ascii="Arial" w:cs="Arial" w:eastAsia="Arial" w:hAnsi="Arial"/>
          <w:sz w:val="16"/>
          <w:szCs w:val="16"/>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1" w:name="page52"/>
    <w:bookmarkEnd w:id="51"/>
    <w:p>
      <w:pPr>
        <w:ind w:right="40"/>
        <w:spacing w:after="0" w:line="271" w:lineRule="auto"/>
        <w:rPr>
          <w:sz w:val="20"/>
          <w:szCs w:val="20"/>
          <w:color w:val="auto"/>
        </w:rPr>
      </w:pPr>
      <w:r>
        <w:rPr>
          <w:rFonts w:ascii="Arial" w:cs="Arial" w:eastAsia="Arial" w:hAnsi="Arial"/>
          <w:sz w:val="17"/>
          <w:szCs w:val="17"/>
          <w:color w:val="auto"/>
        </w:rPr>
        <w:t>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In 2014, we released valuation allowance against most of our deferred tax assets except that we retained a valuation allowance for certain deferred tax assets associated with our California research and development credit (“CA R&amp;D credit”). In 2016, based on the Company's recent history of earnings and its forecasted losses, management believes on the more likely than not basis that a full valuation allowance is required. Accordingly, in the fourth quarter of fiscal year 2017, the Company provided a full valuation allowance on its federal and states deferred tax assets.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Uncertainty in Income Taxes.</w:t>
      </w:r>
    </w:p>
    <w:p>
      <w:pPr>
        <w:spacing w:after="0" w:line="11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December 30, 2017 and December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Stock-Based Compensation.</w:t>
      </w:r>
    </w:p>
    <w:p>
      <w:pPr>
        <w:spacing w:after="0" w:line="117"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 “Compensation – Stock Compensation”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79"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Concentration of Credit Risk and Other Risks and Uncertainties.</w:t>
      </w:r>
    </w:p>
    <w:p>
      <w:pPr>
        <w:spacing w:after="0" w:line="117"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62"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years ended December 30, 2017, December 31, 2016 and January 2, 2016, no single customer accounted for greater than 10% of total revenues. As of December 30, 2017 and December 31, 2016, no customer accounted for more than 10% of accounts receivable balance.</w:t>
      </w:r>
    </w:p>
    <w:p>
      <w:pPr>
        <w:spacing w:after="0" w:line="64"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Our products require approvals from the Food and Drug Administration and international regulatory agencies prior to commercialized sales. Our future products may not receive required approvals. If we were denied such approvals, or if such approvals were delayed, it would have a materially adverse impact on our business, results of operations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Reliance on Certain Suppliers.</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Net Income per Share.</w:t>
      </w:r>
    </w:p>
    <w:p>
      <w:pPr>
        <w:spacing w:after="0" w:line="117"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Basic net income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release (vesting) of restricted stock units and awards, and the conversion of Series A Preferred Stock into common stock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15 - Computation of Basic and Diluted Net Income Per Common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Certain reclassifications have been made to the prior year statements included in these consolidated financial statements to conform to the current year presentation. The reclassifications had no impact on previously reported net loss or accumulated deficit.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In May 2014, as part of its ongoing efforts to assist in the convergence of accounting principles generally accepted in the United States (“U.S. GAAP”) and International Financial Reporting Standards (“IFRS”), the Financial Accounting Standards Board (“FASB”) issued Accounting Standards Update (“ASU”) 2014-09, “Revenue from Contracts with Customers (Topic 606).” The new guidance sets forth a new five-step revenue recognition model which replaces the prior revenue recognition guidance in its entirety and is intended to eliminate numerous industry-specific pieces of revenue recognition guidance that have historically existed in U.S. GAAP. The underlying principle of the new standard is that a business or other organization will recognize revenue to depict the transfer of promised goods or services to customers in an amount that reflects what it expects in exchange for the goods or services. The standard also requires more detailed disclosures and provides additional guidance for transactions that were not addressed completely in the prior accounting guidance. The ASU provides alternative methods of initial adoption and is effective for annual and interim periods beginning after December 15, 2017. The FASB has issued several updates to the standard which i) defer the original effective date from January 1, 2017 to January 1, 2018, while allowing for early adoption as of January 1, 2017 (ASU 2015-14); ii) clarify the application of the principal versus agent guidance (ASU 2016-08); iii) clarify the guidance on inconsequential and perfunctory promises and licensing (ASU 2016-10); and (iv) clarify the guidance on certain sections of the guidance providing technical corrections and improvements (ASU 2016-10). In May 2016, the FASB issued ASU 2016-12, “Revenue from Contracts with Customers (Topic 606) Narrow-Scope Improvements and Practical Expedients”, to address certain narrow aspects of the guidance including collectibility criterion, collection of sales taxes from customers, noncash consideration, contract modifications and completed contracts. This issuance does not change the core principle of the guidance in the initial topic issued in May 2014. We will be adopting the standard using the modified retrospective method. The adoption of this standard in fiscal year 2018 is not expected to have a material impact on our consolidated financial statements.</w:t>
      </w:r>
    </w:p>
    <w:p>
      <w:pPr>
        <w:spacing w:after="0" w:line="7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July 2015, the FASB issued ASU 2015-11, “Simplifying the Measurement of Inventory.” Under this ASU, inventory will be measured at the “lower of cost and net realizable value” and options that currently exist for “market value” will be eliminated. The ASU defines net realizable value as the “estimated selling prices in the ordinary course of business, less reasonably predictable costs of completion, disposal, and transportation.” No other changes were made to the current guidance on inventory measurement. ASU 2015-11 is effective for interim and annual periods beginning after December 15, 2016. Early application is permitted and should be applied prospectively. The adoption of this standard in fiscal year 2017 did not have a material impact on our consolidated financial statements.</w:t>
      </w:r>
    </w:p>
    <w:p>
      <w:pPr>
        <w:spacing w:after="0" w:line="85"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In February 2016, the FASB issued ASU 2016-02, "Leases," amending ASC 842. This ASU requires us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We are currently evaluating the impact of this new standard on our consolidated financial statements.</w:t>
      </w:r>
    </w:p>
    <w:p>
      <w:pPr>
        <w:spacing w:after="0" w:line="50"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In March 2016, the FASB issued ASU No. 2016-09, “Improvements to Employee Share-Based Payment Accounting” as part of its simplification initiative, which involves several aspects of accounting for share-based payment transactions, including the income tax consequences, classification of awards as either equity or liabilities, and classification on the statement of cash flows. The ASU is effective for annual periods beginning after December 15, 2016, and interim periods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3" w:name="page54"/>
    <w:bookmarkEnd w:id="53"/>
    <w:p>
      <w:pPr>
        <w:ind w:right="20"/>
        <w:spacing w:after="0" w:line="269" w:lineRule="auto"/>
        <w:rPr>
          <w:sz w:val="20"/>
          <w:szCs w:val="20"/>
          <w:color w:val="auto"/>
        </w:rPr>
      </w:pPr>
      <w:r>
        <w:rPr>
          <w:rFonts w:ascii="Arial" w:cs="Arial" w:eastAsia="Arial" w:hAnsi="Arial"/>
          <w:sz w:val="17"/>
          <w:szCs w:val="17"/>
          <w:color w:val="auto"/>
        </w:rPr>
        <w:t>within those annual periods. Prior to ASU 2016-09, tax benefits in excess of compensation cost (“windfalls”) were recorded in equity, and tax deficiencies (“shortfalls”) were recorded in equity to the extent of previous windfalls, and then to the income statement. While the simplification reduces some of the administrative complexities by eliminating the need to track a “windfall pool,” it increases the volatility of income tax expense. The ASU also removes the requirement to delay recognition of a windfall tax benefit until it reduces current taxes payable. Under the new guidance, the benefit is recorded when it arises, subject to normal valuation allowance considerations. Under the new guidance, entities are permitted to make an accounting policy election for the impact of forfeitures on the recognition of expense for share-based payment awards. Forfeitures can be estimated or recognized when they occur. Estimates of forfeitures are still required in certain circumstances, such as at the time of modification of an award or issuance of a replacement award in a business combination. As of January 1, 2017, the Company adopted ASU 2016-09 on a modified retrospective basis for the income statement impact of forfeitures and income taxes. Accordingly, the Company did not change forfeiture method as of January 1, 2017, therefore, there was no retained earnings impact. As of January 1, 2017, the Company also recognized an excess windfall, net of operating loss carry-forwards that were converted into deferred tax net operating losses, of $1.39 million, with a corresponding increase in valuation allowance of $1.39 million.</w:t>
      </w:r>
    </w:p>
    <w:p>
      <w:pPr>
        <w:spacing w:after="0" w:line="75"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amendment gives guidance and reduces diversity in practice with respect to certain types of cash flows. This ASU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currently evaluating the impact of this guidance on our consolidated financial statements.</w:t>
      </w:r>
    </w:p>
    <w:p>
      <w:pPr>
        <w:spacing w:after="0" w:line="85"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October 2016, the FASB issued ASU 2016-16, to ASC 740 "Income Taxes,"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The Company is currently evaluating the impact of this guidance on our financial statements and the timing of adoption.</w:t>
      </w:r>
    </w:p>
    <w:p>
      <w:pPr>
        <w:spacing w:after="0" w:line="64"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We are currently evaluating the effect of the adoption of this guidance on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62"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20" w:lineRule="exact"/>
        <w:rPr>
          <w:rFonts w:ascii="Arial" w:cs="Arial" w:eastAsia="Arial" w:hAnsi="Arial"/>
          <w:sz w:val="22"/>
          <w:szCs w:val="22"/>
          <w:color w:val="auto"/>
        </w:rPr>
      </w:pPr>
    </w:p>
    <w:p>
      <w:pPr>
        <w:ind w:left="1120" w:right="180" w:hanging="558"/>
        <w:spacing w:after="0" w:line="238" w:lineRule="auto"/>
        <w:tabs>
          <w:tab w:leader="none" w:pos="11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ind w:left="1120" w:right="620"/>
        <w:spacing w:after="0" w:line="342" w:lineRule="auto"/>
        <w:rPr>
          <w:sz w:val="20"/>
          <w:szCs w:val="20"/>
          <w:color w:val="auto"/>
        </w:rPr>
      </w:pPr>
      <w:r>
        <w:rPr>
          <w:rFonts w:ascii="Arial" w:cs="Arial" w:eastAsia="Arial" w:hAnsi="Arial"/>
          <w:sz w:val="16"/>
          <w:szCs w:val="16"/>
          <w:color w:val="auto"/>
        </w:rPr>
        <w:t>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6" w:lineRule="exact"/>
        <w:rPr>
          <w:sz w:val="20"/>
          <w:szCs w:val="20"/>
          <w:color w:val="auto"/>
        </w:rPr>
      </w:pPr>
    </w:p>
    <w:p>
      <w:pPr>
        <w:ind w:left="1120" w:right="120" w:hanging="558"/>
        <w:spacing w:after="0" w:line="238" w:lineRule="auto"/>
        <w:tabs>
          <w:tab w:leader="none" w:pos="11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95"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In determining fair value, we utilize valuation techniques that maximize the use of observable inputs and minimize the use of unobservable inputs to the extent possible as well as considers counterparty credit risk in our assessment of fair value.</w:t>
      </w:r>
    </w:p>
    <w:p>
      <w:pPr>
        <w:spacing w:after="0" w:line="62" w:lineRule="exact"/>
        <w:rPr>
          <w:sz w:val="20"/>
          <w:szCs w:val="20"/>
          <w:color w:val="auto"/>
        </w:rPr>
      </w:pPr>
    </w:p>
    <w:p>
      <w:pPr>
        <w:ind w:right="180" w:firstLine="555"/>
        <w:spacing w:after="0" w:line="308" w:lineRule="auto"/>
        <w:rPr>
          <w:sz w:val="20"/>
          <w:szCs w:val="20"/>
          <w:color w:val="auto"/>
        </w:rPr>
      </w:pPr>
      <w:r>
        <w:rPr>
          <w:rFonts w:ascii="Arial" w:cs="Arial" w:eastAsia="Arial" w:hAnsi="Arial"/>
          <w:sz w:val="17"/>
          <w:szCs w:val="17"/>
          <w:color w:val="auto"/>
        </w:rPr>
        <w:t>The carrying amounts of our financial assets and liabilities, including cash and cash equivalents, accounts receivable, accounts payable, and accrued expenses as of December 30, 2017 and December 31, 2016, approximate fair value because of the short maturity of these instruments.</w:t>
      </w:r>
    </w:p>
    <w:p>
      <w:pPr>
        <w:spacing w:after="0" w:line="38"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As of December 30, 2017 and December 31, 2016, financial assets and liabilities measured and recognized at fair value on a recurring basis and classified under the appropriate level of the fair value hierarchy as described above was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December 30, 2017</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As of December 31, 2016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Fair Value Measurements</w:t>
            </w: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w w:val="99"/>
              </w:rPr>
              <w:t>Fair Value Measurements</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2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331"/>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240" w:type="dxa"/>
            <w:vAlign w:val="bottom"/>
            <w:tcBorders>
              <w:top w:val="single" w:sz="8" w:color="CFF0FC"/>
            </w:tcBorders>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240" w:type="dxa"/>
            <w:vAlign w:val="bottom"/>
            <w:tcBorders>
              <w:top w:val="single" w:sz="8" w:color="CFF0FC"/>
            </w:tcBorders>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40" w:type="dxa"/>
            <w:vAlign w:val="bottom"/>
            <w:tcBorders>
              <w:top w:val="single" w:sz="8" w:color="CFF0FC"/>
            </w:tcBorders>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00" w:type="dxa"/>
            <w:vAlign w:val="bottom"/>
            <w:tcBorders>
              <w:top w:val="single" w:sz="8" w:color="CFF0FC"/>
            </w:tcBorders>
            <w:shd w:val="clear" w:color="auto" w:fill="CFF0FC"/>
          </w:tcPr>
          <w:p>
            <w:pPr>
              <w:spacing w:after="0"/>
              <w:rPr>
                <w:sz w:val="24"/>
                <w:szCs w:val="24"/>
                <w:color w:val="auto"/>
              </w:rPr>
            </w:pPr>
          </w:p>
        </w:tc>
      </w:tr>
      <w:tr>
        <w:trPr>
          <w:trHeight w:val="338"/>
        </w:trPr>
        <w:tc>
          <w:tcPr>
            <w:tcW w:w="20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20,950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20,950</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8,270</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24"/>
                <w:szCs w:val="24"/>
                <w:color w:val="auto"/>
              </w:rPr>
            </w:pPr>
          </w:p>
        </w:tc>
      </w:tr>
      <w:tr>
        <w:trPr>
          <w:trHeight w:val="338"/>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338"/>
        </w:trPr>
        <w:tc>
          <w:tcPr>
            <w:tcW w:w="208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4"/>
                <w:szCs w:val="24"/>
                <w:color w:val="auto"/>
              </w:rPr>
            </w:pPr>
          </w:p>
        </w:tc>
      </w:tr>
    </w:tbl>
    <w:p>
      <w:pPr>
        <w:spacing w:after="0" w:line="16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 The decrease in re-measurement of the contingent earn-out was due to a decrease in expected future revenues to be generated from these acquisitions. The deal was structured with an earn-out component. The earn-out liability is included in accrued expenses and other long-term liabilities in the consolidated balance sheets.</w:t>
      </w:r>
    </w:p>
    <w:p>
      <w:pPr>
        <w:spacing w:after="0" w:line="70"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Charges related to fair value adjustments were $260 thousand, $95 thousand and $5 thousand for the fiscal years 2017, 2016 and 2015,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firstLine="555"/>
        <w:spacing w:after="0" w:line="277" w:lineRule="auto"/>
        <w:rPr>
          <w:sz w:val="20"/>
          <w:szCs w:val="20"/>
          <w:color w:val="auto"/>
        </w:rPr>
      </w:pPr>
      <w:r>
        <w:rPr>
          <w:rFonts w:ascii="Arial" w:cs="Arial" w:eastAsia="Arial" w:hAnsi="Arial"/>
          <w:sz w:val="18"/>
          <w:szCs w:val="18"/>
          <w:color w:val="auto"/>
        </w:rPr>
        <w:t>The following table presents quantitative information about the inputs and valuation methodologies used for our fair value measurements classified in Level 3 of the fair value hierarchy as of December 30, 2017 and December 31, 2016.</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2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As of December 30, 2017</w:t>
            </w:r>
          </w:p>
        </w:tc>
        <w:tc>
          <w:tcPr>
            <w:tcW w:w="12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2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-8255</wp:posOffset>
            </wp:positionV>
            <wp:extent cx="651764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17640" cy="29146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Projected royalties</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Earn-out liability</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20"/>
                <w:szCs w:val="20"/>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(in thousands)</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$1,622</w:t>
            </w:r>
          </w:p>
        </w:tc>
        <w:tc>
          <w:tcPr>
            <w:tcW w:w="0" w:type="dxa"/>
            <w:vAlign w:val="bottom"/>
          </w:tcPr>
          <w:p>
            <w:pPr>
              <w:spacing w:after="0"/>
              <w:rPr>
                <w:sz w:val="1"/>
                <w:szCs w:val="1"/>
                <w:color w:val="auto"/>
              </w:rPr>
            </w:pPr>
          </w:p>
        </w:tc>
      </w:tr>
      <w:tr>
        <w:trPr>
          <w:trHeight w:val="209"/>
        </w:trPr>
        <w:tc>
          <w:tcPr>
            <w:tcW w:w="3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2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10.90%</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(10.90% - 27.00%)</w:t>
            </w:r>
          </w:p>
        </w:tc>
        <w:tc>
          <w:tcPr>
            <w:tcW w:w="0" w:type="dxa"/>
            <w:vAlign w:val="bottom"/>
          </w:tcPr>
          <w:p>
            <w:pPr>
              <w:spacing w:after="0"/>
              <w:rPr>
                <w:sz w:val="1"/>
                <w:szCs w:val="1"/>
                <w:color w:val="auto"/>
              </w:rPr>
            </w:pPr>
          </w:p>
        </w:tc>
      </w:tr>
      <w:tr>
        <w:trPr>
          <w:trHeight w:val="382"/>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2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Input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r>
        <w:trPr>
          <w:trHeight w:val="209"/>
        </w:trPr>
        <w:tc>
          <w:tcPr>
            <w:tcW w:w="3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2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7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(in thousands)</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$2,154</w:t>
            </w:r>
          </w:p>
        </w:tc>
        <w:tc>
          <w:tcPr>
            <w:tcW w:w="0" w:type="dxa"/>
            <w:vAlign w:val="bottom"/>
          </w:tcPr>
          <w:p>
            <w:pPr>
              <w:spacing w:after="0"/>
              <w:rPr>
                <w:sz w:val="1"/>
                <w:szCs w:val="1"/>
                <w:color w:val="auto"/>
              </w:rPr>
            </w:pPr>
          </w:p>
        </w:tc>
      </w:tr>
      <w:tr>
        <w:trPr>
          <w:trHeight w:val="209"/>
        </w:trPr>
        <w:tc>
          <w:tcPr>
            <w:tcW w:w="3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2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11.22%</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(11.22% - 27.00%)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of the contingent consideration – cash (Level 3 liabilities) (in thousands):</w:t>
      </w:r>
    </w:p>
    <w:p>
      <w:pPr>
        <w:sectPr>
          <w:pgSz w:w="11900" w:h="16838" w:orient="portrait"/>
          <w:cols w:equalWidth="0" w:num="1">
            <w:col w:w="11360"/>
          </w:cols>
          <w:pgMar w:left="240" w:top="233" w:right="299" w:bottom="1440" w:gutter="0" w:footer="0" w:header="0"/>
        </w:sectPr>
      </w:pPr>
    </w:p>
    <w:p>
      <w:pPr>
        <w:spacing w:after="0" w:line="18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as of January 2, 2016</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Payments against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Change in fair value of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21590</wp:posOffset>
            </wp:positionV>
            <wp:extent cx="434784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as of December 31, 2016</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Payments against earn-out</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Change in fair value of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-123190</wp:posOffset>
            </wp:positionV>
            <wp:extent cx="434784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as of December 30,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jc w:val="right"/>
        <w:ind w:right="1908"/>
        <w:spacing w:after="0"/>
        <w:rPr>
          <w:sz w:val="20"/>
          <w:szCs w:val="20"/>
          <w:color w:val="auto"/>
        </w:rPr>
      </w:pPr>
      <w:r>
        <w:rPr>
          <w:rFonts w:ascii="Arial" w:cs="Arial" w:eastAsia="Arial" w:hAnsi="Arial"/>
          <w:sz w:val="18"/>
          <w:szCs w:val="18"/>
          <w:color w:val="auto"/>
        </w:rPr>
        <w:t>The components of our inventories are as follows (in thousands):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772" w:hanging="772"/>
        <w:spacing w:after="0"/>
        <w:tabs>
          <w:tab w:leader="none" w:pos="7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1,005</w:t>
      </w:r>
    </w:p>
    <w:p>
      <w:pPr>
        <w:spacing w:after="0" w:line="23" w:lineRule="exact"/>
        <w:rPr>
          <w:rFonts w:ascii="Arial" w:cs="Arial" w:eastAsia="Arial" w:hAnsi="Arial"/>
          <w:sz w:val="18"/>
          <w:szCs w:val="18"/>
          <w:color w:val="auto"/>
        </w:rPr>
      </w:pPr>
    </w:p>
    <w:p>
      <w:pPr>
        <w:ind w:left="852"/>
        <w:spacing w:after="0"/>
        <w:rPr>
          <w:rFonts w:ascii="Arial" w:cs="Arial" w:eastAsia="Arial" w:hAnsi="Arial"/>
          <w:sz w:val="18"/>
          <w:szCs w:val="18"/>
          <w:color w:val="auto"/>
        </w:rPr>
      </w:pPr>
      <w:r>
        <w:rPr>
          <w:rFonts w:ascii="Arial" w:cs="Arial" w:eastAsia="Arial" w:hAnsi="Arial"/>
          <w:sz w:val="17"/>
          <w:szCs w:val="17"/>
          <w:color w:val="auto"/>
        </w:rPr>
        <w:t>(406)</w:t>
      </w:r>
    </w:p>
    <w:p>
      <w:pPr>
        <w:spacing w:after="0" w:line="34" w:lineRule="exact"/>
        <w:rPr>
          <w:rFonts w:ascii="Arial" w:cs="Arial" w:eastAsia="Arial" w:hAnsi="Arial"/>
          <w:sz w:val="18"/>
          <w:szCs w:val="18"/>
          <w:color w:val="auto"/>
        </w:rPr>
      </w:pPr>
    </w:p>
    <w:p>
      <w:pPr>
        <w:ind w:left="992"/>
        <w:spacing w:after="0"/>
        <w:rPr>
          <w:rFonts w:ascii="Arial" w:cs="Arial" w:eastAsia="Arial" w:hAnsi="Arial"/>
          <w:sz w:val="18"/>
          <w:szCs w:val="18"/>
          <w:color w:val="auto"/>
        </w:rPr>
      </w:pPr>
      <w:r>
        <w:rPr>
          <w:rFonts w:ascii="Arial" w:cs="Arial" w:eastAsia="Arial" w:hAnsi="Arial"/>
          <w:sz w:val="18"/>
          <w:szCs w:val="18"/>
          <w:color w:val="auto"/>
        </w:rPr>
        <w:t>95</w:t>
      </w:r>
    </w:p>
    <w:p>
      <w:pPr>
        <w:spacing w:after="0" w:line="35"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694</w:t>
      </w:r>
    </w:p>
    <w:p>
      <w:pPr>
        <w:spacing w:after="0" w:line="23" w:lineRule="exact"/>
        <w:rPr>
          <w:rFonts w:ascii="Arial" w:cs="Arial" w:eastAsia="Arial" w:hAnsi="Arial"/>
          <w:sz w:val="18"/>
          <w:szCs w:val="18"/>
          <w:color w:val="auto"/>
        </w:rPr>
      </w:pPr>
    </w:p>
    <w:p>
      <w:pPr>
        <w:ind w:left="852"/>
        <w:spacing w:after="0"/>
        <w:rPr>
          <w:rFonts w:ascii="Arial" w:cs="Arial" w:eastAsia="Arial" w:hAnsi="Arial"/>
          <w:sz w:val="18"/>
          <w:szCs w:val="18"/>
          <w:color w:val="auto"/>
        </w:rPr>
      </w:pPr>
      <w:r>
        <w:rPr>
          <w:rFonts w:ascii="Arial" w:cs="Arial" w:eastAsia="Arial" w:hAnsi="Arial"/>
          <w:sz w:val="17"/>
          <w:szCs w:val="17"/>
          <w:color w:val="auto"/>
        </w:rPr>
        <w:t>(382)</w:t>
      </w:r>
    </w:p>
    <w:p>
      <w:pPr>
        <w:spacing w:after="0" w:line="34"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54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5" w:lineRule="exact"/>
        <w:rPr>
          <w:sz w:val="20"/>
          <w:szCs w:val="20"/>
          <w:color w:val="auto"/>
        </w:rPr>
      </w:pPr>
    </w:p>
    <w:p>
      <w:pPr>
        <w:ind w:left="912" w:hanging="912"/>
        <w:spacing w:after="0"/>
        <w:tabs>
          <w:tab w:leader="none" w:pos="9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543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543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969" w:lineRule="exact"/>
        <w:rPr>
          <w:sz w:val="20"/>
          <w:szCs w:val="20"/>
          <w:color w:val="auto"/>
        </w:rPr>
      </w:pPr>
    </w:p>
    <w:p>
      <w:pPr>
        <w:sectPr>
          <w:pgSz w:w="11900" w:h="16838" w:orient="portrait"/>
          <w:cols w:equalWidth="0" w:num="2">
            <w:col w:w="7148" w:space="720"/>
            <w:col w:w="3492"/>
          </w:cols>
          <w:pgMar w:left="240" w:top="233" w:right="299" w:bottom="1440" w:gutter="0" w:footer="0" w:header="0"/>
          <w:type w:val="continuous"/>
        </w:sectPr>
      </w:pPr>
    </w:p>
    <w:p>
      <w:pPr>
        <w:spacing w:after="0" w:line="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560" w:type="dxa"/>
            <w:vAlign w:val="bottom"/>
          </w:tcPr>
          <w:p>
            <w:pPr>
              <w:jc w:val="right"/>
              <w:ind w:right="239"/>
              <w:spacing w:after="0"/>
              <w:rPr>
                <w:sz w:val="20"/>
                <w:szCs w:val="20"/>
                <w:color w:val="auto"/>
              </w:rPr>
            </w:pPr>
            <w:r>
              <w:rPr>
                <w:rFonts w:ascii="Arial" w:cs="Arial" w:eastAsia="Arial" w:hAnsi="Arial"/>
                <w:sz w:val="14"/>
                <w:szCs w:val="14"/>
                <w:b w:val="1"/>
                <w:bCs w:val="1"/>
                <w:color w:val="auto"/>
              </w:rPr>
              <w:t>FY 2017</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FY 2016</w:t>
            </w:r>
          </w:p>
        </w:tc>
        <w:tc>
          <w:tcPr>
            <w:tcW w:w="0" w:type="dxa"/>
            <w:vAlign w:val="bottom"/>
          </w:tcPr>
          <w:p>
            <w:pPr>
              <w:spacing w:after="0"/>
              <w:rPr>
                <w:sz w:val="1"/>
                <w:szCs w:val="1"/>
                <w:color w:val="auto"/>
              </w:rPr>
            </w:pPr>
          </w:p>
        </w:tc>
      </w:tr>
      <w:tr>
        <w:trPr>
          <w:trHeight w:val="171"/>
        </w:trPr>
        <w:tc>
          <w:tcPr>
            <w:tcW w:w="366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December 30, 2017</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560" w:type="dxa"/>
            <w:vAlign w:val="bottom"/>
            <w:tcBorders>
              <w:top w:val="single" w:sz="8" w:color="auto"/>
            </w:tcBorders>
          </w:tcPr>
          <w:p>
            <w:pPr>
              <w:jc w:val="right"/>
              <w:ind w:right="13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4,147</w:t>
            </w: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15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1,567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3,667</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1560" w:type="dxa"/>
            <w:vAlign w:val="bottom"/>
            <w:tcBorders>
              <w:bottom w:val="single" w:sz="8" w:color="auto"/>
            </w:tcBorders>
            <w:shd w:val="clear" w:color="auto" w:fill="CFF0FC"/>
          </w:tcPr>
          <w:p>
            <w:pPr>
              <w:jc w:val="right"/>
              <w:ind w:right="13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9,381</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property and equipment are as follows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FY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FY 2016</w:t>
            </w:r>
          </w:p>
        </w:tc>
        <w:tc>
          <w:tcPr>
            <w:tcW w:w="0" w:type="dxa"/>
            <w:vAlign w:val="bottom"/>
          </w:tcPr>
          <w:p>
            <w:pPr>
              <w:spacing w:after="0"/>
              <w:rPr>
                <w:sz w:val="1"/>
                <w:szCs w:val="1"/>
                <w:color w:val="auto"/>
              </w:rPr>
            </w:pPr>
          </w:p>
        </w:tc>
      </w:tr>
      <w:tr>
        <w:trPr>
          <w:trHeight w:val="171"/>
        </w:trPr>
        <w:tc>
          <w:tcPr>
            <w:tcW w:w="4040" w:type="dxa"/>
            <w:vAlign w:val="bottom"/>
            <w:vMerge w:val="restart"/>
          </w:tcPr>
          <w:p>
            <w:pPr>
              <w:spacing w:after="0"/>
              <w:rPr>
                <w:sz w:val="20"/>
                <w:szCs w:val="20"/>
                <w:color w:val="auto"/>
              </w:rPr>
            </w:pPr>
            <w:r>
              <w:rPr>
                <w:rFonts w:ascii="Arial" w:cs="Arial" w:eastAsia="Arial" w:hAnsi="Arial"/>
                <w:sz w:val="18"/>
                <w:szCs w:val="18"/>
                <w:color w:val="auto"/>
              </w:rPr>
              <w:t>Equipment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30,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(11,049)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(10,335)</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Depreciation expense related to property and equipment was $842 thousand, $632 thousand and $506 thousand for the fiscal years 2017, 2016 and 2015, respectively.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value of goodwill was $533 thousand as of December 30, 2017 and December 31, 2016, respectively.</w:t>
      </w:r>
    </w:p>
    <w:p>
      <w:pPr>
        <w:spacing w:after="0" w:line="117"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Goodwill is tested for impairment at least annually or whenever there is a change in circumstances that indicates the carrying value of these assets may be impaired. The determination of whether any potential impairment of goodwill exists is based upon an impairment test performed in accordance with ASC 350. There was no impairment of goodwill recognized during fiscal years 2017, 2016 or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purchased intangible assets as of December 30, 2017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Useful</w:t>
            </w:r>
          </w:p>
        </w:tc>
        <w:tc>
          <w:tcPr>
            <w:tcW w:w="108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FY 2017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1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8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Annual</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Lives</w:t>
            </w:r>
          </w:p>
        </w:tc>
        <w:tc>
          <w:tcPr>
            <w:tcW w:w="1080" w:type="dxa"/>
            <w:vAlign w:val="bottom"/>
          </w:tcPr>
          <w:p>
            <w:pPr>
              <w:jc w:val="center"/>
              <w:ind w:left="141"/>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223"/>
        </w:trPr>
        <w:tc>
          <w:tcPr>
            <w:tcW w:w="2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15 Years</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7.25 Years</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Patents</w:t>
            </w:r>
          </w:p>
        </w:tc>
        <w:tc>
          <w:tcPr>
            <w:tcW w:w="156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6"/>
              </w:rPr>
              <w:t>Varies</w:t>
            </w: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0"/>
              </w:rPr>
              <w:t>Varies</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purchased intangible assets as of December 31, 2016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4"/>
                <w:szCs w:val="14"/>
                <w:color w:val="auto"/>
              </w:rPr>
            </w:pPr>
          </w:p>
        </w:tc>
        <w:tc>
          <w:tcPr>
            <w:tcW w:w="1080" w:type="dxa"/>
            <w:vAlign w:val="bottom"/>
          </w:tcPr>
          <w:p>
            <w:pPr>
              <w:jc w:val="center"/>
              <w:ind w:left="121"/>
              <w:spacing w:after="0"/>
              <w:rPr>
                <w:sz w:val="20"/>
                <w:szCs w:val="20"/>
                <w:color w:val="auto"/>
              </w:rPr>
            </w:pPr>
            <w:r>
              <w:rPr>
                <w:rFonts w:ascii="Arial" w:cs="Arial" w:eastAsia="Arial" w:hAnsi="Arial"/>
                <w:sz w:val="14"/>
                <w:szCs w:val="14"/>
                <w:b w:val="1"/>
                <w:bCs w:val="1"/>
                <w:color w:val="auto"/>
                <w:w w:val="98"/>
              </w:rPr>
              <w:t>FY 2016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59"/>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Annual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Lives</w:t>
            </w:r>
          </w:p>
        </w:tc>
        <w:tc>
          <w:tcPr>
            <w:tcW w:w="140" w:type="dxa"/>
            <w:vAlign w:val="bottom"/>
          </w:tcPr>
          <w:p>
            <w:pPr>
              <w:spacing w:after="0"/>
              <w:rPr>
                <w:sz w:val="14"/>
                <w:szCs w:val="14"/>
                <w:color w:val="auto"/>
              </w:rPr>
            </w:pPr>
          </w:p>
        </w:tc>
        <w:tc>
          <w:tcPr>
            <w:tcW w:w="1080" w:type="dxa"/>
            <w:vAlign w:val="bottom"/>
          </w:tcPr>
          <w:p>
            <w:pPr>
              <w:jc w:val="center"/>
              <w:ind w:left="141"/>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15 Years</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8.25 Years</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Patents</w:t>
            </w:r>
          </w:p>
        </w:tc>
        <w:tc>
          <w:tcPr>
            <w:tcW w:w="1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Varies</w:t>
            </w:r>
          </w:p>
        </w:tc>
        <w:tc>
          <w:tcPr>
            <w:tcW w:w="1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Varies</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1"/>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Aggregate amortization expense for each of the fiscal years 2017, 2016 and 2015 was $16 thousand. The amortization of customer relations was charged to sales and marketing expense and the amortization of patents was charged to cost of revenues.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future amortization expense for purchased intangible assets is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2018</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FF0FC"/>
          </w:tcPr>
          <w:p>
            <w:pPr>
              <w:spacing w:after="0"/>
              <w:rPr>
                <w:sz w:val="19"/>
                <w:szCs w:val="19"/>
                <w:color w:val="auto"/>
              </w:rPr>
            </w:pP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accrued expenses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2017</w:t>
            </w:r>
          </w:p>
        </w:tc>
        <w:tc>
          <w:tcPr>
            <w:tcW w:w="180" w:type="dxa"/>
            <w:vAlign w:val="bottom"/>
          </w:tcPr>
          <w:p>
            <w:pPr>
              <w:spacing w:after="0"/>
              <w:rPr>
                <w:sz w:val="14"/>
                <w:szCs w:val="14"/>
                <w:color w:val="auto"/>
              </w:rPr>
            </w:pPr>
          </w:p>
        </w:tc>
        <w:tc>
          <w:tcPr>
            <w:tcW w:w="1580" w:type="dxa"/>
            <w:vAlign w:val="bottom"/>
          </w:tcPr>
          <w:p>
            <w:pPr>
              <w:jc w:val="right"/>
              <w:ind w:right="574"/>
              <w:spacing w:after="0"/>
              <w:rPr>
                <w:sz w:val="20"/>
                <w:szCs w:val="20"/>
                <w:color w:val="auto"/>
              </w:rPr>
            </w:pPr>
            <w:r>
              <w:rPr>
                <w:rFonts w:ascii="Arial" w:cs="Arial" w:eastAsia="Arial" w:hAnsi="Arial"/>
                <w:sz w:val="14"/>
                <w:szCs w:val="14"/>
                <w:b w:val="1"/>
                <w:bCs w:val="1"/>
                <w:color w:val="auto"/>
              </w:rPr>
              <w:t>FY 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gridSpan w:val="2"/>
            <w:vMerge w:val="restart"/>
          </w:tcPr>
          <w:p>
            <w:pPr>
              <w:ind w:left="1720"/>
              <w:spacing w:after="0"/>
              <w:rPr>
                <w:sz w:val="20"/>
                <w:szCs w:val="20"/>
                <w:color w:val="auto"/>
              </w:rPr>
            </w:pPr>
            <w:r>
              <w:rPr>
                <w:rFonts w:ascii="Arial" w:cs="Arial" w:eastAsia="Arial" w:hAnsi="Arial"/>
                <w:sz w:val="18"/>
                <w:szCs w:val="18"/>
                <w:color w:val="auto"/>
              </w:rPr>
              <w:t>Customer deposits</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30, 2017</w:t>
            </w:r>
          </w:p>
        </w:tc>
        <w:tc>
          <w:tcPr>
            <w:tcW w:w="180" w:type="dxa"/>
            <w:vAlign w:val="bottom"/>
          </w:tcPr>
          <w:p>
            <w:pPr>
              <w:spacing w:after="0"/>
              <w:rPr>
                <w:sz w:val="14"/>
                <w:szCs w:val="14"/>
                <w:color w:val="auto"/>
              </w:rPr>
            </w:pPr>
          </w:p>
        </w:tc>
        <w:tc>
          <w:tcPr>
            <w:tcW w:w="158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December 31, 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Earn-out – short term</w:t>
            </w: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Distributor commission</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Sales and use tax payable</w:t>
            </w: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Royalties payable</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720"/>
              <w:spacing w:after="0"/>
              <w:rPr>
                <w:sz w:val="20"/>
                <w:szCs w:val="20"/>
                <w:color w:val="auto"/>
              </w:rPr>
            </w:pPr>
            <w:r>
              <w:rPr>
                <w:rFonts w:ascii="Arial" w:cs="Arial" w:eastAsia="Arial" w:hAnsi="Arial"/>
                <w:sz w:val="18"/>
                <w:szCs w:val="18"/>
                <w:color w:val="auto"/>
              </w:rPr>
              <w:t>Total accrued expenses</w:t>
            </w:r>
          </w:p>
        </w:tc>
        <w:tc>
          <w:tcPr>
            <w:tcW w:w="14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right="300" w:firstLine="555"/>
        <w:spacing w:after="0" w:line="312" w:lineRule="auto"/>
        <w:rPr>
          <w:sz w:val="20"/>
          <w:szCs w:val="20"/>
          <w:color w:val="auto"/>
        </w:rPr>
      </w:pPr>
      <w:r>
        <w:rPr>
          <w:rFonts w:ascii="Arial" w:cs="Arial" w:eastAsia="Arial" w:hAnsi="Arial"/>
          <w:sz w:val="16"/>
          <w:szCs w:val="16"/>
          <w:color w:val="auto"/>
        </w:rPr>
        <w:t>We lease our operating facilities in Mountain View, California, under a non-cancelable operating lease that was initially scheduled to expire in February 28, 2022. In April 2017, we executed an agreement to extend the term of the lease through February 28, 2022. There are no remaining options to extend or renew the terms of this lease. Rent expense for fiscal years 2017, 2016 and 2015 was $1.1 million, $0.9 million and $0.8 million, respectively.</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under current operating leases as of December 30, 2017 are summarized as follows (in thousands):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Lease Payments</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and Supply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payments for manufacture and supply commitments as of December 30, 2017 are summarized as follows (in thousands):</w:t>
      </w: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Manufacturing</w:t>
            </w: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and Supply</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contract manufacturing and supply commitments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color w:val="auto"/>
        </w:rPr>
        <w:t>We are obligated to pay royalties equivalent to 5% of sales on certain products under certain license agreements with termination dates as early as the end of 2018 and as late as the end of 2021. Royalty expense, charged to cost of revenues, was approximately $0.3 million, $0.3 million, and $0.1 million for the fiscal years 2017, 2016 and 2015,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Arrangements</w:t>
      </w:r>
      <w:r>
        <w:rPr>
          <w:rFonts w:ascii="Arial" w:cs="Arial" w:eastAsia="Arial" w:hAnsi="Arial"/>
          <w:sz w:val="18"/>
          <w:szCs w:val="18"/>
          <w:color w:val="auto"/>
        </w:rPr>
        <w:t>.</w:t>
      </w:r>
    </w:p>
    <w:p>
      <w:pPr>
        <w:spacing w:after="0" w:line="11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enter into standard indemnification arrangements in our ordinary course of business. Pursuant to these arrangements, we indemnify, hold harmless, and agree to reimburse the indemnified parties for losses suffered or incurred by the indemnified party,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70" w:lineRule="exact"/>
        <w:rPr>
          <w:sz w:val="20"/>
          <w:szCs w:val="20"/>
          <w:color w:val="auto"/>
        </w:rPr>
      </w:pPr>
    </w:p>
    <w:p>
      <w:pPr>
        <w:ind w:right="140" w:firstLine="555"/>
        <w:spacing w:after="0" w:line="302" w:lineRule="auto"/>
        <w:rPr>
          <w:sz w:val="20"/>
          <w:szCs w:val="20"/>
          <w:color w:val="auto"/>
        </w:rPr>
      </w:pPr>
      <w:r>
        <w:rPr>
          <w:rFonts w:ascii="Arial" w:cs="Arial" w:eastAsia="Arial" w:hAnsi="Arial"/>
          <w:sz w:val="16"/>
          <w:szCs w:val="16"/>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46"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In general, management believes that claims which are pending or known to be threatened, will not have a material adverse effect on our financial position or results of operations and are adequately covered by our liability insurance. However, it is possible that cash flows or results of operations could be materially affected in any particular period by the unfavorable resolution of one of more of these contingencies or because of the diversion of management’s attention and the incurrence of significant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Plan.</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The 1998 Stock Plan (the “1998 Plan”), as amended, provides for the granting to employees (including officers and non-employee directors) of incentive stock options and for the granting to employees (including officers and non-employee directors) and consultants of nonstatutory stock options, stock purchase rights (“SPRs”), restricted stock, restricted stock units (“RSUs”), performance shares, performance units and stock appreciation rights. The exercise price of incentive stock options and stock appreciation rights granted under the 1998 Plan must be at least equal to the fair market value of the shares at the time of grant. With respect to any recipient who owns stock possessing more than 10% of the voting power of our outstanding capital stock, the exercise price of any option or SPR granted must be at least equal to 110% of the fair market value at the time of grant. Options granted under the 1998 Plan are exercisable at such times and under such conditions as determined by the administrator; generally over a four year period. The maximum term of incentive stock options granted to any recipient must not exceed ten years; provided, however, that the maximum term of an incentive stock option granted to any recipient possessing more than 10% of the voting power of our outstanding capital stock must not exceed five years. In the case of SPRs, unless the administrator determines otherwise, we have a repurchase option exercisable upon the voluntary or involuntary termination of the purchaser’s employment with us for any reason (including death or disability). Such repurchase option lapses at a rate determined by the administrator. The purchase price for shares repurchased is the original price paid by the purchaser. As of December 30, 2017 and January 2, 2016, no shares were subject to repurchase. The form of consideration for exercising an option or stock purchase right, including the method of payment, is determined by the administrator. The 1998 Plan expired in February 2008.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On June 11, 2008, the shareholders approved the adoption of the 2008 Equity Incentive Plan, (the “Incentive Plan”). There are no material changes in the Incentive Plan from the 1998 Plan. In 2014,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is 300,000 shares plus any shares subject to stock options or similar awards granted under the 1998 Plan that expire or otherwise terminate without having been exercised in full and shares issued pursuant to awards granted under the 1998 Plan that are forfeited to us on or after February 23, 2008, which was the date the 1998 Plan expired.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9" w:name="page60"/>
    <w:bookmarkEnd w:id="59"/>
    <w:p>
      <w:pPr>
        <w:ind w:right="580" w:firstLine="555"/>
        <w:spacing w:after="0" w:line="277" w:lineRule="auto"/>
        <w:rPr>
          <w:sz w:val="20"/>
          <w:szCs w:val="20"/>
          <w:color w:val="auto"/>
        </w:rPr>
      </w:pPr>
      <w:r>
        <w:rPr>
          <w:rFonts w:ascii="Arial" w:cs="Arial" w:eastAsia="Arial" w:hAnsi="Arial"/>
          <w:sz w:val="18"/>
          <w:szCs w:val="18"/>
          <w:color w:val="auto"/>
        </w:rPr>
        <w:t>The following table summarizes information regarding activity in our stock option plans during the fiscal years ended 2017, 2016 and 2015 (in thousands except share and per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gridSpan w:val="6"/>
          </w:tcPr>
          <w:p>
            <w:pPr>
              <w:ind w:left="84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92"/>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Balances as of January 3, 2015</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Grant</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4440" w:type="dxa"/>
            <w:vAlign w:val="bottom"/>
            <w:gridSpan w:val="2"/>
            <w:vMerge w:val="continue"/>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854,117</w:t>
            </w:r>
          </w:p>
        </w:tc>
        <w:tc>
          <w:tcPr>
            <w:tcW w:w="24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833,795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Additional shares reserved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(170,300)</w:t>
            </w:r>
          </w:p>
        </w:tc>
        <w:tc>
          <w:tcPr>
            <w:tcW w:w="1380" w:type="dxa"/>
            <w:vAlign w:val="bottom"/>
          </w:tcPr>
          <w:p>
            <w:pPr>
              <w:jc w:val="right"/>
              <w:spacing w:after="0"/>
              <w:rPr>
                <w:sz w:val="20"/>
                <w:szCs w:val="20"/>
                <w:color w:val="auto"/>
              </w:rPr>
            </w:pPr>
            <w:r>
              <w:rPr>
                <w:rFonts w:ascii="Arial" w:cs="Arial" w:eastAsia="Arial" w:hAnsi="Arial"/>
                <w:sz w:val="18"/>
                <w:szCs w:val="18"/>
                <w:color w:val="auto"/>
              </w:rPr>
              <w:t>170,300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granted</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(227,905)</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(277,733)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174,870</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(174,870)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Awards 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146,000</w:t>
            </w: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Options expired</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(7,000)</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Balances as of January 2, 2016</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770,782</w:t>
            </w:r>
          </w:p>
        </w:tc>
        <w:tc>
          <w:tcPr>
            <w:tcW w:w="24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551,492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Additional shares reserved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(112,277)</w:t>
            </w:r>
          </w:p>
        </w:tc>
        <w:tc>
          <w:tcPr>
            <w:tcW w:w="1380" w:type="dxa"/>
            <w:vAlign w:val="bottom"/>
          </w:tcPr>
          <w:p>
            <w:pPr>
              <w:jc w:val="right"/>
              <w:spacing w:after="0"/>
              <w:rPr>
                <w:sz w:val="20"/>
                <w:szCs w:val="20"/>
                <w:color w:val="auto"/>
              </w:rPr>
            </w:pPr>
            <w:r>
              <w:rPr>
                <w:rFonts w:ascii="Arial" w:cs="Arial" w:eastAsia="Arial" w:hAnsi="Arial"/>
                <w:sz w:val="18"/>
                <w:szCs w:val="18"/>
                <w:color w:val="auto"/>
              </w:rPr>
              <w:t>112,277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granted</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(286,294)</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(126,077)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66,707</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(66,707)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Awards 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66,000</w:t>
            </w: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Options expired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Balances as of December 31, 2016</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504,918</w:t>
            </w:r>
          </w:p>
        </w:tc>
        <w:tc>
          <w:tcPr>
            <w:tcW w:w="24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470,985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Additional shares reserved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(524,400)</w:t>
            </w:r>
          </w:p>
        </w:tc>
        <w:tc>
          <w:tcPr>
            <w:tcW w:w="1380" w:type="dxa"/>
            <w:vAlign w:val="bottom"/>
          </w:tcPr>
          <w:p>
            <w:pPr>
              <w:jc w:val="right"/>
              <w:spacing w:after="0"/>
              <w:rPr>
                <w:sz w:val="20"/>
                <w:szCs w:val="20"/>
                <w:color w:val="auto"/>
              </w:rPr>
            </w:pPr>
            <w:r>
              <w:rPr>
                <w:rFonts w:ascii="Arial" w:cs="Arial" w:eastAsia="Arial" w:hAnsi="Arial"/>
                <w:sz w:val="18"/>
                <w:szCs w:val="18"/>
                <w:color w:val="auto"/>
              </w:rPr>
              <w:t>524,400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granted</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(141,692)</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(64,380)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73,694</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(73,694)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Awards cancelled</w:t>
            </w:r>
          </w:p>
        </w:tc>
        <w:tc>
          <w:tcPr>
            <w:tcW w:w="1360" w:type="dxa"/>
            <w:vAlign w:val="bottom"/>
          </w:tcPr>
          <w:p>
            <w:pPr>
              <w:jc w:val="right"/>
              <w:spacing w:after="0"/>
              <w:rPr>
                <w:sz w:val="20"/>
                <w:szCs w:val="20"/>
                <w:color w:val="auto"/>
              </w:rPr>
            </w:pPr>
            <w:r>
              <w:rPr>
                <w:rFonts w:ascii="Arial" w:cs="Arial" w:eastAsia="Arial" w:hAnsi="Arial"/>
                <w:sz w:val="18"/>
                <w:szCs w:val="18"/>
                <w:color w:val="auto"/>
              </w:rPr>
              <w:t>32,039</w:t>
            </w: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Options expired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Balances as of December 30,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594,559</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857,311</w:t>
            </w:r>
          </w:p>
        </w:tc>
        <w:tc>
          <w:tcPr>
            <w:tcW w:w="14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1,451,870 shares reserved for future issuance under the stock option plans as of December 30,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with respect to stock options outstanding and exercisable as of December30,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Options Outstanding</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Options Vested and Exercisable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15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Exercise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Life (years)</w:t>
            </w:r>
          </w:p>
        </w:tc>
        <w:tc>
          <w:tcPr>
            <w:tcW w:w="280" w:type="dxa"/>
            <w:vAlign w:val="bottom"/>
          </w:tcPr>
          <w:p>
            <w:pPr>
              <w:spacing w:after="0"/>
              <w:rPr>
                <w:sz w:val="14"/>
                <w:szCs w:val="14"/>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$3.46 - $6.30</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97,542</w:t>
            </w:r>
          </w:p>
        </w:tc>
        <w:tc>
          <w:tcPr>
            <w:tcW w:w="2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97,542</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$6.83</w:t>
            </w:r>
          </w:p>
        </w:tc>
        <w:tc>
          <w:tcPr>
            <w:tcW w:w="2100" w:type="dxa"/>
            <w:vAlign w:val="bottom"/>
          </w:tcPr>
          <w:p>
            <w:pPr>
              <w:ind w:left="20"/>
              <w:spacing w:after="0"/>
              <w:rPr>
                <w:sz w:val="20"/>
                <w:szCs w:val="20"/>
                <w:color w:val="auto"/>
              </w:rPr>
            </w:pPr>
            <w:r>
              <w:rPr>
                <w:rFonts w:ascii="Arial" w:cs="Arial" w:eastAsia="Arial" w:hAnsi="Arial"/>
                <w:sz w:val="18"/>
                <w:szCs w:val="18"/>
                <w:color w:val="auto"/>
              </w:rPr>
              <w:t>- $8.58</w:t>
            </w:r>
          </w:p>
        </w:tc>
        <w:tc>
          <w:tcPr>
            <w:tcW w:w="1520" w:type="dxa"/>
            <w:vAlign w:val="bottom"/>
          </w:tcPr>
          <w:p>
            <w:pPr>
              <w:jc w:val="right"/>
              <w:spacing w:after="0"/>
              <w:rPr>
                <w:sz w:val="20"/>
                <w:szCs w:val="20"/>
                <w:color w:val="auto"/>
              </w:rPr>
            </w:pPr>
            <w:r>
              <w:rPr>
                <w:rFonts w:ascii="Arial" w:cs="Arial" w:eastAsia="Arial" w:hAnsi="Arial"/>
                <w:sz w:val="18"/>
                <w:szCs w:val="18"/>
                <w:color w:val="auto"/>
              </w:rPr>
              <w:t>96,655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7.93</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61,551</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$8.60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$9.40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25,202</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$9.54</w:t>
            </w:r>
          </w:p>
        </w:tc>
        <w:tc>
          <w:tcPr>
            <w:tcW w:w="2100" w:type="dxa"/>
            <w:vAlign w:val="bottom"/>
          </w:tcPr>
          <w:p>
            <w:pPr>
              <w:ind w:left="20"/>
              <w:spacing w:after="0"/>
              <w:rPr>
                <w:sz w:val="20"/>
                <w:szCs w:val="20"/>
                <w:color w:val="auto"/>
              </w:rPr>
            </w:pPr>
            <w:r>
              <w:rPr>
                <w:rFonts w:ascii="Arial" w:cs="Arial" w:eastAsia="Arial" w:hAnsi="Arial"/>
                <w:sz w:val="18"/>
                <w:szCs w:val="18"/>
                <w:color w:val="auto"/>
              </w:rPr>
              <w:t>- $9.54</w:t>
            </w:r>
          </w:p>
        </w:tc>
        <w:tc>
          <w:tcPr>
            <w:tcW w:w="1520" w:type="dxa"/>
            <w:vAlign w:val="bottom"/>
          </w:tcPr>
          <w:p>
            <w:pPr>
              <w:jc w:val="right"/>
              <w:spacing w:after="0"/>
              <w:rPr>
                <w:sz w:val="20"/>
                <w:szCs w:val="20"/>
                <w:color w:val="auto"/>
              </w:rPr>
            </w:pPr>
            <w:r>
              <w:rPr>
                <w:rFonts w:ascii="Arial" w:cs="Arial" w:eastAsia="Arial" w:hAnsi="Arial"/>
                <w:sz w:val="18"/>
                <w:szCs w:val="18"/>
                <w:color w:val="auto"/>
              </w:rPr>
              <w:t>385,000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32,709</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$10.14 - $10.73</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69,374</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45,774</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$11.04 - $11.04</w:t>
            </w:r>
          </w:p>
        </w:tc>
        <w:tc>
          <w:tcPr>
            <w:tcW w:w="1520" w:type="dxa"/>
            <w:vAlign w:val="bottom"/>
          </w:tcPr>
          <w:p>
            <w:pPr>
              <w:jc w:val="right"/>
              <w:spacing w:after="0"/>
              <w:rPr>
                <w:sz w:val="20"/>
                <w:szCs w:val="20"/>
                <w:color w:val="auto"/>
              </w:rPr>
            </w:pPr>
            <w:r>
              <w:rPr>
                <w:rFonts w:ascii="Arial" w:cs="Arial" w:eastAsia="Arial" w:hAnsi="Arial"/>
                <w:sz w:val="18"/>
                <w:szCs w:val="18"/>
                <w:color w:val="auto"/>
              </w:rPr>
              <w:t>5,300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11.04</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2,209</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$11.16 - $11.16</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$12.85 - $12.85</w:t>
            </w:r>
          </w:p>
        </w:tc>
        <w:tc>
          <w:tcPr>
            <w:tcW w:w="1520" w:type="dxa"/>
            <w:vAlign w:val="bottom"/>
          </w:tcPr>
          <w:p>
            <w:pPr>
              <w:jc w:val="right"/>
              <w:spacing w:after="0"/>
              <w:rPr>
                <w:sz w:val="20"/>
                <w:szCs w:val="20"/>
                <w:color w:val="auto"/>
              </w:rPr>
            </w:pPr>
            <w:r>
              <w:rPr>
                <w:rFonts w:ascii="Arial" w:cs="Arial" w:eastAsia="Arial" w:hAnsi="Arial"/>
                <w:sz w:val="18"/>
                <w:szCs w:val="18"/>
                <w:color w:val="auto"/>
              </w:rPr>
              <w:t>27,500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8,235</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$14.61 - $14.61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$16.29 - $16.29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29,040</w:t>
            </w:r>
          </w:p>
        </w:tc>
        <w:tc>
          <w:tcPr>
            <w:tcW w:w="18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5.52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540" w:type="dxa"/>
            <w:vAlign w:val="bottom"/>
            <w:tcBorders>
              <w:bottom w:val="single" w:sz="8" w:color="CFF0FC"/>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$3.46</w:t>
            </w:r>
          </w:p>
        </w:tc>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$16.29</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857,311</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289,836</w:t>
            </w:r>
          </w:p>
        </w:tc>
        <w:tc>
          <w:tcPr>
            <w:tcW w:w="540" w:type="dxa"/>
            <w:vAlign w:val="bottom"/>
            <w:tcBorders>
              <w:bottom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60" w:name="page61"/>
    <w:bookmarkEnd w:id="60"/>
    <w:p>
      <w:pPr>
        <w:ind w:firstLine="555"/>
        <w:spacing w:after="0" w:line="277" w:lineRule="auto"/>
        <w:rPr>
          <w:sz w:val="20"/>
          <w:szCs w:val="20"/>
          <w:color w:val="auto"/>
        </w:rPr>
      </w:pPr>
      <w:r>
        <w:rPr>
          <w:rFonts w:ascii="Arial" w:cs="Arial" w:eastAsia="Arial" w:hAnsi="Arial"/>
          <w:sz w:val="18"/>
          <w:szCs w:val="18"/>
          <w:color w:val="auto"/>
        </w:rPr>
        <w:t>The determination of the fair value of options granted is computed using the Black-Scholes option pricing model with the following weighted average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4"/>
              </w:rPr>
              <w:t>Employee Stock Option Plan</w:t>
            </w:r>
          </w:p>
        </w:tc>
        <w:tc>
          <w:tcPr>
            <w:tcW w:w="1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Average risk free interest rate</w:t>
            </w:r>
          </w:p>
        </w:tc>
        <w:tc>
          <w:tcPr>
            <w:tcW w:w="15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FY 2017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FY 2016</w:t>
            </w:r>
          </w:p>
        </w:tc>
        <w:tc>
          <w:tcPr>
            <w:tcW w:w="340" w:type="dxa"/>
            <w:vAlign w:val="bottom"/>
          </w:tcPr>
          <w:p>
            <w:pPr>
              <w:spacing w:after="0"/>
              <w:rPr>
                <w:sz w:val="13"/>
                <w:szCs w:val="13"/>
                <w:color w:val="auto"/>
              </w:rPr>
            </w:pPr>
          </w:p>
        </w:tc>
        <w:tc>
          <w:tcPr>
            <w:tcW w:w="15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FY 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20" w:type="dxa"/>
            <w:vAlign w:val="bottom"/>
            <w:gridSpan w:val="2"/>
            <w:vMerge w:val="continue"/>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4.55 years</w:t>
            </w:r>
          </w:p>
        </w:tc>
        <w:tc>
          <w:tcPr>
            <w:tcW w:w="16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4.55 years</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Average volatility</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w:t>
            </w:r>
          </w:p>
        </w:tc>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44.5%</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weighted average grant date fair value of options granted as calculated using the Black-Scholes option pricing was $3.68, $5.06, and $3.95 per share for the fiscal years 2017, 2016 and 2015, respectively.</w:t>
      </w:r>
    </w:p>
    <w:p>
      <w:pPr>
        <w:spacing w:after="0" w:line="62"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spacing w:after="0" w:line="70"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following table shows stock-based compensation expense by functional line item in the consolidated statements of operations for 2017, 2016 and 2015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FY 2017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FY 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FY 2015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December 30, 2017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December 31, 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23"/>
        </w:trPr>
        <w:tc>
          <w:tcPr>
            <w:tcW w:w="33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capitalized to inventory was immaterial for 2017, 2016, and 2015.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stock options outstanding, exercisable and expected to vest as of December 30, 2017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4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857,311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60" w:type="dxa"/>
            <w:vAlign w:val="bottom"/>
          </w:tcPr>
          <w:p>
            <w:pPr>
              <w:jc w:val="right"/>
              <w:spacing w:after="0"/>
              <w:rPr>
                <w:sz w:val="20"/>
                <w:szCs w:val="20"/>
                <w:color w:val="auto"/>
              </w:rPr>
            </w:pPr>
            <w:r>
              <w:rPr>
                <w:rFonts w:ascii="Arial" w:cs="Arial" w:eastAsia="Arial" w:hAnsi="Arial"/>
                <w:sz w:val="18"/>
                <w:szCs w:val="18"/>
                <w:color w:val="auto"/>
              </w:rPr>
              <w:t>773,545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289,836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our closing stock price on the last trading day of fiscal 2017 and the exercise price, multiplied by the number of in-the-money options) that would have been received by the option holders had all option holders exercised their options on December 30, 2017. This amount is subject to change due to changes to the fair market value of our common stock. The total intrinsic value of options exercised for fiscal years 2017, 2016 and 2015 was approximately $0.3 million, $0.8 million, and $1.5 million, respectively.</w:t>
      </w:r>
    </w:p>
    <w:p>
      <w:pPr>
        <w:spacing w:after="0" w:line="80" w:lineRule="exact"/>
        <w:rPr>
          <w:sz w:val="20"/>
          <w:szCs w:val="20"/>
          <w:color w:val="auto"/>
        </w:rPr>
      </w:pPr>
    </w:p>
    <w:p>
      <w:pPr>
        <w:ind w:right="820" w:firstLine="555"/>
        <w:spacing w:after="0" w:line="308" w:lineRule="auto"/>
        <w:rPr>
          <w:sz w:val="20"/>
          <w:szCs w:val="20"/>
          <w:color w:val="auto"/>
        </w:rPr>
      </w:pPr>
      <w:r>
        <w:rPr>
          <w:rFonts w:ascii="Arial" w:cs="Arial" w:eastAsia="Arial" w:hAnsi="Arial"/>
          <w:sz w:val="17"/>
          <w:szCs w:val="17"/>
          <w:color w:val="auto"/>
        </w:rPr>
        <w:t>As of December 30, 2017, there was $4.0 million of total unrecognized compensation cost related to non-vested share-based compensation arrangements under both of the plans. The cost is expected to be recognized over a weighted average period of 3.31 years.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1" w:name="page62"/>
    <w:bookmarkEnd w:id="61"/>
    <w:p>
      <w:pPr>
        <w:ind w:right="160" w:firstLine="555"/>
        <w:spacing w:after="0" w:line="313" w:lineRule="auto"/>
        <w:rPr>
          <w:sz w:val="20"/>
          <w:szCs w:val="20"/>
          <w:color w:val="auto"/>
        </w:rPr>
      </w:pPr>
      <w:r>
        <w:rPr>
          <w:rFonts w:ascii="Arial" w:cs="Arial" w:eastAsia="Arial" w:hAnsi="Arial"/>
          <w:sz w:val="16"/>
          <w:szCs w:val="16"/>
          <w:color w:val="auto"/>
        </w:rPr>
        <w:t>Cash flows resulting from excess tax benefits are classified as a part of cash flows from financing activities. Excess tax benefits are realized tax benefits from tax deductions for exercised stock options and vested restricted stock units and awards in excess of the deferred tax asset attributable to stock-based compensation expense for such stock-based awards. Excess tax benefits are considered realized when the tax deductions reduce taxes that otherwise would be payable. Excess tax benefits classified as a financing cash inflow for each of the fiscal year 2017, 2016 and 2015 were $0.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Awards/Restricted Stock Units</w:t>
      </w:r>
    </w:p>
    <w:p>
      <w:pPr>
        <w:spacing w:after="0" w:line="12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Effective for the 2011 fiscal year and thereafter, each non-employee member of the Board of Directors received an annual equity award of either restricted stock or RSU, at the election of such Board member, in each case equal to $20 thousand worth of our common stock (determined at the fair market value of the shares at the time such award is granted) under our Incentive Plan. Each equity award or RSU vests in full on the one-year anniversary of the date of grant provided that the non-employee member continues to serve on the Board through such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 and Awards</w:t>
      </w:r>
    </w:p>
    <w:p>
      <w:pPr>
        <w:spacing w:after="0" w:line="121"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We recognize the estimated compensation expense of restricted stock units and awards, net of estimated forfeitures, over the vesting term. The estimated compensation expense is based on the fair value of our common stock on the date of grant.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regarding the restricted stock units outstanding, vested and expected to vest as of December 30, 2017 is summarized below:</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361,148</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Restricted stock units vested and expected to vest</w:t>
            </w:r>
          </w:p>
        </w:tc>
        <w:tc>
          <w:tcPr>
            <w:tcW w:w="1400" w:type="dxa"/>
            <w:vAlign w:val="bottom"/>
          </w:tcPr>
          <w:p>
            <w:pPr>
              <w:jc w:val="right"/>
              <w:spacing w:after="0"/>
              <w:rPr>
                <w:sz w:val="20"/>
                <w:szCs w:val="20"/>
                <w:color w:val="auto"/>
              </w:rPr>
            </w:pPr>
            <w:r>
              <w:rPr>
                <w:rFonts w:ascii="Arial" w:cs="Arial" w:eastAsia="Arial" w:hAnsi="Arial"/>
                <w:sz w:val="18"/>
                <w:szCs w:val="18"/>
                <w:color w:val="auto"/>
              </w:rPr>
              <w:t>314,234</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intrinsic value of the restricted stock units is calculated based on the closing price of our shares as quoted on the NASDAQ Global Market on the last trading day of the year, December 29, 2017, of $7.62.</w:t>
      </w:r>
    </w:p>
    <w:p>
      <w:pPr>
        <w:spacing w:after="0" w:line="62"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The majority of the restricted stock units that were released in fiscal year 2017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December 30, 2017, 80,009 shares of restricted stock units were released with an intrinsic value of approximately $1.0 million. We withheld 26,640 shares to satisfy approximately $333 thousand of employees’ minimum tax obligation on the released restricted stock units.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2" w:name="page63"/>
    <w:bookmarkEnd w:id="62"/>
    <w:p>
      <w:pPr>
        <w:ind w:left="560"/>
        <w:spacing w:after="0"/>
        <w:rPr>
          <w:sz w:val="20"/>
          <w:szCs w:val="20"/>
          <w:color w:val="auto"/>
        </w:rPr>
      </w:pPr>
      <w:r>
        <w:rPr>
          <w:rFonts w:ascii="Arial" w:cs="Arial" w:eastAsia="Arial" w:hAnsi="Arial"/>
          <w:sz w:val="16"/>
          <w:szCs w:val="16"/>
          <w:color w:val="auto"/>
        </w:rPr>
        <w:t>Information regarding the RSU activity during the years ended December 30, 2017, December 31, 2016 and January 2, 2016 is summarized below:</w:t>
      </w:r>
    </w:p>
    <w:p>
      <w:pPr>
        <w:spacing w:after="0" w:line="24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8"/>
                <w:szCs w:val="18"/>
                <w:color w:val="auto"/>
              </w:rPr>
              <w:t>Outstanding as of January 3, 2015</w:t>
            </w:r>
          </w:p>
        </w:tc>
        <w:tc>
          <w:tcPr>
            <w:tcW w:w="18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277,390</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225,392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Restricted stock units released</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(209,193)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forfeited</w:t>
            </w: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(146,000)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Outstanding as of January 2, 2016</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147,589</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285,005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Restricted stock units released</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(30,789)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forfeited</w:t>
            </w: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(66,000)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Outstanding as of December 31, 2016</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335,805</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137,391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Restricted stock units released</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(80,009)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forfeited</w:t>
            </w: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(32,039)</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Outstanding as of December 30, 2017</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361,148</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During the year ended December 30, 2017, the Company awarded 137,391 restricted stock units at a weighted average grant date fair value of $9.88 per share. Of this amount, 123,500 stock units represent performance based shares that are subject to service, performance and market vesting conditions with a weighted average grant date fair value of $9.92 per share.</w:t>
      </w:r>
    </w:p>
    <w:p>
      <w:pPr>
        <w:spacing w:after="0" w:line="73" w:lineRule="exact"/>
        <w:rPr>
          <w:sz w:val="20"/>
          <w:szCs w:val="20"/>
          <w:color w:val="auto"/>
        </w:rPr>
      </w:pPr>
    </w:p>
    <w:p>
      <w:pPr>
        <w:ind w:right="60" w:firstLine="555"/>
        <w:spacing w:after="0" w:line="342" w:lineRule="auto"/>
        <w:rPr>
          <w:sz w:val="20"/>
          <w:szCs w:val="20"/>
          <w:color w:val="auto"/>
        </w:rPr>
      </w:pPr>
      <w:r>
        <w:rPr>
          <w:rFonts w:ascii="Arial" w:cs="Arial" w:eastAsia="Arial" w:hAnsi="Arial"/>
          <w:sz w:val="16"/>
          <w:szCs w:val="16"/>
          <w:color w:val="auto"/>
        </w:rPr>
        <w:t>RSUs granted with market conditions are valued using the Monte Carlo simulation model and compensation expense is recognized ratably during the service period even if the market condition is not satisfied. To the extent that the market condition is not met, the RSUs will not vest and will be cancelled.</w:t>
      </w:r>
    </w:p>
    <w:p>
      <w:pPr>
        <w:spacing w:after="0" w:line="16"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RSUs granted with performance conditions are valued at the grant date fair value of the underlying common shares. The Company make a determination regarding the probability of the performance criteria being achieved and compensation expense is recognized ratably over the vesting period, if it is expected that the performance criteria will be met.</w:t>
      </w:r>
    </w:p>
    <w:p>
      <w:pPr>
        <w:spacing w:after="0" w:line="73"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Information regarding the restricted stock awards activity during the year ended December 30, 2017, December 31, 2016 and January 2, 2016 is summarized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2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2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Outstanding as of January 3, 2015</w:t>
            </w:r>
          </w:p>
        </w:tc>
        <w:tc>
          <w:tcPr>
            <w:tcW w:w="1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awards granted</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Restricted stock awards released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(2,445)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2, 2016</w:t>
            </w:r>
          </w:p>
        </w:tc>
        <w:tc>
          <w:tcPr>
            <w:tcW w:w="12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Restricted stock awards 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awards released</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(2,513)</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Outstanding as of December 31, 2016</w:t>
            </w:r>
          </w:p>
        </w:tc>
        <w:tc>
          <w:tcPr>
            <w:tcW w:w="1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awards granted</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Restricted stock awards released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(1,289)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30, 2017</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In February 2013, the Board of Directors approved a one year $3.0 million stock repurchase program that replaced the prior two year $4.0 million stock repurchase program. In February 2014, the Board of Directors approved the extension of the plan for an additional year. In July 2014, the Board of Directors approved an extension of the plan for an additional year and authorized an additional $3.0 million of stock repurchases. In August 2015, the Board of Directors approved a further extension of the plan for another year and authorized an additional $2.0 million of stock repurchases. On September 9, 2015, the Company made a payment to James H. Mackaness, our former Chief Financial Officer and Chief Operating Officer, of approximately $275 thousand in cash in exchange for Mr. Mackaness’ agreement to cancel vested stock options exercisable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3" w:name="page64"/>
    <w:bookmarkEnd w:id="63"/>
    <w:p>
      <w:pPr>
        <w:ind w:right="20"/>
        <w:spacing w:after="0" w:line="255" w:lineRule="auto"/>
        <w:rPr>
          <w:sz w:val="20"/>
          <w:szCs w:val="20"/>
          <w:color w:val="auto"/>
        </w:rPr>
      </w:pPr>
      <w:r>
        <w:rPr>
          <w:rFonts w:ascii="Arial" w:cs="Arial" w:eastAsia="Arial" w:hAnsi="Arial"/>
          <w:sz w:val="18"/>
          <w:szCs w:val="18"/>
          <w:color w:val="auto"/>
        </w:rPr>
        <w:t>for an aggregate of 92,656 shares of our common stock. This payment to Mr. Mackaness was made using funds authorized and available under the stock repurchase program discussed above, and resulted in a reduction of the approximate dollar value of shares that may yet be purchased under this program. During the year ended December 30, 2017, the Company did not repurchased any shares while for the years ended December 31, 2016 and January 2, 2016, the Company repurchased 6,544 and 199,776 shares at an average price of $9.00 and $7.92 per share, respectively. As of December 30, 2017, we have repurchased 843,785 shares for approximately $6.7 million under this program. The remaining balance of approximately $1.0 million approved under the plan was not used when the plan lapsed in August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have a plan known as the Iridex Corporation Profit Sharing/401(k) Plan Trust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Board of Directors. Prior to the start of fiscal 2009, we suspended the matching contributions. Subsequent to December 28, 2013, we reinstated a Company match in the amount of 50% of employee contributions up to a maximum of $3 thousand. In 2017, 2016 and 2015, total matching contributions made by the Company were $248 thousand, $226 thousand, and $218 thousand,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(income) from operations before (benefit from) provision for income taxes was comprised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FY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FY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FY 2015</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30,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January 2, 2016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(12,800)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560"/>
              <w:spacing w:after="0"/>
              <w:rPr>
                <w:sz w:val="20"/>
                <w:szCs w:val="20"/>
                <w:color w:val="auto"/>
              </w:rPr>
            </w:pPr>
            <w:r>
              <w:rPr>
                <w:rFonts w:ascii="Arial" w:cs="Arial" w:eastAsia="Arial" w:hAnsi="Arial"/>
                <w:sz w:val="18"/>
                <w:szCs w:val="18"/>
                <w:color w:val="auto"/>
                <w:w w:val="94"/>
              </w:rPr>
              <w:t>The (benefit from) provision for income taxes includes:</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FY 2017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FY 2016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FY 2015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30,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January 2, 2016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Federal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9,271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9,053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20" w:type="dxa"/>
            <w:vAlign w:val="bottom"/>
            <w:gridSpan w:val="13"/>
          </w:tcPr>
          <w:p>
            <w:pPr>
              <w:ind w:left="560"/>
              <w:spacing w:after="0"/>
              <w:rPr>
                <w:sz w:val="20"/>
                <w:szCs w:val="20"/>
                <w:color w:val="auto"/>
              </w:rPr>
            </w:pPr>
            <w:r>
              <w:rPr>
                <w:rFonts w:ascii="Arial" w:cs="Arial" w:eastAsia="Arial" w:hAnsi="Arial"/>
                <w:sz w:val="18"/>
                <w:szCs w:val="18"/>
                <w:color w:val="auto"/>
                <w:w w:val="94"/>
              </w:rPr>
              <w:t>Our effective tax rate differs from the statutory federal income tax rate as shown in the following schedule: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8"/>
              </w:rPr>
              <w:t>FY 2017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8"/>
              </w:rPr>
              <w:t>FY 2016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FY 2015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30, 2017</w:t>
            </w:r>
          </w:p>
        </w:tc>
        <w:tc>
          <w:tcPr>
            <w:tcW w:w="40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6"/>
              <w:spacing w:after="0"/>
              <w:rPr>
                <w:sz w:val="20"/>
                <w:szCs w:val="20"/>
                <w:color w:val="auto"/>
              </w:rPr>
            </w:pPr>
            <w:r>
              <w:rPr>
                <w:rFonts w:ascii="Arial" w:cs="Arial" w:eastAsia="Arial" w:hAnsi="Arial"/>
                <w:sz w:val="14"/>
                <w:szCs w:val="14"/>
                <w:b w:val="1"/>
                <w:bCs w:val="1"/>
                <w:color w:val="auto"/>
                <w:w w:val="91"/>
              </w:rPr>
              <w:t>December 31, 2016</w:t>
            </w:r>
          </w:p>
        </w:tc>
        <w:tc>
          <w:tcPr>
            <w:tcW w:w="380" w:type="dxa"/>
            <w:vAlign w:val="bottom"/>
            <w:tcBorders>
              <w:bottom w:val="single" w:sz="8" w:color="CFF0FC"/>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January 2, 2016</w:t>
            </w:r>
          </w:p>
        </w:tc>
        <w:tc>
          <w:tcPr>
            <w:tcW w:w="220" w:type="dxa"/>
            <w:vAlign w:val="bottom"/>
            <w:tcBorders>
              <w:bottom w:val="single" w:sz="8" w:color="CFF0FC"/>
            </w:tcBorders>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at statutory rate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(70.8)%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(34.8)%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114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(62.9)%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5"/>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64" w:name="page65"/>
    <w:bookmarkEnd w:id="64"/>
    <w:p>
      <w:pPr>
        <w:ind w:right="260" w:firstLine="555"/>
        <w:spacing w:after="0" w:line="277" w:lineRule="auto"/>
        <w:rPr>
          <w:sz w:val="20"/>
          <w:szCs w:val="20"/>
          <w:color w:val="auto"/>
        </w:rPr>
      </w:pPr>
      <w:r>
        <w:rPr>
          <w:rFonts w:ascii="Arial" w:cs="Arial" w:eastAsia="Arial" w:hAnsi="Arial"/>
          <w:sz w:val="18"/>
          <w:szCs w:val="18"/>
          <w:color w:val="auto"/>
        </w:rPr>
        <w:t>The tax effect of temporary differences and carryforwards that give rise to significant portions of the net deferred tax assets are presented below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FY 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FY 2016</w:t>
            </w:r>
          </w:p>
        </w:tc>
      </w:tr>
      <w:tr>
        <w:trPr>
          <w:trHeight w:val="162"/>
        </w:trPr>
        <w:tc>
          <w:tcPr>
            <w:tcW w:w="3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30, 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losses</w:t>
            </w: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2,113</w:t>
            </w:r>
          </w:p>
        </w:tc>
        <w:tc>
          <w:tcPr>
            <w:tcW w:w="8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Accruals and reserves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Intangible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tax credits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FF0FC"/>
            </w:tcBorders>
          </w:tcPr>
          <w:p>
            <w:pPr>
              <w:spacing w:after="0"/>
              <w:rPr>
                <w:sz w:val="19"/>
                <w:szCs w:val="19"/>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11,027</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Valuation allowance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(11,095)</w:t>
            </w:r>
          </w:p>
        </w:tc>
      </w:tr>
      <w:tr>
        <w:trPr>
          <w:trHeight w:val="223"/>
        </w:trPr>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70"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As of December 30, 2017, based on the Company's recent history of earnings and its forecasted losses, management believes on the more likely than not basis that a full valuation allowance is required. Accordingly, in the fourth quarter of fiscal year 2017, the Company provided a full valuation allowance on its federal and states deferred tax assets. As of December 30, 2017, the Company had federal and State net operating loss (“NOL”) carry forwards of $21.5 million and $16.7 million respectively. The federal NOL will begin to expire in 2032 and the state NOL will begin to expire in 2020.</w:t>
      </w:r>
    </w:p>
    <w:p>
      <w:pPr>
        <w:spacing w:after="0" w:line="46"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In December 2015, Congress passed a tax extenders package, Protecting Americans from Tax Hikes (PATH) Act of 2015, and permanently extended the federal R&amp;D credit. The Company has federal and state research credit carry forwards of approximately $1.8 million and $2.6 million, respectively, available to and development credits are subject to IRC sections 382 and 383. In the event of a change in ownership as defined by these code sections, the usage of the above mentioned NOL’s and credits may be limited.</w:t>
      </w:r>
    </w:p>
    <w:p>
      <w:pPr>
        <w:spacing w:after="0" w:line="79"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On December 22, 2017, the current U.S. presidential administration signed the Tax Cuts and Jobs Act ("Tax Reform") into legislation. Under ASC 740, the effects of changes in tax rates and laws are recognized in the period in which the new legislation is enacted. In the case of US federal income taxes, the enactment date is the date the bill becomes law. With respect to this legislation, we expect a financial statement impact of approximately $90 thousand related to a refundable AMT and an adjustment to the indefinite-lived deferred tax liability. The Company performed a re-measurement of deferred tax assets and liabilities as a result of the decrease in the corporate Federal income tax rate from 35% to 21% which was offset by the valuation allowance.</w:t>
      </w:r>
    </w:p>
    <w:p>
      <w:pPr>
        <w:spacing w:after="0" w:line="50"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The Act “To provide for reconciliation pursuant to titles II and V of the concurrent resolution on the budget for fiscal year 2018” (the “Tax Reform Act”) was enacted December 22, 2017. The Tax Reform Act reduced certain federal corporate income tax rates effective January 1, 2018 and changed certain other provisions. Various provisions within the new legislation were considered but due to the Company’s valuation allowance on domestic deferred tax assets and liabilities there is no material impact to the financial statements of the federal tax rate reductions for the year ended December 31, 2017.</w:t>
      </w:r>
    </w:p>
    <w:p>
      <w:pPr>
        <w:spacing w:after="0" w:line="46"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As a result of the Tax Reform Act, the Company has also considered the impact of the transition tax for which it has estimated that the Company would not need to accrue any amounts.</w:t>
      </w:r>
    </w:p>
    <w:p>
      <w:pPr>
        <w:spacing w:after="0" w:line="6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spacing w:after="0" w:line="259" w:lineRule="auto"/>
        <w:rPr>
          <w:sz w:val="20"/>
          <w:szCs w:val="20"/>
          <w:color w:val="auto"/>
        </w:rPr>
      </w:pPr>
      <w:r>
        <w:rPr>
          <w:rFonts w:ascii="Arial" w:cs="Arial" w:eastAsia="Arial" w:hAnsi="Arial"/>
          <w:sz w:val="18"/>
          <w:szCs w:val="18"/>
          <w:color w:val="auto"/>
        </w:rPr>
        <w:t>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December 30, 2017.</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FY 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FY 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FY 2015</w:t>
            </w:r>
          </w:p>
        </w:tc>
      </w:t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30, 2017</w:t>
            </w:r>
          </w:p>
        </w:tc>
        <w:tc>
          <w:tcPr>
            <w:tcW w:w="2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January 2, 2016</w:t>
            </w: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4"/>
              </w:rPr>
              <w:t>Additions based upon tax positions related to the current year</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8"/>
              </w:rPr>
              <w:t>Additions based upon tax positions related to the prior year</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Reductions based upon tax positions related to the prior year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55"/>
        <w:spacing w:after="0" w:line="279" w:lineRule="auto"/>
        <w:rPr>
          <w:sz w:val="20"/>
          <w:szCs w:val="20"/>
          <w:color w:val="auto"/>
        </w:rPr>
      </w:pPr>
      <w:r>
        <w:rPr>
          <w:rFonts w:ascii="Arial" w:cs="Arial" w:eastAsia="Arial" w:hAnsi="Arial"/>
          <w:sz w:val="18"/>
          <w:szCs w:val="18"/>
          <w:color w:val="auto"/>
        </w:rPr>
        <w:t>If the ending balance of $1.1 million of unrecognized tax benefits at December 30, 2017, were recognized, $0 of the recognition would affect the income tax rate. The Company does not anticipate any material change in our unrecognized tax benefits over the next twelve months. The unrecognized tax benefits may change during the next year for items that arise in the ordinary course of business.</w:t>
      </w:r>
    </w:p>
    <w:p>
      <w:pPr>
        <w:spacing w:after="0" w:line="6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The Company files U.S. federal and state returns. The tax years 2010 to 2016 remain open in several jurisdictions, none of which have individual significance.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Loan and Security Agreement</w:t>
      </w:r>
    </w:p>
    <w:p>
      <w:pPr>
        <w:spacing w:after="0" w:line="121" w:lineRule="exact"/>
        <w:rPr>
          <w:sz w:val="20"/>
          <w:szCs w:val="20"/>
          <w:color w:val="auto"/>
        </w:rPr>
      </w:pPr>
    </w:p>
    <w:p>
      <w:pPr>
        <w:jc w:val="both"/>
        <w:ind w:right="140" w:firstLine="555"/>
        <w:spacing w:after="0" w:line="288" w:lineRule="auto"/>
        <w:rPr>
          <w:sz w:val="20"/>
          <w:szCs w:val="20"/>
          <w:color w:val="auto"/>
        </w:rPr>
      </w:pPr>
      <w:r>
        <w:rPr>
          <w:rFonts w:ascii="Arial" w:cs="Arial" w:eastAsia="Arial" w:hAnsi="Arial"/>
          <w:sz w:val="16"/>
          <w:szCs w:val="16"/>
          <w:color w:val="auto"/>
        </w:rPr>
        <w:t>In November 2016, the Company entered into a Loan and Security Agreement (“Loan Agreement”) with Silicon Valley Bank providing for a $15.0 million secured revolving loan facility (“Revolving Loan Facility”), with availability subject to an accounts receivable borrowing base formula. Borrowings under the Revolving Loan Facility accrue interest at a per annum rate equal to the Wall Street Journal Prime Rate as in effect from time to time, plus</w:t>
      </w:r>
    </w:p>
    <w:p>
      <w:pPr>
        <w:ind w:right="140"/>
        <w:spacing w:after="0" w:line="255" w:lineRule="auto"/>
        <w:rPr>
          <w:sz w:val="20"/>
          <w:szCs w:val="20"/>
          <w:color w:val="auto"/>
        </w:rPr>
      </w:pPr>
      <w:r>
        <w:rPr>
          <w:rFonts w:ascii="Arial" w:cs="Arial" w:eastAsia="Arial" w:hAnsi="Arial"/>
          <w:sz w:val="18"/>
          <w:szCs w:val="18"/>
          <w:color w:val="auto"/>
        </w:rPr>
        <w:t>1.5%. The Loan Agreement does not include any financial covenants. The Company may borrow, repay and reborrow funds under the Revolving Loan Facility until November 2, 2019, at which time the Revolving Loan Facility matures and all outstanding amounts must be repaid. As of December 30, 2017, there was no amount outstanding.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 and Geographical Information</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We operate in one segment, ophthalmology. We develop, manufacture and market medical devices. Our revenues arise from the sale of consoles, delivery devices, consumables, service and support activities.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information shown by geographic region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FY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FY 2015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United States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December 30,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23"/>
        </w:trPr>
        <w:tc>
          <w:tcPr>
            <w:tcW w:w="22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23,017</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Rest of Americas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555"/>
        <w:spacing w:after="0" w:line="342" w:lineRule="auto"/>
        <w:rPr>
          <w:sz w:val="20"/>
          <w:szCs w:val="20"/>
          <w:color w:val="auto"/>
        </w:rPr>
      </w:pPr>
      <w:r>
        <w:rPr>
          <w:rFonts w:ascii="Arial" w:cs="Arial" w:eastAsia="Arial" w:hAnsi="Arial"/>
          <w:sz w:val="16"/>
          <w:szCs w:val="16"/>
          <w:color w:val="auto"/>
        </w:rPr>
        <w:t>Revenues are attributed to countries based on location of end customers. For fiscal years 2017, 2016 and 2015 no individual country accounted for more than 10% of our sales, except for the United States, which accounted for 55.3%, 54.5%, and 57.4% of revenues in 2017, 2016, and 2015 respectively.</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30, 2017 and December 31, 2016, we had no long-lived assets in any country other than in the United States.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15. Computation of Basic and Diluted Net Income Per Common Share</w:t>
      </w:r>
    </w:p>
    <w:p>
      <w:pPr>
        <w:spacing w:after="0" w:line="12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A reconciliation of the numerator and denominator of basic and diluted net income per common share is provided as follows (in thousands, except per share amounts):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FY 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FY 2016</w:t>
            </w:r>
          </w:p>
        </w:tc>
        <w:tc>
          <w:tcPr>
            <w:tcW w:w="1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FY 2015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30, 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23"/>
        </w:trPr>
        <w:tc>
          <w:tcPr>
            <w:tcW w:w="41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(loss) income</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(12,867)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(11,713)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Weighted average shares of common stock (basic)</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10,173</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Effect of dilutive preferred shares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Effect of dilutive stock options</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Effect of dilutive contingent shares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w w:val="97"/>
              </w:rPr>
              <w:t>Weighted average shares of common stock</w:t>
            </w: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11,555</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10,173</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10,128</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 net (loss) income per share</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color w:val="auto"/>
              </w:rPr>
              <w:t>Diluted net (loss) income per share</w:t>
            </w: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As of December 30, 2017, December 31, 2016 and January 2, 2016 stock options, restricted stock units and restricted stock awards of 1,222,760, 808,079 and 399,166 shares, respectively, were excluded from the computation of diluted weighted average shares outstanding because to do so would have been anti-dilutive.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Results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Fiscal Year 2017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14,541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Gain on sale of intellectual property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long-lived assets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Loss from operations before (benefit from) provision</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for income taxes</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(1,860)</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(5,306)</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per share:</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67" w:name="page68"/>
    <w:bookmarkEnd w:id="67"/>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1"/>
              </w:rPr>
              <w:t>Fiscal Year 2016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11,931</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20,839</w:t>
            </w:r>
          </w:p>
        </w:tc>
        <w:tc>
          <w:tcPr>
            <w:tcW w:w="80" w:type="dxa"/>
            <w:vAlign w:val="bottom"/>
            <w:shd w:val="clear" w:color="auto" w:fill="CFF0FC"/>
          </w:tcPr>
          <w:p>
            <w:pPr>
              <w:spacing w:after="0"/>
              <w:rPr>
                <w:sz w:val="19"/>
                <w:szCs w:val="19"/>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09"/>
        </w:trPr>
        <w:tc>
          <w:tcPr>
            <w:tcW w:w="3880" w:type="dxa"/>
            <w:vAlign w:val="bottom"/>
            <w:gridSpan w:val="2"/>
          </w:tcPr>
          <w:p>
            <w:pPr>
              <w:spacing w:after="0"/>
              <w:rPr>
                <w:sz w:val="20"/>
                <w:szCs w:val="20"/>
                <w:color w:val="auto"/>
              </w:rPr>
            </w:pPr>
            <w:r>
              <w:rPr>
                <w:rFonts w:ascii="Arial" w:cs="Arial" w:eastAsia="Arial" w:hAnsi="Arial"/>
                <w:sz w:val="18"/>
                <w:szCs w:val="18"/>
                <w:color w:val="auto"/>
                <w:w w:val="97"/>
              </w:rPr>
              <w:t>Income (loss) from operations before provision for</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(2,656)</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80" w:type="dxa"/>
            <w:vAlign w:val="bottom"/>
            <w:shd w:val="clear" w:color="auto" w:fill="CFF0FC"/>
          </w:tcPr>
          <w:p>
            <w:pPr>
              <w:spacing w:after="0"/>
              <w:rPr>
                <w:sz w:val="19"/>
                <w:szCs w:val="19"/>
                <w:color w:val="auto"/>
              </w:rPr>
            </w:pPr>
          </w:p>
        </w:tc>
      </w:tr>
      <w:tr>
        <w:trPr>
          <w:trHeight w:val="263"/>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On February 23, 2018, we initiated a voluntary recall of a specific laser accessory called the TruFocus LIO Premiere™ (“LIO”). The LIO is a headmounted indirect ophthalmoscopes that connects to our laser console and is used to view and perform retina laser treatment on a patient’s eye. There are 104 TruFocus LIO Premiere units at customer sites worldwide. We have received reports of three adverse events occurring during procedures in which the TruFocus LIO Premiere was used. Iridex has notified the FDA of this action.</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Recalled products were manufactured from May 26, 2017 to November 6, 2017 and distributed from June 5, 2017 to January 29, 2018.</w:t>
      </w:r>
    </w:p>
    <w:p>
      <w:pPr>
        <w:spacing w:after="0" w:line="117" w:lineRule="exact"/>
        <w:rPr>
          <w:sz w:val="20"/>
          <w:szCs w:val="20"/>
          <w:color w:val="auto"/>
        </w:rPr>
      </w:pPr>
    </w:p>
    <w:p>
      <w:pPr>
        <w:jc w:val="both"/>
        <w:ind w:right="40" w:firstLine="555"/>
        <w:spacing w:after="0" w:line="286" w:lineRule="auto"/>
        <w:rPr>
          <w:sz w:val="20"/>
          <w:szCs w:val="20"/>
          <w:color w:val="auto"/>
        </w:rPr>
      </w:pPr>
      <w:r>
        <w:rPr>
          <w:rFonts w:ascii="Arial" w:cs="Arial" w:eastAsia="Arial" w:hAnsi="Arial"/>
          <w:sz w:val="17"/>
          <w:szCs w:val="17"/>
          <w:color w:val="auto"/>
        </w:rPr>
        <w:t>As a consequence of the recall program, the Company has estimated a decrease of $0.8 million in the fourth quarter of fiscal year 2017 revenues due to an increase in sales return allowance. Cost of sales increased by $1.3 million related to inventory write-down, replacement and other associated warranty costs. All of these financial impact has been reflected within the December 30, 2017 financial statements.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14"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Our management, with the participation of our Principal Executive and Financial Officer and Principal Accounting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0"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Based on management’s evaluation, our Principal Executive and Financial Officer and Principal Accounting Officer concluded that, as of December 30, 2017,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and Principal Accounting Officer, as appropriate, to allow timely decisions regarding required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December 30, 2017. In making this assessment, we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Based on our assessment using those criteria, our management concluded that, as of December 30, 2017, our internal control over financial reporting is effective.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the Independent Registered Public Accounting Firm.</w:t>
      </w:r>
    </w:p>
    <w:p>
      <w:pPr>
        <w:spacing w:after="0" w:line="11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BPM LLP, our independent registered public accounting firm, has issued an audit report on the effectiveness of our internal control over financial reporting as of December 30, 2017, which report is included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of fiscal year 2017 that has materially affected, or is reasonably likely to materially affect, our internal control over financial reporting, as defined in Rule 13a-15(f) and 15(d)-15(f) under the Exchange 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7"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IRIDEX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We have audited the internal control over financial reporting of IRIDEX Corporation (a Delaware corporation) and is subsidiaries (the “Company”) as of December 30, 2017,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30, 2017, based on the COSO criteria.</w:t>
      </w:r>
    </w:p>
    <w:p>
      <w:pPr>
        <w:spacing w:after="0" w:line="79"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as of December 30, 2017 and December 31, 2016 and the related consolidated statements of operations, comprehensive income (loss), stockholders’ equity, and cash flows for each of the three years in the period ended December 30, 2017 and the related notes (collectively referred to as the “consolidated financial statements”) of the Company, and our report dated March 14, 2018, expressed an unqualified opinion on these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firstLine="815"/>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81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Information regarding our directors is incorporated herein by reference to “Proposal One - Election of Directors - Nominees” in our Proxy Statement. The information concerning our current executive officers is incorporated herein by reference to “Executive Officers” in our Proxy Statement. Information regarding delinquent filers is incorporated by reference to “Section 16(a) Beneficial Ownership Reporting Compliance” in our Proxy Statement. Information regarding our code of business conduct and ethics is incorporated herein by reference to “Corporate Governance Matters - Code of Business Conduct and Ethics” in our Proxy Statement.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is incorporated herein by reference to “Executive Compensation” in our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“Security Ownership of Certain Beneficial Owners and Management” in our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is incorporated herein by reference to “Certain Relationships and Related Transactions” in our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680" w:firstLine="555"/>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“Proposal Two - Ratification of the Appointment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80" w:type="dxa"/>
            <w:vAlign w:val="bottom"/>
            <w:gridSpan w:val="6"/>
          </w:tcPr>
          <w:p>
            <w:pPr>
              <w:ind w:left="112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70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560"/>
              <w:spacing w:after="0"/>
              <w:rPr>
                <w:sz w:val="20"/>
                <w:szCs w:val="20"/>
                <w:color w:val="auto"/>
              </w:rPr>
            </w:pPr>
            <w:r>
              <w:rPr>
                <w:rFonts w:ascii="Arial" w:cs="Arial" w:eastAsia="Arial" w:hAnsi="Arial"/>
                <w:sz w:val="18"/>
                <w:szCs w:val="18"/>
                <w:color w:val="auto"/>
              </w:rPr>
              <w:t>(a)</w:t>
            </w:r>
          </w:p>
        </w:tc>
        <w:tc>
          <w:tcPr>
            <w:tcW w:w="9760" w:type="dxa"/>
            <w:vAlign w:val="bottom"/>
            <w:gridSpan w:val="8"/>
          </w:tcPr>
          <w:p>
            <w:pPr>
              <w:ind w:left="180"/>
              <w:spacing w:after="0"/>
              <w:rPr>
                <w:sz w:val="20"/>
                <w:szCs w:val="20"/>
                <w:color w:val="auto"/>
              </w:rPr>
            </w:pPr>
            <w:r>
              <w:rPr>
                <w:rFonts w:ascii="Arial" w:cs="Arial" w:eastAsia="Arial" w:hAnsi="Arial"/>
                <w:sz w:val="18"/>
                <w:szCs w:val="18"/>
                <w:color w:val="auto"/>
              </w:rPr>
              <w:t>The following documents are filed in Part II of this Annual Report on Form 10-K:</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Page in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185"/>
        </w:trPr>
        <w:tc>
          <w:tcPr>
            <w:tcW w:w="107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Index to Financial Statements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0" w:type="dxa"/>
            <w:vAlign w:val="bottom"/>
          </w:tcPr>
          <w:p>
            <w:pPr>
              <w:spacing w:after="0"/>
              <w:rPr>
                <w:sz w:val="1"/>
                <w:szCs w:val="1"/>
                <w:color w:val="auto"/>
              </w:rPr>
            </w:pPr>
          </w:p>
        </w:tc>
      </w:tr>
      <w:tr>
        <w:trPr>
          <w:trHeight w:val="195"/>
        </w:trPr>
        <w:tc>
          <w:tcPr>
            <w:tcW w:w="10700" w:type="dxa"/>
            <w:vAlign w:val="bottom"/>
            <w:gridSpan w:val="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700" w:type="dxa"/>
            <w:vAlign w:val="bottom"/>
            <w:gridSpan w:val="9"/>
          </w:tcPr>
          <w:p>
            <w:pPr>
              <w:spacing w:after="0" w:line="190" w:lineRule="exact"/>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Consolidated Balance Sheets as of December 30, 2017 and December 31, 2016</w:t>
              </w:r>
            </w:hyperlink>
          </w:p>
        </w:tc>
        <w:tc>
          <w:tcPr>
            <w:tcW w:w="4980" w:type="dxa"/>
            <w:vAlign w:val="bottom"/>
            <w:gridSpan w:val="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96"/>
        </w:trPr>
        <w:tc>
          <w:tcPr>
            <w:tcW w:w="10700" w:type="dxa"/>
            <w:vAlign w:val="bottom"/>
            <w:gridSpan w:val="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Operations for the years ended December 30, 2017, December 31, 2016, and January 2, 2016</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55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Comprehensive Income (Loss) for the years ended December 30, 2017, December 31, 2016, and January 2, 2016</w:t>
              </w:r>
            </w:hyperlink>
          </w:p>
        </w:tc>
        <w:tc>
          <w:tcPr>
            <w:tcW w:w="5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94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Stockholders’Equity for the years ended December 30, 2017, December 31, 2016, and January 2, 2016</w:t>
              </w:r>
            </w:hyperlink>
          </w:p>
        </w:tc>
        <w:tc>
          <w:tcPr>
            <w:tcW w:w="126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10700" w:type="dxa"/>
            <w:vAlign w:val="bottom"/>
            <w:gridSpan w:val="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Cash Flows for the years ended December 30, 2017, December 31, 2016, and January 2, 2016</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Notes to Consolidated Financial Statements</w:t>
              </w:r>
            </w:hyperlink>
          </w:p>
        </w:tc>
        <w:tc>
          <w:tcPr>
            <w:tcW w:w="5640" w:type="dxa"/>
            <w:vAlign w:val="bottom"/>
            <w:tcBorders>
              <w:top w:val="single" w:sz="8" w:color="0000EE"/>
            </w:tcBorders>
            <w:gridSpan w:val="4"/>
          </w:tcPr>
          <w:p>
            <w:pPr>
              <w:spacing w:after="0"/>
              <w:rPr>
                <w:sz w:val="17"/>
                <w:szCs w:val="17"/>
                <w:color w:val="auto"/>
              </w:rPr>
            </w:pPr>
          </w:p>
        </w:tc>
        <w:tc>
          <w:tcPr>
            <w:tcW w:w="190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 Schedule</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Schedules have been omitted because they are either not required, not applicable, or the required information is included in the consolidated financial statements or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80" w:type="dxa"/>
            <w:vAlign w:val="bottom"/>
            <w:gridSpan w:val="12"/>
          </w:tcPr>
          <w:p>
            <w:pPr>
              <w:jc w:val="center"/>
              <w:ind w:right="5140"/>
              <w:spacing w:after="0"/>
              <w:rPr>
                <w:sz w:val="20"/>
                <w:szCs w:val="20"/>
                <w:color w:val="auto"/>
              </w:rPr>
            </w:pPr>
            <w:r>
              <w:rPr>
                <w:rFonts w:ascii="Arial" w:cs="Arial" w:eastAsia="Arial" w:hAnsi="Arial"/>
                <w:sz w:val="18"/>
                <w:szCs w:val="18"/>
                <w:b w:val="1"/>
                <w:bCs w:val="1"/>
                <w:color w:val="auto"/>
                <w:w w:val="94"/>
              </w:rPr>
              <w:t>Exhibit Index</w:t>
            </w:r>
          </w:p>
        </w:tc>
        <w:tc>
          <w:tcPr>
            <w:tcW w:w="20" w:type="dxa"/>
            <w:vAlign w:val="bottom"/>
          </w:tcPr>
          <w:p>
            <w:pPr>
              <w:spacing w:after="0"/>
              <w:rPr>
                <w:sz w:val="20"/>
                <w:szCs w:val="20"/>
                <w:color w:val="auto"/>
              </w:rPr>
            </w:pPr>
          </w:p>
        </w:tc>
      </w:tr>
      <w:tr>
        <w:trPr>
          <w:trHeight w:val="365"/>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24"/>
                <w:szCs w:val="24"/>
                <w:color w:val="auto"/>
              </w:rPr>
            </w:pPr>
          </w:p>
        </w:tc>
      </w:tr>
      <w:tr>
        <w:trPr>
          <w:trHeight w:val="169"/>
        </w:trPr>
        <w:tc>
          <w:tcPr>
            <w:tcW w:w="1340" w:type="dxa"/>
            <w:vAlign w:val="bottom"/>
          </w:tcPr>
          <w:p>
            <w:pPr>
              <w:jc w:val="center"/>
              <w:spacing w:after="0" w:line="170" w:lineRule="exact"/>
              <w:rPr>
                <w:sz w:val="20"/>
                <w:szCs w:val="20"/>
                <w:color w:val="auto"/>
              </w:rPr>
            </w:pPr>
            <w:r>
              <w:rPr>
                <w:rFonts w:ascii="Arial" w:cs="Arial" w:eastAsia="Arial" w:hAnsi="Arial"/>
                <w:sz w:val="18"/>
                <w:szCs w:val="18"/>
                <w:color w:val="auto"/>
                <w:w w:val="91"/>
              </w:rPr>
              <w:t>2.1(13)</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240" w:type="dxa"/>
            <w:vAlign w:val="bottom"/>
            <w:tcBorders>
              <w:bottom w:val="single" w:sz="8" w:color="0000EE"/>
            </w:tcBorders>
            <w:gridSpan w:val="14"/>
          </w:tcPr>
          <w:p>
            <w:pPr>
              <w:spacing w:after="0" w:line="170"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Asset Purchase Agreement by and among Cutera, Inc., Registrant, and U.S. Bank, National Association, as Escrow Agent, dated</w:t>
              </w:r>
            </w:hyperlink>
          </w:p>
        </w:tc>
        <w:tc>
          <w:tcPr>
            <w:tcW w:w="6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December 30, 2011.</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340" w:type="dxa"/>
            <w:vAlign w:val="bottom"/>
          </w:tcPr>
          <w:p>
            <w:pPr>
              <w:jc w:val="center"/>
              <w:spacing w:after="0"/>
              <w:rPr>
                <w:sz w:val="20"/>
                <w:szCs w:val="20"/>
                <w:color w:val="auto"/>
              </w:rPr>
            </w:pPr>
            <w:r>
              <w:rPr>
                <w:rFonts w:ascii="Arial" w:cs="Arial" w:eastAsia="Arial" w:hAnsi="Arial"/>
                <w:sz w:val="18"/>
                <w:szCs w:val="18"/>
                <w:color w:val="auto"/>
                <w:w w:val="92"/>
              </w:rPr>
              <w:t>3.1(1) (P)</w:t>
            </w:r>
          </w:p>
        </w:tc>
        <w:tc>
          <w:tcPr>
            <w:tcW w:w="16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20" w:type="dxa"/>
            <w:vAlign w:val="bottom"/>
          </w:tcPr>
          <w:p>
            <w:pPr>
              <w:spacing w:after="0"/>
              <w:rPr>
                <w:sz w:val="24"/>
                <w:szCs w:val="24"/>
                <w:color w:val="auto"/>
              </w:rPr>
            </w:pPr>
          </w:p>
        </w:tc>
      </w:tr>
      <w:tr>
        <w:trPr>
          <w:trHeight w:val="338"/>
        </w:trPr>
        <w:tc>
          <w:tcPr>
            <w:tcW w:w="1340" w:type="dxa"/>
            <w:vAlign w:val="bottom"/>
          </w:tcPr>
          <w:p>
            <w:pPr>
              <w:jc w:val="center"/>
              <w:spacing w:after="0"/>
              <w:rPr>
                <w:sz w:val="20"/>
                <w:szCs w:val="20"/>
                <w:color w:val="auto"/>
              </w:rPr>
            </w:pPr>
            <w:r>
              <w:rPr>
                <w:rFonts w:ascii="Arial" w:cs="Arial" w:eastAsia="Arial" w:hAnsi="Arial"/>
                <w:sz w:val="18"/>
                <w:szCs w:val="18"/>
                <w:color w:val="auto"/>
                <w:w w:val="92"/>
              </w:rPr>
              <w:t>3.2(2) (P)</w:t>
            </w:r>
          </w:p>
        </w:tc>
        <w:tc>
          <w:tcPr>
            <w:tcW w:w="16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Amended and Restated Bylaws of Registrant.</w:t>
            </w:r>
          </w:p>
        </w:tc>
        <w:tc>
          <w:tcPr>
            <w:tcW w:w="20" w:type="dxa"/>
            <w:vAlign w:val="bottom"/>
          </w:tcPr>
          <w:p>
            <w:pPr>
              <w:spacing w:after="0"/>
              <w:rPr>
                <w:sz w:val="24"/>
                <w:szCs w:val="24"/>
                <w:color w:val="auto"/>
              </w:rPr>
            </w:pPr>
          </w:p>
        </w:tc>
      </w:tr>
      <w:tr>
        <w:trPr>
          <w:trHeight w:val="297"/>
        </w:trPr>
        <w:tc>
          <w:tcPr>
            <w:tcW w:w="1340" w:type="dxa"/>
            <w:vAlign w:val="bottom"/>
          </w:tcPr>
          <w:p>
            <w:pPr>
              <w:jc w:val="center"/>
              <w:spacing w:after="0"/>
              <w:rPr>
                <w:sz w:val="20"/>
                <w:szCs w:val="20"/>
                <w:color w:val="auto"/>
              </w:rPr>
            </w:pPr>
            <w:r>
              <w:rPr>
                <w:rFonts w:ascii="Arial" w:cs="Arial" w:eastAsia="Arial" w:hAnsi="Arial"/>
                <w:sz w:val="18"/>
                <w:szCs w:val="18"/>
                <w:color w:val="auto"/>
                <w:w w:val="93"/>
              </w:rPr>
              <w:t>4.1(3)</w:t>
            </w:r>
          </w:p>
        </w:tc>
        <w:tc>
          <w:tcPr>
            <w:tcW w:w="16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r:id="rId102">
              <w:r>
                <w:rPr>
                  <w:rFonts w:ascii="Arial" w:cs="Arial" w:eastAsia="Arial" w:hAnsi="Arial"/>
                  <w:sz w:val="18"/>
                  <w:szCs w:val="18"/>
                  <w:color w:val="0000EE"/>
                </w:rPr>
                <w:t>Certificate of Designation, Preferences and Rights of Series A Preferred Stock.</w:t>
              </w:r>
            </w:hyperlink>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3"/>
              </w:rPr>
              <w:t>4.2(3)</w:t>
            </w:r>
          </w:p>
        </w:tc>
        <w:tc>
          <w:tcPr>
            <w:tcW w:w="16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Investor Rights Agreement, dated as of August 31, 2007, by and among the Registrant, BlueLine Capital Partners, LP; BlueLine Capital</w:t>
              </w:r>
            </w:hyperlink>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Partners III, LP and BlueLine Capital Partners II, LP.</w:t>
              </w:r>
            </w:hyperlink>
          </w:p>
        </w:tc>
        <w:tc>
          <w:tcPr>
            <w:tcW w:w="5980" w:type="dxa"/>
            <w:vAlign w:val="bottom"/>
            <w:tcBorders>
              <w:top w:val="single" w:sz="8" w:color="0000EE"/>
            </w:tcBorders>
            <w:gridSpan w:val="10"/>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3"/>
              </w:rPr>
              <w:t>4.3(4)</w:t>
            </w:r>
          </w:p>
        </w:tc>
        <w:tc>
          <w:tcPr>
            <w:tcW w:w="160" w:type="dxa"/>
            <w:vAlign w:val="bottom"/>
          </w:tcPr>
          <w:p>
            <w:pPr>
              <w:spacing w:after="0"/>
              <w:rPr>
                <w:sz w:val="24"/>
                <w:szCs w:val="24"/>
                <w:color w:val="auto"/>
              </w:rPr>
            </w:pPr>
          </w:p>
        </w:tc>
        <w:tc>
          <w:tcPr>
            <w:tcW w:w="5680" w:type="dxa"/>
            <w:vAlign w:val="bottom"/>
            <w:tcBorders>
              <w:bottom w:val="single" w:sz="8" w:color="0000EE"/>
            </w:tcBorders>
            <w:gridSpan w:val="9"/>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Amendment No. 1 to Investor Rights Agreement, dated as of March 31, 2009.</w:t>
              </w:r>
            </w:hyperlink>
          </w:p>
        </w:tc>
        <w:tc>
          <w:tcPr>
            <w:tcW w:w="42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4.4(21)</w:t>
            </w:r>
          </w:p>
        </w:tc>
        <w:tc>
          <w:tcPr>
            <w:tcW w:w="16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Form of senior indenture, to be entered into between the Registrant and the trustee designated therein.</w:t>
              </w:r>
            </w:hyperlink>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4.5(21)</w:t>
            </w:r>
          </w:p>
        </w:tc>
        <w:tc>
          <w:tcPr>
            <w:tcW w:w="160" w:type="dxa"/>
            <w:vAlign w:val="bottom"/>
          </w:tcPr>
          <w:p>
            <w:pPr>
              <w:spacing w:after="0"/>
              <w:rPr>
                <w:sz w:val="24"/>
                <w:szCs w:val="24"/>
                <w:color w:val="auto"/>
              </w:rPr>
            </w:pPr>
          </w:p>
        </w:tc>
        <w:tc>
          <w:tcPr>
            <w:tcW w:w="52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Form of senior note with respect to each particular series of senior notes.</w:t>
              </w:r>
            </w:hyperlink>
          </w:p>
        </w:tc>
        <w:tc>
          <w:tcPr>
            <w:tcW w:w="2080" w:type="dxa"/>
            <w:vAlign w:val="bottom"/>
            <w:tcBorders>
              <w:top w:val="single" w:sz="8" w:color="0000EE"/>
            </w:tcBorders>
            <w:gridSpan w:val="4"/>
          </w:tcPr>
          <w:p>
            <w:pPr>
              <w:spacing w:after="0"/>
              <w:rPr>
                <w:sz w:val="24"/>
                <w:szCs w:val="24"/>
                <w:color w:val="auto"/>
              </w:rPr>
            </w:pPr>
          </w:p>
        </w:tc>
        <w:tc>
          <w:tcPr>
            <w:tcW w:w="26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4.6(21)</w:t>
            </w:r>
          </w:p>
        </w:tc>
        <w:tc>
          <w:tcPr>
            <w:tcW w:w="160" w:type="dxa"/>
            <w:vAlign w:val="bottom"/>
          </w:tcPr>
          <w:p>
            <w:pPr>
              <w:spacing w:after="0"/>
              <w:rPr>
                <w:sz w:val="24"/>
                <w:szCs w:val="24"/>
                <w:color w:val="auto"/>
              </w:rPr>
            </w:pPr>
          </w:p>
        </w:tc>
        <w:tc>
          <w:tcPr>
            <w:tcW w:w="7780" w:type="dxa"/>
            <w:vAlign w:val="bottom"/>
            <w:tcBorders>
              <w:bottom w:val="single" w:sz="8" w:color="0000EE"/>
            </w:tcBorders>
            <w:gridSpan w:val="13"/>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Form of subordinated indenture to be entered into between the Registrant and the trustee designated therein.</w:t>
              </w:r>
            </w:hyperlink>
          </w:p>
        </w:tc>
        <w:tc>
          <w:tcPr>
            <w:tcW w:w="2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4.7(21)</w:t>
            </w:r>
          </w:p>
        </w:tc>
        <w:tc>
          <w:tcPr>
            <w:tcW w:w="160" w:type="dxa"/>
            <w:vAlign w:val="bottom"/>
          </w:tcPr>
          <w:p>
            <w:pPr>
              <w:spacing w:after="0"/>
              <w:rPr>
                <w:sz w:val="24"/>
                <w:szCs w:val="24"/>
                <w:color w:val="auto"/>
              </w:rPr>
            </w:pPr>
          </w:p>
        </w:tc>
        <w:tc>
          <w:tcPr>
            <w:tcW w:w="6220" w:type="dxa"/>
            <w:vAlign w:val="bottom"/>
            <w:tcBorders>
              <w:bottom w:val="single" w:sz="8" w:color="0000EE"/>
            </w:tcBorders>
            <w:gridSpan w:val="11"/>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Form of subordinated note with respect to each particular series of subordinated notes.</w:t>
              </w:r>
            </w:hyperlink>
          </w:p>
        </w:tc>
        <w:tc>
          <w:tcPr>
            <w:tcW w:w="37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4.8(21)</w:t>
            </w:r>
          </w:p>
        </w:tc>
        <w:tc>
          <w:tcPr>
            <w:tcW w:w="160" w:type="dxa"/>
            <w:vAlign w:val="bottom"/>
          </w:tcPr>
          <w:p>
            <w:pPr>
              <w:spacing w:after="0"/>
              <w:rPr>
                <w:sz w:val="24"/>
                <w:szCs w:val="24"/>
                <w:color w:val="auto"/>
              </w:rPr>
            </w:pPr>
          </w:p>
        </w:tc>
        <w:tc>
          <w:tcPr>
            <w:tcW w:w="3300" w:type="dxa"/>
            <w:vAlign w:val="bottom"/>
            <w:tcBorders>
              <w:bottom w:val="single" w:sz="8" w:color="0000EE"/>
            </w:tcBorders>
            <w:gridSpan w:val="4"/>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Form of warrant with respect to each warrant.</w:t>
              </w:r>
            </w:hyperlink>
          </w:p>
        </w:tc>
        <w:tc>
          <w:tcPr>
            <w:tcW w:w="66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1"/>
              </w:rPr>
              <w:t>4.9(21)</w:t>
            </w:r>
          </w:p>
        </w:tc>
        <w:tc>
          <w:tcPr>
            <w:tcW w:w="16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r:id="rId106">
              <w:r>
                <w:rPr>
                  <w:rFonts w:ascii="Arial" w:cs="Arial" w:eastAsia="Arial" w:hAnsi="Arial"/>
                  <w:sz w:val="18"/>
                  <w:szCs w:val="18"/>
                  <w:color w:val="0000EE"/>
                </w:rPr>
                <w:t>Certificate of designation, preferences and rights with respect to any preferred stock.</w:t>
              </w:r>
            </w:hyperlink>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2"/>
              </w:rPr>
              <w:t>4.10(21)</w:t>
            </w:r>
          </w:p>
        </w:tc>
        <w:tc>
          <w:tcPr>
            <w:tcW w:w="160" w:type="dxa"/>
            <w:vAlign w:val="bottom"/>
          </w:tcPr>
          <w:p>
            <w:pPr>
              <w:spacing w:after="0"/>
              <w:rPr>
                <w:sz w:val="24"/>
                <w:szCs w:val="24"/>
                <w:color w:val="auto"/>
              </w:rPr>
            </w:pPr>
          </w:p>
        </w:tc>
        <w:tc>
          <w:tcPr>
            <w:tcW w:w="6080" w:type="dxa"/>
            <w:vAlign w:val="bottom"/>
            <w:tcBorders>
              <w:top w:val="single" w:sz="8" w:color="0000EE"/>
            </w:tcBorders>
            <w:gridSpan w:val="10"/>
          </w:tcPr>
          <w:p>
            <w:pPr>
              <w:spacing w:after="0"/>
              <w:rPr>
                <w:rFonts w:ascii="Arial" w:cs="Arial" w:eastAsia="Arial" w:hAnsi="Arial"/>
                <w:sz w:val="18"/>
                <w:szCs w:val="18"/>
                <w:color w:val="0000EE"/>
              </w:rPr>
            </w:pPr>
            <w:hyperlink r:id="rId106">
              <w:r>
                <w:rPr>
                  <w:rFonts w:ascii="Arial" w:cs="Arial" w:eastAsia="Arial" w:hAnsi="Arial"/>
                  <w:sz w:val="18"/>
                  <w:szCs w:val="18"/>
                  <w:color w:val="0000EE"/>
                </w:rPr>
                <w:t>Form of Depositary Agreement with respect to the depositary shares.</w:t>
              </w:r>
            </w:hyperlink>
          </w:p>
        </w:tc>
        <w:tc>
          <w:tcPr>
            <w:tcW w:w="38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89"/>
              </w:rPr>
              <w:t>4.11(21)</w:t>
            </w:r>
          </w:p>
        </w:tc>
        <w:tc>
          <w:tcPr>
            <w:tcW w:w="160" w:type="dxa"/>
            <w:vAlign w:val="bottom"/>
          </w:tcPr>
          <w:p>
            <w:pPr>
              <w:spacing w:after="0"/>
              <w:rPr>
                <w:sz w:val="24"/>
                <w:szCs w:val="24"/>
                <w:color w:val="auto"/>
              </w:rPr>
            </w:pPr>
          </w:p>
        </w:tc>
        <w:tc>
          <w:tcPr>
            <w:tcW w:w="4960" w:type="dxa"/>
            <w:vAlign w:val="bottom"/>
            <w:tcBorders>
              <w:top w:val="single" w:sz="8" w:color="0000EE"/>
            </w:tcBorders>
            <w:gridSpan w:val="7"/>
          </w:tcPr>
          <w:p>
            <w:pPr>
              <w:spacing w:after="0"/>
              <w:rPr>
                <w:rFonts w:ascii="Arial" w:cs="Arial" w:eastAsia="Arial" w:hAnsi="Arial"/>
                <w:sz w:val="18"/>
                <w:szCs w:val="18"/>
                <w:color w:val="0000EE"/>
              </w:rPr>
            </w:pPr>
            <w:hyperlink r:id="rId106">
              <w:r>
                <w:rPr>
                  <w:rFonts w:ascii="Arial" w:cs="Arial" w:eastAsia="Arial" w:hAnsi="Arial"/>
                  <w:sz w:val="18"/>
                  <w:szCs w:val="18"/>
                  <w:color w:val="0000EE"/>
                </w:rPr>
                <w:t>Form of Subscription Agreement.</w:t>
              </w:r>
            </w:hyperlink>
          </w:p>
        </w:tc>
        <w:tc>
          <w:tcPr>
            <w:tcW w:w="496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2"/>
              </w:rPr>
              <w:t>4.12(21)</w:t>
            </w:r>
          </w:p>
        </w:tc>
        <w:tc>
          <w:tcPr>
            <w:tcW w:w="160" w:type="dxa"/>
            <w:vAlign w:val="bottom"/>
          </w:tcPr>
          <w:p>
            <w:pPr>
              <w:spacing w:after="0"/>
              <w:rPr>
                <w:sz w:val="24"/>
                <w:szCs w:val="24"/>
                <w:color w:val="auto"/>
              </w:rPr>
            </w:pPr>
          </w:p>
        </w:tc>
        <w:tc>
          <w:tcPr>
            <w:tcW w:w="3640" w:type="dxa"/>
            <w:vAlign w:val="bottom"/>
            <w:tcBorders>
              <w:bottom w:val="single" w:sz="8" w:color="0000EE"/>
            </w:tcBorders>
            <w:gridSpan w:val="5"/>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Unit with respect to any contractual units.</w:t>
              </w:r>
            </w:hyperlink>
          </w:p>
        </w:tc>
        <w:tc>
          <w:tcPr>
            <w:tcW w:w="62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2"/>
              </w:rPr>
              <w:t>10.1(18)</w:t>
            </w:r>
          </w:p>
        </w:tc>
        <w:tc>
          <w:tcPr>
            <w:tcW w:w="16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7"/>
              </w:rPr>
            </w:pPr>
            <w:hyperlink r:id="rId107">
              <w:r>
                <w:rPr>
                  <w:rFonts w:ascii="Arial" w:cs="Arial" w:eastAsia="Arial" w:hAnsi="Arial"/>
                  <w:sz w:val="18"/>
                  <w:szCs w:val="18"/>
                  <w:color w:val="0000EE"/>
                  <w:w w:val="97"/>
                </w:rPr>
                <w:t>Fourth Amendment to Lease Agreement dated February 9, 2016 by and between Zappettini Investment Co. and the Registrant.</w:t>
              </w:r>
            </w:hyperlink>
          </w:p>
        </w:tc>
        <w:tc>
          <w:tcPr>
            <w:tcW w:w="20" w:type="dxa"/>
            <w:vAlign w:val="bottom"/>
          </w:tcPr>
          <w:p>
            <w:pPr>
              <w:spacing w:after="0"/>
              <w:rPr>
                <w:sz w:val="24"/>
                <w:szCs w:val="24"/>
                <w:color w:val="auto"/>
              </w:rPr>
            </w:pPr>
          </w:p>
        </w:tc>
      </w:tr>
      <w:tr>
        <w:trPr>
          <w:trHeight w:val="453"/>
        </w:trPr>
        <w:tc>
          <w:tcPr>
            <w:tcW w:w="13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940" w:type="dxa"/>
            <w:vAlign w:val="bottom"/>
            <w:tcBorders>
              <w:top w:val="single" w:sz="8" w:color="0000EE"/>
            </w:tcBorders>
            <w:gridSpan w:val="6"/>
          </w:tcPr>
          <w:p>
            <w:pPr>
              <w:jc w:val="right"/>
              <w:ind w:right="660"/>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3" w:name="page74"/>
    <w:bookmarkEnd w:id="73"/>
    <w:p>
      <w:pPr>
        <w:ind w:left="420"/>
        <w:spacing w:after="0"/>
        <w:tabs>
          <w:tab w:leader="none" w:pos="1480" w:val="left"/>
        </w:tabs>
        <w:rPr>
          <w:sz w:val="20"/>
          <w:szCs w:val="20"/>
          <w:color w:val="auto"/>
        </w:rPr>
      </w:pPr>
      <w:r>
        <w:rPr>
          <w:rFonts w:ascii="Arial" w:cs="Arial" w:eastAsia="Arial" w:hAnsi="Arial"/>
          <w:sz w:val="13"/>
          <w:szCs w:val="13"/>
          <w:b w:val="1"/>
          <w:bCs w:val="1"/>
          <w:color w:val="auto"/>
        </w:rPr>
        <w:t>Exhibits</w:t>
      </w:r>
      <w:r>
        <w:rPr>
          <w:sz w:val="20"/>
          <w:szCs w:val="20"/>
          <w:color w:val="auto"/>
        </w:rPr>
        <w:tab/>
      </w:r>
      <w:r>
        <w:rPr>
          <w:rFonts w:ascii="Arial" w:cs="Arial" w:eastAsia="Arial" w:hAnsi="Arial"/>
          <w:sz w:val="13"/>
          <w:szCs w:val="13"/>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10.2(20)</w:t>
            </w:r>
          </w:p>
        </w:tc>
        <w:tc>
          <w:tcPr>
            <w:tcW w:w="9960" w:type="dxa"/>
            <w:vAlign w:val="bottom"/>
            <w:gridSpan w:val="28"/>
          </w:tcPr>
          <w:p>
            <w:pPr>
              <w:spacing w:after="0"/>
              <w:rPr>
                <w:rFonts w:ascii="Arial" w:cs="Arial" w:eastAsia="Arial" w:hAnsi="Arial"/>
                <w:sz w:val="18"/>
                <w:szCs w:val="18"/>
                <w:color w:val="0000EE"/>
              </w:rPr>
            </w:pPr>
            <w:hyperlink r:id="rId111">
              <w:r>
                <w:rPr>
                  <w:rFonts w:ascii="Arial" w:cs="Arial" w:eastAsia="Arial" w:hAnsi="Arial"/>
                  <w:sz w:val="18"/>
                  <w:szCs w:val="18"/>
                  <w:color w:val="0000EE"/>
                </w:rPr>
                <w:t>Form of Indemnification Agreement with directors and officers.</w:t>
              </w:r>
            </w:hyperlink>
          </w:p>
        </w:tc>
      </w:tr>
      <w:tr>
        <w:trPr>
          <w:trHeight w:val="20"/>
        </w:trPr>
        <w:tc>
          <w:tcPr>
            <w:tcW w:w="1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4"/>
              </w:rPr>
              <w:t>10.3(5)</w:t>
            </w:r>
          </w:p>
        </w:tc>
        <w:tc>
          <w:tcPr>
            <w:tcW w:w="9320" w:type="dxa"/>
            <w:vAlign w:val="bottom"/>
            <w:tcBorders>
              <w:bottom w:val="single" w:sz="8" w:color="0000EE"/>
            </w:tcBorders>
            <w:gridSpan w:val="23"/>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Lease Agreement dated December 6, 1996 by and between Zappettini Investment Co. and the Registrant, as amended pursuant to</w:t>
              </w:r>
            </w:hyperlink>
          </w:p>
        </w:tc>
        <w:tc>
          <w:tcPr>
            <w:tcW w:w="64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Amendment No. 1 dated September 15, 2003 and Amendment No. 2 dated December 22, 2008.</w:t>
              </w:r>
            </w:hyperlink>
          </w:p>
        </w:tc>
      </w:tr>
      <w:tr>
        <w:trPr>
          <w:trHeight w:val="20"/>
        </w:trPr>
        <w:tc>
          <w:tcPr>
            <w:tcW w:w="1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0"/>
              </w:rPr>
              <w:t>10.3.1(14)</w:t>
            </w:r>
          </w:p>
        </w:tc>
        <w:tc>
          <w:tcPr>
            <w:tcW w:w="8920" w:type="dxa"/>
            <w:vAlign w:val="bottom"/>
            <w:tcBorders>
              <w:bottom w:val="single" w:sz="8" w:color="0000EE"/>
            </w:tcBorders>
            <w:gridSpan w:val="20"/>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Third Amendment to Lease Agreement dated August 4, 2014 by and between Zappettini Investment Co. and the Registrant.</w:t>
              </w:r>
            </w:hyperlink>
          </w:p>
        </w:tc>
        <w:tc>
          <w:tcPr>
            <w:tcW w:w="1040" w:type="dxa"/>
            <w:vAlign w:val="bottom"/>
            <w:gridSpan w:val="8"/>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0"/>
              </w:rPr>
              <w:t>10.3.2(23)</w:t>
            </w:r>
          </w:p>
        </w:tc>
        <w:tc>
          <w:tcPr>
            <w:tcW w:w="9260" w:type="dxa"/>
            <w:vAlign w:val="bottom"/>
            <w:tcBorders>
              <w:bottom w:val="single" w:sz="8" w:color="0000EE"/>
            </w:tcBorders>
            <w:gridSpan w:val="22"/>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Fourth Amendment to Lease Agreement dated January 31, 2016 by and between ZIC 12112 Terra Bella LLC and the Registrant.</w:t>
              </w:r>
            </w:hyperlink>
          </w:p>
        </w:tc>
        <w:tc>
          <w:tcPr>
            <w:tcW w:w="700" w:type="dxa"/>
            <w:vAlign w:val="bottom"/>
            <w:gridSpan w:val="6"/>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0"/>
              </w:rPr>
              <w:t>10.3.3(24)</w:t>
            </w:r>
          </w:p>
        </w:tc>
        <w:tc>
          <w:tcPr>
            <w:tcW w:w="9960" w:type="dxa"/>
            <w:vAlign w:val="bottom"/>
            <w:gridSpan w:val="28"/>
          </w:tcPr>
          <w:p>
            <w:pPr>
              <w:spacing w:after="0"/>
              <w:rPr>
                <w:rFonts w:ascii="Arial" w:cs="Arial" w:eastAsia="Arial" w:hAnsi="Arial"/>
                <w:sz w:val="18"/>
                <w:szCs w:val="18"/>
                <w:color w:val="0000EE"/>
              </w:rPr>
            </w:pPr>
            <w:hyperlink r:id="rId114">
              <w:r>
                <w:rPr>
                  <w:rFonts w:ascii="Arial" w:cs="Arial" w:eastAsia="Arial" w:hAnsi="Arial"/>
                  <w:sz w:val="18"/>
                  <w:szCs w:val="18"/>
                  <w:color w:val="0000EE"/>
                </w:rPr>
                <w:t>Triple Net Lease dated April 26, 2017 by and between ZIC 12112 Terra Bella LLC and the Registrant.</w:t>
              </w:r>
            </w:hyperlink>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6"/>
              </w:rPr>
              <w:t>10.6(8)*</w:t>
            </w:r>
          </w:p>
        </w:tc>
        <w:tc>
          <w:tcPr>
            <w:tcW w:w="2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2005 Employee Stock Purchase Plan.</w:t>
              </w:r>
            </w:hyperlink>
          </w:p>
        </w:tc>
        <w:tc>
          <w:tcPr>
            <w:tcW w:w="4660" w:type="dxa"/>
            <w:vAlign w:val="bottom"/>
            <w:tcBorders>
              <w:top w:val="single" w:sz="8" w:color="0000EE"/>
            </w:tcBorders>
            <w:gridSpan w:val="14"/>
          </w:tcPr>
          <w:p>
            <w:pPr>
              <w:spacing w:after="0"/>
              <w:rPr>
                <w:sz w:val="24"/>
                <w:szCs w:val="24"/>
                <w:color w:val="auto"/>
              </w:rPr>
            </w:pPr>
          </w:p>
        </w:tc>
        <w:tc>
          <w:tcPr>
            <w:tcW w:w="2600" w:type="dxa"/>
            <w:vAlign w:val="bottom"/>
            <w:gridSpan w:val="11"/>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6"/>
              </w:rPr>
              <w:t>10.7(9)*</w:t>
            </w:r>
          </w:p>
        </w:tc>
        <w:tc>
          <w:tcPr>
            <w:tcW w:w="9960" w:type="dxa"/>
            <w:vAlign w:val="bottom"/>
            <w:gridSpan w:val="28"/>
          </w:tcPr>
          <w:p>
            <w:pPr>
              <w:spacing w:after="0"/>
              <w:rPr>
                <w:rFonts w:ascii="Arial" w:cs="Arial" w:eastAsia="Arial" w:hAnsi="Arial"/>
                <w:sz w:val="18"/>
                <w:szCs w:val="18"/>
                <w:color w:val="0000EE"/>
              </w:rPr>
            </w:pPr>
            <w:hyperlink r:id="rId116">
              <w:r>
                <w:rPr>
                  <w:rFonts w:ascii="Arial" w:cs="Arial" w:eastAsia="Arial" w:hAnsi="Arial"/>
                  <w:sz w:val="18"/>
                  <w:szCs w:val="18"/>
                  <w:color w:val="0000EE"/>
                </w:rPr>
                <w:t>2008 Equity Incentive Plan.</w:t>
              </w:r>
            </w:hyperlink>
          </w:p>
        </w:tc>
      </w:tr>
      <w:tr>
        <w:trPr>
          <w:trHeight w:val="20"/>
        </w:trPr>
        <w:tc>
          <w:tcPr>
            <w:tcW w:w="1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4"/>
              </w:rPr>
              <w:t>10.8(10)*</w:t>
            </w:r>
          </w:p>
        </w:tc>
        <w:tc>
          <w:tcPr>
            <w:tcW w:w="9960" w:type="dxa"/>
            <w:vAlign w:val="bottom"/>
            <w:gridSpan w:val="28"/>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Form of 2008 Equity Incentive Plan Option Agreement.</w:t>
              </w:r>
            </w:hyperlink>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4"/>
              </w:rPr>
              <w:t>10.9(11)*</w:t>
            </w:r>
          </w:p>
        </w:tc>
        <w:tc>
          <w:tcPr>
            <w:tcW w:w="3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Form of Stand-alone stock option agreement.</w:t>
              </w:r>
            </w:hyperlink>
          </w:p>
        </w:tc>
        <w:tc>
          <w:tcPr>
            <w:tcW w:w="760" w:type="dxa"/>
            <w:vAlign w:val="bottom"/>
            <w:tcBorders>
              <w:top w:val="single" w:sz="8" w:color="0000EE"/>
            </w:tcBorders>
            <w:gridSpan w:val="3"/>
          </w:tcPr>
          <w:p>
            <w:pPr>
              <w:spacing w:after="0"/>
              <w:rPr>
                <w:sz w:val="24"/>
                <w:szCs w:val="24"/>
                <w:color w:val="auto"/>
              </w:rPr>
            </w:pPr>
          </w:p>
        </w:tc>
        <w:tc>
          <w:tcPr>
            <w:tcW w:w="5940" w:type="dxa"/>
            <w:vAlign w:val="bottom"/>
            <w:gridSpan w:val="21"/>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10.10(3)</w:t>
            </w:r>
          </w:p>
        </w:tc>
        <w:tc>
          <w:tcPr>
            <w:tcW w:w="9960" w:type="dxa"/>
            <w:vAlign w:val="bottom"/>
            <w:gridSpan w:val="28"/>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Securities Purchase Agreement, dated August 31, 2007, by and among BlueLine Capital Partners, LP, BlueLine Capital Partners III, LP,</w:t>
              </w:r>
            </w:hyperlink>
          </w:p>
        </w:tc>
      </w:tr>
      <w:tr>
        <w:trPr>
          <w:trHeight w:val="196"/>
        </w:trPr>
        <w:tc>
          <w:tcPr>
            <w:tcW w:w="148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BlueLine Capital Partners II, LP and the Registrant.</w:t>
              </w:r>
            </w:hyperlink>
          </w:p>
        </w:tc>
        <w:tc>
          <w:tcPr>
            <w:tcW w:w="6040" w:type="dxa"/>
            <w:vAlign w:val="bottom"/>
            <w:tcBorders>
              <w:top w:val="single" w:sz="8" w:color="0000EE"/>
            </w:tcBorders>
            <w:gridSpan w:val="21"/>
          </w:tcPr>
          <w:p>
            <w:pPr>
              <w:spacing w:after="0"/>
              <w:rPr>
                <w:sz w:val="17"/>
                <w:szCs w:val="17"/>
                <w:color w:val="auto"/>
              </w:rPr>
            </w:pPr>
          </w:p>
        </w:tc>
        <w:tc>
          <w:tcPr>
            <w:tcW w:w="180" w:type="dxa"/>
            <w:vAlign w:val="bottom"/>
          </w:tcPr>
          <w:p>
            <w:pPr>
              <w:spacing w:after="0"/>
              <w:rPr>
                <w:sz w:val="17"/>
                <w:szCs w:val="17"/>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10.11(12)*</w:t>
            </w:r>
          </w:p>
        </w:tc>
        <w:tc>
          <w:tcPr>
            <w:tcW w:w="5240" w:type="dxa"/>
            <w:vAlign w:val="bottom"/>
            <w:tcBorders>
              <w:bottom w:val="single" w:sz="8" w:color="0000EE"/>
            </w:tcBorders>
            <w:gridSpan w:val="10"/>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Form of 2008 Equity Incentive Plan Restricted Stock Award Agreement.</w:t>
              </w:r>
            </w:hyperlink>
          </w:p>
        </w:tc>
        <w:tc>
          <w:tcPr>
            <w:tcW w:w="4720" w:type="dxa"/>
            <w:vAlign w:val="bottom"/>
            <w:gridSpan w:val="18"/>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10.12(12)*</w:t>
            </w:r>
          </w:p>
        </w:tc>
        <w:tc>
          <w:tcPr>
            <w:tcW w:w="5600" w:type="dxa"/>
            <w:vAlign w:val="bottom"/>
            <w:tcBorders>
              <w:bottom w:val="single" w:sz="8" w:color="0000EE"/>
            </w:tcBorders>
            <w:gridSpan w:val="11"/>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Form of 2008 Equity Incentive Plan Restricted Stock Unit Award Agreement.</w:t>
              </w:r>
            </w:hyperlink>
          </w:p>
        </w:tc>
        <w:tc>
          <w:tcPr>
            <w:tcW w:w="4360" w:type="dxa"/>
            <w:vAlign w:val="bottom"/>
            <w:gridSpan w:val="17"/>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10.13(13)*</w:t>
            </w:r>
          </w:p>
        </w:tc>
        <w:tc>
          <w:tcPr>
            <w:tcW w:w="9680" w:type="dxa"/>
            <w:vAlign w:val="bottom"/>
            <w:tcBorders>
              <w:bottom w:val="single" w:sz="8" w:color="0000EE"/>
            </w:tcBorders>
            <w:gridSpan w:val="25"/>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Restricted Stock Unit Award Agreement granted to William M. Moore under the Company’s 2008 Equity Incentive Plan, as amended.</w:t>
              </w:r>
            </w:hyperlink>
          </w:p>
        </w:tc>
        <w:tc>
          <w:tcPr>
            <w:tcW w:w="280" w:type="dxa"/>
            <w:vAlign w:val="bottom"/>
            <w:gridSpan w:val="3"/>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10.14(16)*</w:t>
            </w:r>
          </w:p>
        </w:tc>
        <w:tc>
          <w:tcPr>
            <w:tcW w:w="9660" w:type="dxa"/>
            <w:vAlign w:val="bottom"/>
            <w:tcBorders>
              <w:bottom w:val="single" w:sz="8" w:color="0000EE"/>
            </w:tcBorders>
            <w:gridSpan w:val="24"/>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Restricted Stock Unit Award Agreement granted to William M. Moore under the Company’s 2008 Equity Incentive Plan, as amended.</w:t>
              </w:r>
            </w:hyperlink>
          </w:p>
        </w:tc>
        <w:tc>
          <w:tcPr>
            <w:tcW w:w="300" w:type="dxa"/>
            <w:vAlign w:val="bottom"/>
            <w:gridSpan w:val="4"/>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10.15(17)*</w:t>
            </w:r>
          </w:p>
        </w:tc>
        <w:tc>
          <w:tcPr>
            <w:tcW w:w="8100" w:type="dxa"/>
            <w:vAlign w:val="bottom"/>
            <w:tcBorders>
              <w:bottom w:val="single" w:sz="8" w:color="0000EE"/>
            </w:tcBorders>
            <w:gridSpan w:val="18"/>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Change in Control Severance Agreement dated March 30, 2015, between the Registrant and William M. Moore.</w:t>
              </w:r>
            </w:hyperlink>
          </w:p>
        </w:tc>
        <w:tc>
          <w:tcPr>
            <w:tcW w:w="1860" w:type="dxa"/>
            <w:vAlign w:val="bottom"/>
            <w:gridSpan w:val="10"/>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10.16(19)*</w:t>
            </w:r>
          </w:p>
        </w:tc>
        <w:tc>
          <w:tcPr>
            <w:tcW w:w="9960" w:type="dxa"/>
            <w:vAlign w:val="bottom"/>
            <w:gridSpan w:val="28"/>
          </w:tcPr>
          <w:p>
            <w:pPr>
              <w:spacing w:after="0"/>
              <w:rPr>
                <w:rFonts w:ascii="Arial" w:cs="Arial" w:eastAsia="Arial" w:hAnsi="Arial"/>
                <w:sz w:val="18"/>
                <w:szCs w:val="18"/>
                <w:color w:val="0000EE"/>
                <w:w w:val="98"/>
              </w:rPr>
            </w:pPr>
            <w:hyperlink r:id="rId124">
              <w:r>
                <w:rPr>
                  <w:rFonts w:ascii="Arial" w:cs="Arial" w:eastAsia="Arial" w:hAnsi="Arial"/>
                  <w:sz w:val="18"/>
                  <w:szCs w:val="18"/>
                  <w:color w:val="0000EE"/>
                  <w:w w:val="98"/>
                </w:rPr>
                <w:t>Change in Control Severance Agreement dated as of December 6, 2017 by and between the Company and George Marcellino</w:t>
              </w:r>
            </w:hyperlink>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10.17(20)*</w:t>
            </w:r>
          </w:p>
        </w:tc>
        <w:tc>
          <w:tcPr>
            <w:tcW w:w="58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Offer Letter between the Company and Mr. Mokari effective as of May 13, 2016.</w:t>
              </w:r>
            </w:hyperlink>
          </w:p>
        </w:tc>
        <w:tc>
          <w:tcPr>
            <w:tcW w:w="3180" w:type="dxa"/>
            <w:vAlign w:val="bottom"/>
            <w:tcBorders>
              <w:top w:val="single" w:sz="8" w:color="0000EE"/>
            </w:tcBorders>
            <w:gridSpan w:val="8"/>
          </w:tcPr>
          <w:p>
            <w:pPr>
              <w:spacing w:after="0"/>
              <w:rPr>
                <w:sz w:val="24"/>
                <w:szCs w:val="24"/>
                <w:color w:val="auto"/>
              </w:rPr>
            </w:pPr>
          </w:p>
        </w:tc>
        <w:tc>
          <w:tcPr>
            <w:tcW w:w="920" w:type="dxa"/>
            <w:vAlign w:val="bottom"/>
            <w:gridSpan w:val="7"/>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2"/>
              </w:rPr>
              <w:t>10.18(20)*</w:t>
            </w:r>
          </w:p>
        </w:tc>
        <w:tc>
          <w:tcPr>
            <w:tcW w:w="5840" w:type="dxa"/>
            <w:vAlign w:val="bottom"/>
            <w:tcBorders>
              <w:bottom w:val="single" w:sz="8" w:color="0000EE"/>
            </w:tcBorders>
            <w:gridSpan w:val="12"/>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Change in Control Severance Agreement, between the Company and Mr. Mokari</w:t>
              </w:r>
            </w:hyperlink>
          </w:p>
        </w:tc>
        <w:tc>
          <w:tcPr>
            <w:tcW w:w="4120" w:type="dxa"/>
            <w:vAlign w:val="bottom"/>
            <w:gridSpan w:val="16"/>
          </w:tcPr>
          <w:p>
            <w:pPr>
              <w:spacing w:after="0"/>
              <w:rPr>
                <w:sz w:val="24"/>
                <w:szCs w:val="24"/>
                <w:color w:val="auto"/>
              </w:rPr>
            </w:pPr>
          </w:p>
        </w:tc>
      </w:tr>
      <w:tr>
        <w:trPr>
          <w:trHeight w:val="439"/>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0"/>
              </w:rPr>
              <w:t>10.19(22)</w:t>
            </w:r>
          </w:p>
        </w:tc>
        <w:tc>
          <w:tcPr>
            <w:tcW w:w="8520" w:type="dxa"/>
            <w:vAlign w:val="bottom"/>
            <w:tcBorders>
              <w:bottom w:val="single" w:sz="8" w:color="0000EE"/>
            </w:tcBorders>
            <w:gridSpan w:val="19"/>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Loan and Security Agreement, dated as of November 2, 2016, between IRIDEX Corporation and Silicon Valley Bank.</w:t>
              </w:r>
            </w:hyperlink>
          </w:p>
        </w:tc>
        <w:tc>
          <w:tcPr>
            <w:tcW w:w="1440" w:type="dxa"/>
            <w:vAlign w:val="bottom"/>
            <w:gridSpan w:val="9"/>
          </w:tcPr>
          <w:p>
            <w:pPr>
              <w:spacing w:after="0"/>
              <w:rPr>
                <w:sz w:val="24"/>
                <w:szCs w:val="24"/>
                <w:color w:val="auto"/>
              </w:rPr>
            </w:pPr>
          </w:p>
        </w:tc>
      </w:tr>
      <w:tr>
        <w:trPr>
          <w:trHeight w:val="35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0"/>
              </w:rPr>
              <w:t>21.1 (1) (P)</w:t>
            </w:r>
          </w:p>
        </w:tc>
        <w:tc>
          <w:tcPr>
            <w:tcW w:w="9960" w:type="dxa"/>
            <w:vAlign w:val="bottom"/>
            <w:gridSpan w:val="28"/>
          </w:tcPr>
          <w:p>
            <w:pPr>
              <w:spacing w:after="0"/>
              <w:rPr>
                <w:sz w:val="20"/>
                <w:szCs w:val="20"/>
                <w:color w:val="auto"/>
              </w:rPr>
            </w:pPr>
            <w:r>
              <w:rPr>
                <w:rFonts w:ascii="Arial" w:cs="Arial" w:eastAsia="Arial" w:hAnsi="Arial"/>
                <w:sz w:val="18"/>
                <w:szCs w:val="18"/>
                <w:color w:val="auto"/>
              </w:rPr>
              <w:t>Subsidiaries of Registrant</w:t>
            </w:r>
          </w:p>
        </w:tc>
      </w:tr>
      <w:tr>
        <w:trPr>
          <w:trHeight w:val="297"/>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23.1</w:t>
            </w:r>
          </w:p>
        </w:tc>
        <w:tc>
          <w:tcPr>
            <w:tcW w:w="51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Consent of BPM LLP, Independent Registered Public Accounting Firm.</w:t>
              </w:r>
            </w:hyperlink>
          </w:p>
        </w:tc>
        <w:tc>
          <w:tcPr>
            <w:tcW w:w="4780" w:type="dxa"/>
            <w:vAlign w:val="bottom"/>
            <w:gridSpan w:val="19"/>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24.1</w:t>
            </w:r>
          </w:p>
        </w:tc>
        <w:tc>
          <w:tcPr>
            <w:tcW w:w="9960" w:type="dxa"/>
            <w:vAlign w:val="bottom"/>
            <w:gridSpan w:val="2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Power of Attorney (included on signature page).</w:t>
              </w:r>
            </w:hyperlink>
          </w:p>
        </w:tc>
      </w:tr>
      <w:tr>
        <w:trPr>
          <w:trHeight w:val="20"/>
        </w:trPr>
        <w:tc>
          <w:tcPr>
            <w:tcW w:w="1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31.1</w:t>
            </w:r>
          </w:p>
        </w:tc>
        <w:tc>
          <w:tcPr>
            <w:tcW w:w="9960" w:type="dxa"/>
            <w:vAlign w:val="bottom"/>
            <w:gridSpan w:val="2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Certification of Chief Executive Officer pursuant to Section 302 of the Sarbanes-Oxley Act of 2002.</w:t>
              </w:r>
            </w:hyperlink>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31.2</w:t>
            </w:r>
          </w:p>
        </w:tc>
        <w:tc>
          <w:tcPr>
            <w:tcW w:w="71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740" w:type="dxa"/>
            <w:vAlign w:val="bottom"/>
            <w:gridSpan w:val="12"/>
          </w:tcPr>
          <w:p>
            <w:pPr>
              <w:spacing w:after="0"/>
              <w:rPr>
                <w:sz w:val="24"/>
                <w:szCs w:val="24"/>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32.1</w:t>
            </w:r>
          </w:p>
        </w:tc>
        <w:tc>
          <w:tcPr>
            <w:tcW w:w="9960" w:type="dxa"/>
            <w:vAlign w:val="bottom"/>
            <w:gridSpan w:val="28"/>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Certification of Chief Executive Officer pursuant to 18 U.S.C. Section 1350, as Adopted Pursuant to Section 906 of the Sarbanes-Oxley</w:t>
              </w:r>
            </w:hyperlink>
          </w:p>
        </w:tc>
      </w:tr>
      <w:tr>
        <w:trPr>
          <w:trHeight w:val="196"/>
        </w:trPr>
        <w:tc>
          <w:tcPr>
            <w:tcW w:w="1480" w:type="dxa"/>
            <w:vAlign w:val="bottom"/>
          </w:tcPr>
          <w:p>
            <w:pPr>
              <w:spacing w:after="0"/>
              <w:rPr>
                <w:sz w:val="17"/>
                <w:szCs w:val="17"/>
                <w:color w:val="auto"/>
              </w:rPr>
            </w:pPr>
          </w:p>
        </w:tc>
        <w:tc>
          <w:tcPr>
            <w:tcW w:w="97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40" w:type="dxa"/>
            <w:vAlign w:val="bottom"/>
            <w:gridSpan w:val="2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32.2</w:t>
            </w:r>
          </w:p>
        </w:tc>
        <w:tc>
          <w:tcPr>
            <w:tcW w:w="974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Chief Financial Officer pursuant to 18 U.S.C. Section 1350, as Adopted Pursuant to Section 906 of the Sarbanes-Oxley</w:t>
              </w:r>
            </w:hyperlink>
          </w:p>
        </w:tc>
        <w:tc>
          <w:tcPr>
            <w:tcW w:w="22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960" w:type="dxa"/>
            <w:vAlign w:val="bottom"/>
            <w:gridSpan w:val="2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Act of 2002.</w:t>
              </w:r>
            </w:hyperlink>
          </w:p>
        </w:tc>
      </w:tr>
      <w:tr>
        <w:trPr>
          <w:trHeight w:val="20"/>
        </w:trPr>
        <w:tc>
          <w:tcPr>
            <w:tcW w:w="1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60" w:type="dxa"/>
            <w:vAlign w:val="bottom"/>
            <w:gridSpan w:val="27"/>
          </w:tcPr>
          <w:p>
            <w:pPr>
              <w:spacing w:after="0" w:line="20" w:lineRule="exact"/>
              <w:rPr>
                <w:sz w:val="1"/>
                <w:szCs w:val="1"/>
                <w:color w:val="auto"/>
              </w:rPr>
            </w:pPr>
          </w:p>
        </w:tc>
      </w:tr>
      <w:tr>
        <w:trPr>
          <w:trHeight w:val="358"/>
        </w:trPr>
        <w:tc>
          <w:tcPr>
            <w:tcW w:w="1480" w:type="dxa"/>
            <w:vAlign w:val="bottom"/>
          </w:tcPr>
          <w:p>
            <w:pPr>
              <w:jc w:val="center"/>
              <w:ind w:right="50"/>
              <w:spacing w:after="0"/>
              <w:rPr>
                <w:sz w:val="20"/>
                <w:szCs w:val="20"/>
                <w:color w:val="auto"/>
              </w:rPr>
            </w:pPr>
            <w:r>
              <w:rPr>
                <w:rFonts w:ascii="Arial" w:cs="Arial" w:eastAsia="Arial" w:hAnsi="Arial"/>
                <w:sz w:val="18"/>
                <w:szCs w:val="18"/>
                <w:color w:val="auto"/>
                <w:w w:val="95"/>
              </w:rPr>
              <w:t>101.INS</w:t>
            </w:r>
          </w:p>
        </w:tc>
        <w:tc>
          <w:tcPr>
            <w:tcW w:w="9960" w:type="dxa"/>
            <w:vAlign w:val="bottom"/>
            <w:gridSpan w:val="2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480" w:type="dxa"/>
            <w:vAlign w:val="bottom"/>
          </w:tcPr>
          <w:p>
            <w:pPr>
              <w:spacing w:after="0"/>
              <w:rPr>
                <w:sz w:val="24"/>
                <w:szCs w:val="24"/>
                <w:color w:val="auto"/>
              </w:rPr>
            </w:pPr>
          </w:p>
        </w:tc>
        <w:tc>
          <w:tcPr>
            <w:tcW w:w="4600" w:type="dxa"/>
            <w:vAlign w:val="bottom"/>
            <w:gridSpan w:val="8"/>
          </w:tcPr>
          <w:p>
            <w:pPr>
              <w:ind w:left="4140"/>
              <w:spacing w:after="0"/>
              <w:rPr>
                <w:sz w:val="20"/>
                <w:szCs w:val="20"/>
                <w:color w:val="auto"/>
              </w:rPr>
            </w:pPr>
            <w:r>
              <w:rPr>
                <w:rFonts w:ascii="Arial" w:cs="Arial" w:eastAsia="Arial" w:hAnsi="Arial"/>
                <w:sz w:val="18"/>
                <w:szCs w:val="18"/>
                <w:color w:val="auto"/>
              </w:rPr>
              <w:t>74</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Exhibits</w:t>
            </w:r>
          </w:p>
        </w:tc>
        <w:tc>
          <w:tcPr>
            <w:tcW w:w="140" w:type="dxa"/>
            <w:vAlign w:val="bottom"/>
          </w:tcPr>
          <w:p>
            <w:pPr>
              <w:spacing w:after="0"/>
              <w:rPr>
                <w:sz w:val="14"/>
                <w:szCs w:val="14"/>
                <w:color w:val="auto"/>
              </w:rPr>
            </w:pPr>
          </w:p>
        </w:tc>
        <w:tc>
          <w:tcPr>
            <w:tcW w:w="9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Title</w:t>
            </w:r>
          </w:p>
        </w:tc>
      </w:tr>
      <w:tr>
        <w:trPr>
          <w:trHeight w:val="331"/>
        </w:trPr>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101.SCH</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101.CAL</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101.DEF</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101.LAB</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101.PRE</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560" w:right="220" w:hanging="552"/>
        <w:spacing w:after="0" w:line="250"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in Registrant’s Report on Form 10-Q for the quarter ended October 3, 1998.</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September 7, 2007.</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6, 2009.</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10-K for the year ended January 3, 2009.</w:t>
      </w:r>
    </w:p>
    <w:p>
      <w:pPr>
        <w:spacing w:after="0" w:line="9" w:lineRule="exact"/>
        <w:rPr>
          <w:sz w:val="20"/>
          <w:szCs w:val="20"/>
          <w:color w:val="auto"/>
        </w:rPr>
      </w:pPr>
    </w:p>
    <w:p>
      <w:pPr>
        <w:ind w:left="560" w:right="46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appendix filed with the Registrant’s Proxy Statement for the Registrant’s 2004 Annual Meeting of Stockholders which was filed on April 30, 2004.</w:t>
      </w:r>
    </w:p>
    <w:p>
      <w:pPr>
        <w:ind w:left="560" w:right="46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appendix filed with the Registrant’s Proxy Statement for the Registrant’s 2008 Annual Meeting of Stockholders which was filed on April 24, 2008.</w:t>
      </w: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99.1 filed with Registrant’s Registration Statement on Form S-8 on November 21, 2008.</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99.(d)(5) filed with the Registration Statement on Form SC TO-I July 30, 2009.</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10-Q for the quarter ended July 2, 2011.</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March 27, 2013.</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 2.1 filed with the Registrant’s Report on Form 8-K on January 4, 2012.</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10-Q on November 3, 2014.</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January 9, 2014.</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10-Q on May 12, 2015.</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10-K on March 31, 2016.</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December 6, 2017.</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July 11, 2016,</w:t>
      </w:r>
    </w:p>
    <w:p>
      <w:pPr>
        <w:spacing w:after="0" w:line="9" w:lineRule="exact"/>
        <w:rPr>
          <w:rFonts w:ascii="Arial" w:cs="Arial" w:eastAsia="Arial" w:hAnsi="Arial"/>
          <w:sz w:val="18"/>
          <w:szCs w:val="18"/>
          <w:color w:val="auto"/>
        </w:rPr>
      </w:pPr>
    </w:p>
    <w:p>
      <w:pPr>
        <w:ind w:left="560" w:right="360" w:hanging="552"/>
        <w:spacing w:after="0" w:line="265" w:lineRule="auto"/>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applicable, to be filed by amendment to the S-3 (No. 333-213094) which was declared effective on August 26, 2016, or as an exhibit to a report pursuant to Section 13(a) or 15(d) of the Securities Exchange Act of 1934, as amended, and incorporated by reference therein.</w:t>
      </w: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 on November 3, 2016.</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10-K on March 31, 2016.</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 on May 1, 2017.</w:t>
      </w:r>
    </w:p>
    <w:p>
      <w:pPr>
        <w:spacing w:after="0" w:line="9" w:lineRule="exact"/>
        <w:rPr>
          <w:sz w:val="20"/>
          <w:szCs w:val="20"/>
          <w:color w:val="auto"/>
        </w:rPr>
      </w:pPr>
    </w:p>
    <w:p>
      <w:pPr>
        <w:ind w:left="560" w:hanging="552"/>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55"/>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555"/>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14th day of March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IRIDEX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r>
      <w:tr>
        <w:trPr>
          <w:trHeight w:val="195"/>
        </w:trPr>
        <w:tc>
          <w:tcPr>
            <w:tcW w:w="60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William M. Moore</w:t>
            </w:r>
          </w:p>
        </w:tc>
      </w:tr>
      <w:tr>
        <w:trPr>
          <w:trHeight w:val="230"/>
        </w:trPr>
        <w:tc>
          <w:tcPr>
            <w:tcW w:w="6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48"/>
        </w:trPr>
        <w:tc>
          <w:tcPr>
            <w:tcW w:w="6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Atabak Mokari</w:t>
            </w:r>
          </w:p>
        </w:tc>
      </w:tr>
      <w:tr>
        <w:trPr>
          <w:trHeight w:val="195"/>
        </w:trPr>
        <w:tc>
          <w:tcPr>
            <w:tcW w:w="60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Atabak Mokari</w:t>
            </w:r>
          </w:p>
        </w:tc>
      </w:tr>
      <w:tr>
        <w:trPr>
          <w:trHeight w:val="216"/>
        </w:trPr>
        <w:tc>
          <w:tcPr>
            <w:tcW w:w="6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 and Vice President of Corporate</w:t>
            </w:r>
          </w:p>
        </w:tc>
      </w:tr>
      <w:tr>
        <w:trPr>
          <w:trHeight w:val="230"/>
        </w:trPr>
        <w:tc>
          <w:tcPr>
            <w:tcW w:w="6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Development</w:t>
            </w:r>
          </w:p>
        </w:tc>
      </w:tr>
      <w:tr>
        <w:trPr>
          <w:trHeight w:val="432"/>
        </w:trPr>
        <w:tc>
          <w:tcPr>
            <w:tcW w:w="6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Romeo R. Dizon</w:t>
            </w:r>
          </w:p>
        </w:tc>
      </w:tr>
      <w:tr>
        <w:trPr>
          <w:trHeight w:val="195"/>
        </w:trPr>
        <w:tc>
          <w:tcPr>
            <w:tcW w:w="60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Romeo R. Dizon</w:t>
            </w:r>
          </w:p>
        </w:tc>
      </w:tr>
      <w:tr>
        <w:trPr>
          <w:trHeight w:val="230"/>
        </w:trPr>
        <w:tc>
          <w:tcPr>
            <w:tcW w:w="6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Vice President and Controller</w:t>
            </w:r>
          </w:p>
        </w:tc>
      </w:tr>
    </w:tbl>
    <w:p>
      <w:pPr>
        <w:spacing w:after="0" w:line="229"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M. Moore, Atabak Mokari and Romeo Dizon,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w:t>
      </w:r>
    </w:p>
    <w:p>
      <w:pPr>
        <w:spacing w:after="0" w:line="80"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700" w:type="dxa"/>
            <w:vAlign w:val="bottom"/>
            <w:tcBorders>
              <w:bottom w:val="single" w:sz="8" w:color="auto"/>
            </w:tcBorders>
          </w:tcPr>
          <w:p>
            <w:pPr>
              <w:jc w:val="right"/>
              <w:ind w:right="262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President, Chief Executive Officer, and Chairman of the Board</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14, 2018</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(William M. Moore)</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vMerge w:val="restart"/>
          </w:tcPr>
          <w:p>
            <w:pPr>
              <w:spacing w:after="0"/>
              <w:rPr>
                <w:sz w:val="20"/>
                <w:szCs w:val="20"/>
                <w:color w:val="auto"/>
              </w:rPr>
            </w:pPr>
            <w:r>
              <w:rPr>
                <w:rFonts w:ascii="Arial" w:cs="Arial" w:eastAsia="Arial" w:hAnsi="Arial"/>
                <w:sz w:val="18"/>
                <w:szCs w:val="18"/>
                <w:color w:val="auto"/>
              </w:rPr>
              <w:t>/s/ Atabak Mokari</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Chief Financial Officer and Vice President of Corporate Development</w:t>
            </w:r>
          </w:p>
        </w:tc>
        <w:tc>
          <w:tcPr>
            <w:tcW w:w="1360" w:type="dxa"/>
            <w:vAlign w:val="bottom"/>
            <w:vMerge w:val="restart"/>
          </w:tcPr>
          <w:p>
            <w:pPr>
              <w:ind w:left="220"/>
              <w:spacing w:after="0"/>
              <w:rPr>
                <w:sz w:val="20"/>
                <w:szCs w:val="20"/>
                <w:color w:val="auto"/>
              </w:rPr>
            </w:pPr>
            <w:r>
              <w:rPr>
                <w:rFonts w:ascii="Arial" w:cs="Arial" w:eastAsia="Arial" w:hAnsi="Arial"/>
                <w:sz w:val="18"/>
                <w:szCs w:val="18"/>
                <w:color w:val="auto"/>
                <w:w w:val="89"/>
              </w:rPr>
              <w:t>March 14, 2018</w:t>
            </w:r>
          </w:p>
        </w:tc>
        <w:tc>
          <w:tcPr>
            <w:tcW w:w="0" w:type="dxa"/>
            <w:vAlign w:val="bottom"/>
          </w:tcPr>
          <w:p>
            <w:pPr>
              <w:spacing w:after="0"/>
              <w:rPr>
                <w:sz w:val="1"/>
                <w:szCs w:val="1"/>
                <w:color w:val="auto"/>
              </w:rPr>
            </w:pPr>
          </w:p>
        </w:tc>
      </w:tr>
      <w:tr>
        <w:trPr>
          <w:trHeight w:val="221"/>
        </w:trPr>
        <w:tc>
          <w:tcPr>
            <w:tcW w:w="4120" w:type="dxa"/>
            <w:vAlign w:val="bottom"/>
            <w:tcBorders>
              <w:bottom w:val="single" w:sz="8" w:color="auto"/>
            </w:tcBorders>
            <w:vMerge w:val="continue"/>
          </w:tcPr>
          <w:p>
            <w:pPr>
              <w:spacing w:after="0"/>
              <w:rPr>
                <w:sz w:val="18"/>
                <w:szCs w:val="18"/>
                <w:color w:val="auto"/>
              </w:rPr>
            </w:pPr>
          </w:p>
        </w:tc>
        <w:tc>
          <w:tcPr>
            <w:tcW w:w="594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(Atabak Mokari)</w:t>
            </w:r>
          </w:p>
        </w:tc>
        <w:tc>
          <w:tcPr>
            <w:tcW w:w="594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Romeo R. Dizon</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Vice President and Controller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14, 2018</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(Romeo R. Dizon)</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Sanford Fitch</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14, 2018</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(Sanford Fitch)</w:t>
            </w:r>
          </w:p>
        </w:tc>
        <w:tc>
          <w:tcPr>
            <w:tcW w:w="1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R. Marcellino</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14, 2018</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(George R. Marcellino)</w:t>
            </w:r>
          </w:p>
        </w:tc>
        <w:tc>
          <w:tcPr>
            <w:tcW w:w="1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Ruediger Naumann-Etienne</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14, 2018</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(Ruediger Naumann-Etienne)</w:t>
            </w:r>
          </w:p>
        </w:tc>
        <w:tc>
          <w:tcPr>
            <w:tcW w:w="1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Rhoads)</w:t>
            </w:r>
          </w:p>
        </w:tc>
        <w:tc>
          <w:tcPr>
            <w:tcW w:w="5940" w:type="dxa"/>
            <w:vAlign w:val="bottom"/>
            <w:gridSpan w:val="3"/>
          </w:tcPr>
          <w:p>
            <w:pPr>
              <w:ind w:left="120"/>
              <w:spacing w:after="0"/>
              <w:rPr>
                <w:sz w:val="20"/>
                <w:szCs w:val="20"/>
                <w:color w:val="auto"/>
              </w:rPr>
            </w:pPr>
            <w:r>
              <w:rPr>
                <w:rFonts w:ascii="Arial" w:cs="Arial" w:eastAsia="Arial" w:hAnsi="Arial"/>
                <w:sz w:val="18"/>
                <w:szCs w:val="18"/>
                <w:i w:val="1"/>
                <w:iCs w:val="1"/>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14, 2018</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(Ann Rhoads)</w:t>
            </w:r>
          </w:p>
        </w:tc>
        <w:tc>
          <w:tcPr>
            <w:tcW w:w="1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120" w:type="dxa"/>
            <w:vAlign w:val="bottom"/>
          </w:tcPr>
          <w:p>
            <w:pPr>
              <w:spacing w:after="0"/>
              <w:rPr>
                <w:sz w:val="24"/>
                <w:szCs w:val="24"/>
                <w:color w:val="auto"/>
              </w:rPr>
            </w:pPr>
          </w:p>
        </w:tc>
        <w:tc>
          <w:tcPr>
            <w:tcW w:w="5820" w:type="dxa"/>
            <w:vAlign w:val="bottom"/>
            <w:gridSpan w:val="2"/>
          </w:tcPr>
          <w:p>
            <w:pPr>
              <w:jc w:val="right"/>
              <w:ind w:right="4068"/>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(333-213094) and Form S-8 (333-197934, 333-183513, 333-161630, 333-155598, 333-147866, 333-135822, 333-127716, 333-117885, 333-107700, 333-97541, 333-67480, 333-45736, 333-86091, 333-57573, 333-32161) of our reports dated March 14, 2018 relating to the consolidated financial statements and the effectiveness of internal control over financial reporting as of December 30, 2017, which appear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8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WILLIAM M. MOORE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Atabak Mokari, certify that:</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ATABAK MOKARI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Chief Financial Officer and Vice President of Corporate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Development</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 William M. Moore, pursuant to 18 U.S.C. Section 1350, as adopted pursuant to Section 906 of the Sarbanes-Oxley Act of 2002, certify that the Annual Report of IRIDEX Corporation on Form 10-K for the fiscal year ended December 30, 2017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WILLIAM M. MOORE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 Atabak Mokari, pursuant to 18 U.S.C. Section 1350, as adopted pursuant to Section 906 of the Sarbanes-Oxley Act of 2002, certify that the Annual Report of IRIDEX Corporation on Form 10-K for the fiscal year ended December 30, 2017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5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ATABAK MOKARI</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Chief Financial Officer and Vice President of Corporate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Development</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8"/>
    </w:lvl>
  </w:abstractNum>
  <w:abstractNum w:abstractNumId="23">
    <w:nsid w:val="79838CB2"/>
    <w:multiLevelType w:val="hybridMultilevel"/>
    <w:lvl w:ilvl="0">
      <w:lvlJc w:val="left"/>
      <w:lvlText w:val="(%1)"/>
      <w:numFmt w:val="upperLetter"/>
      <w:start w:val="16"/>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01" Type="http://schemas.openxmlformats.org/officeDocument/2006/relationships/hyperlink" Target="http://www.sec.gov/Archives/edgar/data/1006045/000119312513129386/d511173dex101.htm" TargetMode="External"/><Relationship Id="rId102" Type="http://schemas.openxmlformats.org/officeDocument/2006/relationships/hyperlink" Target="http://www.sec.gov/Archives/edgar/data/1006045/000089161807000540/f33502exv4w1.htm" TargetMode="External"/><Relationship Id="rId103" Type="http://schemas.openxmlformats.org/officeDocument/2006/relationships/hyperlink" Target="http://www.sec.gov/Archives/edgar/data/1006045/000089161807000540/f33502exv4w2.htm" TargetMode="External"/><Relationship Id="rId104" Type="http://schemas.openxmlformats.org/officeDocument/2006/relationships/hyperlink" Target="http://www.sec.gov/Archives/edgar/data/1006045/000119312509073387/dex43.htm" TargetMode="External"/><Relationship Id="rId105" Type="http://schemas.openxmlformats.org/officeDocument/2006/relationships/hyperlink" Target="http://www.sec.gov/Archives/edgar/data/1006045/000119312516679895/d233658dex45.htm" TargetMode="External"/><Relationship Id="rId106" Type="http://schemas.openxmlformats.org/officeDocument/2006/relationships/hyperlink" Target="http://www.sec.gov/Archives/edgar/data/1006045/000119312516679895/d233658dex47.htm" TargetMode="External"/><Relationship Id="rId107" Type="http://schemas.openxmlformats.org/officeDocument/2006/relationships/hyperlink" Target="http://www.sec.gov/Archives/edgar/data/1006045/000156459016015763/irix-ex101_303.htm" TargetMode="External"/><Relationship Id="rId111" Type="http://schemas.openxmlformats.org/officeDocument/2006/relationships/hyperlink" Target="http://www.sec.gov/Archives/edgar/data/1006045/000156459016021155/irix-ex102_9.htm" TargetMode="External"/><Relationship Id="rId112" Type="http://schemas.openxmlformats.org/officeDocument/2006/relationships/hyperlink" Target="http://www.sec.gov/Archives/edgar/data/1006045/000119312509070788/dex102.htm" TargetMode="External"/><Relationship Id="rId113" Type="http://schemas.openxmlformats.org/officeDocument/2006/relationships/hyperlink" Target="http://www.sec.gov/Archives/edgar/data/1006045/000119312512001934/d276608dex21.htm" TargetMode="External"/><Relationship Id="rId114" Type="http://schemas.openxmlformats.org/officeDocument/2006/relationships/hyperlink" Target="http://www.sec.gov/Archives/edgar/data/1006045/000156459017007969/irix-ex101_6.htm" TargetMode="External"/><Relationship Id="rId115" Type="http://schemas.openxmlformats.org/officeDocument/2006/relationships/hyperlink" Target="http://www.sec.gov/Archives/edgar/data/1006045/000095013404006335/f98194dedef14a.htm" TargetMode="External"/><Relationship Id="rId116" Type="http://schemas.openxmlformats.org/officeDocument/2006/relationships/hyperlink" Target="http://www.sec.gov/Archives/edgar/data/1006045/000095013408007616/f40174dedef14a.htm" TargetMode="External"/><Relationship Id="rId117" Type="http://schemas.openxmlformats.org/officeDocument/2006/relationships/hyperlink" Target="http://www.sec.gov/Archives/edgar/data/1006045/000119312508241322/dex991.htm" TargetMode="External"/><Relationship Id="rId118" Type="http://schemas.openxmlformats.org/officeDocument/2006/relationships/hyperlink" Target="http://www.sec.gov/Archives/edgar/data/1006045/000119312509159297/dex99d5.htm" TargetMode="External"/><Relationship Id="rId119" Type="http://schemas.openxmlformats.org/officeDocument/2006/relationships/hyperlink" Target="http://www.sec.gov/Archives/edgar/data/1006045/000089161807000540/f33502exv10w1.htm" TargetMode="External"/><Relationship Id="rId120" Type="http://schemas.openxmlformats.org/officeDocument/2006/relationships/hyperlink" Target="http://www.sec.gov/Archives/edgar/data/1006045/000119312511210538/dex101.htm" TargetMode="External"/><Relationship Id="rId121" Type="http://schemas.openxmlformats.org/officeDocument/2006/relationships/hyperlink" Target="http://www.sec.gov/Archives/edgar/data/1006045/000119312511210538/dex102.htm" TargetMode="External"/><Relationship Id="rId122" Type="http://schemas.openxmlformats.org/officeDocument/2006/relationships/hyperlink" Target="http://www.sec.gov/Archives/edgar/data/1006045/000156459014000015/irix-ex10_201401046.htm" TargetMode="External"/><Relationship Id="rId123" Type="http://schemas.openxmlformats.org/officeDocument/2006/relationships/hyperlink" Target="http://www.sec.gov/Archives/edgar/data/1006045/000156459015004035/irix-ex101_2015040457.htm" TargetMode="External"/><Relationship Id="rId124" Type="http://schemas.openxmlformats.org/officeDocument/2006/relationships/hyperlink" Target="http://www.sec.gov/Archives/edgar/data/1006045/000156459017024807/irix-ex101_6.htm" TargetMode="External"/><Relationship Id="rId125" Type="http://schemas.openxmlformats.org/officeDocument/2006/relationships/hyperlink" Target="http://www.sec.gov/Archives/edgar/data/1006045/000156459016021155/irix-ex103_7.htm" TargetMode="External"/><Relationship Id="rId126" Type="http://schemas.openxmlformats.org/officeDocument/2006/relationships/hyperlink" Target="http://www.sec.gov/Archives/edgar/data/1006045/000156459016027421/irix-ex101_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2019-12-29T00:45:23Z</dcterms:created>
  <dcterms:modified xsi:type="dcterms:W3CDTF">2019-12-29T00:45:23Z</dcterms:modified>
</cp:coreProperties>
</file>