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64770</wp:posOffset>
            </wp:positionV>
            <wp:extent cx="1011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71755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ind w:left="540" w:hanging="532"/>
        <w:spacing w:after="0" w:line="183" w:lineRule="auto"/>
        <w:tabs>
          <w:tab w:leader="none" w:pos="5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3"/>
          <w:szCs w:val="13"/>
          <w:b w:val="1"/>
          <w:bCs w:val="1"/>
          <w:color w:val="auto"/>
        </w:rPr>
        <w:t>ANNUAL REPORT PURSUANT TO SECTION 13 OR 15(d) OF THE SECURITY EXCHANGE ACT OF 1934</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fiscal year ended January 1, 2022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540" w:hanging="532"/>
        <w:spacing w:after="0" w:line="180" w:lineRule="auto"/>
        <w:tabs>
          <w:tab w:leader="none" w:pos="540" w:val="left"/>
        </w:tabs>
        <w:numPr>
          <w:ilvl w:val="0"/>
          <w:numId w:val="2"/>
        </w:numPr>
        <w:rPr>
          <w:rFonts w:ascii="MS PGothic" w:cs="MS PGothic" w:eastAsia="MS PGothic" w:hAnsi="MS PGothic"/>
          <w:sz w:val="27"/>
          <w:szCs w:val="27"/>
          <w:color w:val="auto"/>
          <w:vertAlign w:val="subscript"/>
        </w:rPr>
      </w:pPr>
      <w:r>
        <w:rPr>
          <w:rFonts w:ascii="Arial" w:cs="Arial" w:eastAsia="Arial" w:hAnsi="Arial"/>
          <w:sz w:val="12"/>
          <w:szCs w:val="12"/>
          <w:b w:val="1"/>
          <w:bCs w:val="1"/>
          <w:color w:val="auto"/>
        </w:rPr>
        <w:t>TRANSITION REPORT PURSUANT TO SECTION 13 OR 15(d) OF THE SECURITY EXCHANGE ACT OF 1934</w:t>
      </w:r>
    </w:p>
    <w:p>
      <w:pPr>
        <w:spacing w:after="0" w:line="68"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198"/>
        </w:trPr>
        <w:tc>
          <w:tcPr>
            <w:tcW w:w="3180" w:type="dxa"/>
            <w:vAlign w:val="bottom"/>
            <w:gridSpan w:val="6"/>
          </w:tcPr>
          <w:p>
            <w:pPr>
              <w:ind w:left="740"/>
              <w:spacing w:after="0"/>
              <w:rPr>
                <w:sz w:val="20"/>
                <w:szCs w:val="20"/>
                <w:color w:val="auto"/>
              </w:rPr>
            </w:pPr>
            <w:r>
              <w:rPr>
                <w:rFonts w:ascii="Arial" w:cs="Arial" w:eastAsia="Arial" w:hAnsi="Arial"/>
                <w:sz w:val="14"/>
                <w:szCs w:val="14"/>
                <w:b w:val="1"/>
                <w:bCs w:val="1"/>
                <w:color w:val="auto"/>
              </w:rPr>
              <w:t>Commission File Number 0-27598</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6"/>
        </w:trPr>
        <w:tc>
          <w:tcPr>
            <w:tcW w:w="9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IRIDEX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56515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2520"/>
              <w:spacing w:after="0"/>
              <w:rPr>
                <w:sz w:val="20"/>
                <w:szCs w:val="20"/>
                <w:color w:val="auto"/>
              </w:rPr>
            </w:pPr>
            <w:r>
              <w:rPr>
                <w:rFonts w:ascii="Arial" w:cs="Arial" w:eastAsia="Arial" w:hAnsi="Arial"/>
                <w:sz w:val="14"/>
                <w:szCs w:val="14"/>
                <w:b w:val="1"/>
                <w:bCs w:val="1"/>
                <w:color w:val="auto"/>
              </w:rPr>
              <w:t>Delaware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40" w:type="dxa"/>
            <w:vAlign w:val="bottom"/>
          </w:tcPr>
          <w:p>
            <w:pPr>
              <w:jc w:val="right"/>
              <w:ind w:right="2391"/>
              <w:spacing w:after="0"/>
              <w:rPr>
                <w:sz w:val="20"/>
                <w:szCs w:val="20"/>
                <w:color w:val="auto"/>
              </w:rPr>
            </w:pPr>
            <w:r>
              <w:rPr>
                <w:rFonts w:ascii="Arial" w:cs="Arial" w:eastAsia="Arial" w:hAnsi="Arial"/>
                <w:sz w:val="14"/>
                <w:szCs w:val="14"/>
                <w:b w:val="1"/>
                <w:bCs w:val="1"/>
                <w:color w:val="auto"/>
              </w:rPr>
              <w:t>77-0210467</w:t>
            </w:r>
          </w:p>
        </w:tc>
        <w:tc>
          <w:tcPr>
            <w:tcW w:w="0" w:type="dxa"/>
            <w:vAlign w:val="bottom"/>
          </w:tcPr>
          <w:p>
            <w:pPr>
              <w:spacing w:after="0"/>
              <w:rPr>
                <w:sz w:val="1"/>
                <w:szCs w:val="1"/>
                <w:color w:val="auto"/>
              </w:rPr>
            </w:pPr>
          </w:p>
        </w:tc>
      </w:tr>
      <w:tr>
        <w:trPr>
          <w:trHeight w:val="174"/>
        </w:trPr>
        <w:tc>
          <w:tcPr>
            <w:tcW w:w="7400" w:type="dxa"/>
            <w:vAlign w:val="bottom"/>
            <w:gridSpan w:val="8"/>
          </w:tcPr>
          <w:p>
            <w:pPr>
              <w:ind w:left="1080"/>
              <w:spacing w:after="0"/>
              <w:rPr>
                <w:sz w:val="20"/>
                <w:szCs w:val="20"/>
                <w:color w:val="auto"/>
              </w:rPr>
            </w:pPr>
            <w:r>
              <w:rPr>
                <w:rFonts w:ascii="Arial" w:cs="Arial" w:eastAsia="Arial" w:hAnsi="Arial"/>
                <w:sz w:val="13"/>
                <w:szCs w:val="13"/>
                <w:b w:val="1"/>
                <w:bCs w:val="1"/>
                <w:color w:val="auto"/>
              </w:rPr>
              <w:t>(State or other jurisdiction of incorporation or organization)</w:t>
            </w:r>
          </w:p>
        </w:tc>
        <w:tc>
          <w:tcPr>
            <w:tcW w:w="3840" w:type="dxa"/>
            <w:vAlign w:val="bottom"/>
          </w:tcPr>
          <w:p>
            <w:pPr>
              <w:jc w:val="center"/>
              <w:ind w:right="1711"/>
              <w:spacing w:after="0"/>
              <w:rPr>
                <w:sz w:val="20"/>
                <w:szCs w:val="20"/>
                <w:color w:val="auto"/>
              </w:rPr>
            </w:pPr>
            <w:r>
              <w:rPr>
                <w:rFonts w:ascii="Arial" w:cs="Arial" w:eastAsia="Arial" w:hAnsi="Arial"/>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180"/>
        </w:trPr>
        <w:tc>
          <w:tcPr>
            <w:tcW w:w="3600" w:type="dxa"/>
            <w:vAlign w:val="bottom"/>
          </w:tcPr>
          <w:p>
            <w:pPr>
              <w:jc w:val="center"/>
              <w:ind w:left="111"/>
              <w:spacing w:after="0"/>
              <w:rPr>
                <w:sz w:val="20"/>
                <w:szCs w:val="20"/>
                <w:color w:val="auto"/>
              </w:rPr>
            </w:pPr>
            <w:r>
              <w:rPr>
                <w:rFonts w:ascii="Arial" w:cs="Arial" w:eastAsia="Arial" w:hAnsi="Arial"/>
                <w:sz w:val="14"/>
                <w:szCs w:val="14"/>
                <w:b w:val="1"/>
                <w:bCs w:val="1"/>
                <w:color w:val="auto"/>
                <w:w w:val="92"/>
              </w:rPr>
              <w:t>1212 Terra Bella Avenue</w:t>
            </w:r>
          </w:p>
        </w:tc>
        <w:tc>
          <w:tcPr>
            <w:tcW w:w="2820" w:type="dxa"/>
            <w:vAlign w:val="bottom"/>
            <w:gridSpan w:val="4"/>
          </w:tcPr>
          <w:p>
            <w:pPr>
              <w:jc w:val="center"/>
              <w:ind w:left="1150"/>
              <w:spacing w:after="0"/>
              <w:rPr>
                <w:sz w:val="20"/>
                <w:szCs w:val="20"/>
                <w:color w:val="auto"/>
              </w:rPr>
            </w:pPr>
            <w:r>
              <w:rPr>
                <w:rFonts w:ascii="Arial" w:cs="Arial" w:eastAsia="Arial" w:hAnsi="Arial"/>
                <w:sz w:val="13"/>
                <w:szCs w:val="13"/>
                <w:b w:val="1"/>
                <w:bCs w:val="1"/>
                <w:color w:val="auto"/>
                <w:w w:val="94"/>
              </w:rPr>
              <w:t>(650) 940-4700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40" w:type="dxa"/>
            <w:vAlign w:val="bottom"/>
          </w:tcPr>
          <w:p>
            <w:pPr>
              <w:jc w:val="right"/>
              <w:ind w:right="1631"/>
              <w:spacing w:after="0"/>
              <w:rPr>
                <w:sz w:val="20"/>
                <w:szCs w:val="20"/>
                <w:color w:val="auto"/>
              </w:rPr>
            </w:pPr>
            <w:r>
              <w:rPr>
                <w:rFonts w:ascii="Arial" w:cs="Arial" w:eastAsia="Arial" w:hAnsi="Arial"/>
                <w:sz w:val="13"/>
                <w:szCs w:val="13"/>
                <w:b w:val="1"/>
                <w:bCs w:val="1"/>
                <w:color w:val="auto"/>
              </w:rPr>
              <w:t>94043</w:t>
            </w:r>
          </w:p>
        </w:tc>
        <w:tc>
          <w:tcPr>
            <w:tcW w:w="0" w:type="dxa"/>
            <w:vAlign w:val="bottom"/>
          </w:tcPr>
          <w:p>
            <w:pPr>
              <w:spacing w:after="0"/>
              <w:rPr>
                <w:sz w:val="1"/>
                <w:szCs w:val="1"/>
                <w:color w:val="auto"/>
              </w:rPr>
            </w:pPr>
          </w:p>
        </w:tc>
      </w:tr>
      <w:tr>
        <w:trPr>
          <w:trHeight w:val="158"/>
        </w:trPr>
        <w:tc>
          <w:tcPr>
            <w:tcW w:w="3600" w:type="dxa"/>
            <w:vAlign w:val="bottom"/>
          </w:tcPr>
          <w:p>
            <w:pPr>
              <w:jc w:val="center"/>
              <w:ind w:left="111"/>
              <w:spacing w:after="0" w:line="159" w:lineRule="exact"/>
              <w:rPr>
                <w:sz w:val="20"/>
                <w:szCs w:val="20"/>
                <w:color w:val="auto"/>
              </w:rPr>
            </w:pPr>
            <w:r>
              <w:rPr>
                <w:rFonts w:ascii="Arial" w:cs="Arial" w:eastAsia="Arial" w:hAnsi="Arial"/>
                <w:sz w:val="14"/>
                <w:szCs w:val="14"/>
                <w:b w:val="1"/>
                <w:bCs w:val="1"/>
                <w:color w:val="auto"/>
                <w:w w:val="96"/>
              </w:rPr>
              <w:t>Mountain View, CA</w:t>
            </w:r>
          </w:p>
        </w:tc>
        <w:tc>
          <w:tcPr>
            <w:tcW w:w="3800" w:type="dxa"/>
            <w:vAlign w:val="bottom"/>
            <w:gridSpan w:val="7"/>
          </w:tcPr>
          <w:p>
            <w:pPr>
              <w:jc w:val="center"/>
              <w:ind w:left="190"/>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3840" w:type="dxa"/>
            <w:vAlign w:val="bottom"/>
          </w:tcPr>
          <w:p>
            <w:pPr>
              <w:jc w:val="center"/>
              <w:ind w:left="31"/>
              <w:spacing w:after="0" w:line="159"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74"/>
        </w:trPr>
        <w:tc>
          <w:tcPr>
            <w:tcW w:w="3600" w:type="dxa"/>
            <w:vAlign w:val="bottom"/>
          </w:tcPr>
          <w:p>
            <w:pPr>
              <w:jc w:val="center"/>
              <w:ind w:left="9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18"/>
                <w:szCs w:val="18"/>
                <w:color w:val="auto"/>
              </w:rPr>
            </w:pPr>
          </w:p>
        </w:tc>
        <w:tc>
          <w:tcPr>
            <w:tcW w:w="3800" w:type="dxa"/>
            <w:vAlign w:val="bottom"/>
            <w:gridSpan w:val="7"/>
          </w:tcPr>
          <w:p>
            <w:pPr>
              <w:jc w:val="center"/>
              <w:ind w:left="17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0" w:type="dxa"/>
            <w:vAlign w:val="bottom"/>
          </w:tcPr>
          <w:p>
            <w:pPr>
              <w:ind w:left="1720"/>
              <w:spacing w:after="0"/>
              <w:rPr>
                <w:sz w:val="20"/>
                <w:szCs w:val="20"/>
                <w:color w:val="auto"/>
              </w:rPr>
            </w:pPr>
            <w:r>
              <w:rPr>
                <w:rFonts w:ascii="Arial" w:cs="Arial" w:eastAsia="Arial" w:hAnsi="Arial"/>
                <w:sz w:val="13"/>
                <w:szCs w:val="13"/>
                <w:color w:val="auto"/>
              </w:rPr>
              <w:t>Title of each class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center"/>
              <w:ind w:right="940"/>
              <w:spacing w:after="0"/>
              <w:rPr>
                <w:sz w:val="20"/>
                <w:szCs w:val="20"/>
                <w:color w:val="auto"/>
              </w:rPr>
            </w:pPr>
            <w:r>
              <w:rPr>
                <w:rFonts w:ascii="Arial" w:cs="Arial" w:eastAsia="Arial" w:hAnsi="Arial"/>
                <w:sz w:val="13"/>
                <w:szCs w:val="13"/>
                <w:color w:val="auto"/>
                <w:w w:val="96"/>
              </w:rPr>
              <w:t>Trading Symbol</w:t>
            </w:r>
          </w:p>
        </w:tc>
        <w:tc>
          <w:tcPr>
            <w:tcW w:w="3840" w:type="dxa"/>
            <w:vAlign w:val="bottom"/>
          </w:tcPr>
          <w:p>
            <w:pPr>
              <w:jc w:val="center"/>
              <w:ind w:right="471"/>
              <w:spacing w:after="0"/>
              <w:rPr>
                <w:sz w:val="20"/>
                <w:szCs w:val="20"/>
                <w:color w:val="auto"/>
              </w:rPr>
            </w:pPr>
            <w:r>
              <w:rPr>
                <w:rFonts w:ascii="Arial" w:cs="Arial" w:eastAsia="Arial" w:hAnsi="Arial"/>
                <w:sz w:val="13"/>
                <w:szCs w:val="13"/>
                <w:color w:val="auto"/>
                <w:w w:val="94"/>
              </w:rPr>
              <w:t>Name of Exchange on Which Registered</w:t>
            </w:r>
          </w:p>
        </w:tc>
        <w:tc>
          <w:tcPr>
            <w:tcW w:w="0" w:type="dxa"/>
            <w:vAlign w:val="bottom"/>
          </w:tcPr>
          <w:p>
            <w:pPr>
              <w:spacing w:after="0"/>
              <w:rPr>
                <w:sz w:val="1"/>
                <w:szCs w:val="1"/>
                <w:color w:val="auto"/>
              </w:rPr>
            </w:pPr>
          </w:p>
        </w:tc>
      </w:tr>
      <w:tr>
        <w:trPr>
          <w:trHeight w:val="160"/>
        </w:trPr>
        <w:tc>
          <w:tcPr>
            <w:tcW w:w="3600" w:type="dxa"/>
            <w:vAlign w:val="bottom"/>
            <w:tcBorders>
              <w:top w:val="single" w:sz="8" w:color="auto"/>
            </w:tcBorders>
          </w:tcPr>
          <w:p>
            <w:pPr>
              <w:ind w:left="1060"/>
              <w:spacing w:after="0"/>
              <w:rPr>
                <w:sz w:val="20"/>
                <w:szCs w:val="20"/>
                <w:color w:val="auto"/>
              </w:rPr>
            </w:pPr>
            <w:r>
              <w:rPr>
                <w:rFonts w:ascii="Arial" w:cs="Arial" w:eastAsia="Arial" w:hAnsi="Arial"/>
                <w:sz w:val="13"/>
                <w:szCs w:val="13"/>
                <w:color w:val="auto"/>
              </w:rPr>
              <w:t>Common Stock, par value $0.01 per share</w:t>
            </w: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3"/>
                <w:szCs w:val="13"/>
                <w:color w:val="auto"/>
              </w:rPr>
              <w:t>IRIX</w:t>
            </w: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40" w:type="dxa"/>
            <w:vAlign w:val="bottom"/>
            <w:tcBorders>
              <w:top w:val="single" w:sz="8" w:color="auto"/>
            </w:tcBorders>
          </w:tcPr>
          <w:p>
            <w:pPr>
              <w:jc w:val="center"/>
              <w:ind w:right="471"/>
              <w:spacing w:after="0"/>
              <w:rPr>
                <w:sz w:val="20"/>
                <w:szCs w:val="20"/>
                <w:color w:val="auto"/>
              </w:rPr>
            </w:pPr>
            <w:r>
              <w:rPr>
                <w:rFonts w:ascii="Arial" w:cs="Arial" w:eastAsia="Arial" w:hAnsi="Arial"/>
                <w:sz w:val="13"/>
                <w:szCs w:val="13"/>
                <w:color w:val="auto"/>
                <w:w w:val="94"/>
              </w:rPr>
              <w:t>Nasdaq Global Market</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3800" w:type="dxa"/>
            <w:vAlign w:val="bottom"/>
            <w:gridSpan w:val="7"/>
          </w:tcPr>
          <w:p>
            <w:pPr>
              <w:jc w:val="center"/>
              <w:ind w:left="17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2"/>
              </w:rPr>
              <w:t>None.</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820" w:type="dxa"/>
            <w:vAlign w:val="bottom"/>
            <w:gridSpan w:val="4"/>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gridSpan w:val="3"/>
          </w:tcPr>
          <w:p>
            <w:pPr>
              <w:spacing w:after="0"/>
              <w:rPr>
                <w:sz w:val="6"/>
                <w:szCs w:val="6"/>
                <w:color w:val="auto"/>
              </w:rPr>
            </w:pPr>
          </w:p>
        </w:tc>
        <w:tc>
          <w:tcPr>
            <w:tcW w:w="3840" w:type="dxa"/>
            <w:vAlign w:val="bottom"/>
            <w:vMerge w:val="restart"/>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4"/>
        </w:trPr>
        <w:tc>
          <w:tcPr>
            <w:tcW w:w="7400" w:type="dxa"/>
            <w:vAlign w:val="bottom"/>
            <w:gridSpan w:val="8"/>
          </w:tcPr>
          <w:p>
            <w:pPr>
              <w:ind w:left="560"/>
              <w:spacing w:after="0"/>
              <w:rPr>
                <w:sz w:val="20"/>
                <w:szCs w:val="20"/>
                <w:color w:val="auto"/>
              </w:rPr>
            </w:pPr>
            <w:r>
              <w:rPr>
                <w:rFonts w:ascii="Arial" w:cs="Arial" w:eastAsia="Arial" w:hAnsi="Arial"/>
                <w:sz w:val="13"/>
                <w:szCs w:val="13"/>
                <w:color w:val="auto"/>
                <w:w w:val="94"/>
              </w:rPr>
              <w:t>Indicate by check mark if the Registrant is a well-known seasoned issuer, as defined in Rule 405 of the Securities Act of 1933.</w:t>
            </w:r>
          </w:p>
        </w:tc>
        <w:tc>
          <w:tcPr>
            <w:tcW w:w="3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1240" w:type="dxa"/>
            <w:vAlign w:val="bottom"/>
            <w:gridSpan w:val="9"/>
          </w:tcPr>
          <w:p>
            <w:pPr>
              <w:ind w:left="56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60" w:firstLine="546"/>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firstLine="546"/>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540" w:firstLine="546"/>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4" w:lineRule="exact"/>
        <w:rPr>
          <w:sz w:val="24"/>
          <w:szCs w:val="24"/>
          <w:color w:val="auto"/>
        </w:rPr>
      </w:pPr>
    </w:p>
    <w:p>
      <w:pPr>
        <w:ind w:right="20" w:firstLine="54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46"/>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60"/>
        <w:spacing w:after="0" w:line="150" w:lineRule="exact"/>
        <w:tabs>
          <w:tab w:leader="none" w:pos="684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52" w:lineRule="exact"/>
        <w:rPr>
          <w:sz w:val="24"/>
          <w:szCs w:val="24"/>
          <w:color w:val="auto"/>
        </w:rPr>
      </w:pPr>
    </w:p>
    <w:p>
      <w:pPr>
        <w:ind w:right="60" w:firstLine="546"/>
        <w:spacing w:after="0" w:line="270" w:lineRule="auto"/>
        <w:rPr>
          <w:sz w:val="20"/>
          <w:szCs w:val="20"/>
          <w:color w:val="auto"/>
        </w:rPr>
      </w:pPr>
      <w:r>
        <w:rPr>
          <w:rFonts w:ascii="Arial" w:cs="Arial" w:eastAsia="Arial" w:hAnsi="Arial"/>
          <w:sz w:val="12"/>
          <w:szCs w:val="12"/>
          <w:color w:val="auto"/>
        </w:rPr>
        <w:t>The aggregate market value of the voting common equity held by non-affiliates of the Registrant was approximately $85,283,994 as of July 2, 2021,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ind w:left="560"/>
        <w:spacing w:after="0"/>
        <w:rPr>
          <w:sz w:val="20"/>
          <w:szCs w:val="20"/>
          <w:color w:val="auto"/>
        </w:rPr>
      </w:pPr>
      <w:r>
        <w:rPr>
          <w:rFonts w:ascii="Arial" w:cs="Arial" w:eastAsia="Arial" w:hAnsi="Arial"/>
          <w:sz w:val="13"/>
          <w:szCs w:val="13"/>
          <w:color w:val="auto"/>
        </w:rPr>
        <w:t>As of March 3, 2022, Registrant had 15,882,616 shares of common stock outstanding.</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0" w:lineRule="exact"/>
        <w:rPr>
          <w:sz w:val="24"/>
          <w:szCs w:val="24"/>
          <w:color w:val="auto"/>
        </w:rPr>
      </w:pPr>
    </w:p>
    <w:p>
      <w:pPr>
        <w:ind w:left="560"/>
        <w:spacing w:after="0"/>
        <w:rPr>
          <w:sz w:val="20"/>
          <w:szCs w:val="20"/>
          <w:color w:val="auto"/>
        </w:rPr>
      </w:pPr>
      <w:r>
        <w:rPr>
          <w:rFonts w:ascii="Arial" w:cs="Arial" w:eastAsia="Arial" w:hAnsi="Arial"/>
          <w:sz w:val="12"/>
          <w:szCs w:val="12"/>
          <w:color w:val="auto"/>
        </w:rPr>
        <w:t>Certain parts of the Proxy Statement for the Registrant’s 2022 Annual Meeting of Stockholders (the “Proxy Statement”) are incorporated by reference into Part III of this Annual Report on Form 10-</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340" w:firstLine="546"/>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95" w:lineRule="exact"/>
        <w:rPr>
          <w:sz w:val="20"/>
          <w:szCs w:val="20"/>
          <w:color w:val="auto"/>
        </w:rPr>
      </w:pPr>
    </w:p>
    <w:p>
      <w:pPr>
        <w:jc w:val="both"/>
        <w:ind w:left="1080" w:right="100" w:hanging="532"/>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2" w:lineRule="exact"/>
        <w:rPr>
          <w:rFonts w:ascii="Arial" w:cs="Arial" w:eastAsia="Arial" w:hAnsi="Arial"/>
          <w:sz w:val="18"/>
          <w:szCs w:val="18"/>
          <w:color w:val="auto"/>
        </w:rPr>
      </w:pPr>
    </w:p>
    <w:p>
      <w:pPr>
        <w:ind w:left="1080" w:right="20" w:hanging="532"/>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strategic partnership with Topcon Corporation;</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9" w:lineRule="exact"/>
        <w:rPr>
          <w:rFonts w:ascii="Arial" w:cs="Arial" w:eastAsia="Arial" w:hAnsi="Arial"/>
          <w:sz w:val="18"/>
          <w:szCs w:val="18"/>
          <w:color w:val="auto"/>
        </w:rPr>
      </w:pPr>
    </w:p>
    <w:p>
      <w:pPr>
        <w:ind w:left="1080" w:right="40" w:hanging="532"/>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21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ind w:right="180" w:firstLine="546"/>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As used in this Annual Report on Form 10-K,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60" w:type="dxa"/>
            <w:vAlign w:val="bottom"/>
            <w:gridSpan w:val="9"/>
          </w:tcPr>
          <w:p>
            <w:pPr>
              <w:ind w:left="6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 w:type="dxa"/>
            <w:vAlign w:val="bottom"/>
            <w:gridSpan w:val="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7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680" w:type="dxa"/>
            <w:vAlign w:val="bottom"/>
            <w:tcBorders>
              <w:bottom w:val="single" w:sz="8" w:color="0000EE"/>
            </w:tcBorders>
          </w:tcPr>
          <w:p>
            <w:pPr>
              <w:ind w:left="4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940" w:type="dxa"/>
            <w:vAlign w:val="bottom"/>
            <w:gridSpan w:val="20"/>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1A. Risk Factors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400" w:type="dxa"/>
            <w:vAlign w:val="bottom"/>
            <w:tcBorders>
              <w:bottom w:val="single" w:sz="8" w:color="0000EE"/>
            </w:tcBorders>
            <w:gridSpan w:val="10"/>
          </w:tcPr>
          <w:p>
            <w:pPr>
              <w:ind w:left="60"/>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1B. Unresolved Staff Comments</w:t>
              </w:r>
            </w:hyperlink>
          </w:p>
        </w:tc>
        <w:tc>
          <w:tcPr>
            <w:tcW w:w="7420" w:type="dxa"/>
            <w:vAlign w:val="bottom"/>
            <w:gridSpan w:val="1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w:t>
              </w:r>
            </w:hyperlink>
          </w:p>
        </w:tc>
        <w:tc>
          <w:tcPr>
            <w:tcW w:w="760" w:type="dxa"/>
            <w:vAlign w:val="bottom"/>
            <w:tcBorders>
              <w:bottom w:val="single" w:sz="8" w:color="0000EE"/>
            </w:tcBorders>
            <w:gridSpan w:val="2"/>
          </w:tcPr>
          <w:p>
            <w:pPr>
              <w:ind w:left="40"/>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8860" w:type="dxa"/>
            <w:vAlign w:val="bottom"/>
            <w:gridSpan w:val="1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4.</w:t>
              </w:r>
            </w:hyperlink>
          </w:p>
        </w:tc>
        <w:tc>
          <w:tcPr>
            <w:tcW w:w="1800" w:type="dxa"/>
            <w:vAlign w:val="bottom"/>
            <w:tcBorders>
              <w:bottom w:val="single" w:sz="8" w:color="0000EE"/>
            </w:tcBorders>
            <w:gridSpan w:val="6"/>
          </w:tcPr>
          <w:p>
            <w:pPr>
              <w:ind w:left="40"/>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Mine Safety Disclosures</w:t>
              </w:r>
            </w:hyperlink>
          </w:p>
        </w:tc>
        <w:tc>
          <w:tcPr>
            <w:tcW w:w="7820" w:type="dxa"/>
            <w:vAlign w:val="bottom"/>
            <w:gridSpan w:val="15"/>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Part 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5.</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and Related Stockholder Matters, and Issuer Purchases of Equity Securities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Item</w:t>
              </w:r>
            </w:hyperlink>
          </w:p>
        </w:tc>
        <w:tc>
          <w:tcPr>
            <w:tcW w:w="200" w:type="dxa"/>
            <w:vAlign w:val="bottom"/>
            <w:tcBorders>
              <w:top w:val="single" w:sz="8" w:color="0000EE"/>
              <w:bottom w:val="single" w:sz="8" w:color="0000EE"/>
            </w:tcBorders>
          </w:tcPr>
          <w:p>
            <w:pPr>
              <w:ind w:left="60"/>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6.</w:t>
              </w:r>
            </w:hyperlink>
          </w:p>
        </w:tc>
        <w:tc>
          <w:tcPr>
            <w:tcW w:w="1740" w:type="dxa"/>
            <w:vAlign w:val="bottom"/>
            <w:tcBorders>
              <w:top w:val="single" w:sz="8" w:color="0000EE"/>
              <w:bottom w:val="single" w:sz="8" w:color="0000EE"/>
            </w:tcBorders>
            <w:gridSpan w:val="5"/>
          </w:tcPr>
          <w:p>
            <w:pPr>
              <w:ind w:left="40"/>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Selected Financial Data</w:t>
              </w:r>
            </w:hyperlink>
          </w:p>
        </w:tc>
        <w:tc>
          <w:tcPr>
            <w:tcW w:w="6680" w:type="dxa"/>
            <w:vAlign w:val="bottom"/>
            <w:tcBorders>
              <w:top w:val="single" w:sz="8" w:color="0000EE"/>
            </w:tcBorders>
            <w:gridSpan w:val="15"/>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7.</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Item</w:t>
              </w:r>
            </w:hyperlink>
          </w:p>
        </w:tc>
        <w:tc>
          <w:tcPr>
            <w:tcW w:w="4720" w:type="dxa"/>
            <w:vAlign w:val="bottom"/>
            <w:tcBorders>
              <w:top w:val="single" w:sz="8" w:color="0000EE"/>
              <w:bottom w:val="single" w:sz="8" w:color="0000EE"/>
            </w:tcBorders>
            <w:gridSpan w:val="15"/>
          </w:tcPr>
          <w:p>
            <w:pPr>
              <w:ind w:left="60"/>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7A. Quantitative and Qualitative Disclosures About Market Risk</w:t>
              </w:r>
            </w:hyperlink>
          </w:p>
        </w:tc>
        <w:tc>
          <w:tcPr>
            <w:tcW w:w="1960" w:type="dxa"/>
            <w:vAlign w:val="bottom"/>
            <w:tcBorders>
              <w:top w:val="single" w:sz="8" w:color="0000EE"/>
            </w:tcBorders>
            <w:gridSpan w:val="3"/>
          </w:tcPr>
          <w:p>
            <w:pPr>
              <w:spacing w:after="0"/>
              <w:rPr>
                <w:sz w:val="17"/>
                <w:szCs w:val="17"/>
                <w:color w:val="auto"/>
              </w:rPr>
            </w:pPr>
          </w:p>
        </w:tc>
        <w:tc>
          <w:tcPr>
            <w:tcW w:w="314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8.</w:t>
              </w:r>
            </w:hyperlink>
          </w:p>
        </w:tc>
        <w:tc>
          <w:tcPr>
            <w:tcW w:w="3360" w:type="dxa"/>
            <w:vAlign w:val="bottom"/>
            <w:tcBorders>
              <w:bottom w:val="single" w:sz="8" w:color="0000EE"/>
            </w:tcBorders>
            <w:gridSpan w:val="12"/>
          </w:tcPr>
          <w:p>
            <w:pPr>
              <w:ind w:left="4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Financial Statements and Supplementary Data</w:t>
              </w:r>
            </w:hyperlink>
          </w:p>
        </w:tc>
        <w:tc>
          <w:tcPr>
            <w:tcW w:w="6260" w:type="dxa"/>
            <w:vAlign w:val="bottom"/>
            <w:gridSpan w:val="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9.</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2140" w:type="dxa"/>
            <w:vAlign w:val="bottom"/>
            <w:tcBorders>
              <w:top w:val="single" w:sz="8" w:color="0000EE"/>
              <w:bottom w:val="single" w:sz="8" w:color="0000EE"/>
            </w:tcBorders>
            <w:gridSpan w:val="9"/>
          </w:tcPr>
          <w:p>
            <w:pPr>
              <w:ind w:left="60"/>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9A. Controls and Procedures</w:t>
              </w:r>
            </w:hyperlink>
          </w:p>
        </w:tc>
        <w:tc>
          <w:tcPr>
            <w:tcW w:w="4560" w:type="dxa"/>
            <w:vAlign w:val="bottom"/>
            <w:tcBorders>
              <w:top w:val="single" w:sz="8" w:color="0000EE"/>
            </w:tcBorders>
            <w:gridSpan w:val="10"/>
          </w:tcPr>
          <w:p>
            <w:pPr>
              <w:spacing w:after="0"/>
              <w:rPr>
                <w:sz w:val="17"/>
                <w:szCs w:val="17"/>
                <w:color w:val="auto"/>
              </w:rPr>
            </w:pPr>
          </w:p>
        </w:tc>
        <w:tc>
          <w:tcPr>
            <w:tcW w:w="3120" w:type="dxa"/>
            <w:vAlign w:val="bottom"/>
            <w:gridSpan w:val="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9C. Disclosure Regarding Foreign Jurisdictions that Prevent Inspections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Part III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Item</w:t>
              </w:r>
            </w:hyperlink>
          </w:p>
        </w:tc>
        <w:tc>
          <w:tcPr>
            <w:tcW w:w="4420" w:type="dxa"/>
            <w:vAlign w:val="bottom"/>
            <w:tcBorders>
              <w:bottom w:val="single" w:sz="8" w:color="0000EE"/>
            </w:tcBorders>
            <w:gridSpan w:val="14"/>
          </w:tcPr>
          <w:p>
            <w:pPr>
              <w:ind w:left="60"/>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10. Directors, Executive Officers and Corporate Governance</w:t>
              </w:r>
            </w:hyperlink>
          </w:p>
        </w:tc>
        <w:tc>
          <w:tcPr>
            <w:tcW w:w="5400" w:type="dxa"/>
            <w:vAlign w:val="bottom"/>
            <w:gridSpan w:val="8"/>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Item</w:t>
              </w:r>
            </w:hyperlink>
          </w:p>
        </w:tc>
        <w:tc>
          <w:tcPr>
            <w:tcW w:w="2120" w:type="dxa"/>
            <w:vAlign w:val="bottom"/>
            <w:tcBorders>
              <w:bottom w:val="single" w:sz="8" w:color="0000EE"/>
            </w:tcBorders>
            <w:gridSpan w:val="8"/>
          </w:tcPr>
          <w:p>
            <w:pPr>
              <w:ind w:left="60"/>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11. Executive Compensation</w:t>
              </w:r>
            </w:hyperlink>
          </w:p>
        </w:tc>
        <w:tc>
          <w:tcPr>
            <w:tcW w:w="7700" w:type="dxa"/>
            <w:vAlign w:val="bottom"/>
            <w:gridSpan w:val="1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12. Security Ownership of Certain Beneficial Owners and Management and Related Stockholder Matters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Item</w:t>
              </w:r>
            </w:hyperlink>
          </w:p>
        </w:tc>
        <w:tc>
          <w:tcPr>
            <w:tcW w:w="7600" w:type="dxa"/>
            <w:vAlign w:val="bottom"/>
            <w:tcBorders>
              <w:top w:val="single" w:sz="8" w:color="0000EE"/>
            </w:tcBorders>
            <w:gridSpan w:val="20"/>
          </w:tcPr>
          <w:p>
            <w:pPr>
              <w:ind w:left="6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13. Certain Relationships and Related Transactions, and Director Independence</w:t>
              </w:r>
            </w:hyperlink>
          </w:p>
        </w:tc>
        <w:tc>
          <w:tcPr>
            <w:tcW w:w="2220" w:type="dxa"/>
            <w:vAlign w:val="bottom"/>
            <w:gridSpan w:val="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Item</w:t>
              </w:r>
            </w:hyperlink>
          </w:p>
        </w:tc>
        <w:tc>
          <w:tcPr>
            <w:tcW w:w="3180" w:type="dxa"/>
            <w:vAlign w:val="bottom"/>
            <w:tcBorders>
              <w:top w:val="single" w:sz="8" w:color="0000EE"/>
              <w:bottom w:val="single" w:sz="8" w:color="0000EE"/>
            </w:tcBorders>
            <w:gridSpan w:val="11"/>
          </w:tcPr>
          <w:p>
            <w:pPr>
              <w:ind w:left="60"/>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14. Principal Accountant Fees and Services</w:t>
              </w:r>
            </w:hyperlink>
          </w:p>
        </w:tc>
        <w:tc>
          <w:tcPr>
            <w:tcW w:w="2580" w:type="dxa"/>
            <w:vAlign w:val="bottom"/>
            <w:tcBorders>
              <w:top w:val="single" w:sz="8" w:color="0000EE"/>
            </w:tcBorders>
            <w:gridSpan w:val="6"/>
          </w:tcPr>
          <w:p>
            <w:pPr>
              <w:spacing w:after="0"/>
              <w:rPr>
                <w:sz w:val="17"/>
                <w:szCs w:val="17"/>
                <w:color w:val="auto"/>
              </w:rPr>
            </w:pPr>
          </w:p>
        </w:tc>
        <w:tc>
          <w:tcPr>
            <w:tcW w:w="4060" w:type="dxa"/>
            <w:vAlign w:val="bottom"/>
            <w:gridSpan w:val="5"/>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Part IV</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w:t>
              </w:r>
            </w:hyperlink>
          </w:p>
        </w:tc>
        <w:tc>
          <w:tcPr>
            <w:tcW w:w="3480" w:type="dxa"/>
            <w:vAlign w:val="bottom"/>
            <w:tcBorders>
              <w:bottom w:val="single" w:sz="8" w:color="0000EE"/>
            </w:tcBorders>
            <w:gridSpan w:val="12"/>
          </w:tcPr>
          <w:p>
            <w:pPr>
              <w:ind w:left="60"/>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15. Exhibits and Financial Statement Schedules</w:t>
              </w:r>
            </w:hyperlink>
          </w:p>
        </w:tc>
        <w:tc>
          <w:tcPr>
            <w:tcW w:w="6340" w:type="dxa"/>
            <w:vAlign w:val="bottom"/>
            <w:gridSpan w:val="10"/>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76">
              <w:r>
                <w:rPr>
                  <w:rFonts w:ascii="Arial" w:cs="Arial" w:eastAsia="Arial" w:hAnsi="Arial"/>
                  <w:sz w:val="18"/>
                  <w:szCs w:val="18"/>
                  <w:color w:val="0000EE"/>
                  <w:w w:val="85"/>
                </w:rPr>
                <w:t>Signatures</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w:t>
      </w:r>
      <w:r>
        <w:rPr>
          <w:rFonts w:ascii="Arial" w:cs="Arial" w:eastAsia="Arial" w:hAnsi="Arial"/>
          <w:sz w:val="13"/>
          <w:szCs w:val="13"/>
          <w:color w:val="auto"/>
        </w:rPr>
        <w:t>®</w:t>
      </w:r>
      <w:r>
        <w:rPr>
          <w:rFonts w:ascii="Arial" w:cs="Arial" w:eastAsia="Arial" w:hAnsi="Arial"/>
          <w:sz w:val="16"/>
          <w:szCs w:val="16"/>
          <w:color w:val="auto"/>
        </w:rPr>
        <w:t xml:space="preserv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and delivery devices used for the treatment of glaucoma;</w:t>
      </w:r>
    </w:p>
    <w:p>
      <w:pPr>
        <w:spacing w:after="0" w:line="117" w:lineRule="exact"/>
        <w:rPr>
          <w:rFonts w:ascii="Arial" w:cs="Arial" w:eastAsia="Arial" w:hAnsi="Arial"/>
          <w:sz w:val="18"/>
          <w:szCs w:val="18"/>
          <w:color w:val="auto"/>
        </w:rPr>
      </w:pPr>
    </w:p>
    <w:p>
      <w:pPr>
        <w:ind w:left="1080" w:hanging="532"/>
        <w:spacing w:after="0" w:line="26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and IQ 577</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which are used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diabetic macular edema and other retinal diseases, and our PASCAL</w:t>
      </w:r>
      <w:r>
        <w:rPr>
          <w:rFonts w:ascii="Arial" w:cs="Arial" w:eastAsia="Arial" w:hAnsi="Arial"/>
          <w:sz w:val="15"/>
          <w:szCs w:val="15"/>
          <w:color w:val="auto"/>
        </w:rPr>
        <w:t>®</w:t>
      </w:r>
      <w:r>
        <w:rPr>
          <w:rFonts w:ascii="Arial" w:cs="Arial" w:eastAsia="Arial" w:hAnsi="Arial"/>
          <w:sz w:val="18"/>
          <w:szCs w:val="18"/>
          <w:color w:val="auto"/>
        </w:rPr>
        <w:t xml:space="preserve"> Synthesis Photocoagulator for the treatment of retinal diseases; and</w:t>
      </w:r>
    </w:p>
    <w:p>
      <w:pPr>
        <w:spacing w:after="0" w:line="67" w:lineRule="exact"/>
        <w:rPr>
          <w:rFonts w:ascii="Arial" w:cs="Arial" w:eastAsia="Arial" w:hAnsi="Arial"/>
          <w:sz w:val="18"/>
          <w:szCs w:val="18"/>
          <w:color w:val="auto"/>
        </w:rPr>
      </w:pPr>
    </w:p>
    <w:p>
      <w:pPr>
        <w:ind w:left="1080" w:right="460" w:hanging="532"/>
        <w:spacing w:after="0" w:line="26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TX, OcuLight SL, OcuLight SLx, OcuLight GL and</w:t>
      </w:r>
      <w:r>
        <w:rPr>
          <w:rFonts w:ascii="Arial" w:cs="Arial" w:eastAsia="Arial" w:hAnsi="Arial"/>
          <w:sz w:val="18"/>
          <w:szCs w:val="18"/>
          <w:b w:val="1"/>
          <w:bCs w:val="1"/>
          <w:color w:val="auto"/>
        </w:rPr>
        <w:t xml:space="preserve"> </w:t>
      </w:r>
      <w:r>
        <w:rPr>
          <w:rFonts w:ascii="Arial" w:cs="Arial" w:eastAsia="Arial" w:hAnsi="Arial"/>
          <w:sz w:val="18"/>
          <w:szCs w:val="18"/>
          <w:color w:val="auto"/>
        </w:rPr>
        <w:t>OcuLight GLx laser photocoagulation systems. The OcuLight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26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80" w:right="260" w:hanging="532"/>
        <w:spacing w:after="0" w:line="282"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Probe, G-Probe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G-Probe Illuminate</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3"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products used in vitrectomy procedures.</w:t>
      </w:r>
    </w:p>
    <w:p>
      <w:pPr>
        <w:spacing w:after="0" w:line="121"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rooms (“ORs”) and ambulatory surgical centers (“ASCs”), as well as their offices and clinics. In ORs and ASCs, ophthalmologists use our laser systems with either an indirect laser ophthalmoscope or a consumable, single use MicroPulse P3 probe, G-Probe</w:t>
      </w:r>
      <w:r>
        <w:rPr>
          <w:rFonts w:ascii="Arial" w:cs="Arial" w:eastAsia="Arial" w:hAnsi="Arial"/>
          <w:sz w:val="15"/>
          <w:szCs w:val="15"/>
          <w:color w:val="auto"/>
        </w:rPr>
        <w:t>,</w:t>
      </w:r>
      <w:r>
        <w:rPr>
          <w:rFonts w:ascii="Arial" w:cs="Arial" w:eastAsia="Arial" w:hAnsi="Arial"/>
          <w:sz w:val="18"/>
          <w:szCs w:val="18"/>
          <w:color w:val="auto"/>
        </w:rPr>
        <w:t xml:space="preserve"> G-Probe Illuminate or EndoProbe.</w:t>
      </w:r>
    </w:p>
    <w:p>
      <w:pPr>
        <w:spacing w:after="0" w:line="76"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In 2021 and 2020, our products were sold in the United States and Germany predominantly through a direct sales force and internationally (aside from Germany) primarily through independent distributors. Total revenues in 2021 and 2020 were $53.9 million and $36.3 million, respectively. We generated net losses of $5.2 million and $6.3 million in 2021 and 2020, respectively.</w:t>
      </w:r>
    </w:p>
    <w:p>
      <w:pPr>
        <w:spacing w:after="0" w:line="76"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229" w:lineRule="exact"/>
        <w:rPr>
          <w:sz w:val="20"/>
          <w:szCs w:val="20"/>
          <w:color w:val="auto"/>
        </w:rPr>
      </w:pPr>
    </w:p>
    <w:p>
      <w:pPr>
        <w:ind w:right="180" w:firstLine="546"/>
        <w:spacing w:after="0" w:line="275"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right="20" w:firstLine="546"/>
        <w:spacing w:after="0" w:line="263" w:lineRule="auto"/>
        <w:rPr>
          <w:sz w:val="20"/>
          <w:szCs w:val="20"/>
          <w:color w:val="auto"/>
        </w:rPr>
      </w:pPr>
      <w:r>
        <w:rPr>
          <w:rFonts w:ascii="Arial" w:cs="Arial" w:eastAsia="Arial" w:hAnsi="Arial"/>
          <w:sz w:val="18"/>
          <w:szCs w:val="18"/>
          <w:color w:val="auto"/>
        </w:rPr>
        <w:t>For more information on risks associated with the COVID-19 pandemic, see the section titled “Risk Factors” in Item 1A of Part I. For more information on the impact of COVID-19 on our business, see the section titled “Management’s Discussion and Analysis of Financial Condition and Results of Operation” in Item 7 of Part 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Ophthalmology is a large and growing global market that is driven by the aging world population and the onset of chronic diseases. We currently target the glaucoma and retina disease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w:t>
      </w:r>
    </w:p>
    <w:p>
      <w:pPr>
        <w:spacing w:after="0" w:line="117" w:lineRule="exact"/>
        <w:rPr>
          <w:sz w:val="20"/>
          <w:szCs w:val="20"/>
          <w:color w:val="auto"/>
        </w:rPr>
      </w:pPr>
    </w:p>
    <w:p>
      <w:pPr>
        <w:ind w:right="60" w:firstLine="546"/>
        <w:spacing w:after="0" w:line="290" w:lineRule="auto"/>
        <w:rPr>
          <w:sz w:val="20"/>
          <w:szCs w:val="20"/>
          <w:color w:val="auto"/>
        </w:rPr>
      </w:pPr>
      <w:r>
        <w:rPr>
          <w:rFonts w:ascii="Arial" w:cs="Arial" w:eastAsia="Arial" w:hAnsi="Arial"/>
          <w:sz w:val="16"/>
          <w:szCs w:val="16"/>
          <w:color w:val="auto"/>
        </w:rPr>
        <w:t>Glaucoma is a leading cause of blindness in the world. Glaucoma is a progressive, chronic disease and vision loss resulting from glaucoma currently cannot be regained. According to Market Scope’s 2020 Laser Market Report, an estimated 101.6 million people worldwide suffer from glaucoma and an additional 42.2 million people suffer from ocular hypertension, for a total of almost 143.8 million candidates for glaucoma treatment. Market Scope expects this to grow at a compounded rate of 2.6 percent through 2025. Glaucoma is most commonly associated with elevated levels of pressure within the eye, or intraocular pressure (“IOP”). Elevated IOP often occurs when aqueous humor, the thin watery fluid that fills the front of the eye, is not circulating normally and draining properly. Currently, reducing IOP is the only proven treatment for glaucoma with treatments primarily focused on improving the flow of aqueous humor through the eye’s trabecular meshwork and uveoscleral outflow pathways. Global sales of products used to diagnose and treat glaucoma were expected to total $5.8 billion in 2018, according to Market Scope’s 2018 Global Glaucoma Surgical Device Report.</w:t>
      </w:r>
    </w:p>
    <w:p>
      <w:pPr>
        <w:spacing w:after="0" w:line="57"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Pharmaceutical products represent a majority of this revenue estimate but have significant shortcomings. Pharmaceuticals are typically the first treatment method prescribed for glaucoma. These pharmaceutical treatments are commonly self-administered in drop form by the patients. Patients often have difficulties applying the pharmaceutical drops properly and may fail to appropriately or timely apply the medication, which may significantly reduce the effectiveness of the eye drops. This poor adherence to and lack of persistence with glaucoma medication regimens have been documented in numerous independent studies, which often place the incidence of patient noncompliance up to or above 50%, particularly in patients on two or more prescription eye drops. Even when administered correctly, pharmaceuticals have demonstrated reduced efficacy over time.</w:t>
      </w:r>
    </w:p>
    <w:p>
      <w:pPr>
        <w:spacing w:after="0" w:line="70" w:lineRule="exact"/>
        <w:rPr>
          <w:sz w:val="20"/>
          <w:szCs w:val="20"/>
          <w:color w:val="auto"/>
        </w:rPr>
      </w:pPr>
    </w:p>
    <w:p>
      <w:pPr>
        <w:ind w:right="240" w:firstLine="546"/>
        <w:spacing w:after="0" w:line="301" w:lineRule="auto"/>
        <w:rPr>
          <w:sz w:val="20"/>
          <w:szCs w:val="20"/>
          <w:color w:val="auto"/>
        </w:rPr>
      </w:pPr>
      <w:r>
        <w:rPr>
          <w:rFonts w:ascii="Arial" w:cs="Arial" w:eastAsia="Arial" w:hAnsi="Arial"/>
          <w:sz w:val="16"/>
          <w:szCs w:val="16"/>
          <w:color w:val="auto"/>
        </w:rPr>
        <w:t>When pharmaceuticals lose their effectiveness, appropriate treatment options are determined based on the progression and severity of the disease and include traditional laser therapy (e.g., selective laser trabeculoplasty (“SLT”), minimally invasive stents/shunts (e.g., minimally invasive glaucoma surgery) and open surgery (e.g., trabeculectomy)). These treatment alternatives also have significant shortcomings due to treatment effects that dissipate over time, repeat procedures that are less effective or not clinically advised, limited indications of use, and significant complication risks.</w:t>
      </w:r>
    </w:p>
    <w:p>
      <w:pPr>
        <w:spacing w:after="0" w:line="49"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We believe that because of the limitations of these traditional treatment alternatives, a clear unmet medical need exists in the management of glaucoma patients.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Retina</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Our medical retina business focuses on the treatment of diabetic macular edema (“DME”) which is part of a broader disease state called diabetic retinopathy. Diabetic retinopathy is a common complication of diabetes which impairs vision over time and, if left untreated, can lead to blindness. An estimated 463 million people worldwide had diabetes in 2019, according to the International Diabetes Federation. The federation predicts that there will be 578 million people with diabetes by 2030, and as many as 700 million will have diabetes globally by 2045. Previous clinical publications, such as an article cited at the U.S. National Institutes of Health’s National Library of Medicine, indicated 28.5% of diabetic patients can develop some form of diabetic retinopathy. Traditional laser photocoagulation and a regimen of injected pharmaceuticals are currently the standard treatment for this disease and are associated with significant shortcomings. Traditional laser photocoagulation can stabilize the patient’s vision over the long term but presents a risk of varying degrees of vision loss to the patient. Pharmaceuticals can stabilize vision in the near term but require repeated injections. The injections are painful and the patients may experience side effects including increased risk of eye infections. Furthermore, a regimen of repeated pharmaceutical injections is very demanding to the physician and patient in terms of time and to the healthcare system at large with regard to dollars spent on treatment.</w:t>
      </w:r>
    </w:p>
    <w:p>
      <w:pPr>
        <w:spacing w:after="0" w:line="60"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shortcomings in treating retinal diseases have led to a renewed interest in alternative approaches that may provide better or comparable patient outcomes at lower costs.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Our traditional laser technology was developed to perform laser photocoagulation by using a mode that delivers continuously-on laser light, which is referred to as continuous wave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75" w:lineRule="exact"/>
        <w:rPr>
          <w:sz w:val="20"/>
          <w:szCs w:val="20"/>
          <w:color w:val="auto"/>
        </w:rPr>
      </w:pPr>
    </w:p>
    <w:p>
      <w:pPr>
        <w:ind w:right="140" w:firstLine="546"/>
        <w:spacing w:after="0" w:line="297" w:lineRule="auto"/>
        <w:rPr>
          <w:sz w:val="20"/>
          <w:szCs w:val="20"/>
          <w:color w:val="auto"/>
        </w:rPr>
      </w:pPr>
      <w:r>
        <w:rPr>
          <w:rFonts w:ascii="Arial" w:cs="Arial" w:eastAsia="Arial" w:hAnsi="Arial"/>
          <w:sz w:val="16"/>
          <w:szCs w:val="16"/>
          <w:color w:val="auto"/>
        </w:rPr>
        <w:t>We developed our proprietary MicroPulse® technology with the goal of harnessing the clinical benefits of CW mode while minimizing the associated tissue damage. MicroPulse is a method of delivering laser energy using a mode which chops the CW beam into short, microsecond long laser pulses. The laser pulses are intended to generate the desired therapeutic response while the time in between laser pulses is believed to enable the tissue to cool and thereby minimize tissue damage. This is analogous to holding one’s hand continuously over a candle versus waving it back and forth. When held continuously, the candle would cause burning and scar tissue. However, when exposed intermittently the candle only heats the tissue without burning.</w:t>
      </w:r>
    </w:p>
    <w:p>
      <w:pPr>
        <w:spacing w:after="0" w:line="53"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There is a growing body of clinical evidence that has been published over the past 10 years that demonstrates that MicroPulse therapy is clinically effective with limited tissue damage for the treatment of glaucoma and retinal diseases. Currently, we have developed three applications of our MicroPulse technology for the treatment of eye diseases: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6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MicroPulse Applications</w:t>
            </w:r>
          </w:p>
        </w:tc>
        <w:tc>
          <w:tcPr>
            <w:tcW w:w="75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303"/>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Glaucoma – uveoscleral outflow</w:t>
            </w: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8"/>
              </w:rPr>
              <w:t>Treats glaucoma using our Cyclo G6® Laser system and MicroPulse P3 Delivery Device.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MicroPulse P3 is Iridex’s proprietary, single-use, disposable probe. It delivers MicroPulse laser energy</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transsclerally (through the white of the eye) to target the ciliary body inside the eye. The ciliary body</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controls various ocular functions including aqueous humor production, and it helps facilitate the</w:t>
            </w:r>
          </w:p>
        </w:tc>
      </w:tr>
      <w:tr>
        <w:trPr>
          <w:trHeight w:val="230"/>
        </w:trPr>
        <w:tc>
          <w:tcPr>
            <w:tcW w:w="368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reduction of aqueous humor via outflow channels.</w:t>
            </w:r>
          </w:p>
        </w:tc>
      </w:tr>
      <w:tr>
        <w:trPr>
          <w:trHeight w:val="310"/>
        </w:trPr>
        <w:tc>
          <w:tcPr>
            <w:tcW w:w="3680" w:type="dxa"/>
            <w:vAlign w:val="bottom"/>
            <w:tcBorders>
              <w:left w:val="single" w:sz="8" w:color="auto"/>
              <w:right w:val="single" w:sz="8" w:color="auto"/>
            </w:tcBorders>
          </w:tcPr>
          <w:p>
            <w:pPr>
              <w:spacing w:after="0"/>
              <w:rPr>
                <w:sz w:val="24"/>
                <w:szCs w:val="24"/>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MicroPulse transscleral laser therapy (“TLT”) is a non-incisional treatment that reduces IOP primarily</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through uveoscleral outflow. Numerous peer-reviewed published clinical studies have demonstrated</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MicroPulse TLT as a safe and clinically effective treatment to lower patients’ IOP and reduce the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number of topical eye drops and oral medications across a wide spectrum of glaucoma types and</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disease severity. Glaucoma specialists and comprehensive ophthalmologists incorporate MicroPulse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TLT before, in combination with, and after other surgical therapies. It’s a repeatable procedure which</w:t>
            </w:r>
          </w:p>
        </w:tc>
      </w:tr>
      <w:tr>
        <w:trPr>
          <w:trHeight w:val="230"/>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does not impact the patients’ quality of life nor does it inhibit future interventions.</w:t>
            </w:r>
          </w:p>
        </w:tc>
      </w:tr>
      <w:tr>
        <w:trPr>
          <w:trHeight w:val="303"/>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Glaucoma - trabecular meshwork outflow</w:t>
            </w: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1"/>
              </w:rPr>
              <w:t xml:space="preserve">Treats glaucoma with our IQ laser systems. </w:t>
            </w:r>
            <w:r>
              <w:rPr>
                <w:rFonts w:ascii="Arial" w:cs="Arial" w:eastAsia="Arial" w:hAnsi="Arial"/>
                <w:sz w:val="18"/>
                <w:szCs w:val="18"/>
                <w:color w:val="auto"/>
                <w:w w:val="91"/>
              </w:rPr>
              <w:t>MicroPulse laser is delivered through a mechanical and</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optical delivery device and targets the trabecular meshwork. Physicians describe the technique as</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MicroPulse Laser Trabeculoplasty (“MLT”). It is believed that the MLT procedure improves trabecular</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meshwork outflow and thus lowers IOP. According to studies, MLT procedure provides incremental</w:t>
            </w:r>
          </w:p>
        </w:tc>
      </w:tr>
      <w:tr>
        <w:trPr>
          <w:trHeight w:val="230"/>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clinical benefits relative to other laser trabeculoplasty procedures such as SLT.</w:t>
            </w:r>
          </w:p>
        </w:tc>
      </w:tr>
      <w:tr>
        <w:trPr>
          <w:trHeight w:val="303"/>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Medical Retina - DME</w:t>
            </w: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2"/>
              </w:rPr>
              <w:t>Treats DME with our IQ laser systems</w:t>
            </w:r>
            <w:r>
              <w:rPr>
                <w:rFonts w:ascii="Arial" w:cs="Arial" w:eastAsia="Arial" w:hAnsi="Arial"/>
                <w:sz w:val="18"/>
                <w:szCs w:val="18"/>
                <w:color w:val="auto"/>
                <w:w w:val="92"/>
              </w:rPr>
              <w:t>. MicroPulse laser is administered through a mechanical and</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optical delivery device that rapidly delivers multiple treatment spots on the retina. Our MicroPulse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laser is uniquely believed to be “fovea friendly” in that the laser can be used to treat the fovea, the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center of the field of vision in the retina, without any loss of visual function. Instead of causing thermal</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damage like traditional lasers, MicroPulse laser is believed to induce a therapeutic response through</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the recruitment of biological factors such as heat shock proteins. We believe that the treatment of DME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with MicroPulse laser therapy has several competitive advantages over alternate therapies with respect</w:t>
            </w:r>
          </w:p>
        </w:tc>
      </w:tr>
      <w:tr>
        <w:trPr>
          <w:trHeight w:val="230"/>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 long term vision stability, visual function, and cost effectiveness.</w:t>
            </w:r>
          </w:p>
        </w:tc>
      </w:tr>
      <w:tr>
        <w:trPr>
          <w:trHeight w:val="642"/>
        </w:trPr>
        <w:tc>
          <w:tcPr>
            <w:tcW w:w="3680" w:type="dxa"/>
            <w:vAlign w:val="bottom"/>
          </w:tcPr>
          <w:p>
            <w:pPr>
              <w:spacing w:after="0"/>
              <w:rPr>
                <w:sz w:val="24"/>
                <w:szCs w:val="24"/>
                <w:color w:val="auto"/>
              </w:rPr>
            </w:pPr>
          </w:p>
        </w:tc>
        <w:tc>
          <w:tcPr>
            <w:tcW w:w="7560" w:type="dxa"/>
            <w:vAlign w:val="bottom"/>
          </w:tcPr>
          <w:p>
            <w:pPr>
              <w:ind w:left="1900"/>
              <w:spacing w:after="0"/>
              <w:rPr>
                <w:sz w:val="20"/>
                <w:szCs w:val="20"/>
                <w:color w:val="auto"/>
              </w:rPr>
            </w:pPr>
            <w:r>
              <w:rPr>
                <w:rFonts w:ascii="Arial" w:cs="Arial" w:eastAsia="Arial" w:hAnsi="Arial"/>
                <w:sz w:val="18"/>
                <w:szCs w:val="18"/>
                <w:color w:val="auto"/>
              </w:rPr>
              <w:t>7</w:t>
            </w:r>
          </w:p>
        </w:tc>
      </w:tr>
      <w:tr>
        <w:trPr>
          <w:trHeight w:val="115"/>
        </w:trPr>
        <w:tc>
          <w:tcPr>
            <w:tcW w:w="3680" w:type="dxa"/>
            <w:vAlign w:val="bottom"/>
            <w:tcBorders>
              <w:bottom w:val="single" w:sz="8" w:color="9A9A9A"/>
            </w:tcBorders>
          </w:tcPr>
          <w:p>
            <w:pPr>
              <w:spacing w:after="0"/>
              <w:rPr>
                <w:sz w:val="10"/>
                <w:szCs w:val="10"/>
                <w:color w:val="auto"/>
              </w:rPr>
            </w:pPr>
          </w:p>
        </w:tc>
        <w:tc>
          <w:tcPr>
            <w:tcW w:w="7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500" w:firstLine="546"/>
        <w:spacing w:after="0" w:line="259" w:lineRule="auto"/>
        <w:rPr>
          <w:sz w:val="20"/>
          <w:szCs w:val="20"/>
          <w:color w:val="auto"/>
        </w:rPr>
      </w:pPr>
      <w:r>
        <w:rPr>
          <w:rFonts w:ascii="Arial" w:cs="Arial" w:eastAsia="Arial" w:hAnsi="Arial"/>
          <w:sz w:val="18"/>
          <w:szCs w:val="18"/>
          <w:color w:val="auto"/>
        </w:rPr>
        <w:t>We are a worldwide leader in developing, manufacturing, marketing, selling and servicing innovative medical laser systems and associated instrumentation for the treatment of sight-threatening eye diseases. Our strategy is to leverage our existing brand and distribution channel in the ophthalmology market to promote the adoption of MicroPulse as a viable treatment alternative for glaucoma and retinal diseases and consequently to commercialize a broad array of products that:</w:t>
      </w:r>
    </w:p>
    <w:p>
      <w:pPr>
        <w:spacing w:after="0" w:line="7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therapeutic outcomes for patients suffering from sight-threatening eye diseases;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 efficiency of physicians and reduce their costs; and</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economic benefits to healthcare systems.</w:t>
      </w:r>
    </w:p>
    <w:p>
      <w:pPr>
        <w:spacing w:after="0" w:line="144"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To achieve these goals, we are pursuing several organic initiatives that we anticipate will be supplemented from time to time by acquisitions, such as the asset acquisition completed with one of the subsidiaries for Topcon Corporation (“Topcon”). We anticipate that the successful execution of this strategy will lead to profitable growth and enhanced shareholder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60" w:firstLine="546"/>
        <w:spacing w:after="0" w:line="296" w:lineRule="auto"/>
        <w:rPr>
          <w:sz w:val="20"/>
          <w:szCs w:val="20"/>
          <w:color w:val="auto"/>
        </w:rPr>
      </w:pPr>
      <w:r>
        <w:rPr>
          <w:rFonts w:ascii="Arial" w:cs="Arial" w:eastAsia="Arial" w:hAnsi="Arial"/>
          <w:sz w:val="16"/>
          <w:szCs w:val="16"/>
          <w:color w:val="auto"/>
        </w:rPr>
        <w:t>Our current product portfolio utilizes a system approach. Each system includes a laser console, which generates the laser energy, and a number of interchangeable delivery devices or disposable probes for use in specific clinical applications. This approach allows our customers to purchase a basic laser system and add additional delivery devices or disposable probes as their therapeutic needs expand or as new applications develop. We currently offer three basic product categories: 1) laser consoles, 2) delivery devices which are optical-mechanical products that mount to ophthalmologists’ diagnostic equipment and transmit the laser and 3) single-use disposable probes that transmit the laser light to a targeted region inside the eye.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Laser Consoles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laser consoles, which are identified below, incorporate the economic and technical benefits of solid state and semiconductor laser technology.</w:t>
      </w:r>
    </w:p>
    <w:p>
      <w:pPr>
        <w:spacing w:after="0" w:line="140" w:lineRule="exact"/>
        <w:rPr>
          <w:sz w:val="20"/>
          <w:szCs w:val="20"/>
          <w:color w:val="auto"/>
        </w:rPr>
      </w:pPr>
    </w:p>
    <w:p>
      <w:pPr>
        <w:jc w:val="both"/>
        <w:ind w:right="520" w:firstLine="546"/>
        <w:spacing w:after="0" w:line="263" w:lineRule="auto"/>
        <w:rPr>
          <w:sz w:val="20"/>
          <w:szCs w:val="20"/>
          <w:color w:val="auto"/>
        </w:rPr>
      </w:pPr>
      <w:r>
        <w:rPr>
          <w:rFonts w:ascii="Arial" w:cs="Arial" w:eastAsia="Arial" w:hAnsi="Arial"/>
          <w:sz w:val="18"/>
          <w:szCs w:val="18"/>
          <w:i w:val="1"/>
          <w:iCs w:val="1"/>
          <w:color w:val="auto"/>
        </w:rPr>
        <w:t>Glaucoma: Cyclo G6</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Laser. </w:t>
      </w:r>
      <w:r>
        <w:rPr>
          <w:rFonts w:ascii="Arial" w:cs="Arial" w:eastAsia="Arial" w:hAnsi="Arial"/>
          <w:sz w:val="18"/>
          <w:szCs w:val="18"/>
          <w:color w:val="auto"/>
        </w:rPr>
        <w:t>The Cyclo G6 Laser is an infrared (810nm) laser designed to treat patients diagnosed with a range of glaucoma</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states. The Cyclo G6 Laser is sold with a family of probes that are disposable, including our patented MicroPulse P3</w:t>
      </w:r>
      <w:r>
        <w:rPr>
          <w:rFonts w:ascii="Arial" w:cs="Arial" w:eastAsia="Arial" w:hAnsi="Arial"/>
          <w:sz w:val="15"/>
          <w:szCs w:val="15"/>
          <w:color w:val="auto"/>
        </w:rPr>
        <w:t>®</w:t>
      </w:r>
      <w:r>
        <w:rPr>
          <w:rFonts w:ascii="Arial" w:cs="Arial" w:eastAsia="Arial" w:hAnsi="Arial"/>
          <w:sz w:val="18"/>
          <w:szCs w:val="18"/>
          <w:color w:val="auto"/>
        </w:rPr>
        <w:t xml:space="preserve"> Probe that utilizes our MicroPulse technology, our G-Probe</w:t>
      </w:r>
      <w:r>
        <w:rPr>
          <w:rFonts w:ascii="Arial" w:cs="Arial" w:eastAsia="Arial" w:hAnsi="Arial"/>
          <w:sz w:val="15"/>
          <w:szCs w:val="15"/>
          <w:color w:val="auto"/>
        </w:rPr>
        <w:t>®</w:t>
      </w:r>
      <w:r>
        <w:rPr>
          <w:rFonts w:ascii="Arial" w:cs="Arial" w:eastAsia="Arial" w:hAnsi="Arial"/>
          <w:sz w:val="18"/>
          <w:szCs w:val="18"/>
          <w:color w:val="auto"/>
        </w:rPr>
        <w:t xml:space="preserve"> and our G-Probe Illuminate</w:t>
      </w:r>
      <w:r>
        <w:rPr>
          <w:rFonts w:ascii="Arial" w:cs="Arial" w:eastAsia="Arial" w:hAnsi="Arial"/>
          <w:sz w:val="15"/>
          <w:szCs w:val="15"/>
          <w:color w:val="auto"/>
        </w:rPr>
        <w:t>®</w:t>
      </w:r>
      <w:r>
        <w:rPr>
          <w:rFonts w:ascii="Arial" w:cs="Arial" w:eastAsia="Arial" w:hAnsi="Arial"/>
          <w:sz w:val="18"/>
          <w:szCs w:val="18"/>
          <w:color w:val="auto"/>
        </w:rPr>
        <w:t>.</w:t>
      </w:r>
    </w:p>
    <w:p>
      <w:pPr>
        <w:spacing w:after="0" w:line="76"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i w:val="1"/>
          <w:iCs w:val="1"/>
          <w:color w:val="auto"/>
        </w:rPr>
        <w:t xml:space="preserve">Medical retina: IQ laser systems. </w:t>
      </w:r>
      <w:r>
        <w:rPr>
          <w:rFonts w:ascii="Arial" w:cs="Arial" w:eastAsia="Arial" w:hAnsi="Arial"/>
          <w:sz w:val="17"/>
          <w:szCs w:val="17"/>
          <w:color w:val="auto"/>
        </w:rPr>
        <w:t>Our IQ laser systems offer our MicroPulse technology but also have Continuous wave (“CW”) capabilities. Our</w:t>
      </w:r>
      <w:r>
        <w:rPr>
          <w:rFonts w:ascii="Arial" w:cs="Arial" w:eastAsia="Arial" w:hAnsi="Arial"/>
          <w:sz w:val="17"/>
          <w:szCs w:val="17"/>
          <w:i w:val="1"/>
          <w:iCs w:val="1"/>
          <w:color w:val="auto"/>
        </w:rPr>
        <w:t xml:space="preserve"> </w:t>
      </w:r>
      <w:r>
        <w:rPr>
          <w:rFonts w:ascii="Arial" w:cs="Arial" w:eastAsia="Arial" w:hAnsi="Arial"/>
          <w:sz w:val="17"/>
          <w:szCs w:val="17"/>
          <w:color w:val="auto"/>
        </w:rPr>
        <w:t>IQ 577</w:t>
      </w:r>
      <w:r>
        <w:rPr>
          <w:rFonts w:ascii="Arial" w:cs="Arial" w:eastAsia="Arial" w:hAnsi="Arial"/>
          <w:sz w:val="14"/>
          <w:szCs w:val="14"/>
          <w:color w:val="auto"/>
        </w:rPr>
        <w:t>®</w:t>
      </w:r>
      <w:r>
        <w:rPr>
          <w:rFonts w:ascii="Arial" w:cs="Arial" w:eastAsia="Arial" w:hAnsi="Arial"/>
          <w:sz w:val="17"/>
          <w:szCs w:val="17"/>
          <w:color w:val="auto"/>
        </w:rPr>
        <w:t xml:space="preserve"> Laser delivers visible yellow (577nm) laser light and our IQ 532</w:t>
      </w:r>
      <w:r>
        <w:rPr>
          <w:rFonts w:ascii="Arial" w:cs="Arial" w:eastAsia="Arial" w:hAnsi="Arial"/>
          <w:sz w:val="14"/>
          <w:szCs w:val="14"/>
          <w:color w:val="auto"/>
        </w:rPr>
        <w:t>®</w:t>
      </w:r>
      <w:r>
        <w:rPr>
          <w:rFonts w:ascii="Arial" w:cs="Arial" w:eastAsia="Arial" w:hAnsi="Arial"/>
          <w:sz w:val="17"/>
          <w:szCs w:val="17"/>
          <w:color w:val="auto"/>
        </w:rPr>
        <w:t xml:space="preserve"> Laser delivers visible green (532nm) laser light. Our IQ laser systems are typically used with our TxCell</w:t>
      </w:r>
      <w:r>
        <w:rPr>
          <w:rFonts w:ascii="Arial" w:cs="Arial" w:eastAsia="Arial" w:hAnsi="Arial"/>
          <w:sz w:val="14"/>
          <w:szCs w:val="14"/>
          <w:color w:val="auto"/>
        </w:rPr>
        <w:t>®</w:t>
      </w:r>
      <w:r>
        <w:rPr>
          <w:rFonts w:ascii="Arial" w:cs="Arial" w:eastAsia="Arial" w:hAnsi="Arial"/>
          <w:sz w:val="17"/>
          <w:szCs w:val="17"/>
          <w:color w:val="auto"/>
        </w:rPr>
        <w:t xml:space="preserve"> Scanning Laser Delivery System and our Slit Lamp Adapters when used to treat DME with MicroPulse. </w:t>
      </w:r>
      <w:r>
        <w:rPr>
          <w:rFonts w:ascii="Arial" w:cs="Arial" w:eastAsia="Arial" w:hAnsi="Arial"/>
          <w:sz w:val="17"/>
          <w:szCs w:val="17"/>
          <w:i w:val="1"/>
          <w:iCs w:val="1"/>
          <w:color w:val="auto"/>
        </w:rPr>
        <w:t>PASCAL Synthesis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Photocoagulator. </w:t>
      </w:r>
      <w:r>
        <w:rPr>
          <w:rFonts w:ascii="Arial" w:cs="Arial" w:eastAsia="Arial" w:hAnsi="Arial"/>
          <w:sz w:val="17"/>
          <w:szCs w:val="17"/>
          <w:color w:val="auto"/>
        </w:rPr>
        <w:t>Our PASCAL Synthesis Photocoagulator (532nm, 577nm and 577/636nm) intended for diagnosis and treatment of ocular pathology in</w:t>
      </w:r>
      <w:r>
        <w:rPr>
          <w:rFonts w:ascii="Arial" w:cs="Arial" w:eastAsia="Arial" w:hAnsi="Arial"/>
          <w:sz w:val="17"/>
          <w:szCs w:val="17"/>
          <w:i w:val="1"/>
          <w:iCs w:val="1"/>
          <w:color w:val="auto"/>
        </w:rPr>
        <w:t xml:space="preserve"> </w:t>
      </w:r>
      <w:r>
        <w:rPr>
          <w:rFonts w:ascii="Arial" w:cs="Arial" w:eastAsia="Arial" w:hAnsi="Arial"/>
          <w:sz w:val="17"/>
          <w:szCs w:val="17"/>
          <w:color w:val="auto"/>
        </w:rPr>
        <w:t>both the posterior and anterior segments. Intended for use in the posterior segment to perform retinal photocoagulation, panretinal photocoagulation, focal photocoagulation and grid photocoagulation for vascular and structural abnormalities of the retina and choroid.</w:t>
      </w:r>
    </w:p>
    <w:p>
      <w:pPr>
        <w:spacing w:after="0" w:line="70"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i w:val="1"/>
          <w:iCs w:val="1"/>
          <w:color w:val="auto"/>
        </w:rPr>
        <w:t xml:space="preserve">Surgical retina: OcuLight laser systems. </w:t>
      </w:r>
      <w:r>
        <w:rPr>
          <w:rFonts w:ascii="Arial" w:cs="Arial" w:eastAsia="Arial" w:hAnsi="Arial"/>
          <w:sz w:val="18"/>
          <w:szCs w:val="18"/>
          <w:color w:val="auto"/>
        </w:rPr>
        <w:t>Our OcuLight</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TX, OcuLight GL, and OcuLight GLx lasers deliver visible green (532nm) laser light. Our</w:t>
      </w:r>
      <w:r>
        <w:rPr>
          <w:rFonts w:ascii="Arial" w:cs="Arial" w:eastAsia="Arial" w:hAnsi="Arial"/>
          <w:sz w:val="18"/>
          <w:szCs w:val="18"/>
          <w:i w:val="1"/>
          <w:iCs w:val="1"/>
          <w:color w:val="auto"/>
        </w:rPr>
        <w:t xml:space="preserve"> </w:t>
      </w:r>
      <w:r>
        <w:rPr>
          <w:rFonts w:ascii="Arial" w:cs="Arial" w:eastAsia="Arial" w:hAnsi="Arial"/>
          <w:sz w:val="18"/>
          <w:szCs w:val="18"/>
          <w:color w:val="auto"/>
        </w:rPr>
        <w:t>OcuLight SL and OcuLight SLx lasers deliver infrared (810 nm) laser light.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delivery devices are typically used with our IQ and OcuLight laser systems:</w:t>
      </w:r>
    </w:p>
    <w:p>
      <w:pPr>
        <w:spacing w:after="0" w:line="117"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i w:val="1"/>
          <w:iCs w:val="1"/>
          <w:color w:val="auto"/>
        </w:rPr>
        <w:t xml:space="preserve">TxCell Scanning Laser Delivery System (“TxCell”). </w:t>
      </w:r>
      <w:r>
        <w:rPr>
          <w:rFonts w:ascii="Arial" w:cs="Arial" w:eastAsia="Arial" w:hAnsi="Arial"/>
          <w:sz w:val="18"/>
          <w:szCs w:val="18"/>
          <w:color w:val="auto"/>
        </w:rPr>
        <w:t>TxCell</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allows the physician to perform multi-spot pattern scanning for efficient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MicroPulse laser.</w:t>
      </w:r>
    </w:p>
    <w:p>
      <w:pPr>
        <w:spacing w:after="0" w:line="62" w:lineRule="exact"/>
        <w:rPr>
          <w:sz w:val="20"/>
          <w:szCs w:val="20"/>
          <w:color w:val="auto"/>
        </w:rPr>
      </w:pPr>
    </w:p>
    <w:p>
      <w:pPr>
        <w:ind w:right="600" w:firstLine="546"/>
        <w:spacing w:after="0" w:line="263" w:lineRule="auto"/>
        <w:rPr>
          <w:sz w:val="20"/>
          <w:szCs w:val="20"/>
          <w:color w:val="auto"/>
        </w:rPr>
      </w:pPr>
      <w:r>
        <w:rPr>
          <w:rFonts w:ascii="Arial" w:cs="Arial" w:eastAsia="Arial" w:hAnsi="Arial"/>
          <w:sz w:val="18"/>
          <w:szCs w:val="18"/>
          <w:i w:val="1"/>
          <w:iCs w:val="1"/>
          <w:color w:val="auto"/>
        </w:rPr>
        <w:t xml:space="preserve">Slit Lamp Adapter (“SLA”). </w:t>
      </w:r>
      <w:r>
        <w:rPr>
          <w:rFonts w:ascii="Arial" w:cs="Arial" w:eastAsia="Arial" w:hAnsi="Arial"/>
          <w:sz w:val="18"/>
          <w:szCs w:val="18"/>
          <w:color w:val="auto"/>
        </w:rPr>
        <w:t>These adapters allow the physician to utilize a standard slit lamp in both diagnosis and treatment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can install an SLA in a few minutes and convert standard diagnostic slit lamps into a therapeutic laser delivery system. SLAs are used in treatment procedures for both retinal diseases and glaucoma.</w:t>
      </w:r>
    </w:p>
    <w:p>
      <w:pPr>
        <w:spacing w:after="0" w:line="76"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i w:val="1"/>
          <w:iCs w:val="1"/>
          <w:color w:val="auto"/>
        </w:rPr>
        <w:t xml:space="preserve">Laser Indirect Ophthalmoscope (“LIO”). </w:t>
      </w:r>
      <w:r>
        <w:rPr>
          <w:rFonts w:ascii="Arial" w:cs="Arial" w:eastAsia="Arial" w:hAnsi="Arial"/>
          <w:sz w:val="18"/>
          <w:szCs w:val="18"/>
          <w:color w:val="auto"/>
        </w:rPr>
        <w:t>The indirect ophthalmoscope is designed to be worn on the physician’s head and to be used in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to treat peripheral retinal disorders, particularly in infants or adults requiring treatment in the supine position. This product can be used in both diagnosis and treatment procedures at the point-of-care.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Single-use disposable probes</w:t>
      </w:r>
    </w:p>
    <w:p>
      <w:pPr>
        <w:spacing w:after="0" w:line="117"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i w:val="1"/>
          <w:iCs w:val="1"/>
          <w:color w:val="auto"/>
        </w:rPr>
        <w:t>MicroPulse P3</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Delivery Device. </w:t>
      </w:r>
      <w:r>
        <w:rPr>
          <w:rFonts w:ascii="Arial" w:cs="Arial" w:eastAsia="Arial" w:hAnsi="Arial"/>
          <w:sz w:val="18"/>
          <w:szCs w:val="18"/>
          <w:color w:val="auto"/>
        </w:rPr>
        <w:t>The MicroPulse P3 is used with our Cyclo G6 Laser system to perform MicroPulse TLT. The MicroPulse P3</w:t>
      </w:r>
      <w:r>
        <w:rPr>
          <w:rFonts w:ascii="Arial" w:cs="Arial" w:eastAsia="Arial" w:hAnsi="Arial"/>
          <w:sz w:val="18"/>
          <w:szCs w:val="18"/>
          <w:i w:val="1"/>
          <w:iCs w:val="1"/>
          <w:color w:val="auto"/>
        </w:rPr>
        <w:t xml:space="preserve"> </w:t>
      </w:r>
      <w:r>
        <w:rPr>
          <w:rFonts w:ascii="Arial" w:cs="Arial" w:eastAsia="Arial" w:hAnsi="Arial"/>
          <w:sz w:val="18"/>
          <w:szCs w:val="18"/>
          <w:color w:val="auto"/>
        </w:rPr>
        <w:t>Probe is used on an anesthetized eye in the doctor’s office or in the OR.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right="40" w:firstLine="546"/>
        <w:spacing w:after="0" w:line="255" w:lineRule="auto"/>
        <w:rPr>
          <w:sz w:val="20"/>
          <w:szCs w:val="20"/>
          <w:color w:val="auto"/>
        </w:rPr>
      </w:pPr>
      <w:r>
        <w:rPr>
          <w:rFonts w:ascii="Arial" w:cs="Arial" w:eastAsia="Arial" w:hAnsi="Arial"/>
          <w:sz w:val="18"/>
          <w:szCs w:val="18"/>
          <w:color w:val="auto"/>
        </w:rPr>
        <w:t>Since the launch of the MicroPulse P3, we have worked with physicians to optimize treatment techniques and clinical outcomes. During our collaborations, we learned that minor ergonomic probe modifications could facilitate easier use and result in consistent clinical outcomes. In 2019, we released a revised MicroPulse P3 Probe that reflects these modifications. Feedback from physicians on our revised MicroPulse P3 has been very positive in terms of better viewing of the treatment area, ease of treating small eyes and deep-set eyes, more intuitive probe orientation and placement, better stabilization of the probe on the eye, and improved light coupling to the tissue. Physicians have continued to observe excellent safety profiles and good preliminary clinical results.</w:t>
      </w:r>
    </w:p>
    <w:p>
      <w:pPr>
        <w:spacing w:after="0" w:line="84"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i w:val="1"/>
          <w:iCs w:val="1"/>
          <w:color w:val="auto"/>
        </w:rPr>
        <w:t>G-Probe</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Delivery Device. </w:t>
      </w:r>
      <w:r>
        <w:rPr>
          <w:rFonts w:ascii="Arial" w:cs="Arial" w:eastAsia="Arial" w:hAnsi="Arial"/>
          <w:sz w:val="18"/>
          <w:szCs w:val="18"/>
          <w:color w:val="auto"/>
        </w:rPr>
        <w:t>The G-Probe is used in procedures to treat uncontrolled glaucoma, typically described as “refractory glaucoma.” The G-Probe delivers CW laser to the ciliary body and is believed to stop the production of aqueous humor, thus reducing IOP. The G-Probe’s non-invasive procedure takes approximately ten minutes and is performed on an anesthetized eye in the doctor’s office or OR. The G-Probe is a sterile disposable product.</w:t>
      </w:r>
    </w:p>
    <w:p>
      <w:pPr>
        <w:spacing w:after="0" w:line="79" w:lineRule="exact"/>
        <w:rPr>
          <w:sz w:val="20"/>
          <w:szCs w:val="20"/>
          <w:color w:val="auto"/>
        </w:rPr>
      </w:pPr>
    </w:p>
    <w:p>
      <w:pPr>
        <w:ind w:right="80" w:firstLine="546"/>
        <w:spacing w:after="0" w:line="308" w:lineRule="auto"/>
        <w:rPr>
          <w:sz w:val="20"/>
          <w:szCs w:val="20"/>
          <w:color w:val="auto"/>
        </w:rPr>
      </w:pPr>
      <w:r>
        <w:rPr>
          <w:rFonts w:ascii="Arial" w:cs="Arial" w:eastAsia="Arial" w:hAnsi="Arial"/>
          <w:sz w:val="17"/>
          <w:szCs w:val="17"/>
          <w:i w:val="1"/>
          <w:iCs w:val="1"/>
          <w:color w:val="auto"/>
        </w:rPr>
        <w:t>G-Probe Illuminate</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Delivery Device. </w:t>
      </w:r>
      <w:r>
        <w:rPr>
          <w:rFonts w:ascii="Arial" w:cs="Arial" w:eastAsia="Arial" w:hAnsi="Arial"/>
          <w:sz w:val="17"/>
          <w:szCs w:val="17"/>
          <w:color w:val="auto"/>
        </w:rPr>
        <w:t>The G-Probe Illuminate is also used in procedures to treat refractory glaucoma. The proprietary illumination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feature allows for targeted treatment and may offer additional clinical benefits. The G-Probe Illuminate is a sterile disposable product.</w:t>
      </w:r>
    </w:p>
    <w:p>
      <w:pPr>
        <w:spacing w:after="0" w:line="38"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i w:val="1"/>
          <w:iCs w:val="1"/>
          <w:color w:val="auto"/>
        </w:rPr>
        <w:t>EndoProbe</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EndoProbe family of products are used for endophotocoagulation, a retinal treatment procedure performed in the hospital OR or</w:t>
      </w:r>
      <w:r>
        <w:rPr>
          <w:rFonts w:ascii="Arial" w:cs="Arial" w:eastAsia="Arial" w:hAnsi="Arial"/>
          <w:sz w:val="18"/>
          <w:szCs w:val="18"/>
          <w:i w:val="1"/>
          <w:iCs w:val="1"/>
          <w:color w:val="auto"/>
        </w:rPr>
        <w:t xml:space="preserve"> </w:t>
      </w:r>
      <w:r>
        <w:rPr>
          <w:rFonts w:ascii="Arial" w:cs="Arial" w:eastAsia="Arial" w:hAnsi="Arial"/>
          <w:sz w:val="18"/>
          <w:szCs w:val="18"/>
          <w:color w:val="auto"/>
        </w:rPr>
        <w:t>surgery center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We have close working relationships with researchers, clinicians and practicing physicians around the world who provide new ideas, evaluate prototypes and assist us in validating new products and new applications before they are introduced.</w:t>
      </w:r>
    </w:p>
    <w:p>
      <w:pPr>
        <w:spacing w:after="0" w:line="62"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Our internal research and development (“R&amp;D”) activities are performed by a current team of 18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of the necessary disciplines from product inception through customer acceptance. This process facilitates reliable new product innovations and a consistent pipeline of innovative products for our customers.</w:t>
      </w:r>
    </w:p>
    <w:p>
      <w:pPr>
        <w:spacing w:after="0" w:line="84" w:lineRule="exact"/>
        <w:rPr>
          <w:sz w:val="20"/>
          <w:szCs w:val="20"/>
          <w:color w:val="auto"/>
        </w:rPr>
      </w:pPr>
    </w:p>
    <w:p>
      <w:pPr>
        <w:jc w:val="both"/>
        <w:ind w:right="300" w:firstLine="546"/>
        <w:spacing w:after="0" w:line="263" w:lineRule="auto"/>
        <w:rPr>
          <w:sz w:val="20"/>
          <w:szCs w:val="20"/>
          <w:color w:val="auto"/>
        </w:rPr>
      </w:pPr>
      <w:r>
        <w:rPr>
          <w:rFonts w:ascii="Arial" w:cs="Arial" w:eastAsia="Arial" w:hAnsi="Arial"/>
          <w:sz w:val="18"/>
          <w:szCs w:val="18"/>
          <w:color w:val="auto"/>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spacing w:after="0" w:line="76" w:lineRule="exact"/>
        <w:rPr>
          <w:sz w:val="20"/>
          <w:szCs w:val="20"/>
          <w:color w:val="auto"/>
        </w:rPr>
      </w:pPr>
    </w:p>
    <w:p>
      <w:pPr>
        <w:ind w:right="320" w:firstLine="546"/>
        <w:spacing w:after="0" w:line="259" w:lineRule="auto"/>
        <w:rPr>
          <w:sz w:val="20"/>
          <w:szCs w:val="20"/>
          <w:color w:val="auto"/>
        </w:rPr>
      </w:pPr>
      <w:r>
        <w:rPr>
          <w:rFonts w:ascii="Arial" w:cs="Arial" w:eastAsia="Arial" w:hAnsi="Arial"/>
          <w:sz w:val="18"/>
          <w:szCs w:val="18"/>
          <w:color w:val="auto"/>
        </w:rPr>
        <w:t>We believe that it is important to make a substantial contribution to improving clinical outcomes. For instance, we have made substantial investments in improving the treatment of serious eye diseases such as glaucoma and retinal disease. The objectives of developing new treatments and applications are to expand the patient population, to better and more economically treat diseases, to treat patients earlier in the treatment regimen and to reduce the side effects of treatment.</w:t>
      </w:r>
    </w:p>
    <w:p>
      <w:pPr>
        <w:spacing w:after="0" w:line="79" w:lineRule="exact"/>
        <w:rPr>
          <w:sz w:val="20"/>
          <w:szCs w:val="20"/>
          <w:color w:val="auto"/>
        </w:rPr>
      </w:pPr>
    </w:p>
    <w:p>
      <w:pPr>
        <w:ind w:right="640" w:firstLine="546"/>
        <w:spacing w:after="0" w:line="375" w:lineRule="auto"/>
        <w:rPr>
          <w:sz w:val="20"/>
          <w:szCs w:val="20"/>
          <w:color w:val="auto"/>
        </w:rPr>
      </w:pPr>
      <w:r>
        <w:rPr>
          <w:rFonts w:ascii="Arial" w:cs="Arial" w:eastAsia="Arial" w:hAnsi="Arial"/>
          <w:sz w:val="18"/>
          <w:szCs w:val="18"/>
          <w:color w:val="auto"/>
        </w:rPr>
        <w:t xml:space="preserve">We consider clinical projects to be a component of our R&amp;D efforts and they may or may not result in additional commercial opportunities. </w:t>
      </w:r>
      <w:r>
        <w:rPr>
          <w:rFonts w:ascii="Arial" w:cs="Arial" w:eastAsia="Arial" w:hAnsi="Arial"/>
          <w:sz w:val="18"/>
          <w:szCs w:val="18"/>
          <w:b w:val="1"/>
          <w:bCs w:val="1"/>
          <w:color w:val="auto"/>
        </w:rPr>
        <w:t>Customers and Customer Support</w:t>
      </w:r>
    </w:p>
    <w:p>
      <w:pPr>
        <w:spacing w:after="0" w:line="1" w:lineRule="exact"/>
        <w:rPr>
          <w:sz w:val="20"/>
          <w:szCs w:val="20"/>
          <w:color w:val="auto"/>
        </w:rPr>
      </w:pPr>
    </w:p>
    <w:p>
      <w:pPr>
        <w:ind w:right="380" w:firstLine="546"/>
        <w:spacing w:after="0" w:line="263" w:lineRule="auto"/>
        <w:rPr>
          <w:sz w:val="20"/>
          <w:szCs w:val="20"/>
          <w:color w:val="auto"/>
        </w:rPr>
      </w:pPr>
      <w:r>
        <w:rPr>
          <w:rFonts w:ascii="Arial" w:cs="Arial" w:eastAsia="Arial" w:hAnsi="Arial"/>
          <w:sz w:val="18"/>
          <w:szCs w:val="18"/>
          <w:color w:val="auto"/>
        </w:rPr>
        <w:t>Our products are currently sold for use by ophthalmologists specializing in the treatment of eye disease in retina, glaucoma and pediatric eye diseases. Other customers include research and teaching hospitals, government installations, surgical centers, hospitals, veterinary practices, and office clinics (outpatient).</w:t>
      </w:r>
    </w:p>
    <w:p>
      <w:pPr>
        <w:spacing w:after="0" w:line="76"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In 2021 and 2020, we sold and marketed our products in the United States and Germany predominantly through our direct sales force and internationally (aside from Germany) primarily through independent distributors. Currently we have a direct sales force of 23 employees who are engaged in sales efforts within the United States, 1 in Germany and 5 personnel engaged in managing our distribution sales efforts internationally. Our sales are administered through our corporate headquarters in Mountain View, California.</w:t>
      </w:r>
    </w:p>
    <w:p>
      <w:pPr>
        <w:spacing w:after="0" w:line="79" w:lineRule="exact"/>
        <w:rPr>
          <w:sz w:val="20"/>
          <w:szCs w:val="20"/>
          <w:color w:val="auto"/>
        </w:rPr>
      </w:pPr>
    </w:p>
    <w:p>
      <w:pPr>
        <w:ind w:right="220" w:firstLine="546"/>
        <w:spacing w:after="0" w:line="290" w:lineRule="auto"/>
        <w:rPr>
          <w:sz w:val="20"/>
          <w:szCs w:val="20"/>
          <w:color w:val="auto"/>
        </w:rPr>
      </w:pPr>
      <w:r>
        <w:rPr>
          <w:rFonts w:ascii="Arial" w:cs="Arial" w:eastAsia="Arial" w:hAnsi="Arial"/>
          <w:sz w:val="16"/>
          <w:szCs w:val="16"/>
          <w:color w:val="auto"/>
        </w:rPr>
        <w:t>International revenues represented 52.6% and 46.9% of our revenues in 2021 and 2020, respectively. We believe that our international sales will continue to represent a significant portion of our revenues for the foreseeable future. Our international sales are made principally to customers in Europe, Asia, the Pacific Rim, the Middle East, Russia, Africa and Latin America. Our distribution agreements with our international distributors are generally exclusive and typically can be terminated by either party without cause with 90 days’ notice. In March 2021, the Company entered into a distribution agreement with Topcon, pursuant to which the Company granted exclusive right to distribute the Company’s retina and glaucoma products in certain international regions, for a period of 10 years, commencing upon regulatory approval to transfer existing distribution rights. International sales may be adversely affected by currency fluctuations, the imposition of governmental controls, restrictions on export technology, political instability, trade restrictions, changes in tariffs, tax treaties and the economic condition in each country in which we sell our products.</w:t>
      </w:r>
    </w:p>
    <w:p>
      <w:pPr>
        <w:spacing w:after="0" w:line="57" w:lineRule="exact"/>
        <w:rPr>
          <w:sz w:val="20"/>
          <w:szCs w:val="20"/>
          <w:color w:val="auto"/>
        </w:rPr>
      </w:pPr>
    </w:p>
    <w:p>
      <w:pPr>
        <w:jc w:val="both"/>
        <w:ind w:right="160" w:firstLine="546"/>
        <w:spacing w:after="0" w:line="286" w:lineRule="auto"/>
        <w:rPr>
          <w:sz w:val="20"/>
          <w:szCs w:val="20"/>
          <w:color w:val="auto"/>
        </w:rPr>
      </w:pPr>
      <w:r>
        <w:rPr>
          <w:rFonts w:ascii="Arial" w:cs="Arial" w:eastAsia="Arial" w:hAnsi="Arial"/>
          <w:sz w:val="17"/>
          <w:szCs w:val="17"/>
          <w:color w:val="auto"/>
        </w:rPr>
        <w:t>To support our sales process, we conduct marketing programs which include: our website, clinical education, social media, email marketing, trade shows, public relations, market research, key opinion leader collaborations and advertising in trade and academic journals and newsletters. We participate in trade shows worldwide on an annual basis. These meetings allow us to present our products to existing and prospective buyers.</w:t>
      </w:r>
    </w:p>
    <w:p>
      <w:pPr>
        <w:spacing w:after="0" w:line="57"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Through marketing, we collaborate with our customers to identify new products and applications which help meet their needs, and in turn provides us with new product concepts, enhances our ability to identify new applications for our products and validates new procedures using our products. Customers include key opinion leaders who are often the heads of the departments in which they work or professors at universities. We believe that these luminaries in the field of ophthalmology are key to the successful introduction of new products and the subsequent acceptance of these new products by the general market. Acceptance of our products by these early adopters is key to our strategy in the validation and commercialization of our new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Affairs</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Our clinical affairs group was established to support clinical research opportunities, provide specialized ophthalmic surgeon training and credentialing for our proprietary MicroPulse products, establish strong relationships with prominent key opinion leaders and assure the accuracy and consistency our messaging to the market. We believe that a strong research program underlying marketing initiatives and professional level training for our customers are key to driving the application of our technology for more widespread and consistent use.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manufacture of our visible light and infrared laser consoles and the related delivery devices is a highly complex and precise process. Completed systems must pass quality control testing and quality assurance review before shipment. Our manufacturing activities consist of specifying, sourcing, assembling and testing of components and certain subassemblies for assembly into our final product. Currently we have a total of 17 employees engaged in manufacturing activities for these products.</w:t>
      </w:r>
    </w:p>
    <w:p>
      <w:pPr>
        <w:spacing w:after="0" w:line="79"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February 2004, we were certified to ISO 13485:2003, which replaced ISO 9001/EN46001 as the international standard for quality systems as applied to medical devices. In December 2018, we were certified to ISO 13485:2016, which superseded the 2003 version of the standard. In August 2008, we received FDA 510(k) clearance on our family of Iridex IQ laser systems. This clearance covers the Iridex IQ 532 Laser and IQ 577 Laser and their associated delivery devices to deliver laser energy in either CW or MicroPulse mode. In January 2015, we received FDA 510(k) clearance for Cyclo G6 Laser. These laser systems are intended for a wide range of specific applications in the medical specialties of ophthalmology.</w:t>
      </w:r>
    </w:p>
    <w:p>
      <w:pPr>
        <w:spacing w:after="0" w:line="73"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our medical device products demonstrating compliance to the European Medical Device Directives and/or Medical Device Regulations and all applicable standards. In July 1998,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right="20"/>
        <w:spacing w:after="0" w:line="268" w:lineRule="auto"/>
        <w:rPr>
          <w:sz w:val="20"/>
          <w:szCs w:val="20"/>
          <w:color w:val="auto"/>
        </w:rPr>
      </w:pPr>
      <w:r>
        <w:rPr>
          <w:rFonts w:ascii="Arial" w:cs="Arial" w:eastAsia="Arial" w:hAnsi="Arial"/>
          <w:sz w:val="17"/>
          <w:szCs w:val="17"/>
          <w:color w:val="auto"/>
        </w:rPr>
        <w:t>received CE mark certification under Annex II guidelines, the most stringent path to CE certification. With Annex II CE mark certification, we have demonstrated our ability to both understand and comply with all applicable standards under the European Medical Device Directives. In May 2021, the Medical Device Directives were superceded by the Medical Device Regulations, with a transition period for our Class IIa and IIb products lasting in effect until May 2024, which allows Iridex to market these products during transition period. The Company will obtain certification of compliance to the Medical Device Regulations before May 2024. Currently, all of our products marketed within the EU are CE marked. Continued certification is based on successful review of quality management systems by our European Registrar (Notified Body) during its periodic audits. Any loss of certification could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that we make. We file patent applications to protect technology, inventions and improvements that are significant to the development of our business. Our patent portfolio includes 57 active United States patents and 95 active foreign patents on the technologies related to our products and processes. In addition, we have 11 patent applications pending in the United States and 24 foreign patent applications pending. Our patent applications may not be approved.</w:t>
      </w:r>
    </w:p>
    <w:p>
      <w:pPr>
        <w:spacing w:after="0" w:line="84"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 We can provide no assurance that our employees and consultants will abide by the provisions of these agreements and that our confidential information and trade secrets will be protected.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right="100"/>
        <w:spacing w:after="0" w:line="286" w:lineRule="auto"/>
        <w:rPr>
          <w:sz w:val="20"/>
          <w:szCs w:val="20"/>
          <w:color w:val="auto"/>
        </w:rPr>
      </w:pPr>
      <w:r>
        <w:rPr>
          <w:rFonts w:ascii="Arial" w:cs="Arial" w:eastAsia="Arial" w:hAnsi="Arial"/>
          <w:sz w:val="17"/>
          <w:szCs w:val="17"/>
          <w:color w:val="auto"/>
        </w:rPr>
        <w:t>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5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In the United States, medical devices are classified into one of three classes -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subject to general controls (for example, labeling, pre-market notification and adherence to Quality System Regulations (“QSRs”) requirements). Class II devices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and/or non-clinical studies of the device’s safety and effectiveness be performed.</w:t>
      </w:r>
    </w:p>
    <w:p>
      <w:pPr>
        <w:spacing w:after="0" w:line="64"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In the United States, 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one and six months from the date of submission to grant a 510(k) clearance, but it may take longer.</w:t>
      </w:r>
    </w:p>
    <w:p>
      <w:pPr>
        <w:spacing w:after="0" w:line="79"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effectiveness of the device or that constitute a major change to the intended use of the device will require new 510(k) submissions.</w:t>
      </w:r>
    </w:p>
    <w:p>
      <w:pPr>
        <w:spacing w:after="0" w:line="79"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We have obtained 510(k) clearances for all of our medical device products marketed within the United States that require 510(k) clearance.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70"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and other regulations, and these inspections may include the manufacturing facilities of our subcontractors.</w:t>
      </w:r>
    </w:p>
    <w:p>
      <w:pPr>
        <w:spacing w:after="0" w:line="69"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87"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right="160"/>
        <w:spacing w:after="0" w:line="263" w:lineRule="auto"/>
        <w:rPr>
          <w:sz w:val="20"/>
          <w:szCs w:val="20"/>
          <w:color w:val="auto"/>
        </w:rPr>
      </w:pPr>
      <w:r>
        <w:rPr>
          <w:rFonts w:ascii="Arial" w:cs="Arial" w:eastAsia="Arial" w:hAnsi="Arial"/>
          <w:sz w:val="18"/>
          <w:szCs w:val="18"/>
          <w:color w:val="auto"/>
        </w:rPr>
        <w:t>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spacing w:after="0" w:line="76"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68" w:lineRule="exact"/>
        <w:rPr>
          <w:sz w:val="20"/>
          <w:szCs w:val="20"/>
          <w:color w:val="auto"/>
        </w:rPr>
      </w:pPr>
    </w:p>
    <w:p>
      <w:pPr>
        <w:ind w:right="60" w:firstLine="546"/>
        <w:spacing w:after="0" w:line="268" w:lineRule="auto"/>
        <w:rPr>
          <w:sz w:val="20"/>
          <w:szCs w:val="20"/>
          <w:color w:val="auto"/>
        </w:rPr>
      </w:pPr>
      <w:r>
        <w:rPr>
          <w:rFonts w:ascii="Arial" w:cs="Arial" w:eastAsia="Arial" w:hAnsi="Arial"/>
          <w:sz w:val="17"/>
          <w:szCs w:val="17"/>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The revision of the quality system regulation (ISO 13485:2016) has been released that substantially increased the requirements for a medical device quality system. The Medical Device Regulation (“MDR”) has replaced the medical device directives (93/42/EEC), and it substantially changed the way that medical devices are brought to market in the European Union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many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6"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 MDL prior to adoption of this requirement are required to transition to the MDSAP. To address this Canadian medical device licensing requirement, Iridex transferred its MDLs to Salient Medical Solutions (“Salient”), Iridex’s distributor in Canada and an entity that is certified under MDSAP. Iridex continues to fabricate the devices as Salient’s contract manufacturer. Salient is now the regulatory manufacturer, and has the licenses necessary to import and sell Iridex’s products into Canada.</w:t>
      </w:r>
    </w:p>
    <w:p>
      <w:pPr>
        <w:spacing w:after="0" w:line="70"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Changes in existing requirements or adoption of new requirements or policies by the FDA or other foreign and domestic regulatory authorities could adversely affect our ability to comply with regulatory requirements. Failure to comply 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w:t>
      </w:r>
    </w:p>
    <w:p>
      <w:pPr>
        <w:spacing w:after="0" w:line="5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 w:name="page14"/>
    <w:bookmarkEnd w:id="13"/>
    <w:p>
      <w:pPr>
        <w:ind w:right="360"/>
        <w:spacing w:after="0" w:line="277" w:lineRule="auto"/>
        <w:rPr>
          <w:sz w:val="20"/>
          <w:szCs w:val="20"/>
          <w:color w:val="auto"/>
        </w:rPr>
      </w:pPr>
      <w:r>
        <w:rPr>
          <w:rFonts w:ascii="Arial" w:cs="Arial" w:eastAsia="Arial" w:hAnsi="Arial"/>
          <w:sz w:val="18"/>
          <w:szCs w:val="18"/>
          <w:color w:val="auto"/>
        </w:rPr>
        <w:t>private third-party payers’ policies may limit or eliminate reimbursement for procedures employing our products, which could have a material adverse effect on our business, results of operations and financial condition.</w:t>
      </w:r>
    </w:p>
    <w:p>
      <w:pPr>
        <w:spacing w:after="0" w:line="62"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Seasonality</w:t>
      </w:r>
    </w:p>
    <w:p>
      <w:pPr>
        <w:spacing w:after="0" w:line="121" w:lineRule="exact"/>
        <w:rPr>
          <w:sz w:val="20"/>
          <w:szCs w:val="20"/>
          <w:color w:val="auto"/>
        </w:rPr>
      </w:pPr>
    </w:p>
    <w:p>
      <w:pPr>
        <w:jc w:val="both"/>
        <w:ind w:right="420" w:firstLine="546"/>
        <w:spacing w:after="0" w:line="311" w:lineRule="auto"/>
        <w:rPr>
          <w:sz w:val="20"/>
          <w:szCs w:val="20"/>
          <w:color w:val="auto"/>
        </w:rPr>
      </w:pPr>
      <w:r>
        <w:rPr>
          <w:rFonts w:ascii="Arial" w:cs="Arial" w:eastAsia="Arial" w:hAnsi="Arial"/>
          <w:sz w:val="16"/>
          <w:szCs w:val="16"/>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Our employees are our human capital and they are our greatest strength and most valuable resource. As of January 1, 2022, we had a total of 119 full-time equivalent employees engaged in our ongoing operations, including 51 in operations (including manufacturing, quality, logistics and service), 39 in sales and marketing which does not include four consultants and two independent sales representatives, 18 in R&amp;D and 11 in finance and administration. We also employ, from time to time, a number of temporary and part-time employees as well as consultants on a contract basis. As of January 1, 2022, we had 51 such persons serving in such roles.</w:t>
      </w:r>
    </w:p>
    <w:p>
      <w:pPr>
        <w:spacing w:after="0" w:line="80" w:lineRule="exact"/>
        <w:rPr>
          <w:sz w:val="20"/>
          <w:szCs w:val="20"/>
          <w:color w:val="auto"/>
        </w:rPr>
      </w:pPr>
    </w:p>
    <w:p>
      <w:pPr>
        <w:ind w:right="320" w:firstLine="546"/>
        <w:spacing w:after="0" w:line="311" w:lineRule="auto"/>
        <w:rPr>
          <w:sz w:val="20"/>
          <w:szCs w:val="20"/>
          <w:color w:val="auto"/>
        </w:rPr>
      </w:pPr>
      <w:r>
        <w:rPr>
          <w:rFonts w:ascii="Arial" w:cs="Arial" w:eastAsia="Arial" w:hAnsi="Arial"/>
          <w:sz w:val="16"/>
          <w:szCs w:val="16"/>
          <w:color w:val="auto"/>
        </w:rPr>
        <w:t>Our human capital resources objectives include identifying, recruiting, retaining, incentivizing and integrating our existing and new employees, advisors and consultants. We continuously invest in our workforce by seeking to create a diverse, inclusive, and safe work environment where our employees can learn, innovate, and deliver their best. We are committed to being inclusive to enable our workforce and customers to succeed.</w:t>
      </w:r>
    </w:p>
    <w:p>
      <w:pPr>
        <w:spacing w:after="0" w:line="41"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Our employees are not represented by a collective bargaining organization, and we have never experienced a work stoppage or strike. We consider our employee relations to be good.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spacing w:after="0" w:line="79" w:lineRule="exact"/>
        <w:rPr>
          <w:sz w:val="20"/>
          <w:szCs w:val="20"/>
          <w:color w:val="auto"/>
        </w:rPr>
      </w:pPr>
    </w:p>
    <w:p>
      <w:pPr>
        <w:ind w:right="180" w:firstLine="546"/>
        <w:spacing w:after="0" w:line="255"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Twitter feed (https://twitter.com/Iridex). Any information on, or that can be accessed through, our website and social media channels is not part of this report.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17" w:lineRule="exact"/>
        <w:rPr>
          <w:sz w:val="20"/>
          <w:szCs w:val="20"/>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and responsive measures;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partnership with Topcon: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economic downturns, public health crises or political crises.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factors</w:t>
      </w:r>
    </w:p>
    <w:p>
      <w:pPr>
        <w:spacing w:after="0" w:line="117"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 with our strategic partner and main distributor, Topcon;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growth;</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of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17"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healthcare reform measures;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compliance with potential governmental, regulatory and other legal proceedings relative to advertising, promotion and marketing;</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government regulations, including the FDA’s quality system regulation and laser performance standards;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15" w:name="page16"/>
    <w:bookmarkEnd w:id="15"/>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laws;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foreign laws, including changes to those laws;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17"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provisions in our charter documents, Delaware law and contractual provisions that could delay or prevent an acquisition or sale of our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17"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maintain an effective system of internal control over financial reporting.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340" w:firstLine="546"/>
        <w:spacing w:after="0" w:line="320" w:lineRule="auto"/>
        <w:rPr>
          <w:sz w:val="20"/>
          <w:szCs w:val="20"/>
          <w:color w:val="auto"/>
        </w:rPr>
      </w:pPr>
      <w:r>
        <w:rPr>
          <w:rFonts w:ascii="Arial" w:cs="Arial" w:eastAsia="Arial" w:hAnsi="Arial"/>
          <w:sz w:val="15"/>
          <w:szCs w:val="15"/>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8" w:lineRule="exact"/>
        <w:rPr>
          <w:sz w:val="20"/>
          <w:szCs w:val="20"/>
          <w:color w:val="auto"/>
        </w:rPr>
      </w:pPr>
    </w:p>
    <w:p>
      <w:pPr>
        <w:ind w:right="20" w:firstLine="546"/>
        <w:spacing w:after="0" w:line="288" w:lineRule="auto"/>
        <w:rPr>
          <w:sz w:val="20"/>
          <w:szCs w:val="20"/>
          <w:color w:val="auto"/>
        </w:rPr>
      </w:pPr>
      <w:r>
        <w:rPr>
          <w:rFonts w:ascii="Arial" w:cs="Arial" w:eastAsia="Arial" w:hAnsi="Arial"/>
          <w:sz w:val="16"/>
          <w:szCs w:val="16"/>
          <w:color w:val="auto"/>
        </w:rPr>
        <w:t>Our business, results of operation and financial performance have been negatively impacted by the COVID-19 pandemic and related public health responses, such as social distancing protocols, and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the near term, we expect COVID-19 will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spacing w:after="0" w:line="60"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As a result of the COVID-19 outbreak around the world, we have adopted several measures including allowing employees to work from home, slowing our manufacturing operations, and restricting non-critical business travel by our employees. 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16" w:name="page17"/>
    <w:bookmarkEnd w:id="16"/>
    <w:p>
      <w:pPr>
        <w:ind w:right="20" w:firstLine="546"/>
        <w:spacing w:after="0" w:line="286"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117"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b w:val="1"/>
          <w:bCs w:val="1"/>
          <w:i w:val="1"/>
          <w:iCs w:val="1"/>
          <w:color w:val="auto"/>
        </w:rPr>
        <w:t>We may not be successful in our strategic partnership with Topcon and the relationship may divert resources away from existing operations or expose us to liabilities, which could adversely affect our business, results of operations and financial condition.</w:t>
      </w:r>
    </w:p>
    <w:p>
      <w:pPr>
        <w:spacing w:after="0" w:line="146"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On March 2, 2021, we entered into a series of strategic transactions with Topcon, Topcon America Corporation (the “Investor”) and Topcon Medical Laser Systems, Inc., a subsidiary of Topcon ( “TMLS”), which included an asset purchase agreement with the TMLS, pursuant to which we acquired substantially all the assets (except for cash and cash equivalents) of the TMLS, including rights to the PASCAL product (as defined in Note 3 of the Notes to Consolidated Financial Statements)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w:t>
      </w:r>
    </w:p>
    <w:p>
      <w:pPr>
        <w:spacing w:after="0" w:line="69" w:lineRule="exact"/>
        <w:rPr>
          <w:sz w:val="20"/>
          <w:szCs w:val="20"/>
          <w:color w:val="auto"/>
        </w:rPr>
      </w:pPr>
    </w:p>
    <w:p>
      <w:pPr>
        <w:ind w:right="140" w:firstLine="546"/>
        <w:spacing w:after="0" w:line="255" w:lineRule="auto"/>
        <w:rPr>
          <w:sz w:val="20"/>
          <w:szCs w:val="20"/>
          <w:color w:val="auto"/>
        </w:rPr>
      </w:pPr>
      <w:r>
        <w:rPr>
          <w:rFonts w:ascii="Arial" w:cs="Arial" w:eastAsia="Arial" w:hAnsi="Arial"/>
          <w:sz w:val="18"/>
          <w:szCs w:val="18"/>
          <w:color w:val="auto"/>
        </w:rPr>
        <w:t>Pursuant to the Asset Purchase Agreement, the transferred assets include substantially all of the TMLS’ assets including the rights to the PASCAL product (the “Transferred Assets”). We assumed only those liabilities arising after the closing in connection with the Transferred Assets. In the Asset Purchase Agreement, our company and the TMLS made certain customary representations and warranties and agreed to certain customary covenants. The Agreement provides that our company and the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84" w:lineRule="exact"/>
        <w:rPr>
          <w:sz w:val="20"/>
          <w:szCs w:val="20"/>
          <w:color w:val="auto"/>
        </w:rPr>
      </w:pPr>
    </w:p>
    <w:p>
      <w:pPr>
        <w:ind w:right="100" w:firstLine="546"/>
        <w:spacing w:after="0" w:line="291" w:lineRule="auto"/>
        <w:rPr>
          <w:sz w:val="20"/>
          <w:szCs w:val="20"/>
          <w:color w:val="auto"/>
        </w:rPr>
      </w:pPr>
      <w:r>
        <w:rPr>
          <w:rFonts w:ascii="Arial" w:cs="Arial" w:eastAsia="Arial" w:hAnsi="Arial"/>
          <w:sz w:val="16"/>
          <w:szCs w:val="16"/>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166"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80" w:firstLine="546"/>
        <w:spacing w:after="0" w:line="257" w:lineRule="auto"/>
        <w:rPr>
          <w:sz w:val="20"/>
          <w:szCs w:val="20"/>
          <w:color w:val="auto"/>
        </w:rPr>
      </w:pPr>
      <w:r>
        <w:rPr>
          <w:rFonts w:ascii="Arial" w:cs="Arial" w:eastAsia="Arial" w:hAnsi="Arial"/>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80" w:lineRule="exact"/>
        <w:rPr>
          <w:sz w:val="20"/>
          <w:szCs w:val="20"/>
          <w:color w:val="auto"/>
        </w:rPr>
      </w:pPr>
    </w:p>
    <w:p>
      <w:pPr>
        <w:ind w:right="800" w:firstLine="546"/>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220" w:firstLine="546"/>
        <w:spacing w:after="0" w:line="311"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4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87"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88" w:lineRule="exact"/>
        <w:rPr>
          <w:sz w:val="20"/>
          <w:szCs w:val="20"/>
          <w:color w:val="auto"/>
        </w:rPr>
      </w:pPr>
    </w:p>
    <w:p>
      <w:pPr>
        <w:ind w:right="200" w:firstLine="546"/>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62" w:lineRule="exact"/>
        <w:rPr>
          <w:sz w:val="20"/>
          <w:szCs w:val="20"/>
          <w:color w:val="auto"/>
        </w:rPr>
      </w:pPr>
    </w:p>
    <w:p>
      <w:pPr>
        <w:jc w:val="both"/>
        <w:ind w:right="180" w:firstLine="546"/>
        <w:spacing w:after="0" w:line="287" w:lineRule="auto"/>
        <w:rPr>
          <w:sz w:val="20"/>
          <w:szCs w:val="20"/>
          <w:color w:val="auto"/>
        </w:rPr>
      </w:pPr>
      <w:r>
        <w:rPr>
          <w:rFonts w:ascii="Arial" w:cs="Arial" w:eastAsia="Arial" w:hAnsi="Arial"/>
          <w:sz w:val="16"/>
          <w:szCs w:val="16"/>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23 employees and two independent representative, respectively and our direct sales force in Germany consists of one employee.</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Our international independent distributors are managed by a team of five people. We generally grant our distributors exclusive territories for the sale of our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80"/>
        <w:spacing w:after="0" w:line="259" w:lineRule="auto"/>
        <w:rPr>
          <w:sz w:val="20"/>
          <w:szCs w:val="20"/>
          <w:color w:val="auto"/>
        </w:rPr>
      </w:pPr>
      <w:r>
        <w:rPr>
          <w:rFonts w:ascii="Arial" w:cs="Arial" w:eastAsia="Arial" w:hAnsi="Arial"/>
          <w:sz w:val="18"/>
          <w:szCs w:val="18"/>
          <w:color w:val="auto"/>
        </w:rPr>
        <w:t>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79"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travel is restricted and some services are being performed from home, all of which could have an impact on our ability to sell and distribute our products.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6"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fiscal year 2021, our international sales were $28.3 million, or 52.6% of total revenues. We anticipate that international sales will continue to account for a significant portion of our revenues in the foreseeable future. All of our international revenues and costs for the fiscal year 2021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60" w:firstLine="546"/>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delayed due to the impact of COVID-19, and should COVID-19 economic restrictions worsen, it could delay and disrupt our research and development processes even further.</w:t>
      </w:r>
    </w:p>
    <w:p>
      <w:pPr>
        <w:spacing w:after="0" w:line="70"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such as that occurring in Russia and Ukraine, and terrorist acts may put further pressure on economic conditions in the United States and abroad.</w:t>
      </w:r>
    </w:p>
    <w:p>
      <w:pPr>
        <w:spacing w:after="0" w:line="70"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460"/>
        <w:spacing w:after="0" w:line="263" w:lineRule="auto"/>
        <w:rPr>
          <w:sz w:val="20"/>
          <w:szCs w:val="20"/>
          <w:color w:val="auto"/>
        </w:rPr>
      </w:pPr>
      <w:r>
        <w:rPr>
          <w:rFonts w:ascii="Arial" w:cs="Arial" w:eastAsia="Arial" w:hAnsi="Arial"/>
          <w:sz w:val="18"/>
          <w:szCs w:val="18"/>
          <w:color w:val="auto"/>
        </w:rPr>
        <w:t>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46"/>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80" w:right="4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uncertainties, inflationary pressures and political concerns, including the impact of COVID-19 and the war between Russia and Ukraine;</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variances in shipment volumes as a result of product, supply chain due to global constraints or other factors and training issues; and</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480" w:firstLine="546"/>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7"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17"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 and our PASCAL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services or our revenues associated therewith may have a material adverse effect on our business, results of operations and financial condition.</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80" w:firstLine="546"/>
        <w:spacing w:after="0" w:line="286"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66"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We are unable to predict what legislation or regulation, if any, relating to the health care industry or third-party coverage and reimbursement may be enacted in the future at the state or federal level, or what effect such legislation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80"/>
        <w:spacing w:after="0" w:line="279" w:lineRule="auto"/>
        <w:rPr>
          <w:sz w:val="20"/>
          <w:szCs w:val="20"/>
          <w:color w:val="auto"/>
        </w:rPr>
      </w:pPr>
      <w:r>
        <w:rPr>
          <w:rFonts w:ascii="Arial" w:cs="Arial" w:eastAsia="Arial" w:hAnsi="Arial"/>
          <w:sz w:val="17"/>
          <w:szCs w:val="17"/>
          <w:color w:val="auto"/>
        </w:rPr>
        <w:t xml:space="preserve">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Arial" w:cs="Arial" w:eastAsia="Arial" w:hAnsi="Arial"/>
          <w:sz w:val="17"/>
          <w:szCs w:val="17"/>
          <w:i w:val="1"/>
          <w:iCs w:val="1"/>
          <w:color w:val="auto"/>
        </w:rPr>
        <w:t>California v. Texas</w:t>
      </w:r>
      <w:r>
        <w:rPr>
          <w:rFonts w:ascii="Arial" w:cs="Arial" w:eastAsia="Arial" w:hAnsi="Arial"/>
          <w:sz w:val="17"/>
          <w:szCs w:val="17"/>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63"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100" w:firstLine="546"/>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3" w:lineRule="exact"/>
        <w:rPr>
          <w:sz w:val="20"/>
          <w:szCs w:val="20"/>
          <w:color w:val="auto"/>
        </w:rPr>
      </w:pPr>
    </w:p>
    <w:p>
      <w:pPr>
        <w:ind w:right="100" w:firstLine="546"/>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60" w:firstLine="546"/>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40" w:firstLine="546"/>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8" w:lineRule="exact"/>
        <w:rPr>
          <w:sz w:val="20"/>
          <w:szCs w:val="20"/>
          <w:color w:val="auto"/>
        </w:rPr>
      </w:pPr>
    </w:p>
    <w:p>
      <w:pPr>
        <w:ind w:right="660" w:firstLine="546"/>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20" w:firstLine="546"/>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January 1, 2022, our patent portfolio includes 57 active United States patents and 95 active foreign patents on the technologies related to our products and processes. In addition, as of January 2, 2021, we have 11 patent applications pending in the United States and 24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58" w:lineRule="exact"/>
        <w:rPr>
          <w:sz w:val="20"/>
          <w:szCs w:val="20"/>
          <w:color w:val="auto"/>
        </w:rPr>
      </w:pPr>
    </w:p>
    <w:p>
      <w:pPr>
        <w:ind w:right="240" w:firstLine="546"/>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4"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20" w:firstLine="546"/>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40" w:firstLine="546"/>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360" w:firstLine="546"/>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500" w:firstLine="546"/>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46"/>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117"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80" w:right="56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components and products in a timely manner or at acceptable prices due to global supply chain constraints or other factors.</w:t>
      </w:r>
    </w:p>
    <w:p>
      <w:pPr>
        <w:spacing w:after="0" w:line="62" w:lineRule="exact"/>
        <w:rPr>
          <w:sz w:val="20"/>
          <w:szCs w:val="20"/>
          <w:color w:val="auto"/>
        </w:rPr>
      </w:pPr>
    </w:p>
    <w:p>
      <w:pPr>
        <w:ind w:right="60" w:firstLine="551"/>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51"/>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280" w:firstLine="551"/>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51"/>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51"/>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120" w:firstLine="551"/>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56"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4" w:lineRule="exact"/>
        <w:rPr>
          <w:sz w:val="20"/>
          <w:szCs w:val="20"/>
          <w:color w:val="auto"/>
        </w:rPr>
      </w:pPr>
    </w:p>
    <w:p>
      <w:pPr>
        <w:ind w:right="120" w:firstLine="546"/>
        <w:spacing w:after="0" w:line="272"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360"/>
        <w:spacing w:after="0" w:line="277" w:lineRule="auto"/>
        <w:rPr>
          <w:sz w:val="20"/>
          <w:szCs w:val="20"/>
          <w:color w:val="auto"/>
        </w:rPr>
      </w:pPr>
      <w:r>
        <w:rPr>
          <w:rFonts w:ascii="Arial" w:cs="Arial" w:eastAsia="Arial" w:hAnsi="Arial"/>
          <w:sz w:val="18"/>
          <w:szCs w:val="18"/>
          <w:color w:val="auto"/>
        </w:rPr>
        <w:t>Commission has jurisdiction over the advertising of all our products, which are non-restricted devices, and exercises oversight in coordination with the FDA.</w:t>
      </w:r>
    </w:p>
    <w:p>
      <w:pPr>
        <w:spacing w:after="0" w:line="62" w:lineRule="exact"/>
        <w:rPr>
          <w:sz w:val="20"/>
          <w:szCs w:val="20"/>
          <w:color w:val="auto"/>
        </w:rPr>
      </w:pPr>
    </w:p>
    <w:p>
      <w:pPr>
        <w:ind w:right="220" w:firstLine="546"/>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such as Iridex to contract with a Swiss Authorized Representative. Additionally, the new revision 4 of the clinical evaluation report guidance document (MEDDEV 2.7.1) severely restricts the use of substantial equivalence for new products, resulting in the need for formal clinical trial data for most many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4" w:lineRule="exact"/>
        <w:rPr>
          <w:sz w:val="20"/>
          <w:szCs w:val="20"/>
          <w:color w:val="auto"/>
        </w:rPr>
      </w:pPr>
    </w:p>
    <w:p>
      <w:pPr>
        <w:ind w:right="440" w:firstLine="546"/>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4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420" w:firstLine="546"/>
        <w:spacing w:after="0" w:line="293" w:lineRule="auto"/>
        <w:rPr>
          <w:sz w:val="20"/>
          <w:szCs w:val="20"/>
          <w:color w:val="auto"/>
        </w:rPr>
      </w:pPr>
      <w:r>
        <w:rPr>
          <w:rFonts w:ascii="Arial" w:cs="Arial" w:eastAsia="Arial" w:hAnsi="Arial"/>
          <w:sz w:val="16"/>
          <w:szCs w:val="16"/>
          <w:color w:val="auto"/>
        </w:rPr>
        <w:t>For example, on February 23, 2018, we initiated a worldwide voluntary recall of a specific laser accessory called the TruFocus LIO Premiere</w:t>
      </w:r>
      <w:r>
        <w:rPr>
          <w:rFonts w:ascii="Arial" w:cs="Arial" w:eastAsia="Arial" w:hAnsi="Arial"/>
          <w:sz w:val="13"/>
          <w:szCs w:val="13"/>
          <w:color w:val="auto"/>
        </w:rPr>
        <w:t>®</w:t>
      </w:r>
      <w:r>
        <w:rPr>
          <w:rFonts w:ascii="Arial" w:cs="Arial" w:eastAsia="Arial" w:hAnsi="Arial"/>
          <w:sz w:val="16"/>
          <w:szCs w:val="16"/>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a follow up request for termination on September 29, 2021. Our termination request is pending.</w:t>
      </w:r>
    </w:p>
    <w:p>
      <w:pPr>
        <w:spacing w:after="0" w:line="56"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We obtained FDA clearance for an updated TruFocus LIO Premiere</w:t>
      </w:r>
      <w:r>
        <w:rPr>
          <w:rFonts w:ascii="Arial" w:cs="Arial" w:eastAsia="Arial" w:hAnsi="Arial"/>
          <w:sz w:val="15"/>
          <w:szCs w:val="15"/>
          <w:color w:val="auto"/>
        </w:rPr>
        <w:t>®</w:t>
      </w:r>
      <w:r>
        <w:rPr>
          <w:rFonts w:ascii="Arial" w:cs="Arial" w:eastAsia="Arial" w:hAnsi="Arial"/>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360" w:firstLine="546"/>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Significant developments resulting from recent and potential changes in U.S. trade policies could have a material adverse effect on us.</w:t>
      </w:r>
    </w:p>
    <w:p>
      <w:pPr>
        <w:spacing w:after="0" w:line="140"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73"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20" w:firstLine="546"/>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240" w:firstLine="546"/>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jc w:val="both"/>
        <w:ind w:right="580" w:firstLine="546"/>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4"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340"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8" w:lineRule="exact"/>
        <w:rPr>
          <w:sz w:val="20"/>
          <w:szCs w:val="20"/>
          <w:color w:val="auto"/>
        </w:rPr>
      </w:pPr>
    </w:p>
    <w:p>
      <w:pPr>
        <w:ind w:right="340" w:firstLine="546"/>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 and Ukraine. During the fourth quarter of fiscal year 2021, the trading price of our common stock fluctuated from a low of $5.62 per share to a high of $9.37 per share. During the fiscal year 2021, the trading price of our common stock fluctuated from a low of $2.18 per share to a high of $9.37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Because we do not intend to pay dividends, stockholders will benefit from an investment in our common stock only if it appreciates in value.</w:t>
      </w:r>
    </w:p>
    <w:p>
      <w:pPr>
        <w:spacing w:after="0" w:line="152"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Ownership of our common stock is concentrated among a few investors, which may affect the ability of a third party to acquire control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ind w:right="500" w:firstLine="546"/>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7"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460" w:firstLine="546"/>
        <w:spacing w:after="0" w:line="311" w:lineRule="auto"/>
        <w:rPr>
          <w:sz w:val="20"/>
          <w:szCs w:val="20"/>
          <w:color w:val="auto"/>
        </w:rPr>
      </w:pPr>
      <w:r>
        <w:rPr>
          <w:rFonts w:ascii="Arial" w:cs="Arial" w:eastAsia="Arial" w:hAnsi="Arial"/>
          <w:sz w:val="16"/>
          <w:szCs w:val="16"/>
          <w:color w:val="auto"/>
        </w:rPr>
        <w:t>We lease a 37,166 square feet facility in Mountain View, California pursuant to a Triple Net Lease dated April 26, 2017 that was scheduled to expire in February 2022. On April 30, 2021, the First Amendment to the Triple Net Lease (“First Amendment”) was executed, among other things, to reduce the portion of the premises leased by the Company to approximately 29,830 square feet and extend the lease term through August 31, 2024.</w:t>
      </w:r>
    </w:p>
    <w:p>
      <w:pPr>
        <w:spacing w:after="0" w:line="41"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 We are not currently party to any material legal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440"/>
        <w:spacing w:after="0" w:line="377"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 Market Information for Common Equity</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currently quoted on the Nasdaq Global Market under the symbol “IRIX”.</w:t>
      </w:r>
    </w:p>
    <w:p>
      <w:pPr>
        <w:spacing w:after="0" w:line="131"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As of March 3, 2022, there were approximately 33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We have never paid cash dividends on our common stock. We currently intend to retain any earnings for use in our business and do not anticipate paying cash dividends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53" w:right="519" w:bottom="1440" w:gutter="0" w:footer="0" w:header="0"/>
        </w:sectPr>
      </w:pPr>
    </w:p>
    <w:bookmarkStart w:id="35" w:name="page36"/>
    <w:bookmarkEnd w:id="35"/>
    <w:p>
      <w:pPr>
        <w:ind w:right="372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right="40" w:firstLine="546"/>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system used for the treatment of glaucoma;</w:t>
      </w:r>
    </w:p>
    <w:p>
      <w:pPr>
        <w:spacing w:after="0" w:line="117" w:lineRule="exact"/>
        <w:rPr>
          <w:rFonts w:ascii="Arial" w:cs="Arial" w:eastAsia="Arial" w:hAnsi="Arial"/>
          <w:sz w:val="18"/>
          <w:szCs w:val="18"/>
          <w:color w:val="auto"/>
        </w:rPr>
      </w:pPr>
    </w:p>
    <w:p>
      <w:pPr>
        <w:ind w:left="1080" w:right="40" w:hanging="532"/>
        <w:spacing w:after="0" w:line="26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IQ 577</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which are used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diabetic macular edema and other retinal diseases, and our PASCAL Synthesis Photocoagulator for the treatment of retinal diseases; and</w:t>
      </w:r>
    </w:p>
    <w:p>
      <w:pPr>
        <w:spacing w:after="0" w:line="67" w:lineRule="exact"/>
        <w:rPr>
          <w:rFonts w:ascii="Arial" w:cs="Arial" w:eastAsia="Arial" w:hAnsi="Arial"/>
          <w:sz w:val="18"/>
          <w:szCs w:val="18"/>
          <w:color w:val="auto"/>
        </w:rPr>
      </w:pPr>
    </w:p>
    <w:p>
      <w:pPr>
        <w:ind w:left="1080" w:hanging="532"/>
        <w:spacing w:after="0" w:line="26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TX, OcuLight SL, OcuLight SLx, OcuLight GL and</w:t>
      </w:r>
      <w:r>
        <w:rPr>
          <w:rFonts w:ascii="Arial" w:cs="Arial" w:eastAsia="Arial" w:hAnsi="Arial"/>
          <w:sz w:val="18"/>
          <w:szCs w:val="18"/>
          <w:b w:val="1"/>
          <w:bCs w:val="1"/>
          <w:color w:val="auto"/>
        </w:rPr>
        <w:t xml:space="preserve"> </w:t>
      </w:r>
      <w:r>
        <w:rPr>
          <w:rFonts w:ascii="Arial" w:cs="Arial" w:eastAsia="Arial" w:hAnsi="Arial"/>
          <w:sz w:val="18"/>
          <w:szCs w:val="18"/>
          <w:color w:val="auto"/>
        </w:rPr>
        <w:t>OcuLight 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16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80" w:right="160" w:hanging="532"/>
        <w:spacing w:after="0" w:line="282"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Probe, G-Probe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G-Probe Illuminate</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3"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products used in vitrectomy procedures.</w:t>
      </w:r>
    </w:p>
    <w:p>
      <w:pPr>
        <w:spacing w:after="0" w:line="121"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Ophthalmologists typically use our laser systems in hospital ORs and ambulatory surgical centers (“ASCs”), as well as their offices and clinics. In ORs and ASCs, ophthalmologists use our laser systems with either an indirect laser ophthalmoscope or a consumable, single use MicroPulse P3 Probe, G-Probe, G-Probe Illuminate or EndoProbe.</w:t>
      </w:r>
    </w:p>
    <w:p>
      <w:pPr>
        <w:spacing w:after="0" w:line="76" w:lineRule="exact"/>
        <w:rPr>
          <w:sz w:val="20"/>
          <w:szCs w:val="20"/>
          <w:color w:val="auto"/>
        </w:rPr>
      </w:pPr>
    </w:p>
    <w:p>
      <w:pPr>
        <w:ind w:right="140" w:firstLine="546"/>
        <w:spacing w:after="0" w:line="279" w:lineRule="auto"/>
        <w:rPr>
          <w:sz w:val="20"/>
          <w:szCs w:val="20"/>
          <w:color w:val="auto"/>
        </w:rPr>
      </w:pPr>
      <w:r>
        <w:rPr>
          <w:rFonts w:ascii="Arial" w:cs="Arial" w:eastAsia="Arial" w:hAnsi="Arial"/>
          <w:sz w:val="18"/>
          <w:szCs w:val="18"/>
          <w:color w:val="auto"/>
        </w:rPr>
        <w:t>In 2021 and 2020, our products were sold in the United States and Germany predominantly through a direct sales force and internationally (aside from Germany) primarily through Topcon and other independent distributors. Total revenues in 2021 and 2020 were $53.9 million and $36.3 million, respectively. We generated net losses of $5.2 million and $6.3 million in 2021 and 2020, respectively.</w:t>
      </w:r>
    </w:p>
    <w:p>
      <w:pPr>
        <w:spacing w:after="0" w:line="61" w:lineRule="exact"/>
        <w:rPr>
          <w:sz w:val="20"/>
          <w:szCs w:val="20"/>
          <w:color w:val="auto"/>
        </w:rPr>
      </w:pPr>
    </w:p>
    <w:p>
      <w:pPr>
        <w:ind w:right="280" w:firstLine="546"/>
        <w:spacing w:after="0" w:line="308" w:lineRule="auto"/>
        <w:rPr>
          <w:sz w:val="20"/>
          <w:szCs w:val="20"/>
          <w:color w:val="auto"/>
        </w:rPr>
      </w:pPr>
      <w:r>
        <w:rPr>
          <w:rFonts w:ascii="Arial" w:cs="Arial" w:eastAsia="Arial" w:hAnsi="Arial"/>
          <w:sz w:val="17"/>
          <w:szCs w:val="17"/>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38"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right="160" w:firstLine="546"/>
        <w:spacing w:after="0" w:line="275"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 - 2021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fiscal year ends on the Saturday closest to December 31. Fiscal 2021 ended on January 1, 2022 and fiscal 2020 ended on January 2,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years 2021 and 2020 included 52 weeks and 53 weeks of operations, respectively.</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operating data as a percentage of revenues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FY 2021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FY 2020</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4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January 1, 2022</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gridSpan w:val="3"/>
          </w:tcPr>
          <w:p>
            <w:pPr>
              <w:jc w:val="right"/>
              <w:ind w:right="99"/>
              <w:spacing w:after="0" w:line="155" w:lineRule="exact"/>
              <w:rPr>
                <w:sz w:val="20"/>
                <w:szCs w:val="20"/>
                <w:color w:val="auto"/>
              </w:rPr>
            </w:pPr>
            <w:r>
              <w:rPr>
                <w:rFonts w:ascii="Arial" w:cs="Arial" w:eastAsia="Arial" w:hAnsi="Arial"/>
                <w:sz w:val="14"/>
                <w:szCs w:val="14"/>
                <w:b w:val="1"/>
                <w:bCs w:val="1"/>
                <w:color w:val="auto"/>
              </w:rPr>
              <w:t>January 2, 2021</w:t>
            </w:r>
          </w:p>
        </w:tc>
        <w:tc>
          <w:tcPr>
            <w:tcW w:w="240" w:type="dxa"/>
            <w:vAlign w:val="bottom"/>
            <w:tcBorders>
              <w:bottom w:val="single" w:sz="8" w:color="CFF0FC"/>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8"/>
              </w:rPr>
              <w:t>100.0%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57.2%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42.8%</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60" w:type="dxa"/>
            <w:vAlign w:val="bottom"/>
            <w:gridSpan w:val="2"/>
          </w:tcPr>
          <w:p>
            <w:pPr>
              <w:ind w:left="7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33.7%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336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vMerge w:val="continue"/>
          </w:tcPr>
          <w:p>
            <w:pPr>
              <w:spacing w:after="0"/>
              <w:rPr>
                <w:sz w:val="19"/>
                <w:szCs w:val="19"/>
                <w:color w:val="auto"/>
              </w:rPr>
            </w:pPr>
          </w:p>
        </w:tc>
        <w:tc>
          <w:tcPr>
            <w:tcW w:w="33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60.9%</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(13.9%)</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gridSpan w:val="4"/>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Comparison of 2021 and 2020</w:t>
            </w: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7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3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FY 2021</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FY 2020</w:t>
            </w:r>
          </w:p>
        </w:tc>
        <w:tc>
          <w:tcPr>
            <w:tcW w:w="26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w w:val="90"/>
              </w:rPr>
              <w:t>Change in $</w:t>
            </w:r>
          </w:p>
        </w:tc>
        <w:tc>
          <w:tcPr>
            <w:tcW w:w="260" w:type="dxa"/>
            <w:vAlign w:val="bottom"/>
            <w:tcBorders>
              <w:bottom w:val="single" w:sz="8" w:color="CFF0FC"/>
            </w:tcBorders>
          </w:tcPr>
          <w:p>
            <w:pPr>
              <w:spacing w:after="0"/>
              <w:rPr>
                <w:sz w:val="24"/>
                <w:szCs w:val="24"/>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 in %</w:t>
            </w:r>
          </w:p>
        </w:tc>
        <w:tc>
          <w:tcPr>
            <w:tcW w:w="1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Cyclo G6</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11,273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CFF0FC"/>
          </w:tcPr>
          <w:p>
            <w:pPr>
              <w:spacing w:after="0"/>
              <w:rPr>
                <w:sz w:val="19"/>
                <w:szCs w:val="19"/>
                <w:color w:val="auto"/>
              </w:rPr>
            </w:pPr>
          </w:p>
        </w:tc>
        <w:tc>
          <w:tcPr>
            <w:tcW w:w="17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Retina</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18,087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13,019</w:t>
            </w:r>
          </w:p>
        </w:tc>
        <w:tc>
          <w:tcPr>
            <w:tcW w:w="1960" w:type="dxa"/>
            <w:vAlign w:val="bottom"/>
            <w:gridSpan w:val="5"/>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9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36,347</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17,556</w:t>
            </w:r>
          </w:p>
        </w:tc>
        <w:tc>
          <w:tcPr>
            <w:tcW w:w="1960" w:type="dxa"/>
            <w:vAlign w:val="bottom"/>
            <w:gridSpan w:val="5"/>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Our total revenues increased by $17.6 million or 48.3% from $36.3 million in 2020 to $53.9 million in 2021. The increase is primarily due to the increase in sales of our retina products, Cyclo G6 products and other revenues compared to prior year when our business was severely impacted by the COVID-19 pandemic. Revenues from retina products increased by 72.0% driven by an increase in sales of our Iridex retina products in both domestic and international markets compared to prior year when capital equipment sales were especially impacted by the COVID-19 pandemic, and an increase due to the inclusion of PASCAL product revenue from our acquisition of TMLS assets, particularly in the international markets. Revenues from G6 products increased by 23.7%, driven primarily by an increase in Cyclo G6 probes sales in both domestic and international markets and increase in Cyclo G6 systems sales in international market. Other revenues, comprised of service, royalty, freight, legacy G probes and revenue related to exclusive distribution rights, increased 26.6% primarily due to an increase in service revenue and the revenue related to exclusive distribution rights.</w:t>
      </w:r>
    </w:p>
    <w:p>
      <w:pPr>
        <w:spacing w:after="0" w:line="5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other variants. Until this pandemic subsides, we anticipate capital expenditures may continue to be deferred.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w:t>
      </w:r>
    </w:p>
    <w:p>
      <w:pPr>
        <w:spacing w:after="0" w:line="117" w:lineRule="exact"/>
        <w:rPr>
          <w:sz w:val="20"/>
          <w:szCs w:val="20"/>
          <w:color w:val="auto"/>
        </w:rPr>
      </w:pPr>
    </w:p>
    <w:p>
      <w:pPr>
        <w:ind w:right="60" w:firstLine="546"/>
        <w:spacing w:after="0" w:line="286" w:lineRule="auto"/>
        <w:rPr>
          <w:sz w:val="20"/>
          <w:szCs w:val="20"/>
          <w:color w:val="auto"/>
        </w:rPr>
      </w:pPr>
      <w:r>
        <w:rPr>
          <w:rFonts w:ascii="Arial" w:cs="Arial" w:eastAsia="Arial" w:hAnsi="Arial"/>
          <w:sz w:val="17"/>
          <w:szCs w:val="17"/>
          <w:color w:val="auto"/>
        </w:rPr>
        <w:t>Gross profit increased by $7.3 million or 46.7% from $15.6 million in 2020 to $22.8 million in 2021. Gross margin decreased by 0.4% from 42.8% in 2020 to 42.4% in 2021. The decrease in gross margin was primarily attributable to unfavorable geographic and product mix, partially offset by a decrease in manufacturing overhead rate as a result of fixed overhead expenditures being absorbed over a higher sales volume.</w:t>
      </w:r>
    </w:p>
    <w:p>
      <w:pPr>
        <w:spacing w:after="0" w:line="57" w:lineRule="exact"/>
        <w:rPr>
          <w:sz w:val="20"/>
          <w:szCs w:val="20"/>
          <w:color w:val="auto"/>
        </w:rPr>
      </w:pPr>
    </w:p>
    <w:p>
      <w:pPr>
        <w:ind w:right="360" w:firstLine="546"/>
        <w:spacing w:after="0" w:line="342" w:lineRule="auto"/>
        <w:rPr>
          <w:sz w:val="20"/>
          <w:szCs w:val="20"/>
          <w:color w:val="auto"/>
        </w:rPr>
      </w:pPr>
      <w:r>
        <w:rPr>
          <w:rFonts w:ascii="Arial" w:cs="Arial" w:eastAsia="Arial" w:hAnsi="Arial"/>
          <w:sz w:val="16"/>
          <w:szCs w:val="16"/>
          <w:color w:val="auto"/>
        </w:rPr>
        <w:t>Gross margins are expected to continue to fluctuate primarily due to changes in the relative proportions of domestic and international sales, the product mix of sales, manufacturing variances, total unit volume changes that lead to greater or lesser production efficiencies and sales returns.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17"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R&amp;D expenses increased by $3.6 million or 109.3% from $3.3 million in 2020 to $6.9 million in 2021. The increase in spending was primarily attributable to an increased level of spending on the development of laser systems and the inclusion of R&amp;D expense from our acquisition of the PASCAL Business (as defined in Note 3 of the Notes to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Sales and marketing expenses increased by $2.4 million or 19.6%, from $12.2 million in 2020 to $14.6 million in 2021. The increase was primarily attributable to an increase in personnel costs due to an increase in headcount, higher commission expense because of higher sales and higher travel expenses compared to prior year when the COVID-19 pandemic greatly reduced our business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General and administrative expenses increased by $2.2 million or 33.8% from $6.6 million in 2020 to $8.9 million in 2021. The increase was primarily attributable to an increase in personnel costs due to higher bonus accrual and the increase in legal and consulting expenses associated with the acquisition of the PASCAL Business and the execution of the Distribution Agreement with Topcon.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Other income, net amounted to $2.3 million in 2021 and $0.3 million in 2020. Other income, net, consisted primarily of interest income or expense and foreign currency gain or loss. We recognized a $2.5 million gain on forgiveness of the PPP Loan (as defined in Note 11 of the Notes to Consolidated Financial Statements) as other income during the fiscal year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546"/>
        <w:spacing w:after="0" w:line="311" w:lineRule="auto"/>
        <w:rPr>
          <w:sz w:val="20"/>
          <w:szCs w:val="20"/>
          <w:color w:val="auto"/>
        </w:rPr>
      </w:pPr>
      <w:r>
        <w:rPr>
          <w:rFonts w:ascii="Arial" w:cs="Arial" w:eastAsia="Arial" w:hAnsi="Arial"/>
          <w:sz w:val="16"/>
          <w:szCs w:val="16"/>
          <w:color w:val="auto"/>
        </w:rPr>
        <w:t>We recorded a provision for income taxes of $40 thousand for the year ended January 1, 2022 compared to $26 thousand for the year ended January 2, 2021. The effective tax rate for the year ended January 1, 2022 was negative 0.77% compared to an effective tax rate of negative 0.41% for the year ended January 2, 2021. The income tax valuation allowance was $21.3 million at the end of 2021 compared to $18.8 million at the end of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2021 and 2020</w:t>
      </w:r>
    </w:p>
    <w:p>
      <w:pPr>
        <w:spacing w:after="0" w:line="117" w:lineRule="exact"/>
        <w:rPr>
          <w:sz w:val="20"/>
          <w:szCs w:val="20"/>
          <w:color w:val="auto"/>
        </w:rPr>
      </w:pPr>
    </w:p>
    <w:p>
      <w:pPr>
        <w:ind w:right="740" w:firstLine="546"/>
        <w:spacing w:after="0" w:line="277" w:lineRule="auto"/>
        <w:rPr>
          <w:sz w:val="20"/>
          <w:szCs w:val="20"/>
          <w:color w:val="auto"/>
        </w:rPr>
      </w:pPr>
      <w:r>
        <w:rPr>
          <w:rFonts w:ascii="Arial" w:cs="Arial" w:eastAsia="Arial" w:hAnsi="Arial"/>
          <w:sz w:val="18"/>
          <w:szCs w:val="18"/>
          <w:color w:val="auto"/>
        </w:rPr>
        <w:t>As of January 1, 2022, we had cash and cash equivalents of $23.9 million and working capital of $29.7 million compared to cash and cash equivalents of $11.6 million and working capital of $16.7 million as of January 2, 2021.</w:t>
      </w:r>
    </w:p>
    <w:p>
      <w:pPr>
        <w:spacing w:after="0" w:line="62"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Net cash provided by operating activities was $8.2 million in 2021 compared to net cash used in operating activities of $3.2 million in 2020. The increase in net cash used in operating activities, expressed in direct cash flow terms, was primarily due to the payment received for the exclusive distribution rights and increase in cash receipts from customers, partially offset by higher vendor payments and higher payroll because of higher headcount.</w:t>
      </w:r>
    </w:p>
    <w:p>
      <w:pPr>
        <w:spacing w:after="0" w:line="41"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During 2021, net cash used in investing activities was $5.6 million, which consisted primarily of the purchase of the PASCAL Business for $5.3 million. Net cash used in investing activities during 2020 was $0.1 million, which consisted of capital expenditures.</w:t>
      </w:r>
    </w:p>
    <w:p>
      <w:pPr>
        <w:spacing w:after="0" w:line="62"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During 2021, net cash provided by financing activities was $9.5 million, primarily from the net proceeds arising from the issuance of common stock and proceeds from stock option exercises, partially offset by payroll taxes related to the net share settlement of equity awards. Net cash provided by financing activities during 2020 was $2.5 million, primarily from the proceeds from the PPP Loan, pursuant to the Payroll Protection Program established under the Coronavirus Aid, Relief, and Economic Security Act.</w:t>
      </w:r>
    </w:p>
    <w:p>
      <w:pPr>
        <w:spacing w:after="0" w:line="79"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January 1, 2022, our principal sources of liquidity consisted of cash and cash equivalents of $23.9 million. We have incurred net losses over the last several years, and as of January 1, 2022, have an accumulated deficit of approximately $62.2 million. We expect to continue to incur operating losses and negative cash flows from operations through December 31, 2022.</w:t>
      </w:r>
    </w:p>
    <w:p>
      <w:pPr>
        <w:spacing w:after="0" w:line="79"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line="272" w:lineRule="auto"/>
        <w:rPr>
          <w:sz w:val="20"/>
          <w:szCs w:val="20"/>
          <w:color w:val="auto"/>
        </w:rPr>
      </w:pPr>
      <w:r>
        <w:rPr>
          <w:rFonts w:ascii="Arial" w:cs="Arial" w:eastAsia="Arial" w:hAnsi="Arial"/>
          <w:sz w:val="17"/>
          <w:szCs w:val="17"/>
          <w:color w:val="auto"/>
        </w:rPr>
        <w:t>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right="420" w:firstLine="546"/>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We have the following revenue transaction types: (1) Product Sale Only, (2) Laser Advantage Program (“LAP”), (3) Service Contracts, (4) System Repairs (outside of warranty), (5) Royalty Revenue and (6) Exclusive Distribution Rights.</w:t>
      </w:r>
    </w:p>
    <w:p>
      <w:pPr>
        <w:spacing w:after="0" w:line="62" w:lineRule="exact"/>
        <w:rPr>
          <w:sz w:val="20"/>
          <w:szCs w:val="20"/>
          <w:color w:val="auto"/>
        </w:rPr>
      </w:pPr>
    </w:p>
    <w:p>
      <w:pPr>
        <w:ind w:left="1080" w:right="180" w:hanging="532"/>
        <w:spacing w:after="0" w:line="25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 Only: Our products consist of laser consoles, delivery devices and consumable instrumentation, including laser probes. Our products are currently sold for use by ophthalmologists specializing in the treatment of glaucoma and retinal diseases. Inside the United States and Germany the products are sold directly to the end users. In other countries outside of the United States and Germany, we utilize independent, third-party distributors to market and sell our products. There is no continuing obligation after shipment is made to these distributors.</w:t>
      </w:r>
    </w:p>
    <w:p>
      <w:pPr>
        <w:spacing w:after="0" w:line="79" w:lineRule="exact"/>
        <w:rPr>
          <w:rFonts w:ascii="Arial" w:cs="Arial" w:eastAsia="Arial" w:hAnsi="Arial"/>
          <w:sz w:val="18"/>
          <w:szCs w:val="18"/>
          <w:color w:val="auto"/>
        </w:rPr>
      </w:pPr>
    </w:p>
    <w:p>
      <w:pPr>
        <w:ind w:left="1100" w:right="200"/>
        <w:spacing w:after="0" w:line="279" w:lineRule="auto"/>
        <w:rPr>
          <w:rFonts w:ascii="Arial" w:cs="Arial" w:eastAsia="Arial" w:hAnsi="Arial"/>
          <w:sz w:val="18"/>
          <w:szCs w:val="18"/>
          <w:color w:val="auto"/>
        </w:rPr>
      </w:pPr>
      <w:r>
        <w:rPr>
          <w:rFonts w:ascii="Arial" w:cs="Arial" w:eastAsia="Arial" w:hAnsi="Arial"/>
          <w:sz w:val="17"/>
          <w:szCs w:val="17"/>
          <w:color w:val="auto"/>
        </w:rPr>
        <w:t>We recognize revenue from product sale at a point in time. When a system or disposables are sold without any additional deliverables, we recognize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63" w:lineRule="exact"/>
        <w:rPr>
          <w:rFonts w:ascii="Arial" w:cs="Arial" w:eastAsia="Arial" w:hAnsi="Arial"/>
          <w:sz w:val="18"/>
          <w:szCs w:val="18"/>
          <w:color w:val="auto"/>
        </w:rPr>
      </w:pPr>
    </w:p>
    <w:p>
      <w:pPr>
        <w:ind w:left="1080" w:hanging="532"/>
        <w:spacing w:after="0" w:line="273"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LAP Program: We entered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we have determined that there is no value associated with the old machines and the trade-in is essentially offered to encourage customers to purchase more consumables under the program.</w:t>
      </w:r>
    </w:p>
    <w:p>
      <w:pPr>
        <w:spacing w:after="0" w:line="69" w:lineRule="exact"/>
        <w:rPr>
          <w:rFonts w:ascii="Arial" w:cs="Arial" w:eastAsia="Arial" w:hAnsi="Arial"/>
          <w:sz w:val="17"/>
          <w:szCs w:val="17"/>
          <w:color w:val="auto"/>
        </w:rPr>
      </w:pPr>
    </w:p>
    <w:p>
      <w:pPr>
        <w:ind w:left="1100" w:right="40"/>
        <w:spacing w:after="0" w:line="263" w:lineRule="auto"/>
        <w:rPr>
          <w:rFonts w:ascii="Arial" w:cs="Arial" w:eastAsia="Arial" w:hAnsi="Arial"/>
          <w:sz w:val="17"/>
          <w:szCs w:val="17"/>
          <w:color w:val="auto"/>
        </w:rPr>
      </w:pPr>
      <w:r>
        <w:rPr>
          <w:rFonts w:ascii="Arial" w:cs="Arial" w:eastAsia="Arial" w:hAnsi="Arial"/>
          <w:sz w:val="18"/>
          <w:szCs w:val="18"/>
          <w:color w:val="auto"/>
        </w:rPr>
        <w:t>We recognize revenue from product sales under the LAP program at a point in time. We allocate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5"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 Contracts: We offer a standard two-year warranty on all system sales. We also offer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75"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We recognize revenue from service contracts ratably over the service period. Revenue recognition for the sale of a service contract is largely dependent on the timing of the sale as follows:</w:t>
      </w:r>
    </w:p>
    <w:p>
      <w:pPr>
        <w:spacing w:after="0" w:line="62" w:lineRule="exact"/>
        <w:rPr>
          <w:rFonts w:ascii="Arial" w:cs="Arial" w:eastAsia="Arial" w:hAnsi="Arial"/>
          <w:sz w:val="18"/>
          <w:szCs w:val="18"/>
          <w:color w:val="auto"/>
        </w:rPr>
      </w:pPr>
    </w:p>
    <w:p>
      <w:pPr>
        <w:jc w:val="both"/>
        <w:ind w:left="1640" w:right="40" w:hanging="539"/>
        <w:spacing w:after="0" w:line="311" w:lineRule="auto"/>
        <w:tabs>
          <w:tab w:leader="none" w:pos="1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Service Contract Sale in Conjunction with System Sale: If the customer opts to purchase a service contract at the time of the system sale, we allocate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40" w:lineRule="exact"/>
        <w:rPr>
          <w:rFonts w:ascii="Arial" w:cs="Arial" w:eastAsia="Arial" w:hAnsi="Arial"/>
          <w:sz w:val="16"/>
          <w:szCs w:val="16"/>
          <w:color w:val="auto"/>
        </w:rPr>
      </w:pPr>
    </w:p>
    <w:p>
      <w:pPr>
        <w:ind w:left="1700" w:hanging="599"/>
        <w:spacing w:after="0" w:line="259" w:lineRule="auto"/>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Service Contract Sale Subsequent to System Sale: If the customer opts to purchase a service contract after the initial system sale, we determine the amount of time that has elapsed since the initial system sale. If the service contract is purchased within 60 days of the initial sale, we consider this sale to be an additional element of the original sale and allocates the transaction price of the distinct performance obligations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left="1700"/>
        <w:spacing w:after="0" w:line="259" w:lineRule="auto"/>
        <w:rPr>
          <w:sz w:val="20"/>
          <w:szCs w:val="20"/>
          <w:color w:val="auto"/>
        </w:rPr>
      </w:pPr>
      <w:r>
        <w:rPr>
          <w:rFonts w:ascii="Arial" w:cs="Arial" w:eastAsia="Arial" w:hAnsi="Arial"/>
          <w:sz w:val="18"/>
          <w:szCs w:val="18"/>
          <w:color w:val="auto"/>
        </w:rPr>
        <w:t>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79" w:lineRule="exact"/>
        <w:rPr>
          <w:sz w:val="20"/>
          <w:szCs w:val="20"/>
          <w:color w:val="auto"/>
        </w:rPr>
      </w:pPr>
    </w:p>
    <w:p>
      <w:pPr>
        <w:ind w:left="1080" w:right="4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us subsequent to the expiration of the standard warranty and outside of a service contract.</w:t>
      </w:r>
    </w:p>
    <w:p>
      <w:pPr>
        <w:spacing w:after="0" w:line="62" w:lineRule="exact"/>
        <w:rPr>
          <w:rFonts w:ascii="Arial" w:cs="Arial" w:eastAsia="Arial" w:hAnsi="Arial"/>
          <w:sz w:val="18"/>
          <w:szCs w:val="18"/>
          <w:color w:val="auto"/>
        </w:rPr>
      </w:pPr>
    </w:p>
    <w:p>
      <w:pPr>
        <w:ind w:left="1100" w:right="120"/>
        <w:spacing w:after="0" w:line="311" w:lineRule="auto"/>
        <w:rPr>
          <w:rFonts w:ascii="Arial" w:cs="Arial" w:eastAsia="Arial" w:hAnsi="Arial"/>
          <w:sz w:val="18"/>
          <w:szCs w:val="18"/>
          <w:color w:val="auto"/>
        </w:rPr>
      </w:pPr>
      <w:r>
        <w:rPr>
          <w:rFonts w:ascii="Arial" w:cs="Arial" w:eastAsia="Arial" w:hAnsi="Arial"/>
          <w:sz w:val="16"/>
          <w:szCs w:val="16"/>
          <w:color w:val="auto"/>
        </w:rPr>
        <w:t>We recognize revenue from system repairs (outside of warranty) at a point in time. When the customer requests repairs from us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4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Royalty Revenue: We have royalty agreements with two customers related to sale of our intellectual property. Under the terms of these agreements, the customer is to remit a percentage of sales to us.</w:t>
      </w:r>
    </w:p>
    <w:p>
      <w:pPr>
        <w:spacing w:after="0" w:line="62" w:lineRule="exact"/>
        <w:rPr>
          <w:rFonts w:ascii="Arial" w:cs="Arial" w:eastAsia="Arial" w:hAnsi="Arial"/>
          <w:sz w:val="18"/>
          <w:szCs w:val="18"/>
          <w:color w:val="auto"/>
        </w:rPr>
      </w:pPr>
    </w:p>
    <w:p>
      <w:pPr>
        <w:ind w:left="1100" w:right="26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we recognize revenue only as the subsequent sale occurs. However, we note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Exclusive Distribution Rights: In March 2021, we entered into a distribution agreement with Topcon, pursuant to which we granted Topcon exclusive right to distribute our retina and glaucoma products in certain geographies outside the United States. The exclusivity arrangement with Topcon obligates us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agreement further stipulates that $2.0 million of arrangement fee is held back and will not be paid in the event that regulatory approval for the Japan region is not obtained within nine months from the date of execution. We have the right to terminate the exclusive distribution rights granted to Topcon for any of the regions at any point in time during the 10-year exclusivity term for a termination fee that is based on a multiple of 1.2 times the revenue generated by us in 2019 for the respective region. We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we fully constrained the arrangement fee allocated to Belarus (approximately $0.2 million recorded as customer deposit under Other current liabilities) because obtaining the necessary regulatory approvals and termination of existing distributor relationship is not feasible. As of January 1, 2022, $0.6 million in revenue related to the exclusive distribution rights was recorded for the fiscal year then ended.</w:t>
      </w:r>
    </w:p>
    <w:p>
      <w:pPr>
        <w:spacing w:after="0" w:line="72" w:lineRule="exact"/>
        <w:rPr>
          <w:sz w:val="20"/>
          <w:szCs w:val="20"/>
          <w:color w:val="auto"/>
        </w:rPr>
      </w:pPr>
    </w:p>
    <w:p>
      <w:pPr>
        <w:ind w:left="1100" w:right="540"/>
        <w:spacing w:after="0" w:line="277" w:lineRule="auto"/>
        <w:rPr>
          <w:sz w:val="20"/>
          <w:szCs w:val="20"/>
          <w:color w:val="auto"/>
        </w:rPr>
      </w:pPr>
      <w:r>
        <w:rPr>
          <w:rFonts w:ascii="Arial" w:cs="Arial" w:eastAsia="Arial" w:hAnsi="Arial"/>
          <w:sz w:val="18"/>
          <w:szCs w:val="18"/>
          <w:color w:val="auto"/>
        </w:rPr>
        <w:t>In January 2022, we received approximately $1.8 million from Topcon, representing the $2.0 million previously held back, net of the approximately $0.2 million that we constrained for Belarus.</w:t>
      </w:r>
    </w:p>
    <w:p>
      <w:pPr>
        <w:spacing w:after="0" w:line="62"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We elected the practical expedient allowing us to not recognize as a contract asset the commission paid to our salesforce on the sale of our products as an incremental cost of obtaining a contract with a customer but rather recognize such commission as expense when incurred as the amortization period of the asset that we would have otherwise recognized is one year or less.</w:t>
      </w:r>
    </w:p>
    <w:p>
      <w:pPr>
        <w:spacing w:after="0" w:line="76"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recognized an asset from the costs incurred to fulfill a contract. These costs relate directly and must be incurred to satisfy performance obligations on certain specific contract with a customer. These costs are expected to be recovered over time and will be amortized on a systematic basis that is consistent with the recognition of revenue to which it relates. As of January 1, 2022, recognized deferred costs incurred to fulfill a contract with a customer amounted to $0.3 million, included in Prepaid expenses and other current assets and Other long-term assets in our consolidated balance sheets. There was no amortization during fiscal year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Inventories are stated at the lower of cost or net realizable value and include on-hand inventory physically held at our facility, sales demo inventory and service loaner inventory. Cost is determined on a standard cost basis which approximates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80"/>
        <w:spacing w:after="0" w:line="293" w:lineRule="auto"/>
        <w:rPr>
          <w:sz w:val="20"/>
          <w:szCs w:val="20"/>
          <w:color w:val="auto"/>
        </w:rPr>
      </w:pPr>
      <w:r>
        <w:rPr>
          <w:rFonts w:ascii="Arial" w:cs="Arial" w:eastAsia="Arial" w:hAnsi="Arial"/>
          <w:sz w:val="16"/>
          <w:szCs w:val="16"/>
          <w:color w:val="auto"/>
        </w:rPr>
        <w:t>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 and Allowance for Doubtful Accounts.</w:t>
      </w:r>
    </w:p>
    <w:p>
      <w:pPr>
        <w:spacing w:after="0" w:line="117"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spacing w:after="0" w:line="80"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Our warranty policy is applicable to products which are considered defective in their performance or fail to meet the product specifications. Warranty costs are reflected in the consolidated statements of operations as cost of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January 1, 2022, based on our recent history of losses and its forecasted losses, management believes on the more likely than not basis that a full valuation allowance is required. Accordingly, as of January 1, 2022, we provided a full valuation allowance on our federal and state deferred tax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January 1,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17"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We account for stock-based compensation granted to employees and directors, including employees’ stock option awards and restricted stock units at grant date, based on the fair value of the award. Stock-based compensation is recognized as expense on a ratable basis over the requisite service period of the award.</w:t>
      </w:r>
    </w:p>
    <w:p>
      <w:pPr>
        <w:spacing w:after="0" w:line="76"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We value options using the Black-Scholes option pricing model. Time-based restricted stock units are valued at the grant date fair value of the underlying common shares. Performance-based restricted stock units without market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200"/>
        <w:spacing w:after="0" w:line="257" w:lineRule="auto"/>
        <w:rPr>
          <w:sz w:val="20"/>
          <w:szCs w:val="20"/>
          <w:color w:val="auto"/>
        </w:rPr>
      </w:pPr>
      <w:r>
        <w:rPr>
          <w:rFonts w:ascii="Arial" w:cs="Arial" w:eastAsia="Arial" w:hAnsi="Arial"/>
          <w:sz w:val="18"/>
          <w:szCs w:val="18"/>
          <w:color w:val="auto"/>
        </w:rPr>
        <w:t>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40" w:firstLine="546"/>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net and Operating lease liabilities in our consolidated balance sheets. As of January 1, 2022, we were not a party to finance lease arrangements.</w:t>
      </w:r>
    </w:p>
    <w:p>
      <w:pPr>
        <w:spacing w:after="0" w:line="16"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right="1900" w:firstLine="546"/>
        <w:spacing w:after="0" w:line="375" w:lineRule="auto"/>
        <w:rPr>
          <w:sz w:val="20"/>
          <w:szCs w:val="20"/>
          <w:color w:val="auto"/>
        </w:rPr>
      </w:pPr>
      <w:r>
        <w:rPr>
          <w:rFonts w:ascii="Arial" w:cs="Arial" w:eastAsia="Arial" w:hAnsi="Arial"/>
          <w:sz w:val="18"/>
          <w:szCs w:val="18"/>
          <w:color w:val="auto"/>
        </w:rPr>
        <w:t xml:space="preserve">Under the available practical expedient, we account for the lease and non-lease components as a single lease component. </w:t>
      </w:r>
      <w:r>
        <w:rPr>
          <w:rFonts w:ascii="Arial" w:cs="Arial" w:eastAsia="Arial" w:hAnsi="Arial"/>
          <w:sz w:val="18"/>
          <w:szCs w:val="18"/>
          <w:i w:val="1"/>
          <w:iCs w:val="1"/>
          <w:color w:val="auto"/>
        </w:rPr>
        <w:t>Foreign Currency</w:t>
      </w:r>
    </w:p>
    <w:p>
      <w:pPr>
        <w:spacing w:after="0" w:line="1"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Assets and liabilities of foreign operation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our Consolidated Balance Sheets in the stockholders’ equity section as a component of accumulated other comprehensive loss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0" w:firstLine="546"/>
        <w:spacing w:after="0" w:line="286" w:lineRule="auto"/>
        <w:rPr>
          <w:sz w:val="20"/>
          <w:szCs w:val="20"/>
          <w:color w:val="auto"/>
        </w:rPr>
      </w:pPr>
      <w:r>
        <w:rPr>
          <w:rFonts w:ascii="Arial" w:cs="Arial" w:eastAsia="Arial" w:hAnsi="Arial"/>
          <w:sz w:val="17"/>
          <w:szCs w:val="17"/>
          <w:color w:val="auto"/>
        </w:rPr>
        <w:t>Our consolidated balance sheets as of January 1, 2022 and January 2, 2021 and the consolidated statements of operations, comprehensive loss, stockholders’ equity and cash flows for each of our fiscal years 2021 and 2020 together with the related notes and the report of our independent registered public accounting firm, are on the following pages. Additional required financial information is described in Item 15.</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42" w:name="page43"/>
    <w:bookmarkEnd w:id="4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IRIDEX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We have audited the accompanying consolidated balance sheets of IRIDEX Corporation (a Delaware corporation) and its subsidiaries (the “Company”) as of January 1, 2022 and January 2, 2021, and the related consolidated statements of operations, comprehensive loss, stockholders’ equity, and cash flows for each of the two years in the period ended January 1, 2022, and the related notes (collectively referred to as the “consolidated financial statements”). In our opinion, the consolidated financial statements present fairly, in all material respects, the financial position of the Company as of January 1, 2022 and January 2, 2021, and the results of its operations and its cash flows for each of the two years in the period ended January 1, 2022, in conformity with accounting principles generally accepted in the United States of America.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120" w:firstLine="802"/>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 - Adjustments for Excess or Obsolete Inventories</w:t>
      </w:r>
    </w:p>
    <w:p>
      <w:pPr>
        <w:spacing w:after="0" w:line="117" w:lineRule="exact"/>
        <w:rPr>
          <w:sz w:val="20"/>
          <w:szCs w:val="20"/>
          <w:color w:val="auto"/>
        </w:rPr>
      </w:pPr>
    </w:p>
    <w:p>
      <w:pPr>
        <w:ind w:right="100" w:firstLine="802"/>
        <w:spacing w:after="0" w:line="293" w:lineRule="auto"/>
        <w:rPr>
          <w:sz w:val="20"/>
          <w:szCs w:val="20"/>
          <w:color w:val="auto"/>
        </w:rPr>
      </w:pPr>
      <w:r>
        <w:rPr>
          <w:rFonts w:ascii="Arial" w:cs="Arial" w:eastAsia="Arial" w:hAnsi="Arial"/>
          <w:sz w:val="16"/>
          <w:szCs w:val="16"/>
          <w:color w:val="auto"/>
        </w:rPr>
        <w:t>As described in Notes 2 and 6 to the consolidated financial statements, the Company has inventories with a carrying value of $7.6 million as of January 1, 2022. The Company’s inventories are stated at the lower of cost or net realizable value.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The Company’s inventories include demonstration units (“demos”) to facilitate the sale of products to prospective customers and loaners for existing customers to use while their product is under repair.</w:t>
      </w:r>
    </w:p>
    <w:p>
      <w:pPr>
        <w:spacing w:after="0" w:line="56" w:lineRule="exact"/>
        <w:rPr>
          <w:sz w:val="20"/>
          <w:szCs w:val="20"/>
          <w:color w:val="auto"/>
        </w:rPr>
      </w:pPr>
    </w:p>
    <w:p>
      <w:pPr>
        <w:ind w:right="120" w:firstLine="802"/>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net realizable value adjustments to inventories is a critical audit matter are the significant amount of judgment by management in developing the assumptions of the forecasted changes in demand, product life cycle and development plans, component cost trends, product pricing, physical deterioration and quality issues, which in turn led to significant auditor judgment, subjectivity, and effort in performing audit procedures and evaluating audit evidence relating to these factors. Additionally, for certain new product launches there may be limited historical data with which to evaluate forecasts.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firstLine="802"/>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obtaining an understanding of the Company’s inventory reserve review process, including the assumptions and data underlying the excess and obsolete inventory valuation. The procedures also included, among others, testing management’s process for developing the estimate of the adjustments for excess or obsolete inventories, testing the completeness and accuracy of the underlying data used in the estimate, and evaluating management’s assumptions of forecasted product demand. Evaluating management’s demand forecast for reasonableness involved considering historical sales by product, comparing prior period estimates to actual results, and determining whether the demand forecast used was consistent with evidence obtained in other areas of the audit.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FY 2021</w:t>
            </w:r>
          </w:p>
        </w:tc>
        <w:tc>
          <w:tcPr>
            <w:tcW w:w="20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FY 2020</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January 1, 2022</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January 2, 2021</w:t>
            </w:r>
          </w:p>
        </w:tc>
      </w:tr>
      <w:tr>
        <w:trPr>
          <w:trHeight w:val="223"/>
        </w:trPr>
        <w:tc>
          <w:tcPr>
            <w:tcW w:w="772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3"/>
              </w:rPr>
              <w:t>Accounts receivable, net of allowance for doubtful accounts of $268 as of January 1, 2022 and $244</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as of January 2, 2021</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 from related party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42,253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25,359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48,687</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Payable to related party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PPP loan</w:t>
            </w: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PPP loan</w:t>
            </w: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9"/>
              </w:rPr>
              <w:t>Preferred stock, $0.01 par value, 2,000,000 shares authorized, no shares issued and outstanding</w:t>
            </w: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Authorized: 30,000,000 shares;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Issued and outstanding 15,876,171 and 13,899,683 shares as of January 1, 2022 and January 2, 2021,</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74,181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(62,169)</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(56,944)</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48,687</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2021</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2020</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January 1, 2022</w:t>
            </w: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2, 2021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 loss per common share: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15,421</w:t>
            </w:r>
          </w:p>
        </w:tc>
        <w:tc>
          <w:tcPr>
            <w:tcW w:w="2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2021</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2020</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January 1, 2022</w:t>
            </w: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foreign currency translation adjustments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040" w:type="dxa"/>
            <w:vAlign w:val="bottom"/>
            <w:gridSpan w:val="3"/>
            <w:vMerge w:val="restart"/>
          </w:tcPr>
          <w:p>
            <w:pPr>
              <w:jc w:val="right"/>
              <w:ind w:right="34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2"/>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FY 2019: Balances, December 28, 2019</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13,785,233</w:t>
            </w:r>
          </w:p>
        </w:tc>
        <w:tc>
          <w:tcPr>
            <w:tcW w:w="1000" w:type="dxa"/>
            <w:vAlign w:val="bottom"/>
            <w:gridSpan w:val="2"/>
            <w:shd w:val="clear" w:color="auto" w:fill="CFF0FC"/>
          </w:tcPr>
          <w:p>
            <w:pPr>
              <w:jc w:val="right"/>
              <w:ind w:right="604"/>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73,093</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(50,615)</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including net share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settlement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114,450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(6,329)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FY 2020: Balances, January 2, 2021</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13,899,683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148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(56,944)</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net of issuance costs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1,618,122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040" w:type="dxa"/>
            <w:vAlign w:val="bottom"/>
          </w:tcPr>
          <w:p>
            <w:pPr>
              <w:jc w:val="right"/>
              <w:spacing w:after="0"/>
              <w:rPr>
                <w:sz w:val="20"/>
                <w:szCs w:val="20"/>
                <w:color w:val="auto"/>
              </w:rPr>
            </w:pPr>
            <w:r>
              <w:rPr>
                <w:rFonts w:ascii="Arial" w:cs="Arial" w:eastAsia="Arial" w:hAnsi="Arial"/>
                <w:sz w:val="16"/>
                <w:szCs w:val="16"/>
                <w:color w:val="auto"/>
              </w:rPr>
              <w:t>66,234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Release of restricted stock, including net share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settlement</w:t>
            </w:r>
          </w:p>
        </w:tc>
        <w:tc>
          <w:tcPr>
            <w:tcW w:w="1040" w:type="dxa"/>
            <w:vAlign w:val="bottom"/>
          </w:tcPr>
          <w:p>
            <w:pPr>
              <w:jc w:val="right"/>
              <w:spacing w:after="0"/>
              <w:rPr>
                <w:sz w:val="20"/>
                <w:szCs w:val="20"/>
                <w:color w:val="auto"/>
              </w:rPr>
            </w:pPr>
            <w:r>
              <w:rPr>
                <w:rFonts w:ascii="Arial" w:cs="Arial" w:eastAsia="Arial" w:hAnsi="Arial"/>
                <w:sz w:val="16"/>
                <w:szCs w:val="16"/>
                <w:color w:val="auto"/>
              </w:rPr>
              <w:t>292,132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(5,225)</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(5,225)</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FY 2021: Balances, January 1, 2022</w:t>
            </w: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15,876,171</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04"/>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85,255</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(62,169)</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FY 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2020</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January 1, 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January 2, 2021</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(5,225)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Gain on PPP loan forgiveness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 from related party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related party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paid for business combination, net</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Proceeds for stock option exercise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Proceeds from PPP loan</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year</w:t>
            </w:r>
          </w:p>
        </w:tc>
        <w:tc>
          <w:tcPr>
            <w:tcW w:w="1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(received) during the year for:</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ROU assets obtained with the modification of operating lease</w:t>
            </w:r>
          </w:p>
        </w:tc>
        <w:tc>
          <w:tcPr>
            <w:tcW w:w="1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Iridex Corporation (“Iridex,” the “Company,” “we,” “us” or “our”) is a leading worldwide provider of therapeutic based laser systems, delivery devices and consumable instrumentation used to treat sight-threatening eye diseases in ophthalmology. Our ophthalmology products are sold in the United States and Germany predominantly through a direct sales force and internationally (aside from Germany) primarily through independent distributors.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The consolidated financial statements include the accounts of Iridex and our wholly owned subsidiaries. All significant intercompany accounts and transactions have been eliminated in consolidation.</w:t>
      </w:r>
    </w:p>
    <w:p>
      <w:pPr>
        <w:spacing w:after="0" w:line="62"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Our fiscal year always ends on the Saturday closest to December 31. Fiscal 2021 ended on January 1, 2022 (“FY 2021”) and Fiscal 2020 ended on January 2, 2021 (“FY 2020”). Fiscal years 2021 and 2020 included 52 weeks and 53 weeks of operations,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546"/>
        <w:spacing w:after="0" w:line="342" w:lineRule="auto"/>
        <w:rPr>
          <w:sz w:val="20"/>
          <w:szCs w:val="20"/>
          <w:color w:val="auto"/>
        </w:rPr>
      </w:pPr>
      <w:r>
        <w:rPr>
          <w:rFonts w:ascii="Arial" w:cs="Arial" w:eastAsia="Arial" w:hAnsi="Arial"/>
          <w:sz w:val="16"/>
          <w:szCs w:val="16"/>
          <w:color w:val="auto"/>
        </w:rPr>
        <w:t>We consider all highly liquid debt instruments with insignificant interest rate risk and an original maturity of three months or less when purchased to be cash equivalents. Our cash equivalents consist primarily of cash deposits in money market funds that are available for withdrawal without restriction.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 and Allowance for Doubtful Accounts.</w:t>
      </w:r>
    </w:p>
    <w:p>
      <w:pPr>
        <w:spacing w:after="0" w:line="117"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When determining the transaction price, we estimate the variable consideration as the most likely amount to which we expect to be entitled, and we include the estimated amounts in the transaction price to the extent it is probable that a significant reversal of cumulative revenue will not occur when the uncertainty associated with the variable consideration is resolved. Material differences may result in the amount and timing of our revenue for any period if management made different judgments or utilized different estimates. Our provision for sales returns is recorded net of the associated costs. There was no provision for sales returns as of either January 1, 2022 and January 2, 2021.</w:t>
      </w:r>
    </w:p>
    <w:p>
      <w:pPr>
        <w:spacing w:after="0" w:line="68"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levels change, the level of accounts receivable would likely also change. In addition, in the event that customers were to delay their payments to us, the levels of accounts receivable would likely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70"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color w:val="auto"/>
        </w:rPr>
        <w:t>A reconciliation of the changes in our allowance for doubtful accounts balances for the years ended January 1, 2022 and January 2, 2021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c>
          <w:tcPr>
            <w:tcW w:w="112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at End of</w:t>
            </w:r>
          </w:p>
        </w:tc>
        <w:tc>
          <w:tcPr>
            <w:tcW w:w="1120" w:type="dxa"/>
            <w:vAlign w:val="bottom"/>
          </w:tcPr>
          <w:p>
            <w:pPr>
              <w:spacing w:after="0"/>
              <w:rPr>
                <w:sz w:val="14"/>
                <w:szCs w:val="14"/>
                <w:color w:val="auto"/>
              </w:rPr>
            </w:pPr>
          </w:p>
        </w:tc>
      </w:tr>
      <w:tr>
        <w:trPr>
          <w:trHeight w:val="171"/>
        </w:trPr>
        <w:tc>
          <w:tcPr>
            <w:tcW w:w="46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the period</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(Deductions)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the period</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1"/>
              </w:rPr>
              <w:t>Allowance for doubtful accounts Years ended</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January 1, 2022</w:t>
            </w:r>
          </w:p>
        </w:tc>
        <w:tc>
          <w:tcPr>
            <w:tcW w:w="1160" w:type="dxa"/>
            <w:vAlign w:val="bottom"/>
          </w:tcPr>
          <w:p>
            <w:pPr>
              <w:ind w:left="880"/>
              <w:spacing w:after="0"/>
              <w:rPr>
                <w:sz w:val="20"/>
                <w:szCs w:val="20"/>
                <w:color w:val="auto"/>
              </w:rPr>
            </w:pPr>
            <w:r>
              <w:rPr>
                <w:rFonts w:ascii="Arial" w:cs="Arial" w:eastAsia="Arial" w:hAnsi="Arial"/>
                <w:sz w:val="18"/>
                <w:szCs w:val="18"/>
                <w:color w:val="auto"/>
                <w:w w:val="86"/>
              </w:rPr>
              <w:t>244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 2021</w:t>
            </w:r>
          </w:p>
        </w:tc>
        <w:tc>
          <w:tcPr>
            <w:tcW w:w="116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6"/>
              </w:rPr>
              <w:t>187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$2.0 million and $1.9 million and the accumulated amortization was $1.7 million and $1.7 million as of January 1, 2022 and January 2, 2021, respectively. The net book value of demos and loaners is charged to cost of revenues when such demos or loaners are sold.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are calculated on a straight–line basis over the estimated useful lives of the assets, which is generally three years. Leasehold improvements are amortized over the lesser of their estimated useful lives or the lease term. Repairs and maintenance costs are expensed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80" w:firstLine="546"/>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net and Operating lease liabilities in our consolidated balance sheets. As of January 1, 2022, the Company was not a party to finance lease arrangements.</w:t>
      </w:r>
    </w:p>
    <w:p>
      <w:pPr>
        <w:spacing w:after="0" w:line="16"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Valuation of Goodwill and Intangible Assets</w:t>
      </w:r>
      <w:r>
        <w:rPr>
          <w:rFonts w:ascii="Arial" w:cs="Arial" w:eastAsia="Arial" w:hAnsi="Arial"/>
          <w:sz w:val="18"/>
          <w:szCs w:val="18"/>
          <w:color w:val="auto"/>
        </w:rPr>
        <w:t>.</w:t>
      </w:r>
    </w:p>
    <w:p>
      <w:pPr>
        <w:spacing w:after="0" w:line="117"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2021 and determined that its goodwill was not impaired. As of January 1, 2022, we had not identified any factors that indicated there was an impairment of our goodwill and determined that no additional impairment analysis was then required.</w:t>
      </w:r>
    </w:p>
    <w:p>
      <w:pPr>
        <w:spacing w:after="0" w:line="64" w:lineRule="exact"/>
        <w:rPr>
          <w:sz w:val="20"/>
          <w:szCs w:val="20"/>
          <w:color w:val="auto"/>
        </w:rPr>
      </w:pPr>
    </w:p>
    <w:p>
      <w:pPr>
        <w:ind w:right="140" w:firstLine="546"/>
        <w:spacing w:after="0" w:line="296" w:lineRule="auto"/>
        <w:rPr>
          <w:sz w:val="20"/>
          <w:szCs w:val="20"/>
          <w:color w:val="auto"/>
        </w:rPr>
      </w:pPr>
      <w:r>
        <w:rPr>
          <w:rFonts w:ascii="Arial" w:cs="Arial" w:eastAsia="Arial" w:hAnsi="Arial"/>
          <w:sz w:val="16"/>
          <w:szCs w:val="16"/>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Standards Codification (“ASC”) 350, “Intangibles – Goodwill and Other” (“ASC 350”).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20" w:firstLine="546"/>
        <w:spacing w:after="0" w:line="263"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ASC 606, “Revenue from Contracts with Customers.”</w:t>
      </w:r>
    </w:p>
    <w:p>
      <w:pPr>
        <w:spacing w:after="0" w:line="76"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Service Contracts, (4) System Repairs (outside of warranty), (5) Royalty Revenue and (6) Exclusive Distribution Rights.</w:t>
      </w:r>
    </w:p>
    <w:p>
      <w:pPr>
        <w:spacing w:after="0" w:line="62" w:lineRule="exact"/>
        <w:rPr>
          <w:sz w:val="20"/>
          <w:szCs w:val="20"/>
          <w:color w:val="auto"/>
        </w:rPr>
      </w:pPr>
    </w:p>
    <w:p>
      <w:pPr>
        <w:ind w:left="1080" w:right="20" w:hanging="532"/>
        <w:spacing w:after="0" w:line="25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79" w:lineRule="exact"/>
        <w:rPr>
          <w:rFonts w:ascii="Arial" w:cs="Arial" w:eastAsia="Arial" w:hAnsi="Arial"/>
          <w:sz w:val="18"/>
          <w:szCs w:val="18"/>
          <w:color w:val="auto"/>
        </w:rPr>
      </w:pPr>
    </w:p>
    <w:p>
      <w:pPr>
        <w:ind w:left="1100" w:right="140"/>
        <w:spacing w:after="0" w:line="301" w:lineRule="auto"/>
        <w:rPr>
          <w:rFonts w:ascii="Arial" w:cs="Arial" w:eastAsia="Arial" w:hAnsi="Arial"/>
          <w:sz w:val="18"/>
          <w:szCs w:val="18"/>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49" w:lineRule="exact"/>
        <w:rPr>
          <w:rFonts w:ascii="Arial" w:cs="Arial" w:eastAsia="Arial" w:hAnsi="Arial"/>
          <w:sz w:val="18"/>
          <w:szCs w:val="18"/>
          <w:color w:val="auto"/>
        </w:rPr>
      </w:pPr>
    </w:p>
    <w:p>
      <w:pPr>
        <w:ind w:left="1080" w:right="60" w:hanging="532"/>
        <w:spacing w:after="0" w:line="293"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LAP Program: The Company entered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machines and the trade in is essentially offered to encourage customers to purchase more consumables under the program.</w:t>
      </w:r>
    </w:p>
    <w:p>
      <w:pPr>
        <w:spacing w:after="0" w:line="56" w:lineRule="exact"/>
        <w:rPr>
          <w:rFonts w:ascii="Arial" w:cs="Arial" w:eastAsia="Arial" w:hAnsi="Arial"/>
          <w:sz w:val="16"/>
          <w:szCs w:val="16"/>
          <w:color w:val="auto"/>
        </w:rPr>
      </w:pPr>
    </w:p>
    <w:p>
      <w:pPr>
        <w:ind w:left="1100" w:right="380"/>
        <w:spacing w:after="0" w:line="286" w:lineRule="auto"/>
        <w:rPr>
          <w:rFonts w:ascii="Arial" w:cs="Arial" w:eastAsia="Arial" w:hAnsi="Arial"/>
          <w:sz w:val="16"/>
          <w:szCs w:val="16"/>
          <w:color w:val="auto"/>
        </w:rPr>
      </w:pPr>
      <w:r>
        <w:rPr>
          <w:rFonts w:ascii="Arial" w:cs="Arial" w:eastAsia="Arial" w:hAnsi="Arial"/>
          <w:sz w:val="17"/>
          <w:szCs w:val="17"/>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57" w:lineRule="exact"/>
        <w:rPr>
          <w:rFonts w:ascii="Arial" w:cs="Arial" w:eastAsia="Arial" w:hAnsi="Arial"/>
          <w:sz w:val="16"/>
          <w:szCs w:val="16"/>
          <w:color w:val="auto"/>
        </w:rPr>
      </w:pPr>
    </w:p>
    <w:p>
      <w:pPr>
        <w:ind w:left="1080" w:right="40" w:hanging="532"/>
        <w:spacing w:after="0" w:line="286"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left="1100" w:right="480"/>
        <w:spacing w:after="0" w:line="277" w:lineRule="auto"/>
        <w:rPr>
          <w:sz w:val="20"/>
          <w:szCs w:val="20"/>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62" w:lineRule="exact"/>
        <w:rPr>
          <w:sz w:val="20"/>
          <w:szCs w:val="20"/>
          <w:color w:val="auto"/>
        </w:rPr>
      </w:pPr>
    </w:p>
    <w:p>
      <w:pPr>
        <w:ind w:left="1620" w:right="20" w:hanging="532"/>
        <w:spacing w:after="0" w:line="259" w:lineRule="auto"/>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620" w:right="60" w:hanging="532"/>
        <w:spacing w:after="0" w:line="291" w:lineRule="auto"/>
        <w:tabs>
          <w:tab w:leader="none" w:pos="1620" w:val="left"/>
        </w:tabs>
        <w:numPr>
          <w:ilvl w:val="2"/>
          <w:numId w:val="27"/>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1080" w:right="2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62" w:lineRule="exact"/>
        <w:rPr>
          <w:rFonts w:ascii="Arial" w:cs="Arial" w:eastAsia="Arial" w:hAnsi="Arial"/>
          <w:sz w:val="18"/>
          <w:szCs w:val="18"/>
          <w:color w:val="auto"/>
        </w:rPr>
      </w:pPr>
    </w:p>
    <w:p>
      <w:pPr>
        <w:ind w:left="1100" w:right="20"/>
        <w:spacing w:after="0" w:line="311"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4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rFonts w:ascii="Arial" w:cs="Arial" w:eastAsia="Arial" w:hAnsi="Arial"/>
          <w:sz w:val="18"/>
          <w:szCs w:val="18"/>
          <w:color w:val="auto"/>
        </w:rPr>
      </w:pPr>
    </w:p>
    <w:p>
      <w:pPr>
        <w:ind w:left="110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9" w:lineRule="exact"/>
        <w:rPr>
          <w:rFonts w:ascii="Arial" w:cs="Arial" w:eastAsia="Arial" w:hAnsi="Arial"/>
          <w:sz w:val="18"/>
          <w:szCs w:val="18"/>
          <w:color w:val="auto"/>
        </w:rPr>
      </w:pPr>
    </w:p>
    <w:p>
      <w:pPr>
        <w:ind w:left="1100" w:right="120" w:hanging="498"/>
        <w:spacing w:after="0" w:line="285" w:lineRule="auto"/>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Exclusive Distribution Rights: In March 2021, the Company entered into a distribution agreement with Topcon,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agreement further stipulates that $2.0 million of arrangement fee is held back and will not be paid in the event that regulatory approval for the Japan region is not obtained within nine months from the date of execution of the agreement.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SSP for such combined performance obligation for each region. The estimated fair value of the exclusive distribution rights for all regions combined totaled approximately $14.8 million. Of this amount, management has fully-constrained the arrangement fee allocated to Belarus (approximately $0.2 million, recorded as customer deposit under other current liabilities) because obtaining the necessary regulatory approvals and termination of existing distributor relationship is not feasible. As of January 1, 2022, $0.6 million in revenue related to the exclusive distribution rights was recorded for the fiscal year then ended.</w:t>
      </w:r>
    </w:p>
    <w:p>
      <w:pPr>
        <w:spacing w:after="0" w:line="68" w:lineRule="exact"/>
        <w:rPr>
          <w:sz w:val="20"/>
          <w:szCs w:val="20"/>
          <w:color w:val="auto"/>
        </w:rPr>
      </w:pPr>
    </w:p>
    <w:p>
      <w:pPr>
        <w:ind w:left="1120" w:right="40"/>
        <w:spacing w:after="0" w:line="277" w:lineRule="auto"/>
        <w:rPr>
          <w:sz w:val="20"/>
          <w:szCs w:val="20"/>
          <w:color w:val="auto"/>
        </w:rPr>
      </w:pPr>
      <w:r>
        <w:rPr>
          <w:rFonts w:ascii="Arial" w:cs="Arial" w:eastAsia="Arial" w:hAnsi="Arial"/>
          <w:sz w:val="18"/>
          <w:szCs w:val="18"/>
          <w:color w:val="auto"/>
        </w:rPr>
        <w:t>In January 2022, the Company received approximately $1.8 million from Topcon, representing the $2.0 million previously held back, net of the approximately $0.2 million that the Company constrained for Belarus.</w:t>
      </w:r>
    </w:p>
    <w:p>
      <w:pPr>
        <w:spacing w:after="0" w:line="62"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180" w:firstLine="546"/>
        <w:spacing w:after="0" w:line="257" w:lineRule="auto"/>
        <w:rPr>
          <w:sz w:val="20"/>
          <w:szCs w:val="20"/>
          <w:color w:val="auto"/>
        </w:rPr>
      </w:pPr>
      <w:r>
        <w:rPr>
          <w:rFonts w:ascii="Arial" w:cs="Arial" w:eastAsia="Arial" w:hAnsi="Arial"/>
          <w:sz w:val="18"/>
          <w:szCs w:val="18"/>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will be amortized on a systematic basis that is consistent with the recognition of revenue to which it relates. As of January 1, 2022, recognized deferred costs incurred to fulfill a contract with a customer amounted to $0.3 million, included in Prepaid expenses and other current assets and Other long-term assets in the Company’s consolidated balance sheets. There was no amortization during fiscal year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consolidated statements of operations as well as accrued expenses to the degree which is appropriate.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320" w:firstLine="546"/>
        <w:spacing w:after="0" w:line="308"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period. Costs associated with these service arrangements are recognized as incurred.</w:t>
      </w:r>
    </w:p>
    <w:p>
      <w:pPr>
        <w:spacing w:after="0" w:line="38" w:lineRule="exact"/>
        <w:rPr>
          <w:sz w:val="20"/>
          <w:szCs w:val="20"/>
          <w:color w:val="auto"/>
        </w:rPr>
      </w:pPr>
    </w:p>
    <w:p>
      <w:pPr>
        <w:ind w:right="660" w:firstLine="546"/>
        <w:spacing w:after="0" w:line="277" w:lineRule="auto"/>
        <w:rPr>
          <w:sz w:val="20"/>
          <w:szCs w:val="20"/>
          <w:color w:val="auto"/>
        </w:rPr>
      </w:pPr>
      <w:r>
        <w:rPr>
          <w:rFonts w:ascii="Arial" w:cs="Arial" w:eastAsia="Arial" w:hAnsi="Arial"/>
          <w:sz w:val="18"/>
          <w:szCs w:val="18"/>
          <w:color w:val="auto"/>
        </w:rPr>
        <w:t>A reconciliation of the changes in our deferred revenue balances for the years ended January 1, 2022 and January 2, 2021 are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FY 2019: Balance as of December 28, 2019</w:t>
            </w:r>
          </w:p>
        </w:tc>
        <w:tc>
          <w:tcPr>
            <w:tcW w:w="1140" w:type="dxa"/>
            <w:vAlign w:val="bottom"/>
            <w:gridSpan w:val="2"/>
            <w:shd w:val="clear" w:color="auto" w:fill="CFF0FC"/>
          </w:tcPr>
          <w:p>
            <w:pPr>
              <w:jc w:val="right"/>
              <w:ind w:right="1009"/>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Additions to deferral</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9"/>
                <w:szCs w:val="19"/>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(2,190)</w:t>
            </w: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2020: Balance as of January 2, 2021</w:t>
            </w: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Additions to deferral</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14,503</w:t>
            </w:r>
          </w:p>
        </w:tc>
        <w:tc>
          <w:tcPr>
            <w:tcW w:w="1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(2,445)</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FY 2021: Balance as of January 1, 2022</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12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80" w:firstLine="546"/>
        <w:spacing w:after="0" w:line="277" w:lineRule="auto"/>
        <w:rPr>
          <w:sz w:val="20"/>
          <w:szCs w:val="20"/>
          <w:color w:val="auto"/>
        </w:rPr>
      </w:pPr>
      <w:r>
        <w:rPr>
          <w:rFonts w:ascii="Arial" w:cs="Arial" w:eastAsia="Arial" w:hAnsi="Arial"/>
          <w:sz w:val="18"/>
          <w:szCs w:val="18"/>
          <w:color w:val="auto"/>
        </w:rPr>
        <w:t>During each of the twelve months ended January 1, 2022 and January 2, 2021, approximately $0.9 million and $1.3 million were recognized pertaining to amounts deferred as of January 2, 2021 and December 28,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The Company’s warranty policy is applicable to products which are considered defective in their performance or fail to meet the product specifications. Additionally, from time to time, specific warranty accruals may be made if unforeseen technical problems arise. If estimates are determined to be greater than the actual amounts necessary, we may reverse a portion of such provisions in future periods. Warranty costs are reflected in the consolidated statements of operations as costs of revenues.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changes in our warranty liability for the years ended January 1, 2022 and January 2, 2021 are as follows (in thousands):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FY 2019: Balance as of December 28, 2019</w:t>
            </w:r>
          </w:p>
        </w:tc>
        <w:tc>
          <w:tcPr>
            <w:tcW w:w="32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2020: Balance as of January 2, 2021</w:t>
            </w:r>
          </w:p>
        </w:tc>
        <w:tc>
          <w:tcPr>
            <w:tcW w:w="20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2021: Balance as of January 1, 2022</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 Shipping and handling costs billed to customers amounted to $0.3 million and $0.2 million during fiscal years 2021 and 2020,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expenditures are charged to operations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Advertising and promotion costs are expensed as they are incurred; such costs were approximately $0.2 million in 2021 and $0.1 million in 2020 and are included in sales and marketing expenses in the accompanying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January 1, 2022, based on the Company's recent history of losses and its forecasted losses, management believes on the more likely than not basis that a full valuation allowance is required. Accordingly, as of January 1, 2022, the Company provided a full valuation allowance on its federal and states deferred tax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January 1, 2022 and January 2,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right="40" w:firstLine="546"/>
        <w:spacing w:after="0" w:line="311" w:lineRule="auto"/>
        <w:rPr>
          <w:sz w:val="20"/>
          <w:szCs w:val="20"/>
          <w:color w:val="auto"/>
        </w:rPr>
      </w:pPr>
      <w:r>
        <w:rPr>
          <w:rFonts w:ascii="Arial" w:cs="Arial" w:eastAsia="Arial" w:hAnsi="Arial"/>
          <w:sz w:val="16"/>
          <w:szCs w:val="16"/>
          <w:color w:val="auto"/>
        </w:rPr>
        <w:t>We account for stock-based compensation granted to employees and directors, including employees stock option awards and restricted stock units in accordance with ASC 718, “Compensation – Stock Compensation” (“ASC 718”). Accordingly, stock-based compensation cost is measured at grant date, based on the fair value of the award. Stock-based compensation is recognized as expense on a ratable basis over the requisite service period of the award.</w:t>
      </w:r>
    </w:p>
    <w:p>
      <w:pPr>
        <w:spacing w:after="0" w:line="41" w:lineRule="exact"/>
        <w:rPr>
          <w:sz w:val="20"/>
          <w:szCs w:val="20"/>
          <w:color w:val="auto"/>
        </w:rPr>
      </w:pPr>
    </w:p>
    <w:p>
      <w:pPr>
        <w:ind w:right="220" w:firstLine="546"/>
        <w:spacing w:after="0" w:line="293" w:lineRule="auto"/>
        <w:rPr>
          <w:sz w:val="20"/>
          <w:szCs w:val="20"/>
          <w:color w:val="auto"/>
        </w:rPr>
      </w:pPr>
      <w:r>
        <w:rPr>
          <w:rFonts w:ascii="Arial" w:cs="Arial" w:eastAsia="Arial" w:hAnsi="Arial"/>
          <w:sz w:val="16"/>
          <w:szCs w:val="16"/>
          <w:color w:val="auto"/>
        </w:rPr>
        <w:t>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17" w:lineRule="exact"/>
        <w:rPr>
          <w:sz w:val="20"/>
          <w:szCs w:val="20"/>
          <w:color w:val="auto"/>
        </w:rPr>
      </w:pPr>
    </w:p>
    <w:p>
      <w:pPr>
        <w:ind w:right="60" w:firstLine="546"/>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right="160" w:firstLine="546"/>
        <w:spacing w:after="0" w:line="254"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 ended January 1, 2022, one customer, Topcon, accounted for greater than 10% of total revenues, representing 21%. For the year ended January 2, 2021, no single customer accounted for greater than 10% of total revenues. As of January 1, 2022, two customers, including Topcon, accounted for over 10% of our accounts receivable, representing 31% and 11%, respectively. As of January 2, 2021, one customer accounted for more than 10% of accounts receivable balance, representing 13%.</w:t>
      </w:r>
    </w:p>
    <w:p>
      <w:pPr>
        <w:spacing w:after="0" w:line="87"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Our products require approvals from the Food and Drug Administration and international regulatory agencies prior to commercialized sales. Our future products may not receive required approvals. If we were denied such approvals, or if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approvals were delayed, it would have a material adverse impact on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Reliance on Certain Suppliers.</w:t>
      </w:r>
    </w:p>
    <w:p>
      <w:pPr>
        <w:spacing w:after="0" w:line="117" w:lineRule="exact"/>
        <w:rPr>
          <w:sz w:val="20"/>
          <w:szCs w:val="20"/>
          <w:color w:val="auto"/>
        </w:rPr>
      </w:pPr>
    </w:p>
    <w:p>
      <w:pPr>
        <w:ind w:right="220" w:firstLine="546"/>
        <w:spacing w:after="0" w:line="263" w:lineRule="auto"/>
        <w:rPr>
          <w:sz w:val="20"/>
          <w:szCs w:val="20"/>
          <w:color w:val="auto"/>
        </w:rPr>
      </w:pPr>
      <w:r>
        <w:rPr>
          <w:rFonts w:ascii="Arial" w:cs="Arial" w:eastAsia="Arial" w:hAnsi="Arial"/>
          <w:sz w:val="18"/>
          <w:szCs w:val="18"/>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117"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Basic net income (loss)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18 - Computation of Basic and Diluted Net Loss Per Common Share.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Certain reclassifications have been made to the prior year consolidated financial statements included in these consolidated financial statements to conform to the current year presentation. The reclassifications had no impact on previously reported net loss, accumulated deficit, total assets, or total liabilities.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Assets and liabilities of foreign operation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the Company’s Consolidated Balance Sheets in the stockholders’ equity section as a component of accumulated other comprehensive loss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Transactions</w:t>
      </w:r>
    </w:p>
    <w:p>
      <w:pPr>
        <w:spacing w:after="0" w:line="12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On March 2, 2021, the Company entered into a series of strategic transactions with Topcon, headquartered in Tokyo, Japan, in which (i) the Company purchased substantially all of the tangible and intangible assets of Topcon Medical Laser Systems, Inc. (“TMLS”) related to laser products previously manufactured and sold by TMLS, including the Pattern Scanning Laser (“PASCAL”) products, under the tradename “PASCAL” (altogether, the “PASCAL Business”); (ii) Topcon acquired an equity interest in the Company, comprised of the issuance of 1,618,122 shares of the Company’s common stock at $6.18 per share (as determined based on the average of the Nasdaq Official Closing Price of the Company’s common stock for the five trading days immediately preceding March 2, 2021); (iii) the Company granted Topcon the exclusive right to distribute certain of its products (including the PASCAL products) in certain international regions (the “Exclusive Distribution Rights”) and (iv) Topcon and the Company entered into the Manufacturing Services Agreement regarding transition of regulatory authorizations relating to, and manufacturing and supply of, the PASCAL products for a specified post-closing transition period. The transaction is expected to result in net proceeds to the Company of approximately $19.5 million (of which $17.5 million was received on March 10, 2021 with the remaining $2.0 million received on January 31, 2022. The net proceeds have been allocated on a fair value basis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1)</w:t>
            </w:r>
          </w:p>
        </w:tc>
        <w:tc>
          <w:tcPr>
            <w:tcW w:w="4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Issuance of common stock (before issuance costs)</w:t>
            </w:r>
          </w:p>
        </w:tc>
        <w:tc>
          <w:tcPr>
            <w:tcW w:w="122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4480" w:type="dxa"/>
            <w:vAlign w:val="bottom"/>
          </w:tcPr>
          <w:p>
            <w:pPr>
              <w:ind w:left="40"/>
              <w:spacing w:after="0"/>
              <w:rPr>
                <w:sz w:val="20"/>
                <w:szCs w:val="20"/>
                <w:color w:val="auto"/>
              </w:rPr>
            </w:pPr>
            <w:r>
              <w:rPr>
                <w:rFonts w:ascii="Arial" w:cs="Arial" w:eastAsia="Arial" w:hAnsi="Arial"/>
                <w:sz w:val="18"/>
                <w:szCs w:val="18"/>
                <w:color w:val="auto"/>
              </w:rPr>
              <w:t>Grant of exclusive distribution rights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14,800</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3)</w:t>
            </w:r>
          </w:p>
        </w:tc>
        <w:tc>
          <w:tcPr>
            <w:tcW w:w="4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Purchase of tangible and intangible assets</w:t>
            </w: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(5,343)</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80" w:type="dxa"/>
            <w:vAlign w:val="bottom"/>
          </w:tcPr>
          <w:p>
            <w:pPr>
              <w:ind w:left="80"/>
              <w:spacing w:after="0"/>
              <w:rPr>
                <w:sz w:val="20"/>
                <w:szCs w:val="20"/>
                <w:color w:val="auto"/>
              </w:rPr>
            </w:pPr>
            <w:r>
              <w:rPr>
                <w:rFonts w:ascii="Arial" w:cs="Arial" w:eastAsia="Arial" w:hAnsi="Arial"/>
                <w:sz w:val="18"/>
                <w:szCs w:val="18"/>
                <w:color w:val="auto"/>
              </w:rPr>
              <w:t>Net Proceeds</w:t>
            </w:r>
          </w:p>
        </w:tc>
        <w:tc>
          <w:tcPr>
            <w:tcW w:w="8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19,457</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69"/>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Pr>
          <w:p>
            <w:pPr>
              <w:ind w:left="312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980" w:firstLine="546"/>
        <w:spacing w:after="0" w:line="342" w:lineRule="auto"/>
        <w:rPr>
          <w:sz w:val="20"/>
          <w:szCs w:val="20"/>
          <w:color w:val="auto"/>
        </w:rPr>
      </w:pPr>
      <w:r>
        <w:rPr>
          <w:rFonts w:ascii="Arial" w:cs="Arial" w:eastAsia="Arial" w:hAnsi="Arial"/>
          <w:sz w:val="16"/>
          <w:szCs w:val="16"/>
          <w:color w:val="auto"/>
        </w:rPr>
        <w:t>The purchase of tangible and intangible assets has been recognized as an acquisition of a business with the relative fair value of the net consideration allocated to the tangible and intangible assets based on their preliminary estimated fair values as of the acquisition date.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Refer to Note 2. Summary of Significant Accounting Policies for the recognition of revenue under ASC 606 for the grant of exclusive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substantially all of TMLS’ assets including the rights to the PASCAL product.</w:t>
      </w:r>
    </w:p>
    <w:p>
      <w:pPr>
        <w:spacing w:after="0" w:line="117"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On March 10, 2021, the Company completed the purchase of substantially all of the tangible and intangible assets of TMLS, which was an established leader in manufacturing and selling laser products under the tradename “PASCAL.” The acquisition has been recognized as an acquisition of a business and the purchase price (approximately $5.3 million) has been preliminarily allocated to tangible and identified intangible assets acquired based on their estimated fair values. As additional information becomes available, the Company may further revise the preliminary purchase price allocation during the remainder of the measurement period (which will not exceed 12 months from March 10, 2021). Any such revisions or changes may be material.</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preliminary allocation of the total purchase price:</w:t>
      </w:r>
    </w:p>
    <w:p>
      <w:pPr>
        <w:spacing w:after="0" w:line="24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Estimated Fair</w:t>
            </w: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Value</w:t>
            </w: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Manufacturing and Office Equipment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Other tangible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5,343</w:t>
            </w:r>
          </w:p>
        </w:tc>
        <w:tc>
          <w:tcPr>
            <w:tcW w:w="60" w:type="dxa"/>
            <w:vAlign w:val="bottom"/>
          </w:tcPr>
          <w:p>
            <w:pPr>
              <w:spacing w:after="0"/>
              <w:rPr>
                <w:sz w:val="19"/>
                <w:szCs w:val="19"/>
                <w:color w:val="auto"/>
              </w:rPr>
            </w:pPr>
          </w:p>
        </w:tc>
      </w:tr>
    </w:tbl>
    <w:p>
      <w:pPr>
        <w:spacing w:after="0" w:line="229" w:lineRule="exact"/>
        <w:rPr>
          <w:sz w:val="20"/>
          <w:szCs w:val="20"/>
          <w:color w:val="auto"/>
        </w:rPr>
      </w:pPr>
    </w:p>
    <w:p>
      <w:pPr>
        <w:ind w:right="80" w:firstLine="546"/>
        <w:spacing w:after="0" w:line="301" w:lineRule="auto"/>
        <w:rPr>
          <w:sz w:val="20"/>
          <w:szCs w:val="20"/>
          <w:color w:val="auto"/>
        </w:rPr>
      </w:pPr>
      <w:r>
        <w:rPr>
          <w:rFonts w:ascii="Arial" w:cs="Arial" w:eastAsia="Arial" w:hAnsi="Arial"/>
          <w:sz w:val="16"/>
          <w:szCs w:val="16"/>
          <w:color w:val="auto"/>
        </w:rPr>
        <w:t>Developed technology relates to PASCAL products, a pattern scanning laser used for retinal treatments, and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is estimated to be seven years, as determined based on the technology cycle related to the developed technology, and the estimated cash flows over the forecast period.</w:t>
      </w:r>
    </w:p>
    <w:p>
      <w:pPr>
        <w:spacing w:after="0" w:line="49"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IPR&amp;D pertains to an upcoming release of PASCAL products and has been valued using the multi-period excess earnings method under the income approach.</w:t>
      </w:r>
    </w:p>
    <w:p>
      <w:pPr>
        <w:spacing w:after="0" w:line="62"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Trade names and Trademarks pertain to the “PASCAL” trade name, and the fair value was determined by applying the relief-from-royalty method under the income approach. The economic useful life is estimated to be nine years, based on the expected life of the trade name and the cash flows anticipated over the forecast period.</w:t>
      </w:r>
    </w:p>
    <w:p>
      <w:pPr>
        <w:spacing w:after="0" w:line="76"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Customer relationships represent the fair value of future projected revenue that will be derived from sales of products to existing customers of the PASCAL Business, with an estimated useful life of seven years.</w:t>
      </w:r>
    </w:p>
    <w:p>
      <w:pPr>
        <w:spacing w:after="0" w:line="62"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Goodwill is primarily attributable to the assembled workforce and anticipated synergies and economies of scale expected from the integration of the PASCAL Business. Substantially all goodwill is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 Topcon</w:t>
      </w:r>
    </w:p>
    <w:p>
      <w:pPr>
        <w:spacing w:after="0" w:line="121"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Topcon holds 10.2% voting interest in the Company, which qualifies it to be a principal owner considered a related party, even though it currently does not have significant influence over the Company’s operations.</w:t>
      </w:r>
    </w:p>
    <w:p>
      <w:pPr>
        <w:spacing w:after="0" w:line="62" w:lineRule="exact"/>
        <w:rPr>
          <w:sz w:val="20"/>
          <w:szCs w:val="20"/>
          <w:color w:val="auto"/>
        </w:rPr>
      </w:pPr>
    </w:p>
    <w:p>
      <w:pPr>
        <w:ind w:right="160" w:firstLine="546"/>
        <w:spacing w:after="0" w:line="301" w:lineRule="auto"/>
        <w:rPr>
          <w:sz w:val="20"/>
          <w:szCs w:val="20"/>
          <w:color w:val="auto"/>
        </w:rPr>
      </w:pPr>
      <w:r>
        <w:rPr>
          <w:rFonts w:ascii="Arial" w:cs="Arial" w:eastAsia="Arial" w:hAnsi="Arial"/>
          <w:sz w:val="16"/>
          <w:szCs w:val="16"/>
          <w:color w:val="auto"/>
        </w:rPr>
        <w:t>Topcon resells certain of our products as our exclusive distributor in certain international regions. At the same time, the Company also purchases certain raw materials from Topcon. During fiscal year 2021, the Company’s revenues related to Topcon amounted to approximately $11.1 million, including $0.6 million recognized exclusive distribution rights revenue. The Company’s purchases from Topcon during fiscal year 2021 amounted to $1.1 million. As of January 1, 2022, the amounts receivable from and payable to Topcon were $3.1 million and $0.6 million,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44"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6"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62" w:lineRule="exact"/>
        <w:rPr>
          <w:sz w:val="20"/>
          <w:szCs w:val="20"/>
          <w:color w:val="auto"/>
        </w:rPr>
      </w:pPr>
    </w:p>
    <w:p>
      <w:pPr>
        <w:jc w:val="both"/>
        <w:ind w:right="20" w:firstLine="546"/>
        <w:spacing w:after="0" w:line="286" w:lineRule="auto"/>
        <w:rPr>
          <w:sz w:val="20"/>
          <w:szCs w:val="20"/>
          <w:color w:val="auto"/>
        </w:rPr>
      </w:pPr>
      <w:r>
        <w:rPr>
          <w:rFonts w:ascii="Arial" w:cs="Arial" w:eastAsia="Arial" w:hAnsi="Arial"/>
          <w:sz w:val="17"/>
          <w:szCs w:val="17"/>
          <w:color w:val="auto"/>
        </w:rPr>
        <w:t>The carrying amounts of our financial assets and liabilities, including cash and cash equivalents, accounts receivable, accounts payable, and accrued expenses as of January 1, 2022 and January 2, 2021, approximate fair value because of the short maturity of these instruments. The carrying amount of the Company’s PPP Loan as of January 2, 2021, approximates its fair value based on the specified interest rate.</w:t>
      </w:r>
    </w:p>
    <w:p>
      <w:pPr>
        <w:spacing w:after="0" w:line="57"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As of January 1, 2022 and January 2, 2021, financial assets and liabilities measured and recognized at fair value on a recurring basis and classified under the appropriate level of the fair value hierarchy as described above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2"/>
              </w:rPr>
              <w:t>As of January 1, 2022</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As of January 2, 2021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Level 1</w:t>
            </w:r>
          </w:p>
        </w:tc>
        <w:tc>
          <w:tcPr>
            <w:tcW w:w="10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23,359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23,359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11,051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   11,051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inventories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FY 2021</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FY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January 1, 2022</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2, 2021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Work in process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1700"/>
              <w:spacing w:after="0"/>
              <w:rPr>
                <w:sz w:val="20"/>
                <w:szCs w:val="20"/>
                <w:color w:val="auto"/>
              </w:rPr>
            </w:pPr>
            <w:r>
              <w:rPr>
                <w:rFonts w:ascii="Arial" w:cs="Arial" w:eastAsia="Arial" w:hAnsi="Arial"/>
                <w:sz w:val="18"/>
                <w:szCs w:val="18"/>
                <w:color w:val="auto"/>
              </w:rPr>
              <w:t>Total inventories</w:t>
            </w:r>
          </w:p>
        </w:tc>
        <w:tc>
          <w:tcPr>
            <w:tcW w:w="2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00" w:type="dxa"/>
            <w:vAlign w:val="bottom"/>
            <w:vMerge w:val="restart"/>
          </w:tcPr>
          <w:p>
            <w:pPr>
              <w:jc w:val="right"/>
              <w:ind w:right="51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property and equipment are as follows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FY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FY 2020</w:t>
            </w:r>
          </w:p>
        </w:tc>
      </w:tr>
      <w:tr>
        <w:trPr>
          <w:trHeight w:val="17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January 1, 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January 2, 2021</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(13,386)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(12,775)</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expense related to property and equipment was $640 thousand and $488 thousand for the fiscal years 2021 and 2020,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value of goodwill was $965 thousand and $533 thousand as of January 1, 2022 and January 2, 2021, respectively.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March 2021, the Company recorded approximately $0.4 million goodwill in connection with its purchase of the PASCAL Business.</w:t>
      </w:r>
    </w:p>
    <w:p>
      <w:pPr>
        <w:spacing w:after="0" w:line="117"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2021 and determined that its goodwill was not impaired. The determination of whether any potential impairment of goodwill exists is based upon an impairment test performed in accordance with ASC 350. There was no impairment of goodwill recognized during fiscal years 2021 and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January 1, 2022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FY 2021</w:t>
            </w:r>
          </w:p>
        </w:tc>
        <w:tc>
          <w:tcPr>
            <w:tcW w:w="80" w:type="dxa"/>
            <w:vAlign w:val="bottom"/>
          </w:tcPr>
          <w:p>
            <w:pPr>
              <w:spacing w:after="0"/>
              <w:rPr>
                <w:sz w:val="14"/>
                <w:szCs w:val="14"/>
                <w:color w:val="auto"/>
              </w:rPr>
            </w:pPr>
          </w:p>
        </w:tc>
        <w:tc>
          <w:tcPr>
            <w:tcW w:w="118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Annual</w:t>
            </w:r>
          </w:p>
        </w:tc>
        <w:tc>
          <w:tcPr>
            <w:tcW w:w="80" w:type="dxa"/>
            <w:vAlign w:val="bottom"/>
          </w:tcPr>
          <w:p>
            <w:pPr>
              <w:spacing w:after="0"/>
              <w:rPr>
                <w:sz w:val="12"/>
                <w:szCs w:val="12"/>
                <w:color w:val="auto"/>
              </w:rPr>
            </w:pPr>
          </w:p>
        </w:tc>
        <w:tc>
          <w:tcPr>
            <w:tcW w:w="11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Lives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1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5.08 Years</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Developed technology</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7 Years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6.17 Years</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9 Years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8.17 Years</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In-process R&amp;D</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7 Years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0" w:type="dxa"/>
            <w:vAlign w:val="bottom"/>
          </w:tcPr>
          <w:p>
            <w:pPr>
              <w:spacing w:after="0"/>
              <w:rPr>
                <w:sz w:val="1"/>
                <w:szCs w:val="1"/>
                <w:color w:val="auto"/>
              </w:rPr>
            </w:pPr>
          </w:p>
        </w:tc>
      </w:tr>
      <w:tr>
        <w:trPr>
          <w:trHeight w:val="22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Varies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895"/>
              <w:spacing w:after="0"/>
              <w:rPr>
                <w:sz w:val="20"/>
                <w:szCs w:val="20"/>
                <w:color w:val="auto"/>
              </w:rPr>
            </w:pPr>
            <w:r>
              <w:rPr>
                <w:rFonts w:ascii="Arial" w:cs="Arial" w:eastAsia="Arial" w:hAnsi="Arial"/>
                <w:sz w:val="18"/>
                <w:szCs w:val="18"/>
                <w:color w:val="auto"/>
                <w:w w:val="89"/>
              </w:rPr>
              <w:t>59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ind w:left="560"/>
        <w:spacing w:after="0"/>
        <w:rPr>
          <w:sz w:val="20"/>
          <w:szCs w:val="20"/>
          <w:color w:val="auto"/>
        </w:rPr>
      </w:pPr>
      <w:r>
        <w:rPr>
          <w:rFonts w:ascii="Arial" w:cs="Arial" w:eastAsia="Arial" w:hAnsi="Arial"/>
          <w:sz w:val="18"/>
          <w:szCs w:val="18"/>
          <w:color w:val="auto"/>
        </w:rPr>
        <w:t>The components of our purchased intangible assets as of January 2, 2021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Useful</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FY 2020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Annual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Lives</w:t>
            </w:r>
          </w:p>
        </w:tc>
        <w:tc>
          <w:tcPr>
            <w:tcW w:w="104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4.25 Years</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Patents</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Varies</w:t>
            </w:r>
          </w:p>
        </w:tc>
        <w:tc>
          <w:tcPr>
            <w:tcW w:w="10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46"/>
        <w:spacing w:after="0" w:line="342" w:lineRule="auto"/>
        <w:rPr>
          <w:sz w:val="20"/>
          <w:szCs w:val="20"/>
          <w:color w:val="auto"/>
        </w:rPr>
      </w:pPr>
      <w:r>
        <w:rPr>
          <w:rFonts w:ascii="Arial" w:cs="Arial" w:eastAsia="Arial" w:hAnsi="Arial"/>
          <w:sz w:val="16"/>
          <w:szCs w:val="16"/>
          <w:color w:val="auto"/>
        </w:rPr>
        <w:t>Aggregate amortization expense for fiscal years 2021 and 2020 were $163 thousand and $16 thousand, respectively. The amortization of developed technology was charged to research and development expense and the customer relations and trade names were charged to sales and marketing expense.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future amortization expense for purchased intangible assets is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gridSpan w:val="2"/>
          </w:tcPr>
          <w:p>
            <w:pPr>
              <w:jc w:val="right"/>
              <w:ind w:right="58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FF0FC"/>
          </w:tcPr>
          <w:p>
            <w:pPr>
              <w:spacing w:after="0"/>
              <w:rPr>
                <w:sz w:val="19"/>
                <w:szCs w:val="19"/>
                <w:color w:val="auto"/>
              </w:rPr>
            </w:pP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accrued expenses and other current liabilities are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FY 2021</w:t>
            </w: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2020</w:t>
            </w:r>
          </w:p>
        </w:tc>
      </w:t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January 1, 2022</w:t>
            </w:r>
          </w:p>
        </w:tc>
        <w:tc>
          <w:tcPr>
            <w:tcW w:w="20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Legal and professional fees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Temporary help and consulting</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Royalties payable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rent</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Tax payable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7" w:right="339" w:bottom="1440" w:gutter="0" w:footer="0" w:header="0"/>
        </w:sectPr>
      </w:pPr>
    </w:p>
    <w:p>
      <w:pPr>
        <w:spacing w:after="0" w:line="8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FY 2021</w:t>
      </w:r>
    </w:p>
    <w:p>
      <w:pPr>
        <w:spacing w:after="0" w:line="69"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January 1, 2022</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2120"/>
        <w:spacing w:after="0"/>
        <w:rPr>
          <w:sz w:val="20"/>
          <w:szCs w:val="20"/>
          <w:color w:val="auto"/>
        </w:rPr>
      </w:pPr>
      <w:r>
        <w:rPr>
          <w:rFonts w:ascii="Arial" w:cs="Arial" w:eastAsia="Arial" w:hAnsi="Arial"/>
          <w:sz w:val="14"/>
          <w:szCs w:val="14"/>
          <w:b w:val="1"/>
          <w:bCs w:val="1"/>
          <w:color w:val="auto"/>
        </w:rPr>
        <w:t>FY 2020</w:t>
      </w:r>
    </w:p>
    <w:p>
      <w:pPr>
        <w:spacing w:after="0" w:line="69" w:lineRule="exact"/>
        <w:rPr>
          <w:sz w:val="20"/>
          <w:szCs w:val="20"/>
          <w:color w:val="auto"/>
        </w:rPr>
      </w:pPr>
    </w:p>
    <w:p>
      <w:pPr>
        <w:jc w:val="center"/>
        <w:ind w:right="2120"/>
        <w:spacing w:after="0"/>
        <w:rPr>
          <w:sz w:val="20"/>
          <w:szCs w:val="20"/>
          <w:color w:val="auto"/>
        </w:rPr>
      </w:pPr>
      <w:r>
        <w:rPr>
          <w:rFonts w:ascii="Arial" w:cs="Arial" w:eastAsia="Arial" w:hAnsi="Arial"/>
          <w:sz w:val="13"/>
          <w:szCs w:val="13"/>
          <w:b w:val="1"/>
          <w:bCs w:val="1"/>
          <w:color w:val="auto"/>
        </w:rPr>
        <w:t>January 2, 2021</w:t>
      </w:r>
    </w:p>
    <w:p>
      <w:pPr>
        <w:spacing w:after="0" w:line="20" w:lineRule="exact"/>
        <w:rPr>
          <w:sz w:val="20"/>
          <w:szCs w:val="20"/>
          <w:color w:val="auto"/>
        </w:rPr>
      </w:pPr>
    </w:p>
    <w:p>
      <w:pPr>
        <w:sectPr>
          <w:pgSz w:w="11900" w:h="16838" w:orient="portrait"/>
          <w:cols w:equalWidth="0" w:num="2">
            <w:col w:w="7420" w:space="720"/>
            <w:col w:w="3100"/>
          </w:cols>
          <w:pgMar w:left="320" w:top="557"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5"/>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10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Other miscellaneous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23"/>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current liabilities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Paycheck Protection Program (“PPP”) Loan</w:t>
      </w:r>
    </w:p>
    <w:p>
      <w:pPr>
        <w:spacing w:after="0" w:line="121" w:lineRule="exact"/>
        <w:rPr>
          <w:sz w:val="20"/>
          <w:szCs w:val="20"/>
          <w:color w:val="auto"/>
        </w:rPr>
      </w:pPr>
    </w:p>
    <w:p>
      <w:pPr>
        <w:ind w:right="60" w:firstLine="546"/>
        <w:spacing w:after="0" w:line="253" w:lineRule="auto"/>
        <w:rPr>
          <w:sz w:val="20"/>
          <w:szCs w:val="20"/>
          <w:color w:val="auto"/>
        </w:rPr>
      </w:pPr>
      <w:r>
        <w:rPr>
          <w:rFonts w:ascii="Arial" w:cs="Arial" w:eastAsia="Arial" w:hAnsi="Arial"/>
          <w:sz w:val="18"/>
          <w:szCs w:val="18"/>
          <w:color w:val="auto"/>
        </w:rPr>
        <w:t>On April 23, 2020, the Company qualified for and received a loan pursuant to the PPP, a program implemented by the U.S. Small Business Administration (the “SBA”) under the Coronavirus Aid, Relief, and Economic Security Act, from a qualified lender (the “PPP Lender”), for an aggregate principal amount of approximately $2.5 million (the "PPP Loan"). The PPP Loan bears interest at a fixed rate of 1.0% per annum, with the first six months of interest deferred, has a term of two years, and is unsecured and guaranteed by the U.S. Small Business Administration.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On September 22, 2020, the Company submitted the PPP Loan forgiveness application for the entire amount of approximately $2.5 million. To the extent that all or part of the PPP Loan is not forgiven, the Company would have been required to pay interest on the PPP Loan at a rate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60" w:name="page61"/>
    <w:bookmarkEnd w:id="60"/>
    <w:p>
      <w:pPr>
        <w:ind w:right="780"/>
        <w:spacing w:after="0" w:line="277" w:lineRule="auto"/>
        <w:rPr>
          <w:sz w:val="20"/>
          <w:szCs w:val="20"/>
          <w:color w:val="auto"/>
        </w:rPr>
      </w:pPr>
      <w:r>
        <w:rPr>
          <w:rFonts w:ascii="Arial" w:cs="Arial" w:eastAsia="Arial" w:hAnsi="Arial"/>
          <w:sz w:val="18"/>
          <w:szCs w:val="18"/>
          <w:color w:val="auto"/>
        </w:rPr>
        <w:t>1.0% per annum. The terms of the PPP Loan provide for customary events of default including, among other things, payment defaults, breach of representations, and insolvency events.</w:t>
      </w:r>
    </w:p>
    <w:p>
      <w:pPr>
        <w:spacing w:after="0" w:line="62" w:lineRule="exact"/>
        <w:rPr>
          <w:sz w:val="20"/>
          <w:szCs w:val="20"/>
          <w:color w:val="auto"/>
        </w:rPr>
      </w:pPr>
    </w:p>
    <w:p>
      <w:pPr>
        <w:jc w:val="both"/>
        <w:ind w:right="80" w:firstLine="546"/>
        <w:spacing w:after="0" w:line="263" w:lineRule="auto"/>
        <w:rPr>
          <w:sz w:val="20"/>
          <w:szCs w:val="20"/>
          <w:color w:val="auto"/>
        </w:rPr>
      </w:pPr>
      <w:r>
        <w:rPr>
          <w:rFonts w:ascii="Arial" w:cs="Arial" w:eastAsia="Arial" w:hAnsi="Arial"/>
          <w:sz w:val="18"/>
          <w:szCs w:val="18"/>
          <w:color w:val="auto"/>
        </w:rPr>
        <w:t>In June 2021, the Company was notified by Silicon Valley Bank that its PPP Loan, including accrued interest, has been fully forgiven by the SBA. We recognized a $2.5 million gain on PPP Loan forgiveness, included in Other income, net in the consolidated statements of operations for the fiscal year ended January 1,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4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We lease our operating facilities in Mountain View, California, under a non-cancelable operating lease through February 28, 2022. On April 30, 2021, we amended our lease to reduce the portion of the premises leased by the Company and extend the lease term through August 31, 2024. There are no further options or rights to extend the term of this lease.</w:t>
      </w:r>
    </w:p>
    <w:p>
      <w:pPr>
        <w:spacing w:after="0" w:line="76" w:lineRule="exact"/>
        <w:rPr>
          <w:sz w:val="20"/>
          <w:szCs w:val="20"/>
          <w:color w:val="auto"/>
        </w:rPr>
      </w:pPr>
    </w:p>
    <w:p>
      <w:pPr>
        <w:ind w:right="60" w:firstLine="546"/>
        <w:spacing w:after="0" w:line="286" w:lineRule="auto"/>
        <w:rPr>
          <w:sz w:val="20"/>
          <w:szCs w:val="20"/>
          <w:color w:val="auto"/>
        </w:rPr>
      </w:pPr>
      <w:r>
        <w:rPr>
          <w:rFonts w:ascii="Arial" w:cs="Arial" w:eastAsia="Arial" w:hAnsi="Arial"/>
          <w:sz w:val="17"/>
          <w:szCs w:val="17"/>
          <w:color w:val="auto"/>
        </w:rPr>
        <w:t>Our operating lease commitments consist of facility and office equipment leases. Operating lease expense for fiscal years 2021 and 2020 was approximately $1.1 million and $1.3 million, respectively. The weighted average discount rate used in calculating the present value of lease payments was 4.8%. As of January 1, 2022, the weighted average remaining lease term for our operating leases was 2.6 years.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represents maturities of operating lease liabilities as of January 1, 2022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Lease Payments</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100" w:firstLine="546"/>
        <w:spacing w:after="0" w:line="308" w:lineRule="auto"/>
        <w:rPr>
          <w:sz w:val="20"/>
          <w:szCs w:val="20"/>
          <w:color w:val="auto"/>
        </w:rPr>
      </w:pPr>
      <w:r>
        <w:rPr>
          <w:rFonts w:ascii="Arial" w:cs="Arial" w:eastAsia="Arial" w:hAnsi="Arial"/>
          <w:sz w:val="17"/>
          <w:szCs w:val="17"/>
          <w:color w:val="auto"/>
        </w:rPr>
        <w:t>Our purchase commitments consist primarily of non-cancellable purchase orders with vendors to manufacture certain components and ophthalmic instruments. Future minimum payments for our purchase commitments as of January 1, 2022 were approximately $18.0 million.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220" w:firstLine="546"/>
        <w:spacing w:after="0" w:line="263" w:lineRule="auto"/>
        <w:rPr>
          <w:sz w:val="20"/>
          <w:szCs w:val="20"/>
          <w:color w:val="auto"/>
        </w:rPr>
      </w:pPr>
      <w:r>
        <w:rPr>
          <w:rFonts w:ascii="Arial" w:cs="Arial" w:eastAsia="Arial" w:hAnsi="Arial"/>
          <w:sz w:val="18"/>
          <w:szCs w:val="18"/>
          <w:color w:val="auto"/>
        </w:rPr>
        <w:t>We are obligated to pay royalties equivalent to 1% to 5% of sales on certain products under certain license agreements with termination dates through the end of 2033. Royalty expense, charged to cost of revenues, was approximately $0.4 million and $0.3 million for fiscal years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Arrangements</w:t>
      </w:r>
      <w:r>
        <w:rPr>
          <w:rFonts w:ascii="Arial" w:cs="Arial" w:eastAsia="Arial" w:hAnsi="Arial"/>
          <w:sz w:val="18"/>
          <w:szCs w:val="18"/>
          <w:color w:val="auto"/>
        </w:rPr>
        <w:t>.</w:t>
      </w:r>
    </w:p>
    <w:p>
      <w:pPr>
        <w:spacing w:after="0" w:line="117"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In general, management believes that ordinary course of business matters will not have a material adverse effect on our financial position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1" w:name="page62"/>
    <w:bookmarkEnd w:id="61"/>
    <w:p>
      <w:pPr>
        <w:ind w:right="440"/>
        <w:spacing w:after="0" w:line="263" w:lineRule="auto"/>
        <w:rPr>
          <w:sz w:val="20"/>
          <w:szCs w:val="20"/>
          <w:color w:val="auto"/>
        </w:rPr>
      </w:pPr>
      <w:r>
        <w:rPr>
          <w:rFonts w:ascii="Arial" w:cs="Arial" w:eastAsia="Arial" w:hAnsi="Arial"/>
          <w:sz w:val="18"/>
          <w:szCs w:val="18"/>
          <w:color w:val="auto"/>
        </w:rPr>
        <w:t>or results of operations and are adequately covered by our liability insurance. However, it is possible that cash flows or results of operations could be materially affected in any particular period by the unfavorable resolution of one of more of these contingencies or because of the diversion of management’s attention and the incurrence of significant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On June 11, 2008, the shareholders approved the adoption of the 2008 Equity Incentive Plan, (the “Incentive Plan”). There are no material changes in the Incentive Plan from the 1998 Plan. In 2014, 2017, 2018, 2019 and 2021,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is 4,850,000 shares plus any shares subject to stock options or similar awards granted under the 1998 Plan that expire or otherwise terminate without having been exercised in full and shares issued pursuant to awards granted under the 1998 Stock Plan (the “1998 Plan”) that are forfeited to us on or after February 23, 2008, which was the date the 1998 Plan expired.</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the shares activity and the total number of shares available for grant under the Incentive Plan:</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r>
      <w:tr>
        <w:trPr>
          <w:trHeight w:val="148"/>
        </w:trPr>
        <w:tc>
          <w:tcPr>
            <w:tcW w:w="74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Available</w:t>
            </w:r>
          </w:p>
        </w:tc>
      </w:tr>
      <w:tr>
        <w:trPr>
          <w:trHeight w:val="171"/>
        </w:trPr>
        <w:tc>
          <w:tcPr>
            <w:tcW w:w="74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28,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1,107,523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(523,650)</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(557,816)</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257,662</w:t>
            </w:r>
          </w:p>
        </w:tc>
        <w:tc>
          <w:tcPr>
            <w:tcW w:w="8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Awards cancelled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194,303</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Balances as of January 2, 2021</w:t>
            </w:r>
          </w:p>
        </w:tc>
        <w:tc>
          <w:tcPr>
            <w:tcW w:w="1500" w:type="dxa"/>
            <w:vAlign w:val="bottom"/>
          </w:tcPr>
          <w:p>
            <w:pPr>
              <w:jc w:val="right"/>
              <w:spacing w:after="0"/>
              <w:rPr>
                <w:sz w:val="20"/>
                <w:szCs w:val="20"/>
                <w:color w:val="auto"/>
              </w:rPr>
            </w:pPr>
            <w:r>
              <w:rPr>
                <w:rFonts w:ascii="Arial" w:cs="Arial" w:eastAsia="Arial" w:hAnsi="Arial"/>
                <w:sz w:val="18"/>
                <w:szCs w:val="18"/>
                <w:color w:val="auto"/>
              </w:rPr>
              <w:t>478,022</w:t>
            </w:r>
          </w:p>
        </w:tc>
        <w:tc>
          <w:tcPr>
            <w:tcW w:w="8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Additional shares reserved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(348,363)</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(257,397)</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159,048</w:t>
            </w:r>
          </w:p>
        </w:tc>
        <w:tc>
          <w:tcPr>
            <w:tcW w:w="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Awards cancelled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91,071</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Balances as of January 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1,122,381</w:t>
            </w:r>
          </w:p>
        </w:tc>
        <w:tc>
          <w:tcPr>
            <w:tcW w:w="8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Awards (RSU, PSU, RSA) with a per share or unit purchase price lower than 100% of the fair market value of the Company's common stock on the date of grant under the 2008 Equity Incentive Plan, as amended, are counted against shares authorized under the plan as one and one-half shares of common stock for each share. When cancelled, these shares are added back to the Plan as one and one-half shares.</w:t>
      </w:r>
    </w:p>
    <w:p>
      <w:pPr>
        <w:spacing w:after="0" w:line="5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The following table shows stock-based compensation expenses by functional area in the consolidated statements of operations for 2021 and 2020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FY 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2020</w:t>
            </w:r>
          </w:p>
        </w:tc>
      </w:t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January 1, 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capitalized to inventory was immaterial for 2021 and 2020.</w:t>
      </w:r>
    </w:p>
    <w:p>
      <w:pPr>
        <w:spacing w:after="0" w:line="117" w:lineRule="exact"/>
        <w:rPr>
          <w:sz w:val="20"/>
          <w:szCs w:val="20"/>
          <w:color w:val="auto"/>
        </w:rPr>
      </w:pPr>
    </w:p>
    <w:p>
      <w:pPr>
        <w:ind w:right="900" w:firstLine="546"/>
        <w:spacing w:after="0" w:line="342" w:lineRule="auto"/>
        <w:rPr>
          <w:sz w:val="20"/>
          <w:szCs w:val="20"/>
          <w:color w:val="auto"/>
        </w:rPr>
      </w:pPr>
      <w:r>
        <w:rPr>
          <w:rFonts w:ascii="Arial" w:cs="Arial" w:eastAsia="Arial" w:hAnsi="Arial"/>
          <w:sz w:val="16"/>
          <w:szCs w:val="16"/>
          <w:color w:val="auto"/>
        </w:rPr>
        <w:t>As of January 1, 2022, there was $2.7 million of total unrecognized compensation cost related to non-vested share-based compensation arrangements under the Incentive Plan. The cost is expected to be recognized over a weighted-average period of 2.00 years.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following table summarizes information regarding activity in our stock option plans during the fiscal years ended 2021 and 2020 (in thousands except share and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20" w:type="dxa"/>
            <w:vAlign w:val="bottom"/>
            <w:gridSpan w:val="6"/>
          </w:tcPr>
          <w:p>
            <w:pPr>
              <w:ind w:left="70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6"/>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28,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523,650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(257,662)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January 2,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1,649,540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348,363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(66,234)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(159,048)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January 1,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1,772,621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with respect to stock options outstanding and exercisable as of January 1, 2022: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Options Vested and Exercisable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Weighted</w:t>
            </w: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$1.82 - $2.12</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12,613</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5,146</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$2.13 - $2.13</w:t>
            </w:r>
          </w:p>
        </w:tc>
        <w:tc>
          <w:tcPr>
            <w:tcW w:w="1500" w:type="dxa"/>
            <w:vAlign w:val="bottom"/>
          </w:tcPr>
          <w:p>
            <w:pPr>
              <w:jc w:val="right"/>
              <w:spacing w:after="0"/>
              <w:rPr>
                <w:sz w:val="20"/>
                <w:szCs w:val="20"/>
                <w:color w:val="auto"/>
              </w:rPr>
            </w:pPr>
            <w:r>
              <w:rPr>
                <w:rFonts w:ascii="Arial" w:cs="Arial" w:eastAsia="Arial" w:hAnsi="Arial"/>
                <w:sz w:val="18"/>
                <w:szCs w:val="18"/>
                <w:color w:val="auto"/>
              </w:rPr>
              <w:t>360,473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103,164</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$2.18 - $4.85</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164,315</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89,575</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$4.92 - $4.92</w:t>
            </w:r>
          </w:p>
        </w:tc>
        <w:tc>
          <w:tcPr>
            <w:tcW w:w="1500" w:type="dxa"/>
            <w:vAlign w:val="bottom"/>
          </w:tcPr>
          <w:p>
            <w:pPr>
              <w:jc w:val="right"/>
              <w:spacing w:after="0"/>
              <w:rPr>
                <w:sz w:val="20"/>
                <w:szCs w:val="20"/>
                <w:color w:val="auto"/>
              </w:rPr>
            </w:pPr>
            <w:r>
              <w:rPr>
                <w:rFonts w:ascii="Arial" w:cs="Arial" w:eastAsia="Arial" w:hAnsi="Arial"/>
                <w:sz w:val="18"/>
                <w:szCs w:val="18"/>
                <w:color w:val="auto"/>
              </w:rPr>
              <w:t>600,000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229,167</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$4.98</w:t>
            </w:r>
          </w:p>
        </w:tc>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$6.57</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183,354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106,659</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$6.58</w:t>
            </w:r>
          </w:p>
        </w:tc>
        <w:tc>
          <w:tcPr>
            <w:tcW w:w="2060" w:type="dxa"/>
            <w:vAlign w:val="bottom"/>
          </w:tcPr>
          <w:p>
            <w:pPr>
              <w:ind w:left="20"/>
              <w:spacing w:after="0"/>
              <w:rPr>
                <w:sz w:val="20"/>
                <w:szCs w:val="20"/>
                <w:color w:val="auto"/>
              </w:rPr>
            </w:pPr>
            <w:r>
              <w:rPr>
                <w:rFonts w:ascii="Arial" w:cs="Arial" w:eastAsia="Arial" w:hAnsi="Arial"/>
                <w:sz w:val="18"/>
                <w:szCs w:val="18"/>
                <w:color w:val="auto"/>
              </w:rPr>
              <w:t>- $6.58</w:t>
            </w:r>
          </w:p>
        </w:tc>
        <w:tc>
          <w:tcPr>
            <w:tcW w:w="1500" w:type="dxa"/>
            <w:vAlign w:val="bottom"/>
          </w:tcPr>
          <w:p>
            <w:pPr>
              <w:jc w:val="right"/>
              <w:spacing w:after="0"/>
              <w:rPr>
                <w:sz w:val="20"/>
                <w:szCs w:val="20"/>
                <w:color w:val="auto"/>
              </w:rPr>
            </w:pPr>
            <w:r>
              <w:rPr>
                <w:rFonts w:ascii="Arial" w:cs="Arial" w:eastAsia="Arial" w:hAnsi="Arial"/>
                <w:sz w:val="18"/>
                <w:szCs w:val="18"/>
                <w:color w:val="auto"/>
              </w:rPr>
              <w:t>242,263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$6.76</w:t>
            </w:r>
          </w:p>
        </w:tc>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$11.16</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174,141</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124,121</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$12.85 - $12.85</w:t>
            </w: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$14.61 - $14.61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$16.29 - $16.29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7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560" w:type="dxa"/>
            <w:vAlign w:val="bottom"/>
            <w:tcBorders>
              <w:bottom w:val="single" w:sz="8" w:color="CFF0FC"/>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$1.82</w:t>
            </w:r>
          </w:p>
        </w:tc>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$16.29</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1,772,621</w:t>
            </w:r>
          </w:p>
        </w:tc>
        <w:tc>
          <w:tcPr>
            <w:tcW w:w="17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693,294</w:t>
            </w:r>
          </w:p>
        </w:tc>
        <w:tc>
          <w:tcPr>
            <w:tcW w:w="560" w:type="dxa"/>
            <w:vAlign w:val="bottom"/>
            <w:tcBorders>
              <w:bottom w:val="single" w:sz="8" w:color="CFF0FC"/>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46"/>
        <w:spacing w:after="0" w:line="277" w:lineRule="auto"/>
        <w:rPr>
          <w:sz w:val="20"/>
          <w:szCs w:val="20"/>
          <w:color w:val="auto"/>
        </w:rPr>
      </w:pPr>
      <w:r>
        <w:rPr>
          <w:rFonts w:ascii="Arial" w:cs="Arial" w:eastAsia="Arial" w:hAnsi="Arial"/>
          <w:sz w:val="18"/>
          <w:szCs w:val="18"/>
          <w:color w:val="auto"/>
        </w:rPr>
        <w:t>The determination of the fair value of options granted is computed using the Black-Scholes option pricing model with the following weighted average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Employee Stock Option Plan</w:t>
            </w:r>
          </w:p>
        </w:tc>
      </w:tr>
      <w:tr>
        <w:trPr>
          <w:trHeight w:val="156"/>
        </w:trPr>
        <w:tc>
          <w:tcPr>
            <w:tcW w:w="604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FY 2021</w:t>
            </w:r>
          </w:p>
        </w:tc>
        <w:tc>
          <w:tcPr>
            <w:tcW w:w="32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FY 2020</w:t>
            </w:r>
          </w:p>
        </w:tc>
        <w:tc>
          <w:tcPr>
            <w:tcW w:w="180" w:type="dxa"/>
            <w:vAlign w:val="bottom"/>
            <w:tcBorders>
              <w:bottom w:val="single" w:sz="8" w:color="CFF0FC"/>
            </w:tcBorders>
          </w:tcPr>
          <w:p>
            <w:pPr>
              <w:spacing w:after="0"/>
              <w:rPr>
                <w:sz w:val="13"/>
                <w:szCs w:val="13"/>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0.89%</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4.45 years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Average volatility</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r>
    </w:tbl>
    <w:p>
      <w:pPr>
        <w:spacing w:after="0" w:line="20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weighted average grant date fair value of options granted as calculated using the Black-Scholes option pricing was $3.81 and $1.06 per share for the fiscal years 2021 and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ind w:right="60" w:firstLine="546"/>
        <w:spacing w:after="0" w:line="291" w:lineRule="auto"/>
        <w:rPr>
          <w:sz w:val="20"/>
          <w:szCs w:val="20"/>
          <w:color w:val="auto"/>
        </w:rPr>
      </w:pPr>
      <w:r>
        <w:rPr>
          <w:rFonts w:ascii="Arial" w:cs="Arial" w:eastAsia="Arial" w:hAnsi="Arial"/>
          <w:sz w:val="16"/>
          <w:szCs w:val="16"/>
          <w:color w:val="auto"/>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stock options outstanding, exercisable and expected to vest as of January 1, 2022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Life (years)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1,772,621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5.45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20" w:type="dxa"/>
            <w:vAlign w:val="bottom"/>
          </w:tcPr>
          <w:p>
            <w:pPr>
              <w:jc w:val="right"/>
              <w:spacing w:after="0"/>
              <w:rPr>
                <w:sz w:val="20"/>
                <w:szCs w:val="20"/>
                <w:color w:val="auto"/>
              </w:rPr>
            </w:pPr>
            <w:r>
              <w:rPr>
                <w:rFonts w:ascii="Arial" w:cs="Arial" w:eastAsia="Arial" w:hAnsi="Arial"/>
                <w:sz w:val="18"/>
                <w:szCs w:val="18"/>
                <w:color w:val="auto"/>
              </w:rPr>
              <w:t>1,603,903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5.34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693,294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4.24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of fiscal 2021 and the exercise price, multiplied by the number of in-the-money options) that would have been received by the option holders had all option holders exercised their options on January 1, 2022. This amount is subject to change due to changes to the fair market value of our common stock. The total intrinsic value of options exercised for fiscal years 2021 and 2020 were approximately $251 thousand and $0 thousand,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40" w:firstLine="546"/>
        <w:spacing w:after="0" w:line="273" w:lineRule="auto"/>
        <w:rPr>
          <w:sz w:val="20"/>
          <w:szCs w:val="20"/>
          <w:color w:val="auto"/>
        </w:rPr>
      </w:pPr>
      <w:r>
        <w:rPr>
          <w:rFonts w:ascii="Arial" w:cs="Arial" w:eastAsia="Arial" w:hAnsi="Arial"/>
          <w:sz w:val="17"/>
          <w:szCs w:val="17"/>
          <w:color w:val="auto"/>
        </w:rPr>
        <w:t>Effective for the 2018 fiscal year and thereafter, each non-employee member of the Board of Directors receives an annual equity award of either restricted stock or RSU, at the election of such Board member, in each case equal to $40 thousand worth of our common stock (determined at the fair market value of the shares at the time such award is granted) under our Incentive Plan. The Lead Independent Director or the Chairman of the Board of Directors receives an additional annual equity award of either restricted stock or RSU, equal to $10 thousand worth of our common stock. Each equity award vests in full on the earlier of the one-year anniversary of the date of grant or the Company’s next annual meeting of stockholders, provided that the non-employee member continues to serve on the Board through such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w:t>
      </w:r>
    </w:p>
    <w:p>
      <w:pPr>
        <w:spacing w:after="0" w:line="121"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We recognize the estimated compensation expense of restricted stock units, net of estimated forfeitures, over the vesting term. The estimated compensation expense is based on the fair value of our common stock on the date of grant.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the restricted stock units outstanding, vested and expected to vest as of January 1, 2022 is summarized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Life (years)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 (thousands)</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253,761</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Restricted stock units vested and expected to vest</w:t>
            </w:r>
          </w:p>
        </w:tc>
        <w:tc>
          <w:tcPr>
            <w:tcW w:w="1400" w:type="dxa"/>
            <w:vAlign w:val="bottom"/>
          </w:tcPr>
          <w:p>
            <w:pPr>
              <w:jc w:val="right"/>
              <w:spacing w:after="0"/>
              <w:rPr>
                <w:sz w:val="20"/>
                <w:szCs w:val="20"/>
                <w:color w:val="auto"/>
              </w:rPr>
            </w:pPr>
            <w:r>
              <w:rPr>
                <w:rFonts w:ascii="Arial" w:cs="Arial" w:eastAsia="Arial" w:hAnsi="Arial"/>
                <w:sz w:val="18"/>
                <w:szCs w:val="18"/>
                <w:color w:val="auto"/>
              </w:rPr>
              <w:t>221,439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The intrinsic value of the restricted stock units is calculated based on the closing price of our shares as quoted on the Nasdaq Global Market on the last trading day of the fiscal year, December 31, 2021, of $6.11.</w:t>
      </w:r>
    </w:p>
    <w:p>
      <w:pPr>
        <w:spacing w:after="0" w:line="6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The majority of the restricted stock units that were released in fiscal year 2021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January 1, 2022, 381,974 shares of restricted stock units were released with an intrinsic value of approximately $2.7 million. We withheld 89,842 shares to satisfy approximately $629 thousand of employees’ minimum tax obligation on the released restricted stock units.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4" w:name="page65"/>
    <w:bookmarkEnd w:id="64"/>
    <w:p>
      <w:pPr>
        <w:ind w:left="560"/>
        <w:spacing w:after="0"/>
        <w:rPr>
          <w:sz w:val="20"/>
          <w:szCs w:val="20"/>
          <w:color w:val="auto"/>
        </w:rPr>
      </w:pPr>
      <w:r>
        <w:rPr>
          <w:rFonts w:ascii="Arial" w:cs="Arial" w:eastAsia="Arial" w:hAnsi="Arial"/>
          <w:sz w:val="18"/>
          <w:szCs w:val="18"/>
          <w:color w:val="auto"/>
        </w:rPr>
        <w:t>Information regarding the RSU activity during the years ended January 1, 2022 and January 2, 2021 is summarized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28, 2019</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371,877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released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(128,624)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(129,535)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2,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524,851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171,598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released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(381,974)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(60,714)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2022</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During the year ended January 1, 2022, the Company awarded 171,598 restricted stock units at a weighted average grant date fair value of $6.78 per share. Of this amount, 5,000 performance-based shares that are subject to service and performance vesting conditions with a weighted average grant date fair value of $8.34 per share.</w:t>
      </w:r>
    </w:p>
    <w:p>
      <w:pPr>
        <w:spacing w:after="0" w:line="76" w:lineRule="exact"/>
        <w:rPr>
          <w:sz w:val="20"/>
          <w:szCs w:val="20"/>
          <w:color w:val="auto"/>
        </w:rPr>
      </w:pPr>
    </w:p>
    <w:p>
      <w:pPr>
        <w:ind w:right="460" w:firstLine="546"/>
        <w:spacing w:after="0" w:line="263" w:lineRule="auto"/>
        <w:rPr>
          <w:sz w:val="20"/>
          <w:szCs w:val="20"/>
          <w:color w:val="auto"/>
        </w:rPr>
      </w:pPr>
      <w:r>
        <w:rPr>
          <w:rFonts w:ascii="Arial" w:cs="Arial" w:eastAsia="Arial" w:hAnsi="Arial"/>
          <w:sz w:val="18"/>
          <w:szCs w:val="18"/>
          <w:color w:val="auto"/>
        </w:rPr>
        <w:t>During fiscal year 2021, 56,900 stock awards were modified to clarify the performance condition. The total incremental expense for these modifications resulted in an additional stock-based compensation expense of $0.4 million recorded within cost of sales and operating expenses on the consolidated statement of operations for the fiscal year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w:t>
      </w:r>
    </w:p>
    <w:p>
      <w:pPr>
        <w:spacing w:after="0" w:line="121"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Company. In 2021, the Company made $201 thousand worth of total matching contributions. The Company did not make matching contribution during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from operations before provision for income taxes was comprised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FY 2021</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January 1, 2022</w:t>
            </w: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2,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20" w:type="dxa"/>
            <w:vAlign w:val="bottom"/>
            <w:vMerge w:val="restart"/>
          </w:tcPr>
          <w:p>
            <w:pPr>
              <w:jc w:val="right"/>
              <w:ind w:right="63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560"/>
        <w:spacing w:after="0"/>
        <w:rPr>
          <w:sz w:val="20"/>
          <w:szCs w:val="20"/>
          <w:color w:val="auto"/>
        </w:rPr>
      </w:pPr>
      <w:r>
        <w:rPr>
          <w:rFonts w:ascii="Arial" w:cs="Arial" w:eastAsia="Arial" w:hAnsi="Arial"/>
          <w:sz w:val="18"/>
          <w:szCs w:val="18"/>
          <w:color w:val="auto"/>
        </w:rPr>
        <w:t>The provision for income taxes includes: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FY 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2020</w:t>
            </w:r>
          </w:p>
        </w:tc>
      </w:tr>
      <w:tr>
        <w:trPr>
          <w:trHeight w:val="162"/>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January 1, 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1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Deferred:</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effective tax rate differs from the statutory federal income tax rate as shown in the following schedule: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FY 2021</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2020</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Year Ended</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January 1, 2022</w:t>
            </w:r>
          </w:p>
        </w:tc>
        <w:tc>
          <w:tcPr>
            <w:tcW w:w="36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January 2, 2021</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at statutory rate</w:t>
            </w: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(47.4)%</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1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tax effect of temporary differences and carryforwards that give rise to significant portions of the net deferred tax assets are presented below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FY 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2020</w:t>
            </w:r>
          </w:p>
        </w:tc>
      </w:tr>
      <w:tr>
        <w:trPr>
          <w:trHeight w:val="162"/>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January 1, 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losses</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Accruals and reserves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Intangible assets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18,798</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(21,280)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(18,820)</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1"/>
        <w:spacing w:after="0" w:line="273" w:lineRule="auto"/>
        <w:rPr>
          <w:sz w:val="20"/>
          <w:szCs w:val="20"/>
          <w:color w:val="auto"/>
        </w:rPr>
      </w:pPr>
      <w:r>
        <w:rPr>
          <w:rFonts w:ascii="Arial" w:cs="Arial" w:eastAsia="Arial" w:hAnsi="Arial"/>
          <w:sz w:val="17"/>
          <w:szCs w:val="17"/>
          <w:color w:val="auto"/>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6" w:name="page67"/>
    <w:bookmarkEnd w:id="66"/>
    <w:p>
      <w:pPr>
        <w:ind w:right="60" w:firstLine="551"/>
        <w:spacing w:after="0" w:line="279" w:lineRule="auto"/>
        <w:rPr>
          <w:sz w:val="20"/>
          <w:szCs w:val="20"/>
          <w:color w:val="auto"/>
        </w:rPr>
      </w:pPr>
      <w:r>
        <w:rPr>
          <w:rFonts w:ascii="Arial" w:cs="Arial" w:eastAsia="Arial" w:hAnsi="Arial"/>
          <w:sz w:val="17"/>
          <w:szCs w:val="17"/>
          <w:color w:val="auto"/>
        </w:rPr>
        <w:t>As of January 1, 2022, based on the Company's recent history of losses and its forecasted losses, management believes on the more likely than not basis that a full valuation allowance is required. Accordingly, in the fourth quarter of fiscal year 2021, the Company provided a full valuation allowance on its federal and state deferred tax assets. As of January 1, 2022, the Company had federal and state net operating loss (“NOL”) carry forwards of $55.4 million and $26.2 million, respectively. The federal NOL will begin to expire in 2033 and the state NOL will begin to expire in 2022.</w:t>
      </w:r>
    </w:p>
    <w:p>
      <w:pPr>
        <w:spacing w:after="0" w:line="63" w:lineRule="exact"/>
        <w:rPr>
          <w:sz w:val="20"/>
          <w:szCs w:val="20"/>
          <w:color w:val="auto"/>
        </w:rPr>
      </w:pPr>
    </w:p>
    <w:p>
      <w:pPr>
        <w:jc w:val="both"/>
        <w:ind w:right="20" w:firstLine="551"/>
        <w:spacing w:after="0" w:line="263" w:lineRule="auto"/>
        <w:rPr>
          <w:sz w:val="20"/>
          <w:szCs w:val="20"/>
          <w:color w:val="auto"/>
        </w:rPr>
      </w:pPr>
      <w:r>
        <w:rPr>
          <w:rFonts w:ascii="Arial" w:cs="Arial" w:eastAsia="Arial" w:hAnsi="Arial"/>
          <w:sz w:val="18"/>
          <w:szCs w:val="18"/>
          <w:color w:val="auto"/>
        </w:rPr>
        <w:t>The Company has federal and state research credit carry forwards of approximately $2.2 million and $3.1 million, respectively. The federal research credit will begin to expire in 2027 and the state research credit can be carried forward indefinitely. In the event of a change in ownership as defined by IRC sections 382 and 383, the usage of the above mentioned NOLs and credits may be limited.</w:t>
      </w:r>
    </w:p>
    <w:p>
      <w:pPr>
        <w:spacing w:after="0" w:line="76" w:lineRule="exact"/>
        <w:rPr>
          <w:sz w:val="20"/>
          <w:szCs w:val="20"/>
          <w:color w:val="auto"/>
        </w:rPr>
      </w:pPr>
    </w:p>
    <w:p>
      <w:pPr>
        <w:ind w:right="40" w:firstLine="551"/>
        <w:spacing w:after="0" w:line="272" w:lineRule="auto"/>
        <w:rPr>
          <w:sz w:val="20"/>
          <w:szCs w:val="20"/>
          <w:color w:val="auto"/>
        </w:rPr>
      </w:pPr>
      <w:r>
        <w:rPr>
          <w:rFonts w:ascii="Arial" w:cs="Arial" w:eastAsia="Arial" w:hAnsi="Arial"/>
          <w:sz w:val="17"/>
          <w:szCs w:val="17"/>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January 1, 2022.</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FY 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FY 2020</w:t>
            </w:r>
          </w:p>
        </w:tc>
      </w:t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January 1, 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based upon tax positions related to the current year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the ending balance of $1.3 million of unrecognized tax benefits at January 1, 2022 were recognized, $0 of the recognition would affect the</w:t>
      </w:r>
    </w:p>
    <w:p>
      <w:pPr>
        <w:spacing w:after="0" w:line="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62"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Company files U.S. federal and state returns. The tax years 2012 to 2021 remain open in several jurisdictions, none of which have individual significance.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Loan and Security Agreement</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November 2016, the Company entered into a Loan and Security Agreement (“Loan Agreement”) with Silicon Valley Bank providing for up to $15.0 million secured revolving loan facility (“Revolving Loan Facility”), with availability subject to an accounts receivable borrowing base formula. Borrowings under the Revolving Loan Facility accrue interest at a per annum rate equal to the Wall Street Journal Prime Rate as in effect from time to time, plus 1.5%. The Loan Agreement does not include any financial covenants. The Loan Agreement expired in November 2, 2019 and was amended (First Amendment to the Loan Agreement) to extend through January 1, 2020.</w:t>
      </w:r>
    </w:p>
    <w:p>
      <w:pPr>
        <w:spacing w:after="0" w:line="80" w:lineRule="exact"/>
        <w:rPr>
          <w:sz w:val="20"/>
          <w:szCs w:val="20"/>
          <w:color w:val="auto"/>
        </w:rPr>
      </w:pPr>
    </w:p>
    <w:p>
      <w:pPr>
        <w:jc w:val="both"/>
        <w:ind w:right="300" w:firstLine="546"/>
        <w:spacing w:after="0" w:line="263" w:lineRule="auto"/>
        <w:rPr>
          <w:sz w:val="20"/>
          <w:szCs w:val="20"/>
          <w:color w:val="auto"/>
        </w:rPr>
      </w:pPr>
      <w:r>
        <w:rPr>
          <w:rFonts w:ascii="Arial" w:cs="Arial" w:eastAsia="Arial" w:hAnsi="Arial"/>
          <w:sz w:val="18"/>
          <w:szCs w:val="18"/>
          <w:color w:val="auto"/>
        </w:rPr>
        <w:t>In January 2020, the Company reduced the credit line to match its expected borrowing base, which is reflected in the Second Amendment to the Loan Agreement providing for up to $8.0 million Revolving Loan Facility through January 1, 2021. The Third Amendment to the Loan Agreement was executed in December 2020 to extend the term through April 1, 2022.</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1, 2022 and January 2, 2021, there were no amounts outstanding.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17. Business Segments and Geographical Information</w:t>
      </w:r>
    </w:p>
    <w:p>
      <w:pPr>
        <w:spacing w:after="0" w:line="121" w:lineRule="exact"/>
        <w:rPr>
          <w:sz w:val="20"/>
          <w:szCs w:val="20"/>
          <w:color w:val="auto"/>
        </w:rPr>
      </w:pPr>
    </w:p>
    <w:p>
      <w:pPr>
        <w:ind w:right="100" w:firstLine="546"/>
        <w:spacing w:after="0" w:line="308" w:lineRule="auto"/>
        <w:rPr>
          <w:sz w:val="20"/>
          <w:szCs w:val="20"/>
          <w:color w:val="auto"/>
        </w:rPr>
      </w:pPr>
      <w:r>
        <w:rPr>
          <w:rFonts w:ascii="Arial" w:cs="Arial" w:eastAsia="Arial" w:hAnsi="Arial"/>
          <w:sz w:val="17"/>
          <w:szCs w:val="17"/>
          <w:color w:val="auto"/>
        </w:rPr>
        <w:t>We operate in one segment, ophthalmology. Substantially all of our long-term assets are located in the U.S. We develop, manufacture and market medical devices. Our revenues arise from the sale of consoles, delivery devices, consumables, service and support activities.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product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FY 2021</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FY 2020</w:t>
            </w:r>
          </w:p>
        </w:tc>
      </w:tr>
      <w:tr>
        <w:trPr>
          <w:trHeight w:val="219"/>
        </w:trPr>
        <w:tc>
          <w:tcPr>
            <w:tcW w:w="4020" w:type="dxa"/>
            <w:vAlign w:val="bottom"/>
          </w:tcPr>
          <w:p>
            <w:pPr>
              <w:spacing w:after="0"/>
              <w:rPr>
                <w:sz w:val="19"/>
                <w:szCs w:val="19"/>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4020" w:type="dxa"/>
            <w:vAlign w:val="bottom"/>
          </w:tcPr>
          <w:p>
            <w:pPr>
              <w:spacing w:after="0"/>
              <w:rPr>
                <w:sz w:val="14"/>
                <w:szCs w:val="14"/>
                <w:color w:val="auto"/>
              </w:rPr>
            </w:pPr>
          </w:p>
        </w:tc>
        <w:tc>
          <w:tcPr>
            <w:tcW w:w="170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January 1, 2022</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Cyclo G6</w:t>
            </w:r>
          </w:p>
        </w:tc>
        <w:tc>
          <w:tcPr>
            <w:tcW w:w="1700" w:type="dxa"/>
            <w:vAlign w:val="bottom"/>
            <w:tcBorders>
              <w:top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13,950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Retina</w:t>
            </w:r>
          </w:p>
        </w:tc>
        <w:tc>
          <w:tcPr>
            <w:tcW w:w="1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31,106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18,088</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17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revenues</w:t>
            </w:r>
          </w:p>
        </w:tc>
        <w:tc>
          <w:tcPr>
            <w:tcW w:w="1700" w:type="dxa"/>
            <w:vAlign w:val="bottom"/>
            <w:tcBorders>
              <w:bottom w:val="single" w:sz="8" w:color="auto"/>
            </w:tcBorders>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53,903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36,347</w:t>
            </w:r>
          </w:p>
        </w:tc>
        <w:tc>
          <w:tcPr>
            <w:tcW w:w="8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411480"/>
                    </a:xfrm>
                    <a:prstGeom prst="rect">
                      <a:avLst/>
                    </a:prstGeom>
                    <a:noFill/>
                  </pic:spPr>
                </pic:pic>
              </a:graphicData>
            </a:graphic>
          </wp:anchor>
        </w:drawing>
      </w:r>
    </w:p>
    <w:p>
      <w:pPr>
        <w:ind w:left="1140" w:right="1180" w:hanging="5"/>
        <w:spacing w:after="0" w:line="278" w:lineRule="auto"/>
        <w:tabs>
          <w:tab w:leader="none" w:pos="13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includes service contract revenues of $1,386 and $1,263 recognized during fiscal years 2021 and 2020, respectively. Also includes $615 recognized revenue related to the exclusive distribution rights during fiscal year 2021. Other also includes revenues from paid service, royalty, freight and legacy G probes.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geographic region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FY 2021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FY 2020</w:t>
            </w:r>
          </w:p>
        </w:tc>
      </w:tr>
      <w:tr>
        <w:trPr>
          <w:trHeight w:val="162"/>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January 1, 2022</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6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25,561</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13,573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8,006</w:t>
            </w:r>
          </w:p>
        </w:tc>
        <w:tc>
          <w:tcPr>
            <w:tcW w:w="80" w:type="dxa"/>
            <w:vAlign w:val="bottom"/>
          </w:tcPr>
          <w:p>
            <w:pPr>
              <w:spacing w:after="0"/>
              <w:rPr>
                <w:sz w:val="19"/>
                <w:szCs w:val="19"/>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9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12,226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7,062</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Americas, excluding the U.S.</w:t>
            </w:r>
          </w:p>
        </w:tc>
        <w:tc>
          <w:tcPr>
            <w:tcW w:w="96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53,903</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46"/>
        <w:spacing w:after="0" w:line="286" w:lineRule="auto"/>
        <w:rPr>
          <w:sz w:val="20"/>
          <w:szCs w:val="20"/>
          <w:color w:val="auto"/>
        </w:rPr>
      </w:pPr>
      <w:r>
        <w:rPr>
          <w:rFonts w:ascii="Arial" w:cs="Arial" w:eastAsia="Arial" w:hAnsi="Arial"/>
          <w:sz w:val="17"/>
          <w:szCs w:val="17"/>
          <w:color w:val="auto"/>
        </w:rPr>
        <w:t>Revenues are attributed to countries based on location of end customers. Other than the United States, Japan accounted for more than 10% of the Company’s revenues during fiscal year 2021, representing 13.5%. The United States accounted for 47.4% of revenues in 2021. For fiscal year 2020 no individual country accounted for more than 10% of our sales, except for the United States, which accounted for 53.1%.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Computation of Basic and Diluted Net Loss Per Common Share</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A reconciliation of the numerator and denominator of basic and diluted net income per common share is provided as follows (in thousands, except per share amounts):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FY 2021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2020</w:t>
            </w:r>
          </w:p>
        </w:tc>
      </w:tr>
      <w:tr>
        <w:trPr>
          <w:trHeight w:val="162"/>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January 1, 2022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January 2, 2021</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368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ind w:right="15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(5,225)</w:t>
            </w: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(6,329)</w:t>
            </w:r>
          </w:p>
        </w:tc>
      </w:tr>
      <w:tr>
        <w:trPr>
          <w:trHeight w:val="210"/>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w w:val="98"/>
              </w:rPr>
              <w:t>Weighted average shares of common stock</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15,421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tcPr>
          <w:p>
            <w:pPr>
              <w:spacing w:after="0"/>
              <w:rPr>
                <w:sz w:val="20"/>
                <w:szCs w:val="20"/>
                <w:color w:val="auto"/>
              </w:rPr>
            </w:pPr>
          </w:p>
        </w:tc>
      </w:tr>
      <w:tr>
        <w:trPr>
          <w:trHeight w:val="229"/>
        </w:trPr>
        <w:tc>
          <w:tcPr>
            <w:tcW w:w="3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w w:val="98"/>
              </w:rPr>
              <w:t>Weighted average shares of common stock</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15,421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tcPr>
          <w:p>
            <w:pPr>
              <w:spacing w:after="0"/>
              <w:rPr>
                <w:sz w:val="20"/>
                <w:szCs w:val="20"/>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3680" w:type="dxa"/>
            <w:vAlign w:val="bottom"/>
          </w:tcPr>
          <w:p>
            <w:pPr>
              <w:ind w:left="480"/>
              <w:spacing w:after="0"/>
              <w:rPr>
                <w:sz w:val="20"/>
                <w:szCs w:val="20"/>
                <w:color w:val="auto"/>
              </w:rPr>
            </w:pPr>
            <w:r>
              <w:rPr>
                <w:rFonts w:ascii="Arial" w:cs="Arial" w:eastAsia="Arial" w:hAnsi="Arial"/>
                <w:sz w:val="18"/>
                <w:szCs w:val="18"/>
                <w:color w:val="auto"/>
              </w:rPr>
              <w:t>Basic net loss per share</w:t>
            </w:r>
          </w:p>
        </w:tc>
        <w:tc>
          <w:tcPr>
            <w:tcW w:w="2040" w:type="dxa"/>
            <w:vAlign w:val="bottom"/>
            <w:gridSpan w:val="2"/>
          </w:tcPr>
          <w:p>
            <w:pPr>
              <w:jc w:val="right"/>
              <w:ind w:right="15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r>
        <w:trPr>
          <w:trHeight w:val="210"/>
        </w:trPr>
        <w:tc>
          <w:tcPr>
            <w:tcW w:w="36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net loss per share</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ind w:right="15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46"/>
        <w:spacing w:after="0" w:line="342" w:lineRule="auto"/>
        <w:rPr>
          <w:sz w:val="20"/>
          <w:szCs w:val="20"/>
          <w:color w:val="auto"/>
        </w:rPr>
      </w:pPr>
      <w:r>
        <w:rPr>
          <w:rFonts w:ascii="Arial" w:cs="Arial" w:eastAsia="Arial" w:hAnsi="Arial"/>
          <w:sz w:val="16"/>
          <w:szCs w:val="16"/>
          <w:color w:val="auto"/>
        </w:rPr>
        <w:t>As of January 1, 2022 and January 2, 2021, stock options, restricted stock units and restricted stock awards of 1,655,218 and 1,407,410 shares, respectively, were excluded from the computation of diluted weighted average shares outstanding because to do so would have been anti-dilutive.</w:t>
      </w: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80" w:firstLine="546"/>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9"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Based on management’s evaluation, our Principal Executive Officer and Principal Financial Officer concluded that, as of January 1,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January 1, 2022.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Based on our assessment using those criteria, our management concluded that, as of January 1, 2022, our internal control over financial reporting is effective.</w:t>
      </w:r>
    </w:p>
    <w:p>
      <w:pPr>
        <w:spacing w:after="0" w:line="58" w:lineRule="exact"/>
        <w:rPr>
          <w:sz w:val="20"/>
          <w:szCs w:val="20"/>
          <w:color w:val="auto"/>
        </w:rPr>
      </w:pPr>
    </w:p>
    <w:p>
      <w:pPr>
        <w:ind w:right="300" w:firstLine="546"/>
        <w:spacing w:after="0" w:line="308"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fiscal year 2021 that has materially affected, or is reasonably likely to materially affect, our internal control over financial reporting, as defined in Rule 13a-15(f) and 15(d)-15(f) under the Exchange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70" w:name="page71"/>
    <w:bookmarkEnd w:id="70"/>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information required by this item will be contained in our definitive proxy statement to be filed with the SEC in connection with our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of Stockholders (the “Proxy Statement”), which is expected to be filed not later than 120 days after the end of our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January 1, 2022 and is incorporated in this report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360" w:type="dxa"/>
            <w:vAlign w:val="bottom"/>
            <w:gridSpan w:val="5"/>
          </w:tcPr>
          <w:p>
            <w:pPr>
              <w:ind w:left="10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ind w:left="540"/>
              <w:spacing w:after="0"/>
              <w:rPr>
                <w:sz w:val="20"/>
                <w:szCs w:val="20"/>
                <w:color w:val="auto"/>
              </w:rPr>
            </w:pPr>
            <w:r>
              <w:rPr>
                <w:rFonts w:ascii="Arial" w:cs="Arial" w:eastAsia="Arial" w:hAnsi="Arial"/>
                <w:sz w:val="18"/>
                <w:szCs w:val="18"/>
                <w:color w:val="auto"/>
              </w:rPr>
              <w:t>(a)</w:t>
            </w:r>
          </w:p>
        </w:tc>
        <w:tc>
          <w:tcPr>
            <w:tcW w:w="9600" w:type="dxa"/>
            <w:vAlign w:val="bottom"/>
            <w:gridSpan w:val="8"/>
          </w:tcPr>
          <w:p>
            <w:pPr>
              <w:ind w:left="160"/>
              <w:spacing w:after="0"/>
              <w:rPr>
                <w:sz w:val="20"/>
                <w:szCs w:val="20"/>
                <w:color w:val="auto"/>
              </w:rPr>
            </w:pPr>
            <w:r>
              <w:rPr>
                <w:rFonts w:ascii="Arial" w:cs="Arial" w:eastAsia="Arial" w:hAnsi="Arial"/>
                <w:sz w:val="18"/>
                <w:szCs w:val="18"/>
                <w:color w:val="auto"/>
              </w:rPr>
              <w:t>The following documents are filed in Part II of this Annual Report on Form 10-K:</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Page in</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85"/>
        </w:trPr>
        <w:tc>
          <w:tcPr>
            <w:tcW w:w="105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Index to Financial Statements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0" w:type="dxa"/>
            <w:vAlign w:val="bottom"/>
          </w:tcPr>
          <w:p>
            <w:pPr>
              <w:spacing w:after="0"/>
              <w:rPr>
                <w:sz w:val="1"/>
                <w:szCs w:val="1"/>
                <w:color w:val="auto"/>
              </w:rPr>
            </w:pPr>
          </w:p>
        </w:tc>
      </w:tr>
      <w:tr>
        <w:trPr>
          <w:trHeight w:val="195"/>
        </w:trPr>
        <w:tc>
          <w:tcPr>
            <w:tcW w:w="10520" w:type="dxa"/>
            <w:vAlign w:val="bottom"/>
            <w:gridSpan w:val="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520" w:type="dxa"/>
            <w:vAlign w:val="bottom"/>
            <w:gridSpan w:val="9"/>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207)</w:t>
            </w:r>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as of January 1, 2022 and January 2, 2021</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for the years ended January 1, 2022 and January 2, 2021</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Loss for the years ended January 1, 2022 and January 2, 2021</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7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Stockholders’Equity for the years ended January 1, 2022 and January 2, 2021</w:t>
              </w:r>
            </w:hyperlink>
          </w:p>
        </w:tc>
        <w:tc>
          <w:tcPr>
            <w:tcW w:w="20" w:type="dxa"/>
            <w:vAlign w:val="bottom"/>
            <w:tcBorders>
              <w:top w:val="single" w:sz="8" w:color="0000EE"/>
            </w:tcBorders>
          </w:tcPr>
          <w:p>
            <w:pPr>
              <w:spacing w:after="0"/>
              <w:rPr>
                <w:sz w:val="17"/>
                <w:szCs w:val="17"/>
                <w:color w:val="auto"/>
              </w:rPr>
            </w:pPr>
          </w:p>
        </w:tc>
        <w:tc>
          <w:tcPr>
            <w:tcW w:w="288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 for the years ended January 1, 2022 and January 2, 2021</w:t>
              </w:r>
            </w:hyperlink>
          </w:p>
        </w:tc>
        <w:tc>
          <w:tcPr>
            <w:tcW w:w="354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360" w:type="dxa"/>
            <w:vAlign w:val="bottom"/>
            <w:gridSpan w:val="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 Schedule</w:t>
      </w:r>
    </w:p>
    <w:p>
      <w:pPr>
        <w:spacing w:after="0" w:line="121" w:lineRule="exact"/>
        <w:rPr>
          <w:sz w:val="20"/>
          <w:szCs w:val="20"/>
          <w:color w:val="auto"/>
        </w:rPr>
      </w:pPr>
    </w:p>
    <w:p>
      <w:pPr>
        <w:ind w:right="600" w:firstLine="546"/>
        <w:spacing w:after="0" w:line="277" w:lineRule="auto"/>
        <w:rPr>
          <w:sz w:val="20"/>
          <w:szCs w:val="20"/>
          <w:color w:val="auto"/>
        </w:rPr>
      </w:pPr>
      <w:r>
        <w:rPr>
          <w:rFonts w:ascii="Arial" w:cs="Arial" w:eastAsia="Arial" w:hAnsi="Arial"/>
          <w:sz w:val="18"/>
          <w:szCs w:val="18"/>
          <w:color w:val="auto"/>
        </w:rPr>
        <w:t>Schedules have been omitted because they are either not required, not applicable, or the required information is included in the consolidated financial statements or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Exhibit No.</w:t>
            </w:r>
          </w:p>
        </w:tc>
        <w:tc>
          <w:tcPr>
            <w:tcW w:w="80" w:type="dxa"/>
            <w:vAlign w:val="bottom"/>
            <w:vMerge w:val="restart"/>
          </w:tcPr>
          <w:p>
            <w:pPr>
              <w:spacing w:after="0"/>
              <w:rPr>
                <w:sz w:val="14"/>
                <w:szCs w:val="14"/>
                <w:color w:val="auto"/>
              </w:rPr>
            </w:pPr>
          </w:p>
        </w:tc>
        <w:tc>
          <w:tcPr>
            <w:tcW w:w="440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42"/>
        </w:trPr>
        <w:tc>
          <w:tcPr>
            <w:tcW w:w="104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400" w:type="dxa"/>
            <w:vAlign w:val="bottom"/>
            <w:tcBorders>
              <w:bottom w:val="single" w:sz="8" w:color="auto"/>
            </w:tcBorders>
            <w:gridSpan w:val="19"/>
            <w:vMerge w:val="continue"/>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7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Exhibit</w:t>
            </w:r>
          </w:p>
        </w:tc>
        <w:tc>
          <w:tcPr>
            <w:tcW w:w="146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94"/>
              </w:rPr>
              <w:t>Filing Date</w:t>
            </w: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(P)</w:t>
            </w:r>
          </w:p>
        </w:tc>
        <w:tc>
          <w:tcPr>
            <w:tcW w:w="4400" w:type="dxa"/>
            <w:vAlign w:val="bottom"/>
            <w:gridSpan w:val="19"/>
          </w:tcPr>
          <w:p>
            <w:pPr>
              <w:spacing w:after="0"/>
              <w:rPr>
                <w:sz w:val="20"/>
                <w:szCs w:val="20"/>
                <w:color w:val="auto"/>
              </w:rPr>
            </w:pPr>
            <w:r>
              <w:rPr>
                <w:rFonts w:ascii="Arial" w:cs="Arial" w:eastAsia="Arial" w:hAnsi="Arial"/>
                <w:sz w:val="18"/>
                <w:szCs w:val="18"/>
                <w:color w:val="auto"/>
              </w:rPr>
              <w:t>Amended and Restated Certificate of Incorporation of</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SB-2</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333-00320-LA</w:t>
            </w:r>
          </w:p>
        </w:tc>
        <w:tc>
          <w:tcPr>
            <w:tcW w:w="70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89"/>
              </w:rPr>
              <w:t>February 15, 1996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Registrant.</w:t>
            </w: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Borders>
              <w:bottom w:val="single" w:sz="8" w:color="0000EE"/>
            </w:tcBorders>
            <w:gridSpan w:val="7"/>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Amended and Restated Bylaws of Registrant.</w:t>
              </w:r>
            </w:hyperlink>
          </w:p>
        </w:tc>
        <w:tc>
          <w:tcPr>
            <w:tcW w:w="112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4"/>
              </w:rPr>
              <w:t>April 1, 2019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1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Investor Rights Agreement, dated as of August 31, 2007, by</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88"/>
              </w:rPr>
              <w:t>September 7, 2007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and among the Registrant, BlueLine Capital Partners, LP;</w:t>
              </w:r>
            </w:hyperlink>
          </w:p>
        </w:tc>
        <w:tc>
          <w:tcPr>
            <w:tcW w:w="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BlueLine Capital Partners III, LP and BlueLine Capital</w:t>
              </w:r>
            </w:hyperlink>
          </w:p>
        </w:tc>
        <w:tc>
          <w:tcPr>
            <w:tcW w:w="160" w:type="dxa"/>
            <w:vAlign w:val="bottom"/>
            <w:tcBorders>
              <w:top w:val="single" w:sz="8" w:color="0000EE"/>
            </w:tcBorders>
            <w:gridSpan w:val="2"/>
          </w:tcPr>
          <w:p>
            <w:pPr>
              <w:spacing w:after="0"/>
              <w:rPr>
                <w:sz w:val="17"/>
                <w:szCs w:val="17"/>
                <w:color w:val="auto"/>
              </w:rPr>
            </w:pPr>
          </w:p>
        </w:tc>
        <w:tc>
          <w:tcPr>
            <w:tcW w:w="2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4">
              <w:r>
                <w:rPr>
                  <w:rFonts w:ascii="Arial" w:cs="Arial" w:eastAsia="Arial" w:hAnsi="Arial"/>
                  <w:sz w:val="18"/>
                  <w:szCs w:val="18"/>
                  <w:color w:val="0000EE"/>
                  <w:w w:val="88"/>
                </w:rPr>
                <w:t>Partners II, LP.</w:t>
              </w:r>
            </w:hyperlink>
          </w:p>
        </w:tc>
        <w:tc>
          <w:tcPr>
            <w:tcW w:w="332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tcBorders>
              <w:bottom w:val="single" w:sz="8" w:color="0000EE"/>
            </w:tcBorders>
            <w:gridSpan w:val="18"/>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Amendment No. 1 to Investor Rights Agreement, dated as of</w:t>
              </w:r>
            </w:hyperlink>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4"/>
              </w:rPr>
              <w:t>April 6, 2009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March 31, 2009.</w:t>
              </w:r>
            </w:hyperlink>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4"/>
              </w:rPr>
              <w:t>4.3</w:t>
            </w: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Borders>
              <w:bottom w:val="single" w:sz="8" w:color="0000EE"/>
            </w:tcBorders>
            <w:gridSpan w:val="5"/>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Description of Capital Stock.</w:t>
              </w:r>
            </w:hyperlink>
          </w:p>
        </w:tc>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13, 2020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Fourth Amendment to Lease Agreement dated February 9,</w:t>
              </w:r>
            </w:hyperlink>
          </w:p>
        </w:tc>
        <w:tc>
          <w:tcPr>
            <w:tcW w:w="18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31, 2016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w w:val="97"/>
              </w:rPr>
            </w:pPr>
            <w:hyperlink r:id="rId97">
              <w:r>
                <w:rPr>
                  <w:rFonts w:ascii="Arial" w:cs="Arial" w:eastAsia="Arial" w:hAnsi="Arial"/>
                  <w:sz w:val="18"/>
                  <w:szCs w:val="18"/>
                  <w:color w:val="0000EE"/>
                  <w:w w:val="97"/>
                </w:rPr>
                <w:t>2016 by and between Zappettini Investment Co. and the</w:t>
              </w:r>
            </w:hyperlink>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97">
              <w:r>
                <w:rPr>
                  <w:rFonts w:ascii="Arial" w:cs="Arial" w:eastAsia="Arial" w:hAnsi="Arial"/>
                  <w:sz w:val="18"/>
                  <w:szCs w:val="18"/>
                  <w:color w:val="0000EE"/>
                  <w:w w:val="87"/>
                </w:rPr>
                <w:t>Registrant.</w:t>
              </w:r>
            </w:hyperlink>
          </w:p>
        </w:tc>
        <w:tc>
          <w:tcPr>
            <w:tcW w:w="3240" w:type="dxa"/>
            <w:vAlign w:val="bottom"/>
            <w:tcBorders>
              <w:top w:val="single" w:sz="8" w:color="0000EE"/>
            </w:tcBorders>
            <w:gridSpan w:val="9"/>
          </w:tcPr>
          <w:p>
            <w:pPr>
              <w:spacing w:after="0"/>
              <w:rPr>
                <w:sz w:val="17"/>
                <w:szCs w:val="17"/>
                <w:color w:val="auto"/>
              </w:rPr>
            </w:pPr>
          </w:p>
        </w:tc>
        <w:tc>
          <w:tcPr>
            <w:tcW w:w="3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of Indemnification Agreement with directors and</w:t>
              </w:r>
            </w:hyperlink>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officers.</w:t>
              </w:r>
            </w:hyperlink>
          </w:p>
        </w:tc>
        <w:tc>
          <w:tcPr>
            <w:tcW w:w="44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tcBorders>
              <w:bottom w:val="single" w:sz="8" w:color="0000EE"/>
            </w:tcBorders>
            <w:gridSpan w:val="16"/>
          </w:tcPr>
          <w:p>
            <w:pPr>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Lease Agreement dated December 6, 1996 by and between</w:t>
              </w:r>
            </w:hyperlink>
          </w:p>
        </w:tc>
        <w:tc>
          <w:tcPr>
            <w:tcW w:w="16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4"/>
              </w:rPr>
              <w:t>April 1, 2009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Zappettini Investment Co. and the Registrant, as amended</w:t>
              </w:r>
            </w:hyperlink>
          </w:p>
        </w:tc>
        <w:tc>
          <w:tcPr>
            <w:tcW w:w="22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pursuant to Amendment No. 1 dated September 15, 2003 and</w:t>
              </w:r>
            </w:hyperlink>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Amendment No. 2 dated December 22, 2008.</w:t>
              </w:r>
            </w:hyperlink>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jc w:val="right"/>
              <w:ind w:right="41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4400" w:type="dxa"/>
            <w:vAlign w:val="bottom"/>
            <w:tcBorders>
              <w:bottom w:val="single" w:sz="8" w:color="0000EE"/>
            </w:tcBorders>
            <w:gridSpan w:val="19"/>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Third Amendment to Lease Agreement dated August 4, 2014</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November 3, 2014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by and between Zappettini Investment Co. and the</w:t>
              </w:r>
            </w:hyperlink>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99">
              <w:r>
                <w:rPr>
                  <w:rFonts w:ascii="Arial" w:cs="Arial" w:eastAsia="Arial" w:hAnsi="Arial"/>
                  <w:sz w:val="18"/>
                  <w:szCs w:val="18"/>
                  <w:color w:val="0000EE"/>
                  <w:w w:val="87"/>
                </w:rPr>
                <w:t>Registrant.</w:t>
              </w:r>
            </w:hyperlink>
          </w:p>
        </w:tc>
        <w:tc>
          <w:tcPr>
            <w:tcW w:w="2840" w:type="dxa"/>
            <w:vAlign w:val="bottom"/>
            <w:tcBorders>
              <w:top w:val="single" w:sz="8" w:color="0000EE"/>
            </w:tcBorders>
            <w:gridSpan w:val="6"/>
          </w:tcPr>
          <w:p>
            <w:pPr>
              <w:spacing w:after="0"/>
              <w:rPr>
                <w:sz w:val="17"/>
                <w:szCs w:val="17"/>
                <w:color w:val="auto"/>
              </w:rPr>
            </w:pPr>
          </w:p>
        </w:tc>
        <w:tc>
          <w:tcPr>
            <w:tcW w:w="78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jc w:val="right"/>
              <w:ind w:right="41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4"/>
                <w:szCs w:val="24"/>
                <w:color w:val="auto"/>
              </w:rPr>
            </w:pPr>
          </w:p>
        </w:tc>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Fourth Amendment to Lease Agreement dated January 31,</w:t>
              </w:r>
            </w:hyperlink>
          </w:p>
        </w:tc>
        <w:tc>
          <w:tcPr>
            <w:tcW w:w="18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31, 2016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2016 by and between ZIC 12112 Terra Bella LLC and the</w:t>
              </w:r>
            </w:hyperlink>
          </w:p>
        </w:tc>
        <w:tc>
          <w:tcPr>
            <w:tcW w:w="24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Registrant.</w:t>
              </w:r>
            </w:hyperlink>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492"/>
              <w:spacing w:after="0"/>
              <w:rPr>
                <w:sz w:val="20"/>
                <w:szCs w:val="20"/>
                <w:color w:val="auto"/>
              </w:rPr>
            </w:pPr>
            <w:r>
              <w:rPr>
                <w:rFonts w:ascii="Arial" w:cs="Arial" w:eastAsia="Arial" w:hAnsi="Arial"/>
                <w:sz w:val="18"/>
                <w:szCs w:val="18"/>
                <w:color w:val="auto"/>
                <w:w w:val="89"/>
              </w:rPr>
              <w:t>72</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Exhibit No.</w:t>
            </w:r>
          </w:p>
        </w:tc>
        <w:tc>
          <w:tcPr>
            <w:tcW w:w="4400" w:type="dxa"/>
            <w:vAlign w:val="bottom"/>
            <w:gridSpan w:val="3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4400" w:type="dxa"/>
            <w:vAlign w:val="bottom"/>
            <w:gridSpan w:val="33"/>
            <w:vMerge w:val="continue"/>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16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Exhibit</w:t>
            </w: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4"/>
                <w:szCs w:val="24"/>
                <w:color w:val="auto"/>
              </w:rPr>
            </w:pPr>
          </w:p>
        </w:tc>
        <w:tc>
          <w:tcPr>
            <w:tcW w:w="4260" w:type="dxa"/>
            <w:vAlign w:val="bottom"/>
            <w:tcBorders>
              <w:top w:val="single" w:sz="8" w:color="auto"/>
              <w:bottom w:val="single" w:sz="8" w:color="0000EE"/>
            </w:tcBorders>
            <w:gridSpan w:val="27"/>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Triple Net Lease dated April 26, 2017 by and between ZIC</w:t>
              </w:r>
            </w:hyperlink>
          </w:p>
        </w:tc>
        <w:tc>
          <w:tcPr>
            <w:tcW w:w="140" w:type="dxa"/>
            <w:vAlign w:val="bottom"/>
            <w:tcBorders>
              <w:top w:val="single" w:sz="8" w:color="auto"/>
            </w:tcBorders>
            <w:gridSpan w:val="6"/>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Borders>
              <w:top w:val="single" w:sz="8" w:color="auto"/>
            </w:tcBorders>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May 1, 2017</w:t>
            </w:r>
          </w:p>
        </w:tc>
        <w:tc>
          <w:tcPr>
            <w:tcW w:w="1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12112 Terra Bella LLC and the Registrant.</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24"/>
                <w:szCs w:val="24"/>
                <w:color w:val="auto"/>
              </w:rPr>
            </w:pPr>
          </w:p>
        </w:tc>
        <w:tc>
          <w:tcPr>
            <w:tcW w:w="4220" w:type="dxa"/>
            <w:vAlign w:val="bottom"/>
            <w:tcBorders>
              <w:bottom w:val="single" w:sz="8" w:color="0000EE"/>
            </w:tcBorders>
            <w:gridSpan w:val="25"/>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First Amendment to Triple Net Lease by and between ZIC</w:t>
              </w:r>
            </w:hyperlink>
          </w:p>
        </w:tc>
        <w:tc>
          <w:tcPr>
            <w:tcW w:w="180" w:type="dxa"/>
            <w:vAlign w:val="bottom"/>
            <w:gridSpan w:val="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August 12, 2021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1212 Terra Bella LLC and the Registrant, executed on April</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03">
              <w:r>
                <w:rPr>
                  <w:rFonts w:ascii="Arial" w:cs="Arial" w:eastAsia="Arial" w:hAnsi="Arial"/>
                  <w:sz w:val="18"/>
                  <w:szCs w:val="18"/>
                  <w:color w:val="0000EE"/>
                  <w:w w:val="85"/>
                </w:rPr>
                <w:t>30, 2021.</w:t>
              </w:r>
            </w:hyperlink>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4400" w:type="dxa"/>
            <w:vAlign w:val="bottom"/>
            <w:gridSpan w:val="33"/>
          </w:tcPr>
          <w:p>
            <w:pPr>
              <w:spacing w:after="0"/>
              <w:rPr>
                <w:rFonts w:ascii="Arial" w:cs="Arial" w:eastAsia="Arial" w:hAnsi="Arial"/>
                <w:sz w:val="18"/>
                <w:szCs w:val="18"/>
                <w:color w:val="0000EE"/>
              </w:rPr>
            </w:pPr>
            <w:hyperlink r:id="rId104">
              <w:r>
                <w:rPr>
                  <w:rFonts w:ascii="Arial" w:cs="Arial" w:eastAsia="Arial" w:hAnsi="Arial"/>
                  <w:sz w:val="18"/>
                  <w:szCs w:val="18"/>
                  <w:color w:val="0000EE"/>
                </w:rPr>
                <w:t>2005 Employee Stock Purchase Plan.</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April 30, 2004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2008 Equity Incentive Plan, as amended.</w:t>
              </w:r>
            </w:hyperlink>
          </w:p>
        </w:tc>
        <w:tc>
          <w:tcPr>
            <w:tcW w:w="1460" w:type="dxa"/>
            <w:vAlign w:val="bottom"/>
            <w:gridSpan w:val="2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April 30, 2021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4400" w:type="dxa"/>
            <w:vAlign w:val="bottom"/>
            <w:gridSpan w:val="33"/>
          </w:tcPr>
          <w:p>
            <w:pPr>
              <w:spacing w:after="0"/>
              <w:rPr>
                <w:rFonts w:ascii="Arial" w:cs="Arial" w:eastAsia="Arial" w:hAnsi="Arial"/>
                <w:sz w:val="18"/>
                <w:szCs w:val="18"/>
                <w:color w:val="0000EE"/>
              </w:rPr>
            </w:pPr>
            <w:hyperlink r:id="rId106">
              <w:r>
                <w:rPr>
                  <w:rFonts w:ascii="Arial" w:cs="Arial" w:eastAsia="Arial" w:hAnsi="Arial"/>
                  <w:sz w:val="18"/>
                  <w:szCs w:val="18"/>
                  <w:color w:val="0000EE"/>
                </w:rPr>
                <w:t>Form of 2008 Equity Incentive Plan Option Agreement.</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333-155598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99.1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40" w:type="dxa"/>
            <w:vAlign w:val="bottom"/>
          </w:tcPr>
          <w:p>
            <w:pPr>
              <w:ind w:left="1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4400" w:type="dxa"/>
            <w:vAlign w:val="bottom"/>
            <w:gridSpan w:val="33"/>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Stand-Alone Stock Option Agreement.</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3"/>
              </w:rPr>
              <w:t>SC TO-I</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005-48169</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99.(d)(5)</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July 30, 2009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4240" w:type="dxa"/>
            <w:vAlign w:val="bottom"/>
            <w:tcBorders>
              <w:bottom w:val="single" w:sz="8" w:color="0000EE"/>
            </w:tcBorders>
            <w:gridSpan w:val="26"/>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Securities Purchase Agreement, dated August 31, 2007, by</w:t>
              </w:r>
            </w:hyperlink>
          </w:p>
        </w:tc>
        <w:tc>
          <w:tcPr>
            <w:tcW w:w="160" w:type="dxa"/>
            <w:vAlign w:val="bottom"/>
            <w:gridSpan w:val="7"/>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September 7, 2007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and among BlueLine Capital Partners, LP, BlueLine Capital</w:t>
              </w:r>
            </w:hyperlink>
          </w:p>
        </w:tc>
        <w:tc>
          <w:tcPr>
            <w:tcW w:w="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w w:val="98"/>
              </w:rPr>
            </w:pPr>
            <w:hyperlink r:id="rId108">
              <w:r>
                <w:rPr>
                  <w:rFonts w:ascii="Arial" w:cs="Arial" w:eastAsia="Arial" w:hAnsi="Arial"/>
                  <w:sz w:val="18"/>
                  <w:szCs w:val="18"/>
                  <w:color w:val="0000EE"/>
                  <w:w w:val="98"/>
                </w:rPr>
                <w:t>Partners III, LP, BlueLine Capital Partners II, LP and the</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08">
              <w:r>
                <w:rPr>
                  <w:rFonts w:ascii="Arial" w:cs="Arial" w:eastAsia="Arial" w:hAnsi="Arial"/>
                  <w:sz w:val="18"/>
                  <w:szCs w:val="18"/>
                  <w:color w:val="0000EE"/>
                  <w:w w:val="87"/>
                </w:rPr>
                <w:t>Registrant.</w:t>
              </w:r>
            </w:hyperlink>
          </w:p>
        </w:tc>
        <w:tc>
          <w:tcPr>
            <w:tcW w:w="3300" w:type="dxa"/>
            <w:vAlign w:val="bottom"/>
            <w:tcBorders>
              <w:top w:val="single" w:sz="8" w:color="0000EE"/>
            </w:tcBorders>
            <w:gridSpan w:val="19"/>
          </w:tcPr>
          <w:p>
            <w:pPr>
              <w:spacing w:after="0"/>
              <w:rPr>
                <w:sz w:val="17"/>
                <w:szCs w:val="17"/>
                <w:color w:val="auto"/>
              </w:rPr>
            </w:pPr>
          </w:p>
        </w:tc>
        <w:tc>
          <w:tcPr>
            <w:tcW w:w="32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4340" w:type="dxa"/>
            <w:vAlign w:val="bottom"/>
            <w:tcBorders>
              <w:bottom w:val="single" w:sz="8" w:color="0000EE"/>
            </w:tcBorders>
            <w:gridSpan w:val="31"/>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2008 Equity Incentive Plan Restricted Stock Award</w:t>
              </w:r>
            </w:hyperlink>
          </w:p>
        </w:tc>
        <w:tc>
          <w:tcPr>
            <w:tcW w:w="6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August 4, 2011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Agreement.</w:t>
              </w:r>
            </w:hyperlink>
          </w:p>
        </w:tc>
        <w:tc>
          <w:tcPr>
            <w:tcW w:w="3560" w:type="dxa"/>
            <w:vAlign w:val="bottom"/>
            <w:gridSpan w:val="29"/>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4400" w:type="dxa"/>
            <w:vAlign w:val="bottom"/>
            <w:gridSpan w:val="33"/>
          </w:tcPr>
          <w:p>
            <w:pPr>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Form of 2008 Equity Incentive Plan Restricted Stock Unit</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August 4, 2011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Award Agreement.</w:t>
              </w:r>
            </w:hyperlink>
          </w:p>
        </w:tc>
        <w:tc>
          <w:tcPr>
            <w:tcW w:w="2820" w:type="dxa"/>
            <w:vAlign w:val="bottom"/>
            <w:tcBorders>
              <w:top w:val="single" w:sz="8" w:color="0000EE"/>
            </w:tcBorders>
            <w:gridSpan w:val="18"/>
          </w:tcPr>
          <w:p>
            <w:pPr>
              <w:spacing w:after="0"/>
              <w:rPr>
                <w:sz w:val="17"/>
                <w:szCs w:val="17"/>
                <w:color w:val="auto"/>
              </w:rPr>
            </w:pPr>
          </w:p>
        </w:tc>
        <w:tc>
          <w:tcPr>
            <w:tcW w:w="2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4020" w:type="dxa"/>
            <w:vAlign w:val="bottom"/>
            <w:tcBorders>
              <w:bottom w:val="single" w:sz="8" w:color="0000EE"/>
            </w:tcBorders>
            <w:gridSpan w:val="20"/>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Loan and Security Agreement, dated as of November 2,</w:t>
              </w:r>
            </w:hyperlink>
          </w:p>
        </w:tc>
        <w:tc>
          <w:tcPr>
            <w:tcW w:w="380" w:type="dxa"/>
            <w:vAlign w:val="bottom"/>
            <w:gridSpan w:val="13"/>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3, 2016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2016, between IRIDEX Corporation and Silicon Valley</w:t>
              </w:r>
            </w:hyperlink>
          </w:p>
        </w:tc>
        <w:tc>
          <w:tcPr>
            <w:tcW w:w="4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Bank.</w:t>
              </w:r>
            </w:hyperlink>
          </w:p>
        </w:tc>
        <w:tc>
          <w:tcPr>
            <w:tcW w:w="3980" w:type="dxa"/>
            <w:vAlign w:val="bottom"/>
            <w:gridSpan w:val="32"/>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10.13.1</w:t>
            </w:r>
          </w:p>
        </w:tc>
        <w:tc>
          <w:tcPr>
            <w:tcW w:w="80" w:type="dxa"/>
            <w:vAlign w:val="bottom"/>
          </w:tcPr>
          <w:p>
            <w:pPr>
              <w:spacing w:after="0"/>
              <w:rPr>
                <w:sz w:val="24"/>
                <w:szCs w:val="24"/>
                <w:color w:val="auto"/>
              </w:rPr>
            </w:pPr>
          </w:p>
        </w:tc>
        <w:tc>
          <w:tcPr>
            <w:tcW w:w="4300" w:type="dxa"/>
            <w:vAlign w:val="bottom"/>
            <w:tcBorders>
              <w:bottom w:val="single" w:sz="8" w:color="0000EE"/>
            </w:tcBorders>
            <w:gridSpan w:val="29"/>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First Amendment to Loan and Security Agreement between</w:t>
              </w:r>
            </w:hyperlink>
          </w:p>
        </w:tc>
        <w:tc>
          <w:tcPr>
            <w:tcW w:w="10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9"/>
              </w:rPr>
              <w:t>10.19.1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13, 2020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IRIDEX Corporation and Silicon Valley Bank, executed on</w:t>
              </w:r>
            </w:hyperlink>
          </w:p>
        </w:tc>
        <w:tc>
          <w:tcPr>
            <w:tcW w:w="12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December 3, 2019.</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10.13.2</w:t>
            </w:r>
          </w:p>
        </w:tc>
        <w:tc>
          <w:tcPr>
            <w:tcW w:w="8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Second Amendment to Loan and Security Agreement</w:t>
              </w:r>
            </w:hyperlink>
          </w:p>
        </w:tc>
        <w:tc>
          <w:tcPr>
            <w:tcW w:w="54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9"/>
              </w:rPr>
              <w:t>10.19.2</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13, 2020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between IRIDEX Corporation and Silicon Valley Bank,</w:t>
              </w:r>
            </w:hyperlink>
          </w:p>
        </w:tc>
        <w:tc>
          <w:tcPr>
            <w:tcW w:w="40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13">
              <w:r>
                <w:rPr>
                  <w:rFonts w:ascii="Arial" w:cs="Arial" w:eastAsia="Arial" w:hAnsi="Arial"/>
                  <w:sz w:val="18"/>
                  <w:szCs w:val="18"/>
                  <w:color w:val="0000EE"/>
                  <w:w w:val="87"/>
                </w:rPr>
                <w:t>executed on January 8, 2020.</w:t>
              </w:r>
            </w:hyperlink>
          </w:p>
        </w:tc>
        <w:tc>
          <w:tcPr>
            <w:tcW w:w="2300" w:type="dxa"/>
            <w:vAlign w:val="bottom"/>
            <w:gridSpan w:val="25"/>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10.13.3</w:t>
            </w:r>
          </w:p>
        </w:tc>
        <w:tc>
          <w:tcPr>
            <w:tcW w:w="80" w:type="dxa"/>
            <w:vAlign w:val="bottom"/>
          </w:tcPr>
          <w:p>
            <w:pPr>
              <w:spacing w:after="0"/>
              <w:rPr>
                <w:sz w:val="24"/>
                <w:szCs w:val="24"/>
                <w:color w:val="auto"/>
              </w:rPr>
            </w:pPr>
          </w:p>
        </w:tc>
        <w:tc>
          <w:tcPr>
            <w:tcW w:w="4400" w:type="dxa"/>
            <w:vAlign w:val="bottom"/>
            <w:gridSpan w:val="33"/>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Third Amendment to Loan and Security Agreement between</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9"/>
              </w:rPr>
              <w:t>10.19.3</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IRIDEX Corporation and Silicon Valley Bank, executed on</w:t>
              </w:r>
            </w:hyperlink>
          </w:p>
        </w:tc>
        <w:tc>
          <w:tcPr>
            <w:tcW w:w="8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December 31, 2020.</w:t>
              </w:r>
            </w:hyperlink>
          </w:p>
        </w:tc>
        <w:tc>
          <w:tcPr>
            <w:tcW w:w="2940" w:type="dxa"/>
            <w:vAlign w:val="bottom"/>
            <w:gridSpan w:val="26"/>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4260" w:type="dxa"/>
            <w:vAlign w:val="bottom"/>
            <w:tcBorders>
              <w:bottom w:val="single" w:sz="8" w:color="0000EE"/>
            </w:tcBorders>
            <w:gridSpan w:val="27"/>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Offer Letter between the Company and Mr. Bruce effective</w:t>
              </w:r>
            </w:hyperlink>
          </w:p>
        </w:tc>
        <w:tc>
          <w:tcPr>
            <w:tcW w:w="140" w:type="dxa"/>
            <w:vAlign w:val="bottom"/>
            <w:gridSpan w:val="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8-K/A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14, 2019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as of May 20, 2019.</w:t>
              </w:r>
            </w:hyperlink>
          </w:p>
        </w:tc>
        <w:tc>
          <w:tcPr>
            <w:tcW w:w="296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4400" w:type="dxa"/>
            <w:vAlign w:val="bottom"/>
            <w:tcBorders>
              <w:bottom w:val="single" w:sz="8" w:color="0000EE"/>
            </w:tcBorders>
            <w:gridSpan w:val="33"/>
          </w:tcPr>
          <w:p>
            <w:pPr>
              <w:spacing w:after="0"/>
              <w:rPr>
                <w:rFonts w:ascii="Arial" w:cs="Arial" w:eastAsia="Arial" w:hAnsi="Arial"/>
                <w:sz w:val="18"/>
                <w:szCs w:val="18"/>
                <w:color w:val="0000EE"/>
                <w:w w:val="88"/>
              </w:rPr>
            </w:pPr>
            <w:hyperlink r:id="rId116">
              <w:r>
                <w:rPr>
                  <w:rFonts w:ascii="Arial" w:cs="Arial" w:eastAsia="Arial" w:hAnsi="Arial"/>
                  <w:sz w:val="18"/>
                  <w:szCs w:val="18"/>
                  <w:color w:val="0000EE"/>
                  <w:w w:val="88"/>
                </w:rPr>
                <w:t>Change in Control Severance Agreement dated as of October</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October 28, 2019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25, 2019, between the Company and Mr. Bruce.</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9"/>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4400" w:type="dxa"/>
            <w:vAlign w:val="bottom"/>
            <w:tcBorders>
              <w:bottom w:val="single" w:sz="8" w:color="0000EE"/>
            </w:tcBorders>
            <w:gridSpan w:val="33"/>
          </w:tcPr>
          <w:p>
            <w:pPr>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Change in Control Severance Agreement dated as of October</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October 28, 2019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25, 2019, between the Company and Mr. Mercer.</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9"/>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4400" w:type="dxa"/>
            <w:vAlign w:val="bottom"/>
            <w:gridSpan w:val="33"/>
          </w:tcPr>
          <w:p>
            <w:pPr>
              <w:spacing w:after="0"/>
              <w:rPr>
                <w:rFonts w:ascii="Arial" w:cs="Arial" w:eastAsia="Arial" w:hAnsi="Arial"/>
                <w:sz w:val="18"/>
                <w:szCs w:val="18"/>
                <w:color w:val="0000EE"/>
                <w:w w:val="99"/>
              </w:rPr>
            </w:pPr>
            <w:hyperlink r:id="rId118">
              <w:r>
                <w:rPr>
                  <w:rFonts w:ascii="Arial" w:cs="Arial" w:eastAsia="Arial" w:hAnsi="Arial"/>
                  <w:sz w:val="18"/>
                  <w:szCs w:val="18"/>
                  <w:color w:val="0000EE"/>
                  <w:w w:val="99"/>
                </w:rPr>
                <w:t>Asset Purchase Agreement dated as of March 2, 2021,</w:t>
              </w:r>
            </w:hyperlink>
          </w:p>
        </w:tc>
        <w:tc>
          <w:tcPr>
            <w:tcW w:w="920" w:type="dxa"/>
            <w:vAlign w:val="bottom"/>
          </w:tcPr>
          <w:p>
            <w:pPr>
              <w:jc w:val="center"/>
              <w:spacing w:after="0"/>
              <w:rPr>
                <w:sz w:val="20"/>
                <w:szCs w:val="20"/>
                <w:color w:val="auto"/>
              </w:rPr>
            </w:pPr>
            <w:r>
              <w:rPr>
                <w:rFonts w:ascii="Arial" w:cs="Arial" w:eastAsia="Arial" w:hAnsi="Arial"/>
                <w:sz w:val="18"/>
                <w:szCs w:val="18"/>
                <w:color w:val="auto"/>
              </w:rPr>
              <w:t>8-K/A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9"/>
            <w:shd w:val="clear" w:color="auto" w:fill="0000EE"/>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among the Company, Topcon Medical Laser Systems, Inc.</w:t>
              </w:r>
            </w:hyperlink>
          </w:p>
        </w:tc>
        <w:tc>
          <w:tcPr>
            <w:tcW w:w="2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and Topcon America Corporation.</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631"/>
              <w:spacing w:after="0"/>
              <w:rPr>
                <w:sz w:val="20"/>
                <w:szCs w:val="20"/>
                <w:color w:val="auto"/>
              </w:rPr>
            </w:pPr>
            <w:r>
              <w:rPr>
                <w:rFonts w:ascii="Arial" w:cs="Arial" w:eastAsia="Arial" w:hAnsi="Arial"/>
                <w:sz w:val="18"/>
                <w:szCs w:val="18"/>
                <w:color w:val="auto"/>
                <w:w w:val="89"/>
              </w:rPr>
              <w:t>73</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1"/>
        </w:trPr>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Exhibit No.</w:t>
            </w:r>
          </w:p>
        </w:tc>
        <w:tc>
          <w:tcPr>
            <w:tcW w:w="440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4400" w:type="dxa"/>
            <w:vAlign w:val="bottom"/>
            <w:gridSpan w:val="17"/>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1460" w:type="dxa"/>
            <w:vAlign w:val="bottom"/>
          </w:tcPr>
          <w:p>
            <w:pPr>
              <w:jc w:val="center"/>
              <w:ind w:left="2"/>
              <w:spacing w:after="0" w:line="142" w:lineRule="exact"/>
              <w:rPr>
                <w:sz w:val="20"/>
                <w:szCs w:val="20"/>
                <w:color w:val="auto"/>
              </w:rPr>
            </w:pPr>
            <w:r>
              <w:rPr>
                <w:rFonts w:ascii="Arial" w:cs="Arial" w:eastAsia="Arial" w:hAnsi="Arial"/>
                <w:sz w:val="14"/>
                <w:szCs w:val="14"/>
                <w:b w:val="1"/>
                <w:bCs w:val="1"/>
                <w:color w:val="auto"/>
                <w:w w:val="94"/>
              </w:rPr>
              <w:t>Filing Date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422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Distribution Agreement dated as of March 2, 2021, by and</w:t>
              </w:r>
            </w:hyperlink>
          </w:p>
        </w:tc>
        <w:tc>
          <w:tcPr>
            <w:tcW w:w="180" w:type="dxa"/>
            <w:vAlign w:val="bottom"/>
            <w:tcBorders>
              <w:top w:val="single" w:sz="8" w:color="auto"/>
            </w:tcBorders>
            <w:gridSpan w:val="4"/>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8-K/A</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10.2</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March 4, 2021</w:t>
            </w:r>
          </w:p>
        </w:tc>
        <w:tc>
          <w:tcPr>
            <w:tcW w:w="1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between the Company and Topcon Corporation.</w:t>
              </w:r>
            </w:hyperlink>
          </w:p>
        </w:tc>
        <w:tc>
          <w:tcPr>
            <w:tcW w:w="94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4140" w:type="dxa"/>
            <w:vAlign w:val="bottom"/>
            <w:tcBorders>
              <w:bottom w:val="single" w:sz="8" w:color="0000EE"/>
            </w:tcBorders>
            <w:gridSpan w:val="10"/>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Investment Agreement dated as of March 2, 2021, by and</w:t>
              </w:r>
            </w:hyperlink>
          </w:p>
        </w:tc>
        <w:tc>
          <w:tcPr>
            <w:tcW w:w="26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8-K/A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March 4, 2021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between the Company and Topcon America Corporation.</w:t>
              </w:r>
            </w:hyperlink>
          </w:p>
        </w:tc>
        <w:tc>
          <w:tcPr>
            <w:tcW w:w="2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4400" w:type="dxa"/>
            <w:vAlign w:val="bottom"/>
            <w:gridSpan w:val="17"/>
          </w:tcPr>
          <w:p>
            <w:pPr>
              <w:spacing w:after="0"/>
              <w:rPr>
                <w:rFonts w:ascii="Arial" w:cs="Arial" w:eastAsia="Arial" w:hAnsi="Arial"/>
                <w:sz w:val="18"/>
                <w:szCs w:val="18"/>
                <w:color w:val="0000EE"/>
                <w:w w:val="94"/>
              </w:rPr>
            </w:pPr>
            <w:hyperlink r:id="rId123">
              <w:r>
                <w:rPr>
                  <w:rFonts w:ascii="Arial" w:cs="Arial" w:eastAsia="Arial" w:hAnsi="Arial"/>
                  <w:sz w:val="18"/>
                  <w:szCs w:val="18"/>
                  <w:color w:val="0000EE"/>
                  <w:w w:val="94"/>
                </w:rPr>
                <w:t>Registration Rights Agreement dated as of March 2, 2021,</w:t>
              </w:r>
            </w:hyperlink>
          </w:p>
        </w:tc>
        <w:tc>
          <w:tcPr>
            <w:tcW w:w="800" w:type="dxa"/>
            <w:vAlign w:val="bottom"/>
          </w:tcPr>
          <w:p>
            <w:pPr>
              <w:jc w:val="center"/>
              <w:spacing w:after="0"/>
              <w:rPr>
                <w:sz w:val="20"/>
                <w:szCs w:val="20"/>
                <w:color w:val="auto"/>
              </w:rPr>
            </w:pPr>
            <w:r>
              <w:rPr>
                <w:rFonts w:ascii="Arial" w:cs="Arial" w:eastAsia="Arial" w:hAnsi="Arial"/>
                <w:sz w:val="18"/>
                <w:szCs w:val="18"/>
                <w:color w:val="auto"/>
              </w:rPr>
              <w:t>8-K/A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000-27598</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March 4, 2021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by and between the Company and Topcon America</w:t>
              </w:r>
            </w:hyperlink>
          </w:p>
        </w:tc>
        <w:tc>
          <w:tcPr>
            <w:tcW w:w="2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Corporation.</w:t>
              </w:r>
            </w:hyperlink>
          </w:p>
        </w:tc>
        <w:tc>
          <w:tcPr>
            <w:tcW w:w="72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2"/>
          </w:tcPr>
          <w:p>
            <w:pPr>
              <w:ind w:left="100"/>
              <w:spacing w:after="0"/>
              <w:rPr>
                <w:sz w:val="20"/>
                <w:szCs w:val="20"/>
                <w:color w:val="auto"/>
              </w:rPr>
            </w:pPr>
            <w:r>
              <w:rPr>
                <w:rFonts w:ascii="Arial" w:cs="Arial" w:eastAsia="Arial" w:hAnsi="Arial"/>
                <w:sz w:val="18"/>
                <w:szCs w:val="18"/>
                <w:color w:val="auto"/>
              </w:rPr>
              <w:t>21.1 (P)</w:t>
            </w:r>
          </w:p>
        </w:tc>
        <w:tc>
          <w:tcPr>
            <w:tcW w:w="4400" w:type="dxa"/>
            <w:vAlign w:val="bottom"/>
            <w:gridSpan w:val="17"/>
          </w:tcPr>
          <w:p>
            <w:pPr>
              <w:spacing w:after="0"/>
              <w:rPr>
                <w:sz w:val="20"/>
                <w:szCs w:val="20"/>
                <w:color w:val="auto"/>
              </w:rPr>
            </w:pPr>
            <w:r>
              <w:rPr>
                <w:rFonts w:ascii="Arial" w:cs="Arial" w:eastAsia="Arial" w:hAnsi="Arial"/>
                <w:sz w:val="18"/>
                <w:szCs w:val="18"/>
                <w:color w:val="auto"/>
              </w:rPr>
              <w:t>Subsidiaries of Registrant</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SB-2</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333-00320-LA</w:t>
            </w: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18"/>
                <w:szCs w:val="18"/>
                <w:color w:val="auto"/>
                <w:w w:val="89"/>
              </w:rPr>
              <w:t>February 15, 1996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tcPr>
          <w:p>
            <w:pPr>
              <w:ind w:left="1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38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Consent of BPM LLP, Independent Registered Public</w:t>
              </w:r>
            </w:hyperlink>
          </w:p>
        </w:tc>
        <w:tc>
          <w:tcPr>
            <w:tcW w:w="2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22"/>
                <w:szCs w:val="22"/>
                <w:color w:val="auto"/>
              </w:rPr>
              <w:t>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90">
              <w:r>
                <w:rPr>
                  <w:rFonts w:ascii="Arial" w:cs="Arial" w:eastAsia="Arial" w:hAnsi="Arial"/>
                  <w:sz w:val="18"/>
                  <w:szCs w:val="18"/>
                  <w:color w:val="0000EE"/>
                  <w:w w:val="93"/>
                </w:rPr>
                <w:t>Accounting Firm.</w:t>
              </w:r>
            </w:hyperlink>
          </w:p>
        </w:tc>
        <w:tc>
          <w:tcPr>
            <w:tcW w:w="312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34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Power of Attorney (included on signature page).</w:t>
              </w:r>
            </w:hyperlink>
          </w:p>
        </w:tc>
        <w:tc>
          <w:tcPr>
            <w:tcW w:w="60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22"/>
                <w:szCs w:val="22"/>
                <w:color w:val="auto"/>
              </w:rPr>
              <w:t>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41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Certification of Principal Executive and Financial Officer</w:t>
              </w:r>
            </w:hyperlink>
          </w:p>
        </w:tc>
        <w:tc>
          <w:tcPr>
            <w:tcW w:w="20" w:type="dxa"/>
            <w:vAlign w:val="bottom"/>
          </w:tcPr>
          <w:p>
            <w:pPr>
              <w:spacing w:after="0"/>
              <w:rPr>
                <w:sz w:val="24"/>
                <w:szCs w:val="24"/>
                <w:color w:val="auto"/>
              </w:rPr>
            </w:pP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22"/>
                <w:szCs w:val="22"/>
                <w:color w:val="auto"/>
              </w:rPr>
              <w:t>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7"/>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pursuant to Section 302 of the Sarbanes-Oxley Act of 2002.</w:t>
              </w:r>
            </w:hyperlink>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40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Certification of Principal Accounting Officer pursuant to</w:t>
              </w:r>
            </w:hyperlink>
          </w:p>
        </w:tc>
        <w:tc>
          <w:tcPr>
            <w:tcW w:w="80" w:type="dxa"/>
            <w:vAlign w:val="bottom"/>
            <w:tcBorders>
              <w:top w:val="single" w:sz="8" w:color="0000EE"/>
            </w:tcBorders>
            <w:gridSpan w:val="3"/>
          </w:tcPr>
          <w:p>
            <w:pPr>
              <w:spacing w:after="0"/>
              <w:rPr>
                <w:sz w:val="24"/>
                <w:szCs w:val="24"/>
                <w:color w:val="auto"/>
              </w:rPr>
            </w:pPr>
          </w:p>
        </w:tc>
        <w:tc>
          <w:tcPr>
            <w:tcW w:w="14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22"/>
                <w:szCs w:val="22"/>
                <w:color w:val="auto"/>
              </w:rPr>
              <w:t>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Section 302 of the Sarbanes-Oxley Act of 2002.</w:t>
              </w:r>
            </w:hyperlink>
          </w:p>
        </w:tc>
        <w:tc>
          <w:tcPr>
            <w:tcW w:w="94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416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Certification of Principal Executive and Financial Officer</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22"/>
                <w:szCs w:val="22"/>
                <w:color w:val="auto"/>
              </w:rPr>
              <w:t>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17"/>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pursuant to 18 U.S.C. Section 1350, as Adopted Pursuant to</w:t>
              </w:r>
            </w:hyperlink>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Section 906 of the Sarbanes-Oxley Act of 2002.</w:t>
              </w:r>
            </w:hyperlink>
          </w:p>
        </w:tc>
        <w:tc>
          <w:tcPr>
            <w:tcW w:w="840" w:type="dxa"/>
            <w:vAlign w:val="bottom"/>
            <w:tcBorders>
              <w:top w:val="single" w:sz="8" w:color="0000EE"/>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432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Certification of Principal Accounting Officer pursuant to 18</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jc w:val="center"/>
              <w:ind w:left="2"/>
              <w:spacing w:after="0"/>
              <w:rPr>
                <w:sz w:val="20"/>
                <w:szCs w:val="20"/>
                <w:color w:val="auto"/>
              </w:rPr>
            </w:pPr>
            <w:r>
              <w:rPr>
                <w:rFonts w:ascii="Arial" w:cs="Arial" w:eastAsia="Arial" w:hAnsi="Arial"/>
                <w:sz w:val="22"/>
                <w:szCs w:val="22"/>
                <w:color w:val="auto"/>
              </w:rPr>
              <w:t>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U.S.C. Section 1350, as Adopted Pursuant to Section 906 of</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the Sarbanes-Oxley Act of 2002.</w:t>
              </w:r>
            </w:hyperlink>
          </w:p>
        </w:tc>
        <w:tc>
          <w:tcPr>
            <w:tcW w:w="204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400" w:type="dxa"/>
            <w:vAlign w:val="bottom"/>
            <w:gridSpan w:val="17"/>
          </w:tcPr>
          <w:p>
            <w:pPr>
              <w:spacing w:after="0"/>
              <w:rPr>
                <w:sz w:val="20"/>
                <w:szCs w:val="20"/>
                <w:color w:val="auto"/>
              </w:rPr>
            </w:pPr>
            <w:r>
              <w:rPr>
                <w:rFonts w:ascii="Arial" w:cs="Arial" w:eastAsia="Arial" w:hAnsi="Arial"/>
                <w:sz w:val="18"/>
                <w:szCs w:val="18"/>
                <w:color w:val="auto"/>
                <w:w w:val="95"/>
              </w:rPr>
              <w:t>Inline XBRL Instance Document – the instance document</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0" w:type="dxa"/>
            <w:vAlign w:val="bottom"/>
            <w:gridSpan w:val="17"/>
          </w:tcPr>
          <w:p>
            <w:pPr>
              <w:spacing w:after="0"/>
              <w:rPr>
                <w:sz w:val="20"/>
                <w:szCs w:val="20"/>
                <w:color w:val="auto"/>
              </w:rPr>
            </w:pPr>
            <w:r>
              <w:rPr>
                <w:rFonts w:ascii="Arial" w:cs="Arial" w:eastAsia="Arial" w:hAnsi="Arial"/>
                <w:sz w:val="18"/>
                <w:szCs w:val="18"/>
                <w:color w:val="auto"/>
                <w:w w:val="93"/>
              </w:rPr>
              <w:t>does not appear in the Interactive Data File because XBRL</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17"/>
          </w:tcPr>
          <w:p>
            <w:pPr>
              <w:spacing w:after="0"/>
              <w:rPr>
                <w:sz w:val="20"/>
                <w:szCs w:val="20"/>
                <w:color w:val="auto"/>
              </w:rPr>
            </w:pPr>
            <w:r>
              <w:rPr>
                <w:rFonts w:ascii="Arial" w:cs="Arial" w:eastAsia="Arial" w:hAnsi="Arial"/>
                <w:sz w:val="18"/>
                <w:szCs w:val="18"/>
                <w:color w:val="auto"/>
              </w:rPr>
              <w:t>tags are embedded within the Inline XBRL document.</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4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400" w:type="dxa"/>
            <w:vAlign w:val="bottom"/>
            <w:gridSpan w:val="17"/>
          </w:tcPr>
          <w:p>
            <w:pPr>
              <w:spacing w:after="0"/>
              <w:rPr>
                <w:sz w:val="20"/>
                <w:szCs w:val="20"/>
                <w:color w:val="auto"/>
              </w:rPr>
            </w:pPr>
            <w:r>
              <w:rPr>
                <w:rFonts w:ascii="Arial" w:cs="Arial" w:eastAsia="Arial" w:hAnsi="Arial"/>
                <w:sz w:val="18"/>
                <w:szCs w:val="18"/>
                <w:color w:val="auto"/>
                <w:w w:val="99"/>
              </w:rPr>
              <w:t>Inline XBRL Taxonomy Extension Calculation Linkbase</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40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4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400" w:type="dxa"/>
            <w:vAlign w:val="bottom"/>
            <w:gridSpan w:val="17"/>
          </w:tcPr>
          <w:p>
            <w:pPr>
              <w:spacing w:after="0"/>
              <w:rPr>
                <w:sz w:val="20"/>
                <w:szCs w:val="20"/>
                <w:color w:val="auto"/>
              </w:rPr>
            </w:pPr>
            <w:r>
              <w:rPr>
                <w:rFonts w:ascii="Arial" w:cs="Arial" w:eastAsia="Arial" w:hAnsi="Arial"/>
                <w:sz w:val="18"/>
                <w:szCs w:val="18"/>
                <w:color w:val="auto"/>
                <w:w w:val="97"/>
              </w:rPr>
              <w:t>Inline XBRL Taxonomy Extension Presentation Linkbase</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20" w:right="6160" w:hanging="1112"/>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46"/>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15th day of March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IRIDEX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195"/>
        </w:trPr>
        <w:tc>
          <w:tcPr>
            <w:tcW w:w="6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David I. Bruce</w:t>
            </w:r>
          </w:p>
        </w:tc>
      </w:tr>
      <w:tr>
        <w:trPr>
          <w:trHeight w:val="230"/>
        </w:trPr>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62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195"/>
        </w:trPr>
        <w:tc>
          <w:tcPr>
            <w:tcW w:w="6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Fuad Ahmad</w:t>
            </w:r>
          </w:p>
        </w:tc>
      </w:tr>
      <w:tr>
        <w:trPr>
          <w:trHeight w:val="230"/>
        </w:trPr>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Interim Chief Financial Officer</w:t>
            </w:r>
          </w:p>
        </w:tc>
      </w:tr>
    </w:tbl>
    <w:p>
      <w:pPr>
        <w:spacing w:after="0" w:line="20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I. Bruce and Fuad Ahmad,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80"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58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w:t>
            </w:r>
          </w:p>
        </w:tc>
      </w:tr>
      <w:tr>
        <w:trPr>
          <w:trHeight w:val="3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15, 2022</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(David I. Bruce)</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Interim Chief Financial Officer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15, 2022</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(Fuad Ahmad)</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Shuda</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15, 2022</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(Scott Shuda)</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Nandini Devi</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15, 2022</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(Nandini Devi)</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Grove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15, 2022</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Grove)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Ludlum</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15, 2022</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(Kenneth E. Ludlum)</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34"/>
        </w:trPr>
        <w:tc>
          <w:tcPr>
            <w:tcW w:w="4040" w:type="dxa"/>
            <w:vAlign w:val="bottom"/>
          </w:tcPr>
          <w:p>
            <w:pPr>
              <w:spacing w:after="0"/>
              <w:rPr>
                <w:sz w:val="24"/>
                <w:szCs w:val="24"/>
                <w:color w:val="auto"/>
              </w:rPr>
            </w:pPr>
          </w:p>
        </w:tc>
        <w:tc>
          <w:tcPr>
            <w:tcW w:w="5700" w:type="dxa"/>
            <w:vAlign w:val="bottom"/>
            <w:gridSpan w:val="2"/>
          </w:tcPr>
          <w:p>
            <w:pPr>
              <w:jc w:val="right"/>
              <w:ind w:right="39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IRIDEX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06" w:lineRule="exact"/>
        <w:rPr>
          <w:sz w:val="20"/>
          <w:szCs w:val="20"/>
          <w:color w:val="auto"/>
        </w:rPr>
      </w:pPr>
    </w:p>
    <w:p>
      <w:pPr>
        <w:ind w:firstLine="832"/>
        <w:spacing w:after="0" w:line="256" w:lineRule="auto"/>
        <w:rPr>
          <w:sz w:val="20"/>
          <w:szCs w:val="20"/>
          <w:color w:val="auto"/>
        </w:rPr>
      </w:pPr>
      <w:r>
        <w:rPr>
          <w:rFonts w:ascii="Arial" w:cs="Arial" w:eastAsia="Arial" w:hAnsi="Arial"/>
          <w:sz w:val="22"/>
          <w:szCs w:val="22"/>
          <w:color w:val="auto"/>
        </w:rPr>
        <w:t>This Indemnification Agreement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w:t>
      </w:r>
      <w:r>
        <w:rPr>
          <w:rFonts w:ascii="Arial" w:cs="Arial" w:eastAsia="Arial" w:hAnsi="Arial"/>
          <w:sz w:val="22"/>
          <w:szCs w:val="22"/>
          <w:i w:val="1"/>
          <w:iCs w:val="1"/>
          <w:color w:val="auto"/>
        </w:rPr>
        <w:t>insert date</w:t>
      </w:r>
      <w:r>
        <w:rPr>
          <w:rFonts w:ascii="Arial" w:cs="Arial" w:eastAsia="Arial" w:hAnsi="Arial"/>
          <w:sz w:val="22"/>
          <w:szCs w:val="22"/>
          <w:color w:val="auto"/>
        </w:rPr>
        <w:t>], by and between IRIDEX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w:t>
      </w:r>
      <w:r>
        <w:rPr>
          <w:rFonts w:ascii="Arial" w:cs="Arial" w:eastAsia="Arial" w:hAnsi="Arial"/>
          <w:sz w:val="22"/>
          <w:szCs w:val="22"/>
          <w:i w:val="1"/>
          <w:iCs w:val="1"/>
          <w:color w:val="auto"/>
        </w:rPr>
        <w:t>insert name of indemnitee</w:t>
      </w:r>
      <w:r>
        <w:rPr>
          <w:rFonts w:ascii="Arial" w:cs="Arial" w:eastAsia="Arial" w:hAnsi="Arial"/>
          <w:sz w:val="22"/>
          <w:szCs w:val="22"/>
          <w:color w:val="auto"/>
        </w:rPr>
        <w:t>] (“</w:t>
      </w:r>
      <w:r>
        <w:rPr>
          <w:rFonts w:ascii="Arial" w:cs="Arial" w:eastAsia="Arial" w:hAnsi="Arial"/>
          <w:sz w:val="22"/>
          <w:szCs w:val="22"/>
          <w:b w:val="1"/>
          <w:bCs w:val="1"/>
          <w:color w:val="auto"/>
        </w:rPr>
        <w:t>Indemnitee</w:t>
      </w:r>
      <w:r>
        <w:rPr>
          <w:rFonts w:ascii="Arial" w:cs="Arial" w:eastAsia="Arial" w:hAnsi="Arial"/>
          <w:sz w:val="22"/>
          <w:szCs w:val="22"/>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840"/>
        <w:spacing w:after="0"/>
        <w:tabs>
          <w:tab w:leader="none" w:pos="16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and Indemnitee recognize the continued difficulty in obtaining liability insurance for its directors, officers, employees, agents and fiduciaries, the significant increases in the cost of such insurance and the general reductions in the coverage of such insurance.</w:t>
      </w:r>
    </w:p>
    <w:p>
      <w:pPr>
        <w:spacing w:after="0" w:line="186" w:lineRule="exact"/>
        <w:rPr>
          <w:rFonts w:ascii="Arial" w:cs="Arial" w:eastAsia="Arial" w:hAnsi="Arial"/>
          <w:sz w:val="22"/>
          <w:szCs w:val="22"/>
          <w:color w:val="auto"/>
        </w:rPr>
      </w:pPr>
    </w:p>
    <w:p>
      <w:pPr>
        <w:jc w:val="both"/>
        <w:ind w:firstLine="840"/>
        <w:spacing w:after="0"/>
        <w:tabs>
          <w:tab w:leader="none" w:pos="167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and Indemnitee further recognize the substantial increase in corporate litigation in general, subjecting directors, officers, employees, agents and fiduciaries to expensive litigation risks at the same time as the availability and coverage of director and officer liability insurance has been severely limited.</w:t>
      </w:r>
    </w:p>
    <w:p>
      <w:pPr>
        <w:spacing w:after="0" w:line="186" w:lineRule="exact"/>
        <w:rPr>
          <w:rFonts w:ascii="Arial" w:cs="Arial" w:eastAsia="Arial" w:hAnsi="Arial"/>
          <w:sz w:val="22"/>
          <w:szCs w:val="22"/>
          <w:color w:val="auto"/>
        </w:rPr>
      </w:pPr>
    </w:p>
    <w:p>
      <w:pPr>
        <w:jc w:val="both"/>
        <w:ind w:firstLine="840"/>
        <w:spacing w:after="0" w:line="238" w:lineRule="auto"/>
        <w:tabs>
          <w:tab w:leader="none" w:pos="1678"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Indemnitee would like further liability protection through guaranty by the Company to cover any additional cost not paid by the director and officer liability insurance maintained by the Company through one or more third party insurance companies, and Indemnitee and other directors, officers, employees, agents and fiduciaries of the Company may not be willing to continue to serve in such capacities without additional protection.</w:t>
      </w:r>
    </w:p>
    <w:p>
      <w:pPr>
        <w:spacing w:after="0" w:line="184" w:lineRule="exact"/>
        <w:rPr>
          <w:rFonts w:ascii="Arial" w:cs="Arial" w:eastAsia="Arial" w:hAnsi="Arial"/>
          <w:sz w:val="22"/>
          <w:szCs w:val="22"/>
          <w:color w:val="auto"/>
        </w:rPr>
      </w:pPr>
    </w:p>
    <w:p>
      <w:pPr>
        <w:jc w:val="both"/>
        <w:ind w:firstLine="840"/>
        <w:spacing w:after="0" w:line="297" w:lineRule="auto"/>
        <w:tabs>
          <w:tab w:leader="none" w:pos="169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desires to attract and retain the services of highly qualified individuals, such as Indemnitee, to serve the Company and, in part, in order to induce Indemnitee to continue to provide services to the Company, wishes to provide for the indemnification and advancing of expenses to Indemnitees to the maximum extent permitted by law.</w:t>
      </w:r>
    </w:p>
    <w:p>
      <w:pPr>
        <w:spacing w:after="0" w:line="133" w:lineRule="exact"/>
        <w:rPr>
          <w:rFonts w:ascii="Arial" w:cs="Arial" w:eastAsia="Arial" w:hAnsi="Arial"/>
          <w:sz w:val="19"/>
          <w:szCs w:val="19"/>
          <w:color w:val="auto"/>
        </w:rPr>
      </w:pPr>
    </w:p>
    <w:p>
      <w:pPr>
        <w:ind w:firstLine="840"/>
        <w:spacing w:after="0" w:line="250" w:lineRule="auto"/>
        <w:tabs>
          <w:tab w:leader="none" w:pos="1666"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view of the considerations set forth above, the Company desires that Indemnitee be indemnified by the Company as set forth herein.</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NOW, THEREFORE, the Company and Indemnitee hereby agree as follows:</w:t>
      </w:r>
    </w:p>
    <w:p>
      <w:pPr>
        <w:spacing w:after="0" w:line="206" w:lineRule="exact"/>
        <w:rPr>
          <w:sz w:val="20"/>
          <w:szCs w:val="20"/>
          <w:color w:val="auto"/>
        </w:rPr>
      </w:pPr>
    </w:p>
    <w:p>
      <w:pPr>
        <w:ind w:left="1660" w:hanging="820"/>
        <w:spacing w:after="0"/>
        <w:tabs>
          <w:tab w:leader="none" w:pos="16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671"/>
        <w:spacing w:after="0" w:line="248" w:lineRule="auto"/>
        <w:tabs>
          <w:tab w:leader="none" w:pos="2551"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Indemnification of Expenses</w:t>
      </w:r>
      <w:r>
        <w:rPr>
          <w:rFonts w:ascii="Arial" w:cs="Arial" w:eastAsia="Arial" w:hAnsi="Arial"/>
          <w:sz w:val="21"/>
          <w:szCs w:val="21"/>
          <w:color w:val="auto"/>
        </w:rPr>
        <w:t>. The Company shall indemnify to the fullest extent permitted by law if Indemnitee was or is or becomes a party to or witness or other participant in, or are threatened to be made a party to or witness or other participant in, any threatened, pending or completed action, suit, proceeding or alternative dispute resolution mechanism, or any hearing, inquiry or investigation that Indemnitee in good faith believe might lead to the institution of any such action, suit, proceeding or alternative dispute resolution mechanism, whether civil, criminal, administrative, investigative or other (hereinafter a “</w:t>
      </w:r>
      <w:r>
        <w:rPr>
          <w:rFonts w:ascii="Arial" w:cs="Arial" w:eastAsia="Arial" w:hAnsi="Arial"/>
          <w:sz w:val="21"/>
          <w:szCs w:val="21"/>
          <w:b w:val="1"/>
          <w:bCs w:val="1"/>
          <w:color w:val="auto"/>
        </w:rPr>
        <w:t>Claim</w:t>
      </w:r>
      <w:r>
        <w:rPr>
          <w:rFonts w:ascii="Arial" w:cs="Arial" w:eastAsia="Arial" w:hAnsi="Arial"/>
          <w:sz w:val="21"/>
          <w:szCs w:val="21"/>
          <w:color w:val="auto"/>
        </w:rPr>
        <w:t>”) by reason of (or arising in part out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both"/>
        <w:spacing w:after="0" w:line="272" w:lineRule="auto"/>
        <w:rPr>
          <w:sz w:val="20"/>
          <w:szCs w:val="20"/>
          <w:color w:val="auto"/>
        </w:rPr>
      </w:pPr>
      <w:r>
        <w:rPr>
          <w:rFonts w:ascii="Arial" w:cs="Arial" w:eastAsia="Arial" w:hAnsi="Arial"/>
          <w:sz w:val="19"/>
          <w:szCs w:val="19"/>
          <w:color w:val="auto"/>
        </w:rPr>
        <w:t>any event or occurrence related to the fact that Indemnitee is or was a director, officer, employee, agent or fiduciary of the Company, or any subsidiary of the Company, or is or was serving at the request of the Company as a director, officer, employee, agent or fiduciary of another corporation, partnership, joint venture, trust or other enterprise, or by reason of any action or inaction on the part of Indemnitee while serving in such capacity (hereinafter an “</w:t>
      </w:r>
      <w:r>
        <w:rPr>
          <w:rFonts w:ascii="Arial" w:cs="Arial" w:eastAsia="Arial" w:hAnsi="Arial"/>
          <w:sz w:val="19"/>
          <w:szCs w:val="19"/>
          <w:b w:val="1"/>
          <w:bCs w:val="1"/>
          <w:color w:val="auto"/>
        </w:rPr>
        <w:t>Indemnifiable Event</w:t>
      </w:r>
      <w:r>
        <w:rPr>
          <w:rFonts w:ascii="Arial" w:cs="Arial" w:eastAsia="Arial" w:hAnsi="Arial"/>
          <w:sz w:val="19"/>
          <w:szCs w:val="19"/>
          <w:color w:val="auto"/>
        </w:rPr>
        <w:t>”) against any and all expenses (including attorneys’ fees and all other costs, expenses and obligations incurred in connection with investigating, defending, being a witness in or participating in (including on appeal), or preparing to defend, be a witness in or participate in, any such action, suit, proceeding, alternative dispute resolution mechanism, hearing, inquiry or investigation), judgments, fines, penalties and amounts paid in settlement (if such settlement is approved in advance by the Company, which approval shall not be unreasonably withheld) of such Claim and any federal, state, local or foreign taxes imposed on Indemnitees as a result of the actual or deemed receipt of any payments under this Agreement (collectively, hereinafter “</w:t>
      </w:r>
      <w:r>
        <w:rPr>
          <w:rFonts w:ascii="Arial" w:cs="Arial" w:eastAsia="Arial" w:hAnsi="Arial"/>
          <w:sz w:val="19"/>
          <w:szCs w:val="19"/>
          <w:b w:val="1"/>
          <w:bCs w:val="1"/>
          <w:color w:val="auto"/>
        </w:rPr>
        <w:t>Expenses</w:t>
      </w:r>
      <w:r>
        <w:rPr>
          <w:rFonts w:ascii="Arial" w:cs="Arial" w:eastAsia="Arial" w:hAnsi="Arial"/>
          <w:sz w:val="19"/>
          <w:szCs w:val="19"/>
          <w:color w:val="auto"/>
        </w:rPr>
        <w:t>”), including all interest, assessments and other charges paid or payable in connection with or in respect of such Expenses. Such payment of Expenses shall be made by the Company as soon as practicable but in any event no later than twenty days after written demand by Indemnitees therefor is presented to the Company.</w:t>
      </w:r>
    </w:p>
    <w:p>
      <w:pPr>
        <w:spacing w:after="0" w:line="200" w:lineRule="exact"/>
        <w:rPr>
          <w:sz w:val="20"/>
          <w:szCs w:val="20"/>
          <w:color w:val="auto"/>
        </w:rPr>
      </w:pPr>
    </w:p>
    <w:p>
      <w:pPr>
        <w:spacing w:after="0" w:line="204" w:lineRule="exact"/>
        <w:rPr>
          <w:sz w:val="20"/>
          <w:szCs w:val="20"/>
          <w:color w:val="auto"/>
        </w:rPr>
      </w:pPr>
    </w:p>
    <w:p>
      <w:pPr>
        <w:jc w:val="both"/>
        <w:ind w:firstLine="1671"/>
        <w:spacing w:after="0" w:line="271" w:lineRule="auto"/>
        <w:tabs>
          <w:tab w:leader="none" w:pos="256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Reviewing Party</w:t>
      </w:r>
      <w:r>
        <w:rPr>
          <w:rFonts w:ascii="Arial" w:cs="Arial" w:eastAsia="Arial" w:hAnsi="Arial"/>
          <w:sz w:val="19"/>
          <w:szCs w:val="19"/>
          <w:color w:val="auto"/>
        </w:rPr>
        <w:t>. Notwithstanding the foregoing, (i) the obligations of the Company under Section 1(a) shall be subject to the condition that the Reviewing Party (as described in Section 10(e) hereof) shall not have determined (in a written opinion, in any case in which the Independent Legal Counsel referred to in Section 1(c) hereof is involved) that Indemnitee would not be permitted to be indemnified under applicable law, and (ii) the obligation of the Company to make an advance payment of Expenses to Indemnitee pursuant to Section 2(a) (an “</w:t>
      </w:r>
      <w:r>
        <w:rPr>
          <w:rFonts w:ascii="Arial" w:cs="Arial" w:eastAsia="Arial" w:hAnsi="Arial"/>
          <w:sz w:val="19"/>
          <w:szCs w:val="19"/>
          <w:b w:val="1"/>
          <w:bCs w:val="1"/>
          <w:color w:val="auto"/>
        </w:rPr>
        <w:t>Expense Advance</w:t>
      </w:r>
      <w:r>
        <w:rPr>
          <w:rFonts w:ascii="Arial" w:cs="Arial" w:eastAsia="Arial" w:hAnsi="Arial"/>
          <w:sz w:val="19"/>
          <w:szCs w:val="19"/>
          <w:color w:val="auto"/>
        </w:rPr>
        <w:t xml:space="preserve">”) shall be subject to the condition that, if, when and to the extent that the Reviewing Party determines that Indemnitee would not be permitted to be so indemnified under applicable law, the Company shall be entitled to be reimbursed by Indemnitee (who hereby agree to reimburse the Company) for all such amounts theretofore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The Indemnitee’s obligation to reimburse the Company for any Expense Advance shall be unsecured and no interest shall be charged thereon. If there has not been a Change in Control (as defined in Section 10(c) hereof), the Reviewing Party shall be selected by the Board of Directors, and if there has been such a Change in Control, the Reviewing Party shall be the Independent Legal Counsel referred to in Section 1(c) hereof.</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671"/>
        <w:spacing w:after="0" w:line="287" w:lineRule="auto"/>
        <w:tabs>
          <w:tab w:leader="none" w:pos="2551"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The Company agrees that, if there is a Change in Control of the Company, then, with respect to all matters thereafter arising concerning the rights of Indemnitees to payments of Expenses and Expense Advances under this Agreement or any other agreement or under the Company’s Certificate of Incorporation or Bylaws as now or hereafter in effect, Independent Legal Counsel (as defined in Section 10(d) hereof) shall be selected by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8" w:name="page79"/>
    <w:bookmarkEnd w:id="78"/>
    <w:p>
      <w:pPr>
        <w:jc w:val="both"/>
        <w:spacing w:after="0" w:line="235" w:lineRule="auto"/>
        <w:rPr>
          <w:sz w:val="20"/>
          <w:szCs w:val="20"/>
          <w:color w:val="auto"/>
        </w:rPr>
      </w:pPr>
      <w:r>
        <w:rPr>
          <w:rFonts w:ascii="Arial" w:cs="Arial" w:eastAsia="Arial" w:hAnsi="Arial"/>
          <w:sz w:val="22"/>
          <w:szCs w:val="22"/>
          <w:color w:val="auto"/>
        </w:rPr>
        <w:t>Indemnitees and approved by the Company (which approval shall not be unreasonably withheld). Such counsel, among other things, shall render its written opinion to the Company and Indemnitee as to whether and to what extent Indemnitee would be permitted to be indemnified under applicable law and the Company agrees to abide by such opinion. The Company agrees to pay the reasonable fees of the Independent Legal Counsel referred to above and to fully indemnify such counsel against any and all expenses (including attorneys’ fees), claims, liabilities and damages arising out of or relating to this Agreement or its engagement pursuant hereto.</w:t>
      </w:r>
    </w:p>
    <w:p>
      <w:pPr>
        <w:spacing w:after="0" w:line="188" w:lineRule="exact"/>
        <w:rPr>
          <w:sz w:val="20"/>
          <w:szCs w:val="20"/>
          <w:color w:val="auto"/>
        </w:rPr>
      </w:pPr>
    </w:p>
    <w:p>
      <w:pPr>
        <w:jc w:val="both"/>
        <w:ind w:firstLine="1671"/>
        <w:spacing w:after="0" w:line="236" w:lineRule="auto"/>
        <w:tabs>
          <w:tab w:leader="none" w:pos="2563"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Mandatory Payment of Expenses</w:t>
      </w:r>
      <w:r>
        <w:rPr>
          <w:rFonts w:ascii="Arial" w:cs="Arial" w:eastAsia="Arial" w:hAnsi="Arial"/>
          <w:sz w:val="22"/>
          <w:szCs w:val="22"/>
          <w:color w:val="auto"/>
        </w:rPr>
        <w:t>. Notwithstanding any other provision of this Agreement other than Section 9 hereof, to the extent that Indemnitee has been successful on the merits or otherwise, including, without limitation, the dismissal of an action without prejudice, in defense of any action, suit, proceeding, inquiry or investigation referred to in Section (1)(a) hereof or in the defense of any claim, issue or matter therein, Indemnitee shall be indemnified against all Expenses incurred by Indemnitee in connection therewith.</w:t>
      </w:r>
    </w:p>
    <w:p>
      <w:pPr>
        <w:spacing w:after="0" w:line="187" w:lineRule="exact"/>
        <w:rPr>
          <w:rFonts w:ascii="Arial" w:cs="Arial" w:eastAsia="Arial" w:hAnsi="Arial"/>
          <w:sz w:val="22"/>
          <w:szCs w:val="22"/>
          <w:color w:val="auto"/>
        </w:rPr>
      </w:pPr>
    </w:p>
    <w:p>
      <w:pPr>
        <w:ind w:left="2560" w:hanging="889"/>
        <w:spacing w:after="0"/>
        <w:tabs>
          <w:tab w:leader="none" w:pos="256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Remedies of Indemnitee.</w:t>
      </w:r>
    </w:p>
    <w:p>
      <w:pPr>
        <w:spacing w:after="0" w:line="206" w:lineRule="exact"/>
        <w:rPr>
          <w:rFonts w:ascii="Arial" w:cs="Arial" w:eastAsia="Arial" w:hAnsi="Arial"/>
          <w:sz w:val="22"/>
          <w:szCs w:val="22"/>
          <w:color w:val="auto"/>
        </w:rPr>
      </w:pPr>
    </w:p>
    <w:p>
      <w:pPr>
        <w:jc w:val="both"/>
        <w:ind w:firstLine="2504"/>
        <w:spacing w:after="0" w:line="270" w:lineRule="auto"/>
        <w:tabs>
          <w:tab w:leader="none" w:pos="3347" w:val="left"/>
        </w:tabs>
        <w:numPr>
          <w:ilvl w:val="2"/>
          <w:numId w:val="37"/>
        </w:numPr>
        <w:rPr>
          <w:rFonts w:ascii="Arial" w:cs="Arial" w:eastAsia="Arial" w:hAnsi="Arial"/>
          <w:sz w:val="19"/>
          <w:szCs w:val="19"/>
          <w:color w:val="auto"/>
        </w:rPr>
      </w:pPr>
      <w:r>
        <w:rPr>
          <w:rFonts w:ascii="Arial" w:cs="Arial" w:eastAsia="Arial" w:hAnsi="Arial"/>
          <w:sz w:val="19"/>
          <w:szCs w:val="19"/>
          <w:color w:val="auto"/>
        </w:rPr>
        <w:t>Subject to Section 1(iv)(v), in the event that (i) a determination is made pursuant to Section 2 of this Agreement that Indemnitee is not entitled to indemnification under this Agreement, (ii) advancement of Expenses is not timely made pursuant to Section 2(a) or 1(iii)(iv) of this Agreement, (iii) no determination of entitlement to indemnification shall have been made pursuant to Section 2 of this Agreement within 90 days after the later of the receipt by the Company of the request for indemnification or the final disposition of the Claim, (iv) payment of indemnification pursuant to this Agreement is not made (A) within ten days after a determination has been made that Indemnitee is entitled to indemnification or</w:t>
      </w:r>
    </w:p>
    <w:p>
      <w:pPr>
        <w:spacing w:after="0" w:line="1" w:lineRule="exact"/>
        <w:rPr>
          <w:rFonts w:ascii="Arial" w:cs="Arial" w:eastAsia="Arial" w:hAnsi="Arial"/>
          <w:sz w:val="19"/>
          <w:szCs w:val="19"/>
          <w:color w:val="auto"/>
        </w:rPr>
      </w:pPr>
    </w:p>
    <w:p>
      <w:pPr>
        <w:jc w:val="both"/>
        <w:ind w:firstLine="8"/>
        <w:spacing w:after="0" w:line="270" w:lineRule="auto"/>
        <w:tabs>
          <w:tab w:leader="none" w:pos="34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with respect to indemnification pursuant to Section 1(a) for Expenses incurred by Indemnitee as a witness in connection with an Indemnifiable Event, Section 1(d) and Section 1(e)(iv)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1(e)(i);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the foregoing clause shall not apply in respect of a proceeding brought by Indemnitee to enforce his or her rights when that Indemnitee is a party to or a participant in and is successful (on the merits or otherwise) in defense of any Claim. The Company shall not oppose Indemnitee’s right to seek any such adjudication or award in arbitration in accordance with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9" w:name="page80"/>
    <w:bookmarkEnd w:id="79"/>
    <w:p>
      <w:pPr>
        <w:jc w:val="both"/>
        <w:ind w:firstLine="2504"/>
        <w:spacing w:after="0" w:line="273" w:lineRule="auto"/>
        <w:tabs>
          <w:tab w:leader="none" w:pos="3407"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1(b) of this Agreement that Indemnitee is not entitled to indemnification, any judicial proceeding or arbitration commenced pursuant to this Section 1(e) shall be conducted in all respects as a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trial, or arbitration, on the merits, and Indemnitee shall not be prejudiced by reason of that adverse determination. In any judicial proceeding or arbitration commenced pursuant to this Section 1(e), the Company shall, to the fullest extent not prohibited by law, have the burden of proving Indemnitee is not entitled to indemnification or advancement of Expenses, as the case may be.</w:t>
      </w:r>
    </w:p>
    <w:p>
      <w:pPr>
        <w:spacing w:after="0" w:line="155" w:lineRule="exact"/>
        <w:rPr>
          <w:rFonts w:ascii="Arial" w:cs="Arial" w:eastAsia="Arial" w:hAnsi="Arial"/>
          <w:sz w:val="19"/>
          <w:szCs w:val="19"/>
          <w:color w:val="auto"/>
        </w:rPr>
      </w:pPr>
    </w:p>
    <w:p>
      <w:pPr>
        <w:jc w:val="both"/>
        <w:ind w:firstLine="2504"/>
        <w:spacing w:after="0" w:line="275" w:lineRule="auto"/>
        <w:tabs>
          <w:tab w:leader="none" w:pos="3467" w:val="left"/>
        </w:tabs>
        <w:numPr>
          <w:ilvl w:val="1"/>
          <w:numId w:val="39"/>
        </w:numPr>
        <w:rPr>
          <w:rFonts w:ascii="Arial" w:cs="Arial" w:eastAsia="Arial" w:hAnsi="Arial"/>
          <w:sz w:val="19"/>
          <w:szCs w:val="19"/>
          <w:color w:val="auto"/>
        </w:rPr>
      </w:pPr>
      <w:r>
        <w:rPr>
          <w:rFonts w:ascii="Arial" w:cs="Arial" w:eastAsia="Arial" w:hAnsi="Arial"/>
          <w:sz w:val="19"/>
          <w:szCs w:val="19"/>
          <w:color w:val="auto"/>
        </w:rPr>
        <w:t>To the fullest extent not prohibited by law, the Company shall be precluded from asserting in any judicial proceeding or arbitration commenced pursuant to this Section 1(e)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1(b) of this Agreement that Indemnitee is entitled to indemnification, the Company shall be bound by such determination in any judicial proceeding or arbitration commenced pursuant to this Section 1(e), absent (A) a misstatement by Indemnitee of a material fact, or an omission of a material fact necessary to make Indemnitee’s statements not materially misleading, in connection with the request for indemnification, or (B) a prohibition of such indemnification under applicable law.</w:t>
      </w:r>
    </w:p>
    <w:p>
      <w:pPr>
        <w:spacing w:after="0" w:line="157" w:lineRule="exact"/>
        <w:rPr>
          <w:rFonts w:ascii="Arial" w:cs="Arial" w:eastAsia="Arial" w:hAnsi="Arial"/>
          <w:sz w:val="19"/>
          <w:szCs w:val="19"/>
          <w:color w:val="auto"/>
        </w:rPr>
      </w:pPr>
    </w:p>
    <w:p>
      <w:pPr>
        <w:jc w:val="both"/>
        <w:ind w:firstLine="2504"/>
        <w:spacing w:after="0" w:line="248" w:lineRule="auto"/>
        <w:tabs>
          <w:tab w:leader="none" w:pos="3455" w:val="left"/>
        </w:tabs>
        <w:numPr>
          <w:ilvl w:val="1"/>
          <w:numId w:val="39"/>
        </w:numPr>
        <w:rPr>
          <w:rFonts w:ascii="Arial" w:cs="Arial" w:eastAsia="Arial" w:hAnsi="Arial"/>
          <w:sz w:val="21"/>
          <w:szCs w:val="21"/>
          <w:color w:val="auto"/>
        </w:rPr>
      </w:pPr>
      <w:r>
        <w:rPr>
          <w:rFonts w:ascii="Arial" w:cs="Arial" w:eastAsia="Arial" w:hAnsi="Arial"/>
          <w:sz w:val="21"/>
          <w:szCs w:val="21"/>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90 days, after receipt by the Company of a written request therefor) advance such Expenses to Indemnitee, subject to the provisions of Section 2(b).</w:t>
      </w:r>
    </w:p>
    <w:p>
      <w:pPr>
        <w:spacing w:after="0" w:line="176" w:lineRule="exact"/>
        <w:rPr>
          <w:rFonts w:ascii="Arial" w:cs="Arial" w:eastAsia="Arial" w:hAnsi="Arial"/>
          <w:sz w:val="21"/>
          <w:szCs w:val="21"/>
          <w:color w:val="auto"/>
        </w:rPr>
      </w:pPr>
    </w:p>
    <w:p>
      <w:pPr>
        <w:ind w:left="3400" w:hanging="896"/>
        <w:spacing w:after="0"/>
        <w:tabs>
          <w:tab w:leader="none" w:pos="3400" w:val="left"/>
        </w:tabs>
        <w:numPr>
          <w:ilvl w:val="1"/>
          <w:numId w:val="3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no determination as to</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entitlement to indemnification shall be required to be made prior to the final disposition of the Claim.</w:t>
      </w:r>
    </w:p>
    <w:p>
      <w:pPr>
        <w:spacing w:after="0" w:line="188" w:lineRule="exact"/>
        <w:rPr>
          <w:rFonts w:ascii="Arial" w:cs="Arial" w:eastAsia="Arial" w:hAnsi="Arial"/>
          <w:sz w:val="21"/>
          <w:szCs w:val="21"/>
          <w:color w:val="auto"/>
        </w:rPr>
      </w:pPr>
    </w:p>
    <w:p>
      <w:pPr>
        <w:ind w:left="1660" w:hanging="820"/>
        <w:spacing w:after="0"/>
        <w:tabs>
          <w:tab w:leader="none" w:pos="16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Expenses; Indemnification Procedure</w:t>
      </w:r>
      <w:r>
        <w:rPr>
          <w:rFonts w:ascii="Arial" w:cs="Arial" w:eastAsia="Arial" w:hAnsi="Arial"/>
          <w:sz w:val="22"/>
          <w:szCs w:val="22"/>
          <w:color w:val="auto"/>
        </w:rPr>
        <w:t>.</w:t>
      </w:r>
    </w:p>
    <w:p>
      <w:pPr>
        <w:spacing w:after="0" w:line="206" w:lineRule="exact"/>
        <w:rPr>
          <w:sz w:val="20"/>
          <w:szCs w:val="20"/>
          <w:color w:val="auto"/>
        </w:rPr>
      </w:pPr>
    </w:p>
    <w:p>
      <w:pPr>
        <w:ind w:firstLine="1671"/>
        <w:spacing w:after="0" w:line="250" w:lineRule="auto"/>
        <w:tabs>
          <w:tab w:leader="none" w:pos="255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Advancement of Expenses</w:t>
      </w:r>
      <w:r>
        <w:rPr>
          <w:rFonts w:ascii="Arial" w:cs="Arial" w:eastAsia="Arial" w:hAnsi="Arial"/>
          <w:sz w:val="22"/>
          <w:szCs w:val="22"/>
          <w:color w:val="auto"/>
        </w:rPr>
        <w:t>. The Company shall advance all Expenses incurred by Indemnitee. The advances to be made hereunder shall be paid by the Company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0" w:name="page81"/>
    <w:bookmarkEnd w:id="80"/>
    <w:p>
      <w:pPr>
        <w:spacing w:after="0" w:line="250" w:lineRule="auto"/>
        <w:rPr>
          <w:sz w:val="20"/>
          <w:szCs w:val="20"/>
          <w:color w:val="auto"/>
        </w:rPr>
      </w:pPr>
      <w:r>
        <w:rPr>
          <w:rFonts w:ascii="Arial" w:cs="Arial" w:eastAsia="Arial" w:hAnsi="Arial"/>
          <w:sz w:val="22"/>
          <w:szCs w:val="22"/>
          <w:color w:val="auto"/>
        </w:rPr>
        <w:t>Indemnitee as soon as practicable but in any event no later than twenty days after written demand by Indemnitee therefor to the Company.</w:t>
      </w:r>
    </w:p>
    <w:p>
      <w:pPr>
        <w:spacing w:after="0" w:line="175" w:lineRule="exact"/>
        <w:rPr>
          <w:sz w:val="20"/>
          <w:szCs w:val="20"/>
          <w:color w:val="auto"/>
        </w:rPr>
      </w:pPr>
    </w:p>
    <w:p>
      <w:pPr>
        <w:jc w:val="both"/>
        <w:ind w:firstLine="1671"/>
        <w:spacing w:after="0" w:line="244" w:lineRule="auto"/>
        <w:tabs>
          <w:tab w:leader="none" w:pos="2563"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Notice/Cooperation by Indemnitee</w:t>
      </w:r>
      <w:r>
        <w:rPr>
          <w:rFonts w:ascii="Arial" w:cs="Arial" w:eastAsia="Arial" w:hAnsi="Arial"/>
          <w:sz w:val="21"/>
          <w:szCs w:val="21"/>
          <w:color w:val="auto"/>
        </w:rPr>
        <w:t>. Indemnitee shall, as a condition precedent to Indemnitee’s right to be indemnified under this Agreement, give the Company notice in writing as soon as practicable of any Claim made against Indemnitee for which indemnification will or could be sought under this Agreement. Notwithstanding the foregoing,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 Notice to the Company shall be directed to the Chief Executive Officer of the Company at the address shown on the signature page of this Agreement (or such other address as the Company shall designate in writing to Indemnitee). In addition, Indemnitee shall give the Company such information and cooperation as it may reasonably require and as shall be within Indemnitee’s power. Any costs or expenses (including attorneys’ fees and disbursements) reasonably incurred by Indemnitee in providing such information or cooperation shall be borne by the Company, to the extent permitted by applicable law. Any delay in providing the requested information or cooperation will not relieve the Company from its obligations under this Agreement, except to the extent such failure is prejudicial.</w:t>
      </w:r>
    </w:p>
    <w:p>
      <w:pPr>
        <w:spacing w:after="0" w:line="183" w:lineRule="exact"/>
        <w:rPr>
          <w:rFonts w:ascii="Arial" w:cs="Arial" w:eastAsia="Arial" w:hAnsi="Arial"/>
          <w:sz w:val="21"/>
          <w:szCs w:val="21"/>
          <w:color w:val="auto"/>
        </w:rPr>
      </w:pPr>
    </w:p>
    <w:p>
      <w:pPr>
        <w:jc w:val="both"/>
        <w:ind w:firstLine="1671"/>
        <w:spacing w:after="0" w:line="244" w:lineRule="auto"/>
        <w:tabs>
          <w:tab w:leader="none" w:pos="2551"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Presumptions; Burden of Proof</w:t>
      </w:r>
      <w:r>
        <w:rPr>
          <w:rFonts w:ascii="Arial" w:cs="Arial" w:eastAsia="Arial" w:hAnsi="Arial"/>
          <w:sz w:val="21"/>
          <w:szCs w:val="21"/>
          <w:color w:val="auto"/>
        </w:rPr>
        <w:t xml:space="preserve">. For purposes of this Agreement, the termination of any Claim by judgment, order, settlement (whether with or without court approval) or conviction, or upon a plea of </w:t>
      </w:r>
      <w:r>
        <w:rPr>
          <w:rFonts w:ascii="Arial" w:cs="Arial" w:eastAsia="Arial" w:hAnsi="Arial"/>
          <w:sz w:val="21"/>
          <w:szCs w:val="21"/>
          <w:u w:val="single" w:color="auto"/>
          <w:color w:val="auto"/>
        </w:rPr>
        <w:t>nolo contendere</w:t>
      </w:r>
      <w:r>
        <w:rPr>
          <w:rFonts w:ascii="Arial" w:cs="Arial" w:eastAsia="Arial" w:hAnsi="Arial"/>
          <w:sz w:val="21"/>
          <w:szCs w:val="21"/>
          <w:color w:val="auto"/>
        </w:rPr>
        <w:t>,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 In connection with any determination by the Reviewing Party or otherwise as to whether Indemnitee is entitled to be indemnified hereunder, the Reviewing Party shall, to the fullest extent not prohibited by law, presume that Indemnitee is entitled to indemnification under this Agreement, and the burden of proof shall, to the fullest extent not prohibited by law, be on the Company to establish that Indemnitee is not so entitled.</w:t>
      </w:r>
    </w:p>
    <w:p>
      <w:pPr>
        <w:spacing w:after="0" w:line="183" w:lineRule="exact"/>
        <w:rPr>
          <w:rFonts w:ascii="Arial" w:cs="Arial" w:eastAsia="Arial" w:hAnsi="Arial"/>
          <w:sz w:val="21"/>
          <w:szCs w:val="21"/>
          <w:color w:val="auto"/>
        </w:rPr>
      </w:pPr>
    </w:p>
    <w:p>
      <w:pPr>
        <w:jc w:val="both"/>
        <w:ind w:firstLine="1671"/>
        <w:spacing w:after="0" w:line="235" w:lineRule="auto"/>
        <w:tabs>
          <w:tab w:leader="none" w:pos="256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Notice to Insurers</w:t>
      </w:r>
      <w:r>
        <w:rPr>
          <w:rFonts w:ascii="Arial" w:cs="Arial" w:eastAsia="Arial" w:hAnsi="Arial"/>
          <w:sz w:val="22"/>
          <w:szCs w:val="22"/>
          <w:color w:val="auto"/>
        </w:rPr>
        <w:t>. If, at the time of the receipt by the Company of a notice of a Claim pursuant to Section 2(b) hereof, the Company has liability insurance in effect which may cover such Claim, the Company shall give prompt notice of the commencement of such Claim to the insurers in accordance with the procedures set forth in the respective policies. The Company shall thereafter take all necessary or desirable action to cause such insurers to pay, on behalf of Indemnitee, all amounts payable as a result of such action, suit, proceeding, inquiry or investigation in accordance with the terms of such policies.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1" w:name="page82"/>
    <w:bookmarkEnd w:id="81"/>
    <w:p>
      <w:pPr>
        <w:jc w:val="both"/>
        <w:ind w:firstLine="1671"/>
        <w:spacing w:after="0" w:line="269" w:lineRule="auto"/>
        <w:tabs>
          <w:tab w:leader="none" w:pos="2551" w:val="left"/>
        </w:tabs>
        <w:numPr>
          <w:ilvl w:val="2"/>
          <w:numId w:val="43"/>
        </w:numPr>
        <w:rPr>
          <w:rFonts w:ascii="Arial" w:cs="Arial" w:eastAsia="Arial" w:hAnsi="Arial"/>
          <w:sz w:val="19"/>
          <w:szCs w:val="19"/>
          <w:color w:val="auto"/>
        </w:rPr>
      </w:pPr>
      <w:r>
        <w:rPr>
          <w:rFonts w:ascii="Arial" w:cs="Arial" w:eastAsia="Arial" w:hAnsi="Arial"/>
          <w:sz w:val="19"/>
          <w:szCs w:val="19"/>
          <w:u w:val="single" w:color="auto"/>
          <w:color w:val="auto"/>
        </w:rPr>
        <w:t>Selection of Counsel</w:t>
      </w:r>
      <w:r>
        <w:rPr>
          <w:rFonts w:ascii="Arial" w:cs="Arial" w:eastAsia="Arial" w:hAnsi="Arial"/>
          <w:sz w:val="19"/>
          <w:szCs w:val="19"/>
          <w:color w:val="auto"/>
        </w:rPr>
        <w:t xml:space="preserve">. In the event the Company shall be obligated hereunder to pay the Expenses of any Claim, the Company shall be entitled to assume the defense of such Claim with counsel approved by Indemnitee, which approval shall not be unreasonably withheld,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Claim; </w:t>
      </w:r>
      <w:r>
        <w:rPr>
          <w:rFonts w:ascii="Arial" w:cs="Arial" w:eastAsia="Arial" w:hAnsi="Arial"/>
          <w:sz w:val="19"/>
          <w:szCs w:val="19"/>
          <w:u w:val="single" w:color="auto"/>
          <w:color w:val="auto"/>
        </w:rPr>
        <w:t>provided that</w:t>
      </w:r>
      <w:r>
        <w:rPr>
          <w:rFonts w:ascii="Arial" w:cs="Arial" w:eastAsia="Arial" w:hAnsi="Arial"/>
          <w:sz w:val="19"/>
          <w:szCs w:val="19"/>
          <w:color w:val="auto"/>
        </w:rPr>
        <w:t>, (i) Indemnitee shall have the right to employ Indemnitee’s counsel in any such Claim at Indemnitee’s expense and (ii) if (A) the employment of counsel by Indemnitee has been previously authorized by the Company,</w:t>
      </w:r>
    </w:p>
    <w:p>
      <w:pPr>
        <w:spacing w:after="0" w:line="4" w:lineRule="exact"/>
        <w:rPr>
          <w:rFonts w:ascii="Arial" w:cs="Arial" w:eastAsia="Arial" w:hAnsi="Arial"/>
          <w:sz w:val="19"/>
          <w:szCs w:val="19"/>
          <w:color w:val="auto"/>
        </w:rPr>
      </w:pPr>
    </w:p>
    <w:p>
      <w:pPr>
        <w:jc w:val="both"/>
        <w:ind w:firstLine="8"/>
        <w:spacing w:after="0" w:line="273" w:lineRule="auto"/>
        <w:tabs>
          <w:tab w:leader="none" w:pos="355"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Indemnitee shall have reasonably concluded that there is a conflict of interest between the Company and Indemnitee in the conduct of any such defense, or (C) the Company shall not continue to retain such counsel to defend such Claim, then the fees and expenses of Indemnitee’s counsel shall be at the expense of the Company. The Company shall have the right to conduct such defense as it sees fit in its sole discretion, including the right to settle any claim against Indemnitee without the consent of the Indemnitee; provided that the Company shall not settle any Claim (or any part thereof) in a manner that imposes any penalty or liability on Indemnitee without Indemnitee’s prior written consent, which shall not be unreasonably withheld. The Company shall not be entitled, without the consent of Indemnitee, to assume the defense of any claim brought by or in the right of the Company.</w:t>
      </w:r>
    </w:p>
    <w:p>
      <w:pPr>
        <w:spacing w:after="0" w:line="159" w:lineRule="exact"/>
        <w:rPr>
          <w:rFonts w:ascii="Arial" w:cs="Arial" w:eastAsia="Arial" w:hAnsi="Arial"/>
          <w:sz w:val="19"/>
          <w:szCs w:val="19"/>
          <w:color w:val="auto"/>
        </w:rPr>
      </w:pPr>
    </w:p>
    <w:p>
      <w:pPr>
        <w:ind w:left="1660" w:hanging="820"/>
        <w:spacing w:after="0"/>
        <w:tabs>
          <w:tab w:leader="none" w:pos="166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Additional Indemnification Rights; Nonexclusivity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671"/>
        <w:spacing w:after="0" w:line="274" w:lineRule="auto"/>
        <w:tabs>
          <w:tab w:leader="none" w:pos="2551"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Scope</w:t>
      </w:r>
      <w:r>
        <w:rPr>
          <w:rFonts w:ascii="Arial" w:cs="Arial" w:eastAsia="Arial" w:hAnsi="Arial"/>
          <w:sz w:val="19"/>
          <w:szCs w:val="19"/>
          <w:color w:val="auto"/>
        </w:rPr>
        <w:t>. The Company hereby agrees to indemnify Indemnitee to 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8(a) hereof.</w:t>
      </w:r>
    </w:p>
    <w:p>
      <w:pPr>
        <w:spacing w:after="0" w:line="158" w:lineRule="exact"/>
        <w:rPr>
          <w:rFonts w:ascii="Arial" w:cs="Arial" w:eastAsia="Arial" w:hAnsi="Arial"/>
          <w:sz w:val="19"/>
          <w:szCs w:val="19"/>
          <w:color w:val="auto"/>
        </w:rPr>
      </w:pPr>
    </w:p>
    <w:p>
      <w:pPr>
        <w:jc w:val="both"/>
        <w:ind w:firstLine="1671"/>
        <w:spacing w:after="0" w:line="277" w:lineRule="auto"/>
        <w:tabs>
          <w:tab w:leader="none" w:pos="2563"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To the fullest extent permissible under applicable law, if the indemnification provided for in this 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Claim in order to reflect (i) the relative benefits received by the Company and Indemnitee as a result of the events and transactions giving rise to such Claim; and (ii) the relative fault of Indemnitee and the Company (and its other directors, officers, employees and agents) in connection with such events and transactions.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2" w:name="page83"/>
    <w:bookmarkEnd w:id="82"/>
    <w:p>
      <w:pPr>
        <w:jc w:val="both"/>
        <w:ind w:firstLine="1671"/>
        <w:spacing w:after="0" w:line="249" w:lineRule="auto"/>
        <w:tabs>
          <w:tab w:leader="none" w:pos="2551"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Nonexclusivity</w:t>
      </w:r>
      <w:r>
        <w:rPr>
          <w:rFonts w:ascii="Arial" w:cs="Arial" w:eastAsia="Arial" w:hAnsi="Arial"/>
          <w:sz w:val="21"/>
          <w:szCs w:val="21"/>
          <w:color w:val="auto"/>
        </w:rPr>
        <w:t>. The indemnification provided by this Agreement shall be in addition to any rights to which Indemnitee may be entitled under the Company’s Certificate of Incorporation, its Bylaws, any vote of stockholders or disinterested directors, the Delaware General Corporation Law, or otherwise. The indemnification provided under this Agreement shall continue as to Indemnitee for any action Indemnitee took or did not take while serving in an indemnified capacity even though Indemnitee may have ceased to serve in such capacity.</w:t>
      </w:r>
    </w:p>
    <w:p>
      <w:pPr>
        <w:spacing w:after="0" w:line="178" w:lineRule="exact"/>
        <w:rPr>
          <w:rFonts w:ascii="Arial" w:cs="Arial" w:eastAsia="Arial" w:hAnsi="Arial"/>
          <w:sz w:val="21"/>
          <w:szCs w:val="21"/>
          <w:color w:val="auto"/>
        </w:rPr>
      </w:pPr>
    </w:p>
    <w:p>
      <w:pPr>
        <w:jc w:val="both"/>
        <w:ind w:firstLine="840"/>
        <w:spacing w:after="0" w:line="297" w:lineRule="auto"/>
        <w:tabs>
          <w:tab w:leader="none" w:pos="164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Duplication of Payments</w:t>
      </w:r>
      <w:r>
        <w:rPr>
          <w:rFonts w:ascii="Arial" w:cs="Arial" w:eastAsia="Arial" w:hAnsi="Arial"/>
          <w:sz w:val="19"/>
          <w:szCs w:val="19"/>
          <w:color w:val="auto"/>
        </w:rPr>
        <w:t>. The Company shall not be liable under this Agreement to make any payment in connection with any Claim made against Indemnitee to the extent Indemnitee has otherwise actually received payment (under any insurance policy, Certificate of Incorporation, Bylaw or otherwise) of the amounts otherwise indemnifiable hereunder.</w:t>
      </w:r>
    </w:p>
    <w:p>
      <w:pPr>
        <w:spacing w:after="0" w:line="133" w:lineRule="exact"/>
        <w:rPr>
          <w:rFonts w:ascii="Arial" w:cs="Arial" w:eastAsia="Arial" w:hAnsi="Arial"/>
          <w:sz w:val="19"/>
          <w:szCs w:val="19"/>
          <w:color w:val="auto"/>
        </w:rPr>
      </w:pPr>
    </w:p>
    <w:p>
      <w:pPr>
        <w:jc w:val="both"/>
        <w:ind w:firstLine="840"/>
        <w:spacing w:after="0" w:line="238" w:lineRule="auto"/>
        <w:tabs>
          <w:tab w:leader="none" w:pos="164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Partial Indemnification</w:t>
      </w:r>
      <w:r>
        <w:rPr>
          <w:rFonts w:ascii="Arial" w:cs="Arial" w:eastAsia="Arial" w:hAnsi="Arial"/>
          <w:sz w:val="22"/>
          <w:szCs w:val="22"/>
          <w:color w:val="auto"/>
        </w:rPr>
        <w:t>. If Indemnitee is entitled under any provision of this Agreement to indemnification by the Company for some or a portion of Expenses incurred in connection with any Claim, but not, however, for all of the total amount thereof, the Company shall nevertheless indemnify Indemnitee for the portion of such Expenses to which Indemnitee is entitled.</w:t>
      </w:r>
    </w:p>
    <w:p>
      <w:pPr>
        <w:spacing w:after="0" w:line="184" w:lineRule="exact"/>
        <w:rPr>
          <w:rFonts w:ascii="Arial" w:cs="Arial" w:eastAsia="Arial" w:hAnsi="Arial"/>
          <w:sz w:val="22"/>
          <w:szCs w:val="22"/>
          <w:color w:val="auto"/>
        </w:rPr>
      </w:pPr>
    </w:p>
    <w:p>
      <w:pPr>
        <w:jc w:val="both"/>
        <w:ind w:firstLine="840"/>
        <w:spacing w:after="0" w:line="235" w:lineRule="auto"/>
        <w:tabs>
          <w:tab w:leader="none" w:pos="164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Mutual Acknowledgement</w:t>
      </w:r>
      <w:r>
        <w:rPr>
          <w:rFonts w:ascii="Arial" w:cs="Arial" w:eastAsia="Arial" w:hAnsi="Arial"/>
          <w:sz w:val="22"/>
          <w:szCs w:val="22"/>
          <w:color w:val="auto"/>
        </w:rPr>
        <w:t>. Both the Company and Indemnitee acknowledge that in certain instances, Federal law or applicable public policy may prohibit the Company from indemnifying its directors, officers, employees, agents or fiduciaries under this Agreement or otherwise.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87" w:lineRule="exact"/>
        <w:rPr>
          <w:rFonts w:ascii="Arial" w:cs="Arial" w:eastAsia="Arial" w:hAnsi="Arial"/>
          <w:sz w:val="22"/>
          <w:szCs w:val="22"/>
          <w:color w:val="auto"/>
        </w:rPr>
      </w:pPr>
    </w:p>
    <w:p>
      <w:pPr>
        <w:jc w:val="both"/>
        <w:ind w:firstLine="840"/>
        <w:spacing w:after="0" w:line="272" w:lineRule="auto"/>
        <w:tabs>
          <w:tab w:leader="none" w:pos="164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Liability Insurance</w:t>
      </w:r>
      <w:r>
        <w:rPr>
          <w:rFonts w:ascii="Arial" w:cs="Arial" w:eastAsia="Arial" w:hAnsi="Arial"/>
          <w:sz w:val="19"/>
          <w:szCs w:val="19"/>
          <w:color w:val="auto"/>
        </w:rPr>
        <w:t>. The Company shall, from time to time, make the good faith determination whether or not it is practicable for the Company to obtain and maintain a policy or policies of insurance with reputable insurance companies providing the officers and directors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directors’ and officers’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subsidiary or parent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3" w:name="page84"/>
    <w:bookmarkEnd w:id="83"/>
    <w:p>
      <w:pPr>
        <w:ind w:right="20" w:firstLine="840"/>
        <w:spacing w:after="0" w:line="250" w:lineRule="auto"/>
        <w:tabs>
          <w:tab w:leader="none" w:pos="164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Exceptions</w:t>
      </w:r>
      <w:r>
        <w:rPr>
          <w:rFonts w:ascii="Arial" w:cs="Arial" w:eastAsia="Arial" w:hAnsi="Arial"/>
          <w:sz w:val="22"/>
          <w:szCs w:val="22"/>
          <w:color w:val="auto"/>
        </w:rPr>
        <w:t>. Any other provision herein to the contrary notwithstanding, the Company shall not be obligated pursuant to the terms of this Agreement:</w:t>
      </w:r>
    </w:p>
    <w:p>
      <w:pPr>
        <w:spacing w:after="0" w:line="174" w:lineRule="exact"/>
        <w:rPr>
          <w:rFonts w:ascii="Arial" w:cs="Arial" w:eastAsia="Arial" w:hAnsi="Arial"/>
          <w:sz w:val="22"/>
          <w:szCs w:val="22"/>
          <w:color w:val="auto"/>
        </w:rPr>
      </w:pPr>
    </w:p>
    <w:p>
      <w:pPr>
        <w:jc w:val="both"/>
        <w:ind w:firstLine="1671"/>
        <w:spacing w:after="0"/>
        <w:tabs>
          <w:tab w:leader="none" w:pos="25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Excluded Action or Omissions</w:t>
      </w:r>
      <w:r>
        <w:rPr>
          <w:rFonts w:ascii="Arial" w:cs="Arial" w:eastAsia="Arial" w:hAnsi="Arial"/>
          <w:sz w:val="22"/>
          <w:szCs w:val="22"/>
          <w:color w:val="auto"/>
        </w:rPr>
        <w:t>. To indemnify Indemnitee for Expenses resulting from acts, omissions or transactions for which Indemnitee is prohibited from receiving indemnification under this Agreement or applicable law;</w:t>
      </w:r>
    </w:p>
    <w:p>
      <w:pPr>
        <w:spacing w:after="0" w:line="186" w:lineRule="exact"/>
        <w:rPr>
          <w:rFonts w:ascii="Arial" w:cs="Arial" w:eastAsia="Arial" w:hAnsi="Arial"/>
          <w:sz w:val="22"/>
          <w:szCs w:val="22"/>
          <w:color w:val="auto"/>
        </w:rPr>
      </w:pPr>
    </w:p>
    <w:p>
      <w:pPr>
        <w:jc w:val="both"/>
        <w:ind w:firstLine="1671"/>
        <w:spacing w:after="0" w:line="277" w:lineRule="auto"/>
        <w:tabs>
          <w:tab w:leader="none" w:pos="2563"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Claims Initiated by Indemnitee</w:t>
      </w:r>
      <w:r>
        <w:rPr>
          <w:rFonts w:ascii="Arial" w:cs="Arial" w:eastAsia="Arial" w:hAnsi="Arial"/>
          <w:sz w:val="19"/>
          <w:szCs w:val="19"/>
          <w:color w:val="auto"/>
        </w:rPr>
        <w:t>. To indemnify or advance expenses to Indemnitee with respect to Claims initiated or brought voluntarily by Indemnitee and not by way of defense, except (i) with respect to actions or proceedings brought to establish or enforce a right to indemnification under this Agreement or any other agreement or insurance policy or under the Company’s Certificate of Incorporation or Bylaws now or hereafter in effect relating to Claims for Indemnifiable Events, (ii) in specific cases if the Board of Directors has approved the initiation or bringing of such Claim, or (iii) as otherwise required under Section 145 of the Delaware General Corporation Law, regardless of whether Indemnitee ultimately is determined to be entitled to such indemnification, advance expense payment or insurance recovery, as the case may be;</w:t>
      </w:r>
    </w:p>
    <w:p>
      <w:pPr>
        <w:spacing w:after="0" w:line="151" w:lineRule="exact"/>
        <w:rPr>
          <w:rFonts w:ascii="Arial" w:cs="Arial" w:eastAsia="Arial" w:hAnsi="Arial"/>
          <w:sz w:val="19"/>
          <w:szCs w:val="19"/>
          <w:color w:val="auto"/>
        </w:rPr>
      </w:pPr>
    </w:p>
    <w:p>
      <w:pPr>
        <w:jc w:val="both"/>
        <w:ind w:firstLine="1671"/>
        <w:spacing w:after="0" w:line="238" w:lineRule="auto"/>
        <w:tabs>
          <w:tab w:leader="none" w:pos="25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Lack of Good Faith</w:t>
      </w:r>
      <w:r>
        <w:rPr>
          <w:rFonts w:ascii="Arial" w:cs="Arial" w:eastAsia="Arial" w:hAnsi="Arial"/>
          <w:sz w:val="22"/>
          <w:szCs w:val="22"/>
          <w:color w:val="auto"/>
        </w:rPr>
        <w:t>. To indemnify Indemnitee for any expenses incurred by Indemnitee with respect to any proceeding instituted by Indemnitee to enforce or interpret this Agreement, if a court of competent jurisdiction determines that each of the material assertions made by Indemnitee in such proceeding was not made in good faith or was frivolous; or</w:t>
      </w:r>
    </w:p>
    <w:p>
      <w:pPr>
        <w:spacing w:after="0" w:line="184" w:lineRule="exact"/>
        <w:rPr>
          <w:rFonts w:ascii="Arial" w:cs="Arial" w:eastAsia="Arial" w:hAnsi="Arial"/>
          <w:sz w:val="22"/>
          <w:szCs w:val="22"/>
          <w:color w:val="auto"/>
        </w:rPr>
      </w:pPr>
    </w:p>
    <w:p>
      <w:pPr>
        <w:jc w:val="both"/>
        <w:ind w:firstLine="1671"/>
        <w:spacing w:after="0"/>
        <w:tabs>
          <w:tab w:leader="none" w:pos="2563"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Claims Under Section 16(b)</w:t>
      </w:r>
      <w:r>
        <w:rPr>
          <w:rFonts w:ascii="Arial" w:cs="Arial" w:eastAsia="Arial" w:hAnsi="Arial"/>
          <w:sz w:val="22"/>
          <w:szCs w:val="22"/>
          <w:color w:val="auto"/>
        </w:rPr>
        <w:t>. To indemnify Indemnitee for expenses and the payment of profits arising from the purchase and sale by Indemnitee of securities in violation of Section 16(b) of the Securities Exchange Act of 1934, as amended, or any similar successor statute.</w:t>
      </w:r>
    </w:p>
    <w:p>
      <w:pPr>
        <w:spacing w:after="0" w:line="186" w:lineRule="exact"/>
        <w:rPr>
          <w:rFonts w:ascii="Arial" w:cs="Arial" w:eastAsia="Arial" w:hAnsi="Arial"/>
          <w:sz w:val="22"/>
          <w:szCs w:val="22"/>
          <w:color w:val="auto"/>
        </w:rPr>
      </w:pPr>
    </w:p>
    <w:p>
      <w:pPr>
        <w:jc w:val="both"/>
        <w:ind w:firstLine="1671"/>
        <w:spacing w:after="0" w:line="246" w:lineRule="auto"/>
        <w:tabs>
          <w:tab w:leader="none" w:pos="2551"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Reimbursements.</w:t>
      </w:r>
      <w:r>
        <w:rPr>
          <w:rFonts w:ascii="Arial" w:cs="Arial" w:eastAsia="Arial" w:hAnsi="Arial"/>
          <w:sz w:val="21"/>
          <w:szCs w:val="21"/>
          <w:color w:val="auto"/>
        </w:rPr>
        <w:t xml:space="preserve"> To indemnify Indemnitee 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21"/>
          <w:szCs w:val="21"/>
          <w:b w:val="1"/>
          <w:bCs w:val="1"/>
          <w:color w:val="auto"/>
        </w:rPr>
        <w:t>Sarbanes-Oxley Act</w:t>
      </w:r>
      <w:r>
        <w:rPr>
          <w:rFonts w:ascii="Arial" w:cs="Arial" w:eastAsia="Arial" w:hAnsi="Arial"/>
          <w:sz w:val="21"/>
          <w:szCs w:val="21"/>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84" w:lineRule="exact"/>
        <w:rPr>
          <w:rFonts w:ascii="Arial" w:cs="Arial" w:eastAsia="Arial" w:hAnsi="Arial"/>
          <w:sz w:val="21"/>
          <w:szCs w:val="21"/>
          <w:color w:val="auto"/>
        </w:rPr>
      </w:pPr>
    </w:p>
    <w:p>
      <w:pPr>
        <w:jc w:val="both"/>
        <w:ind w:firstLine="840"/>
        <w:spacing w:after="0" w:line="235" w:lineRule="auto"/>
        <w:tabs>
          <w:tab w:leader="none" w:pos="164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Period of Limitations</w:t>
      </w:r>
      <w:r>
        <w:rPr>
          <w:rFonts w:ascii="Arial" w:cs="Arial" w:eastAsia="Arial" w:hAnsi="Arial"/>
          <w:sz w:val="22"/>
          <w:szCs w:val="22"/>
          <w:color w:val="auto"/>
        </w:rPr>
        <w:t xml:space="preserve">. No legal action shall be brought and no cause of action shall be asserted by or in the right of the Company against Indemnitee, Indemnitee’s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shorter period of limitations is otherwise applicable to any such cause of action, such shorter period shall govern.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4" w:name="page85"/>
    <w:bookmarkEnd w:id="84"/>
    <w:p>
      <w:pPr>
        <w:ind w:left="1760" w:hanging="920"/>
        <w:spacing w:after="0"/>
        <w:tabs>
          <w:tab w:leader="none" w:pos="17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Construction of Certain Phrases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671"/>
        <w:spacing w:after="0" w:line="275" w:lineRule="auto"/>
        <w:tabs>
          <w:tab w:leader="none" w:pos="2551" w:val="left"/>
        </w:tabs>
        <w:numPr>
          <w:ilvl w:val="1"/>
          <w:numId w:val="48"/>
        </w:numPr>
        <w:rPr>
          <w:rFonts w:ascii="Arial" w:cs="Arial" w:eastAsia="Arial" w:hAnsi="Arial"/>
          <w:sz w:val="19"/>
          <w:szCs w:val="19"/>
          <w:color w:val="auto"/>
        </w:rPr>
      </w:pPr>
      <w:r>
        <w:rPr>
          <w:rFonts w:ascii="Arial" w:cs="Arial" w:eastAsia="Arial" w:hAnsi="Arial"/>
          <w:sz w:val="19"/>
          <w:szCs w:val="19"/>
          <w:color w:val="auto"/>
        </w:rPr>
        <w:t>For purposes of this Agreement,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57" w:lineRule="exact"/>
        <w:rPr>
          <w:rFonts w:ascii="Arial" w:cs="Arial" w:eastAsia="Arial" w:hAnsi="Arial"/>
          <w:sz w:val="19"/>
          <w:szCs w:val="19"/>
          <w:color w:val="auto"/>
        </w:rPr>
      </w:pPr>
    </w:p>
    <w:p>
      <w:pPr>
        <w:jc w:val="both"/>
        <w:ind w:firstLine="1671"/>
        <w:spacing w:after="0" w:line="277" w:lineRule="auto"/>
        <w:tabs>
          <w:tab w:leader="none" w:pos="2563" w:val="left"/>
        </w:tabs>
        <w:numPr>
          <w:ilvl w:val="1"/>
          <w:numId w:val="48"/>
        </w:numPr>
        <w:rPr>
          <w:rFonts w:ascii="Arial" w:cs="Arial" w:eastAsia="Arial" w:hAnsi="Arial"/>
          <w:sz w:val="19"/>
          <w:szCs w:val="19"/>
          <w:color w:val="auto"/>
        </w:rPr>
      </w:pPr>
      <w:r>
        <w:rPr>
          <w:rFonts w:ascii="Arial" w:cs="Arial" w:eastAsia="Arial" w:hAnsi="Arial"/>
          <w:sz w:val="19"/>
          <w:szCs w:val="19"/>
          <w:color w:val="auto"/>
        </w:rPr>
        <w:t>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w:t>
      </w:r>
    </w:p>
    <w:p>
      <w:pPr>
        <w:spacing w:after="0" w:line="151" w:lineRule="exact"/>
        <w:rPr>
          <w:rFonts w:ascii="Arial" w:cs="Arial" w:eastAsia="Arial" w:hAnsi="Arial"/>
          <w:sz w:val="19"/>
          <w:szCs w:val="19"/>
          <w:color w:val="auto"/>
        </w:rPr>
      </w:pPr>
    </w:p>
    <w:p>
      <w:pPr>
        <w:jc w:val="both"/>
        <w:ind w:firstLine="1671"/>
        <w:spacing w:after="0" w:line="270" w:lineRule="auto"/>
        <w:tabs>
          <w:tab w:leader="none" w:pos="2551"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For purposes of this Agreement a “Change in Control” shall be deemed to have occurred if, on or after the date of this Agreement,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 (as defined in Rule 13d-3 under said Act), directly or indirectly, of securities of the Company representing more than </w:t>
      </w:r>
      <w:r>
        <w:rPr>
          <w:rFonts w:ascii="Arial" w:cs="Arial" w:eastAsia="Arial" w:hAnsi="Arial"/>
          <w:sz w:val="19"/>
          <w:szCs w:val="19"/>
          <w:u w:val="single" w:color="auto"/>
          <w:color w:val="auto"/>
        </w:rPr>
        <w:t>50%</w:t>
      </w:r>
      <w:r>
        <w:rPr>
          <w:rFonts w:ascii="Arial" w:cs="Arial" w:eastAsia="Arial" w:hAnsi="Arial"/>
          <w:sz w:val="19"/>
          <w:szCs w:val="19"/>
          <w:color w:val="auto"/>
        </w:rPr>
        <w:t xml:space="preserve"> of the total voting power represented by the Company’s then outstanding Voting Securities, (ii) 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 thirds (2/3)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5" w:name="page86"/>
    <w:bookmarkEnd w:id="85"/>
    <w:p>
      <w:pPr>
        <w:jc w:val="both"/>
        <w:spacing w:after="0" w:line="252" w:lineRule="auto"/>
        <w:rPr>
          <w:sz w:val="20"/>
          <w:szCs w:val="20"/>
          <w:color w:val="auto"/>
        </w:rPr>
      </w:pPr>
      <w:r>
        <w:rPr>
          <w:rFonts w:ascii="Arial" w:cs="Arial" w:eastAsia="Arial" w:hAnsi="Arial"/>
          <w:sz w:val="21"/>
          <w:szCs w:val="21"/>
          <w:color w:val="auto"/>
        </w:rPr>
        <w:t>by the Company of (in one transaction or a series of related transactions) all or substantially all of the Company’s assets, or (iv) any other event of a nature that would be required to be reported in response to Item 6(e) of Schedule 14A of Regulation 14A (or in response to any similar item on any similar schedule or form) promulgated under the Securities Exchange Act of 1934, as amended, whether or not the Company is then subject to such reporting requirement.</w:t>
      </w:r>
    </w:p>
    <w:p>
      <w:pPr>
        <w:spacing w:after="0" w:line="174" w:lineRule="exact"/>
        <w:rPr>
          <w:sz w:val="20"/>
          <w:szCs w:val="20"/>
          <w:color w:val="auto"/>
        </w:rPr>
      </w:pPr>
    </w:p>
    <w:p>
      <w:pPr>
        <w:jc w:val="both"/>
        <w:ind w:firstLine="1671"/>
        <w:spacing w:after="0" w:line="252" w:lineRule="auto"/>
        <w:tabs>
          <w:tab w:leader="none" w:pos="2563" w:val="left"/>
        </w:tabs>
        <w:numPr>
          <w:ilvl w:val="1"/>
          <w:numId w:val="49"/>
        </w:numPr>
        <w:rPr>
          <w:rFonts w:ascii="Arial" w:cs="Arial" w:eastAsia="Arial" w:hAnsi="Arial"/>
          <w:sz w:val="21"/>
          <w:szCs w:val="21"/>
          <w:color w:val="auto"/>
        </w:rPr>
      </w:pPr>
      <w:r>
        <w:rPr>
          <w:rFonts w:ascii="Arial" w:cs="Arial" w:eastAsia="Arial" w:hAnsi="Arial"/>
          <w:sz w:val="21"/>
          <w:szCs w:val="21"/>
          <w:color w:val="auto"/>
        </w:rPr>
        <w:t>For purposes of this Agreement, “Independent Legal Counsel” shall mean an attorney or firm of attorneys, selected in accordance with the provisions of Section 1(c) hereof, who shall not have otherwise performed services for the Company or Indemnitees within the last three years (other than with respect to matters concerning the rights of Indemnitees under this Agreement, or of other indemnitees under similar indemnity agreements).</w:t>
      </w:r>
    </w:p>
    <w:p>
      <w:pPr>
        <w:spacing w:after="0" w:line="173" w:lineRule="exact"/>
        <w:rPr>
          <w:rFonts w:ascii="Arial" w:cs="Arial" w:eastAsia="Arial" w:hAnsi="Arial"/>
          <w:sz w:val="21"/>
          <w:szCs w:val="21"/>
          <w:color w:val="auto"/>
        </w:rPr>
      </w:pPr>
    </w:p>
    <w:p>
      <w:pPr>
        <w:jc w:val="both"/>
        <w:ind w:firstLine="1671"/>
        <w:spacing w:after="0" w:line="238" w:lineRule="auto"/>
        <w:tabs>
          <w:tab w:leader="none" w:pos="2551" w:val="left"/>
        </w:tabs>
        <w:numPr>
          <w:ilvl w:val="1"/>
          <w:numId w:val="49"/>
        </w:numPr>
        <w:rPr>
          <w:rFonts w:ascii="Arial" w:cs="Arial" w:eastAsia="Arial" w:hAnsi="Arial"/>
          <w:sz w:val="22"/>
          <w:szCs w:val="22"/>
          <w:color w:val="auto"/>
        </w:rPr>
      </w:pPr>
      <w:r>
        <w:rPr>
          <w:rFonts w:ascii="Arial" w:cs="Arial" w:eastAsia="Arial" w:hAnsi="Arial"/>
          <w:sz w:val="22"/>
          <w:szCs w:val="22"/>
          <w:color w:val="auto"/>
        </w:rPr>
        <w:t>For purposes of this Agreement, a “Reviewing Party” shall mean any appropriate person or body consisting of a member or members of the Company’s Board of Directors or any other person or body appointed by the Board of Directors who is not a party to the particular Claim for which Indemnitee are seeking indemnification, or Independent Legal Counsel.</w:t>
      </w:r>
    </w:p>
    <w:p>
      <w:pPr>
        <w:spacing w:after="0" w:line="184" w:lineRule="exact"/>
        <w:rPr>
          <w:rFonts w:ascii="Arial" w:cs="Arial" w:eastAsia="Arial" w:hAnsi="Arial"/>
          <w:sz w:val="22"/>
          <w:szCs w:val="22"/>
          <w:color w:val="auto"/>
        </w:rPr>
      </w:pPr>
    </w:p>
    <w:p>
      <w:pPr>
        <w:ind w:firstLine="1671"/>
        <w:spacing w:after="0" w:line="250" w:lineRule="auto"/>
        <w:tabs>
          <w:tab w:leader="none" w:pos="2527" w:val="left"/>
        </w:tabs>
        <w:numPr>
          <w:ilvl w:val="1"/>
          <w:numId w:val="49"/>
        </w:numPr>
        <w:rPr>
          <w:rFonts w:ascii="Arial" w:cs="Arial" w:eastAsia="Arial" w:hAnsi="Arial"/>
          <w:sz w:val="22"/>
          <w:szCs w:val="22"/>
          <w:color w:val="auto"/>
        </w:rPr>
      </w:pPr>
      <w:r>
        <w:rPr>
          <w:rFonts w:ascii="Arial" w:cs="Arial" w:eastAsia="Arial" w:hAnsi="Arial"/>
          <w:sz w:val="22"/>
          <w:szCs w:val="22"/>
          <w:color w:val="auto"/>
        </w:rPr>
        <w:t>For purposes of this Agreement, “Voting Securities” shall mean any securities of the Company that vote generally in the election of directors.</w:t>
      </w:r>
    </w:p>
    <w:p>
      <w:pPr>
        <w:spacing w:after="0" w:line="174" w:lineRule="exact"/>
        <w:rPr>
          <w:rFonts w:ascii="Arial" w:cs="Arial" w:eastAsia="Arial" w:hAnsi="Arial"/>
          <w:sz w:val="22"/>
          <w:szCs w:val="22"/>
          <w:color w:val="auto"/>
        </w:rPr>
      </w:pPr>
    </w:p>
    <w:p>
      <w:pPr>
        <w:ind w:left="1760" w:hanging="920"/>
        <w:spacing w:after="0"/>
        <w:tabs>
          <w:tab w:leader="none" w:pos="176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shall constitute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original.</w:t>
      </w:r>
    </w:p>
    <w:p>
      <w:pPr>
        <w:spacing w:after="0" w:line="188" w:lineRule="exact"/>
        <w:rPr>
          <w:rFonts w:ascii="Arial" w:cs="Arial" w:eastAsia="Arial" w:hAnsi="Arial"/>
          <w:sz w:val="19"/>
          <w:szCs w:val="19"/>
          <w:color w:val="auto"/>
        </w:rPr>
      </w:pPr>
    </w:p>
    <w:p>
      <w:pPr>
        <w:jc w:val="both"/>
        <w:ind w:firstLine="840"/>
        <w:spacing w:after="0" w:line="245" w:lineRule="auto"/>
        <w:tabs>
          <w:tab w:leader="none" w:pos="175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Binding Effect; Successors and Assigns</w:t>
      </w:r>
      <w:r>
        <w:rPr>
          <w:rFonts w:ascii="Arial" w:cs="Arial" w:eastAsia="Arial" w:hAnsi="Arial"/>
          <w:sz w:val="21"/>
          <w:szCs w:val="21"/>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with respect to Claims relating to Indemnifiable Events regardless of whether Indemnitee continues to serve as a director, officer, employee, agent or fiduciary of the Company or of any other enterprise at the Company’s request.</w:t>
      </w:r>
    </w:p>
    <w:p>
      <w:pPr>
        <w:spacing w:after="0" w:line="180" w:lineRule="exact"/>
        <w:rPr>
          <w:rFonts w:ascii="Arial" w:cs="Arial" w:eastAsia="Arial" w:hAnsi="Arial"/>
          <w:sz w:val="21"/>
          <w:szCs w:val="21"/>
          <w:color w:val="auto"/>
        </w:rPr>
      </w:pPr>
    </w:p>
    <w:p>
      <w:pPr>
        <w:jc w:val="both"/>
        <w:ind w:firstLine="840"/>
        <w:spacing w:after="0" w:line="277" w:lineRule="auto"/>
        <w:tabs>
          <w:tab w:leader="none" w:pos="175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that any action is instituted by Indemnitee under this Agreement or under any liability insurance policies maintained by the Company to enforce or interpret any of the terms hereof or thereof, Indemnitee shall be entitled to be paid all Expenses incurred by Indemnitee with respect to such action, regardless of whether Indemnitee is ultimately successful in such action, and shall be entitled to the advancement of Expenses with respect to such action, unless, as a part of such action, a court of competent jurisdiction over such action determines that each of the material assertions made by Indemnitee as a basis for such action was not made in good faith or was frivolous. In the event of an action instituted by or in the name of the Company under this Agreement to enforce or interpret any of the terms of this Agreement, Indemnitee shall be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6" w:name="page87"/>
    <w:bookmarkEnd w:id="86"/>
    <w:p>
      <w:pPr>
        <w:jc w:val="both"/>
        <w:spacing w:after="0" w:line="287" w:lineRule="auto"/>
        <w:rPr>
          <w:sz w:val="20"/>
          <w:szCs w:val="20"/>
          <w:color w:val="auto"/>
        </w:rPr>
      </w:pPr>
      <w:r>
        <w:rPr>
          <w:rFonts w:ascii="Arial" w:cs="Arial" w:eastAsia="Arial" w:hAnsi="Arial"/>
          <w:sz w:val="19"/>
          <w:szCs w:val="19"/>
          <w:color w:val="auto"/>
        </w:rPr>
        <w:t>entitled to be paid all Expenses incurred by Indemnitee in defense of such action (including costs and expenses incurred with respect to Indemnitee’s counterclaims and cross-claims made in such action), and shall be entitled to the advancement of Expenses with respect to such action, unless, as a part of such action, a court having jurisdiction over such action determines that each of Indemnitee’s material defenses to such action was made in bad faith or was frivolous.</w:t>
      </w:r>
    </w:p>
    <w:p>
      <w:pPr>
        <w:spacing w:after="0" w:line="143" w:lineRule="exact"/>
        <w:rPr>
          <w:sz w:val="20"/>
          <w:szCs w:val="20"/>
          <w:color w:val="auto"/>
        </w:rPr>
      </w:pPr>
    </w:p>
    <w:p>
      <w:pPr>
        <w:jc w:val="both"/>
        <w:ind w:firstLine="840"/>
        <w:spacing w:after="0" w:line="275" w:lineRule="auto"/>
        <w:tabs>
          <w:tab w:leader="none" w:pos="175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(c) one business day after the business day of deposit with Federal Express or similar overnight courier, freight prepaid, or (d) one day after the business day of delivery by facsimile transmission, if delivered by facsimile transmission, with copy by first class mail, postage prepaid, and shall be addressed if to Indemnitee, at the Indemnitee’s address as set forth beneath Indemnitee’s signature to this Agreement and if to the Company at the address of its principal corporate offices (attention: Secretary) or at such other address as such party may designate by ten days’ advance written notice to the other party hereto.</w:t>
      </w:r>
    </w:p>
    <w:p>
      <w:pPr>
        <w:spacing w:after="0" w:line="157" w:lineRule="exact"/>
        <w:rPr>
          <w:rFonts w:ascii="Arial" w:cs="Arial" w:eastAsia="Arial" w:hAnsi="Arial"/>
          <w:sz w:val="19"/>
          <w:szCs w:val="19"/>
          <w:color w:val="auto"/>
        </w:rPr>
      </w:pPr>
    </w:p>
    <w:p>
      <w:pPr>
        <w:jc w:val="both"/>
        <w:ind w:firstLine="840"/>
        <w:spacing w:after="0" w:line="236" w:lineRule="auto"/>
        <w:tabs>
          <w:tab w:leader="none" w:pos="175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 The Company and Indemnitee each hereby irrevocably consent to the jurisdiction of the courts of the State of Delaware for all purposes in connection with any action or proceeding which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87" w:lineRule="exact"/>
        <w:rPr>
          <w:rFonts w:ascii="Arial" w:cs="Arial" w:eastAsia="Arial" w:hAnsi="Arial"/>
          <w:sz w:val="22"/>
          <w:szCs w:val="22"/>
          <w:color w:val="auto"/>
        </w:rPr>
      </w:pPr>
    </w:p>
    <w:p>
      <w:pPr>
        <w:jc w:val="both"/>
        <w:ind w:firstLine="840"/>
        <w:spacing w:after="0" w:line="234" w:lineRule="auto"/>
        <w:tabs>
          <w:tab w:leader="none" w:pos="175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90" w:lineRule="exact"/>
        <w:rPr>
          <w:rFonts w:ascii="Arial" w:cs="Arial" w:eastAsia="Arial" w:hAnsi="Arial"/>
          <w:sz w:val="22"/>
          <w:szCs w:val="22"/>
          <w:color w:val="auto"/>
        </w:rPr>
      </w:pPr>
    </w:p>
    <w:p>
      <w:pPr>
        <w:jc w:val="both"/>
        <w:ind w:firstLine="840"/>
        <w:spacing w:after="0" w:line="257" w:lineRule="auto"/>
        <w:tabs>
          <w:tab w:leader="none" w:pos="175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governed by and its provisions construed and enforced in accordance with the laws of the State of Delaware, as applied to contracts between Delaware residents, entered into and to be performed entirely within the State of Delaware, without regard to the conflict of laws principles thereof.</w:t>
      </w:r>
    </w:p>
    <w:p>
      <w:pPr>
        <w:spacing w:after="0" w:line="169" w:lineRule="exact"/>
        <w:rPr>
          <w:rFonts w:ascii="Arial" w:cs="Arial" w:eastAsia="Arial" w:hAnsi="Arial"/>
          <w:sz w:val="21"/>
          <w:szCs w:val="21"/>
          <w:color w:val="auto"/>
        </w:rPr>
      </w:pPr>
    </w:p>
    <w:p>
      <w:pPr>
        <w:jc w:val="both"/>
        <w:ind w:firstLine="840"/>
        <w:spacing w:after="0" w:line="297" w:lineRule="auto"/>
        <w:tabs>
          <w:tab w:leader="none" w:pos="175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Subrogation</w:t>
      </w:r>
      <w:r>
        <w:rPr>
          <w:rFonts w:ascii="Arial" w:cs="Arial" w:eastAsia="Arial" w:hAnsi="Arial"/>
          <w:sz w:val="19"/>
          <w:szCs w:val="19"/>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33" w:lineRule="exact"/>
        <w:rPr>
          <w:rFonts w:ascii="Arial" w:cs="Arial" w:eastAsia="Arial" w:hAnsi="Arial"/>
          <w:sz w:val="19"/>
          <w:szCs w:val="19"/>
          <w:color w:val="auto"/>
        </w:rPr>
      </w:pPr>
    </w:p>
    <w:p>
      <w:pPr>
        <w:ind w:right="20" w:firstLine="840"/>
        <w:spacing w:after="0" w:line="250" w:lineRule="auto"/>
        <w:tabs>
          <w:tab w:leader="none" w:pos="207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Duration</w:t>
      </w:r>
      <w:r>
        <w:rPr>
          <w:rFonts w:ascii="Arial" w:cs="Arial" w:eastAsia="Arial" w:hAnsi="Arial"/>
          <w:sz w:val="22"/>
          <w:szCs w:val="22"/>
          <w:color w:val="auto"/>
        </w:rPr>
        <w:t>. This Agreement shall continue until and terminate upon the later of (a) ten years after the date that Indemnitee shall have ceased to serve as a director or officer of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7" w:name="page88"/>
    <w:bookmarkEnd w:id="87"/>
    <w:p>
      <w:pPr>
        <w:jc w:val="both"/>
        <w:spacing w:after="0" w:line="238" w:lineRule="auto"/>
        <w:rPr>
          <w:sz w:val="20"/>
          <w:szCs w:val="20"/>
          <w:color w:val="auto"/>
        </w:rPr>
      </w:pPr>
      <w:r>
        <w:rPr>
          <w:rFonts w:ascii="Arial" w:cs="Arial" w:eastAsia="Arial" w:hAnsi="Arial"/>
          <w:sz w:val="22"/>
          <w:szCs w:val="22"/>
          <w:color w:val="auto"/>
        </w:rPr>
        <w:t>or as a director, trustee, general partner, managing member, officer, employee, agent or fiduciary of any other enterprise, as applicable; or (b) one year after the final termination of any Claim, including any appeal, then pending in respect of which Indemnitee is granted rights of indemnification or advancement of Expenses hereunder and of any proceeding commenced by Indemnitee pursuant to Section 2(a) of this Agreement relating thereto.</w:t>
      </w:r>
    </w:p>
    <w:p>
      <w:pPr>
        <w:spacing w:after="0" w:line="185" w:lineRule="exact"/>
        <w:rPr>
          <w:sz w:val="20"/>
          <w:szCs w:val="20"/>
          <w:color w:val="auto"/>
        </w:rPr>
      </w:pPr>
    </w:p>
    <w:p>
      <w:pPr>
        <w:jc w:val="both"/>
        <w:ind w:firstLine="840"/>
        <w:spacing w:after="0" w:line="235" w:lineRule="auto"/>
        <w:tabs>
          <w:tab w:leader="none" w:pos="175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No amendment, modification, termination or cancellation of this Agreement shall be effective unless it is in writing signed by both the parties hereto. No amendment, alteration or repeal of this Agreement shall adversely affect any right of Indemnitee under this Agreement in respect of any action taken or omitted by such Indemnitee in relation to an Indemnifiable Event prior to such amendment, alteration or repeal. No waiver of any of the provisions of this Agreement shall be deemed or shall constitute a waiver of any other provisions hereof (whether or not similar) nor shall such waiver constitute a continuing waiver.</w:t>
      </w:r>
    </w:p>
    <w:p>
      <w:pPr>
        <w:spacing w:after="0" w:line="187" w:lineRule="exact"/>
        <w:rPr>
          <w:rFonts w:ascii="Arial" w:cs="Arial" w:eastAsia="Arial" w:hAnsi="Arial"/>
          <w:sz w:val="22"/>
          <w:szCs w:val="22"/>
          <w:color w:val="auto"/>
        </w:rPr>
      </w:pPr>
    </w:p>
    <w:p>
      <w:pPr>
        <w:jc w:val="both"/>
        <w:ind w:firstLine="840"/>
        <w:spacing w:after="0" w:line="252" w:lineRule="auto"/>
        <w:tabs>
          <w:tab w:leader="none" w:pos="175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Integration and Entire Agreement</w:t>
      </w:r>
      <w:r>
        <w:rPr>
          <w:rFonts w:ascii="Arial" w:cs="Arial" w:eastAsia="Arial" w:hAnsi="Arial"/>
          <w:sz w:val="21"/>
          <w:szCs w:val="21"/>
          <w:color w:val="auto"/>
        </w:rPr>
        <w:t xml:space="preserve">. This Agreement sets forth the entire understanding between the parties hereto and supersedes and merges all previous written and oral negotiations, commitments, understandings and agreements relating to the subject matter hereof between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Agreement is a supplement to and in furtherance of the Company’s Certificate of Incorporation, Bylaws and applicable law.</w:t>
      </w:r>
    </w:p>
    <w:p>
      <w:pPr>
        <w:spacing w:after="0" w:line="173" w:lineRule="exact"/>
        <w:rPr>
          <w:rFonts w:ascii="Arial" w:cs="Arial" w:eastAsia="Arial" w:hAnsi="Arial"/>
          <w:sz w:val="21"/>
          <w:szCs w:val="21"/>
          <w:color w:val="auto"/>
        </w:rPr>
      </w:pPr>
    </w:p>
    <w:p>
      <w:pPr>
        <w:ind w:right="20" w:firstLine="840"/>
        <w:spacing w:after="0" w:line="250" w:lineRule="auto"/>
        <w:tabs>
          <w:tab w:leader="none" w:pos="175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 Construction as Employment Agreement</w:t>
      </w:r>
      <w:r>
        <w:rPr>
          <w:rFonts w:ascii="Arial" w:cs="Arial" w:eastAsia="Arial" w:hAnsi="Arial"/>
          <w:sz w:val="22"/>
          <w:szCs w:val="22"/>
          <w:color w:val="auto"/>
        </w:rPr>
        <w:t>. Nothing contained in this Agreement shall be construed as giving Indemnitee any right to be retained in the employ of the Company or any of its subsidiaries.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8" w:name="page89"/>
    <w:bookmarkEnd w:id="88"/>
    <w:p>
      <w:pPr>
        <w:ind w:left="840"/>
        <w:spacing w:after="0"/>
        <w:rPr>
          <w:sz w:val="20"/>
          <w:szCs w:val="20"/>
          <w:color w:val="auto"/>
        </w:rPr>
      </w:pPr>
      <w:r>
        <w:rPr>
          <w:rFonts w:ascii="Arial" w:cs="Arial" w:eastAsia="Arial" w:hAnsi="Arial"/>
          <w:sz w:val="21"/>
          <w:szCs w:val="21"/>
          <w:color w:val="auto"/>
        </w:rPr>
        <w:t>IN WITNESS WHEREOF, the parties hereto have executed this Agreement as of the date first above written.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IRIDEX CORPORATION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By</w:t>
      </w:r>
    </w:p>
    <w:p>
      <w:pPr>
        <w:spacing w:after="0" w:line="11" w:lineRule="exact"/>
        <w:rPr>
          <w:sz w:val="20"/>
          <w:szCs w:val="20"/>
          <w:color w:val="auto"/>
        </w:rPr>
      </w:pPr>
    </w:p>
    <w:tbl>
      <w:tblPr>
        <w:tblLayout w:type="fixed"/>
        <w:tblInd w:w="562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43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David I. Bruce</w:t>
            </w:r>
          </w:p>
        </w:tc>
      </w:tr>
      <w:tr>
        <w:trPr>
          <w:trHeight w:val="274"/>
        </w:trPr>
        <w:tc>
          <w:tcPr>
            <w:tcW w:w="124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r>
        <w:trPr>
          <w:trHeight w:val="428"/>
        </w:trPr>
        <w:tc>
          <w:tcPr>
            <w:tcW w:w="1240" w:type="dxa"/>
            <w:vAlign w:val="bottom"/>
          </w:tcPr>
          <w:p>
            <w:pPr>
              <w:spacing w:after="0"/>
              <w:rPr>
                <w:sz w:val="20"/>
                <w:szCs w:val="20"/>
                <w:color w:val="auto"/>
              </w:rPr>
            </w:pPr>
            <w:r>
              <w:rPr>
                <w:rFonts w:ascii="Arial" w:cs="Arial" w:eastAsia="Arial" w:hAnsi="Arial"/>
                <w:sz w:val="22"/>
                <w:szCs w:val="22"/>
                <w:color w:val="auto"/>
              </w:rPr>
              <w:t>Address:</w:t>
            </w:r>
          </w:p>
        </w:tc>
        <w:tc>
          <w:tcPr>
            <w:tcW w:w="4380" w:type="dxa"/>
            <w:vAlign w:val="bottom"/>
          </w:tcPr>
          <w:p>
            <w:pPr>
              <w:spacing w:after="0"/>
              <w:rPr>
                <w:sz w:val="20"/>
                <w:szCs w:val="20"/>
                <w:color w:val="auto"/>
              </w:rPr>
            </w:pPr>
            <w:r>
              <w:rPr>
                <w:rFonts w:ascii="Arial" w:cs="Arial" w:eastAsia="Arial" w:hAnsi="Arial"/>
                <w:sz w:val="22"/>
                <w:szCs w:val="22"/>
                <w:color w:val="auto"/>
              </w:rPr>
              <w:t>1212 Terra Bella</w:t>
            </w:r>
          </w:p>
        </w:tc>
      </w:tr>
      <w:tr>
        <w:trPr>
          <w:trHeight w:val="274"/>
        </w:trPr>
        <w:tc>
          <w:tcPr>
            <w:tcW w:w="124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Mountain View, CA 94043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 BY: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Iridex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ectPr>
          <w:pgSz w:w="11900" w:h="16838" w:orient="portrait"/>
          <w:cols w:equalWidth="0" w:num="1">
            <w:col w:w="11240"/>
          </w:cols>
          <w:pgMar w:left="320" w:top="76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(333-257807, 333-213094) and Form S-8 (333-257808, 333-233628, 333-226358, 333-219448, 333-197934, 333-183513, 333-161630, 333-155598, 333-147866, 333-135822, 333-127716, 333-117885, 333-107700, 333-97541, 333-67480, 333-45736, 333-86091, 333-57573, 333-32161) of our report dated March 10, 2022 relating to the consolidated financial statements of IRIDEX Corporation as of January 1, 2022, which appears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20" w:hanging="500"/>
        <w:spacing w:after="0" w:line="286" w:lineRule="auto"/>
        <w:tabs>
          <w:tab w:leader="none" w:pos="15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17"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20" w:hanging="500"/>
        <w:spacing w:after="0" w:line="286" w:lineRule="auto"/>
        <w:tabs>
          <w:tab w:leader="none" w:pos="15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Fuad Ahmad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Annual Report of IRIDEX Corporation on Form 10-K for the fiscal year ended January 1, 2022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Annual Report of IRIDEX Corporation on Form 10-K for the fiscal year ended January 1, 2022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Fuad Ahmad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lvl w:ilvl="1">
      <w:lvlJc w:val="left"/>
      <w:lvlText w:val="%2."/>
      <w:numFmt w:val="lowerLetter"/>
      <w:start w:val="1"/>
    </w:lvl>
  </w:abstractNum>
  <w:abstractNum w:abstractNumId="24">
    <w:nsid w:val="51EAD36B"/>
    <w:multiLevelType w:val="hybridMultilevel"/>
    <w:lvl w:ilvl="0">
      <w:lvlJc w:val="left"/>
      <w:lvlText w:val="(%1)"/>
      <w:numFmt w:val="decimal"/>
      <w:start w:val="4"/>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153EA438"/>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04"/>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upperLetter"/>
      <w:start w:val="16"/>
    </w:lvl>
  </w:abstractNum>
  <w:abstractNum w:abstractNumId="33">
    <w:nsid w:val="725A06FB"/>
    <w:multiLevelType w:val="hybridMultilevel"/>
    <w:lvl w:ilvl="0">
      <w:lvlJc w:val="left"/>
      <w:lvlText w:val="%1."/>
      <w:numFmt w:val="upperLetter"/>
      <w:start w:val="1"/>
    </w:lvl>
  </w:abstractNum>
  <w:abstractNum w:abstractNumId="34">
    <w:nsid w:val="2CD89A32"/>
    <w:multiLevelType w:val="hybridMultilevel"/>
    <w:lvl w:ilvl="0">
      <w:lvlJc w:val="left"/>
      <w:lvlText w:val="%1."/>
      <w:numFmt w:val="decimal"/>
      <w:start w:val="1"/>
    </w:lvl>
    <w:lvl w:ilvl="1">
      <w:lvlJc w:val="left"/>
      <w:lvlText w:val="(%2)"/>
      <w:numFmt w:val="lowerLetter"/>
      <w:start w:val="1"/>
    </w:lvl>
  </w:abstractNum>
  <w:abstractNum w:abstractNumId="35">
    <w:nsid w:val="57E4CCAF"/>
    <w:multiLevelType w:val="hybridMultilevel"/>
    <w:lvl w:ilvl="0">
      <w:lvlJc w:val="left"/>
      <w:lvlText w:val="(%1)"/>
      <w:numFmt w:val="lowerLetter"/>
      <w:start w:val="2"/>
    </w:lvl>
  </w:abstractNum>
  <w:abstractNum w:abstractNumId="36">
    <w:nsid w:val="7A6D8D3C"/>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37">
    <w:nsid w:val="4B588F5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38">
    <w:nsid w:val="542289EC"/>
    <w:multiLevelType w:val="hybridMultilevel"/>
    <w:lvl w:ilvl="0">
      <w:lvlJc w:val="left"/>
      <w:lvlText w:val="%1"/>
      <w:numFmt w:val="decimal"/>
      <w:start w:val="1"/>
    </w:lvl>
    <w:lvl w:ilvl="1">
      <w:lvlJc w:val="left"/>
      <w:lvlText w:val="(%2)"/>
      <w:numFmt w:val="lowerRoman"/>
      <w:start w:val="2"/>
    </w:lvl>
  </w:abstractNum>
  <w:abstractNum w:abstractNumId="39">
    <w:nsid w:val="6DE91B18"/>
    <w:multiLevelType w:val="hybridMultilevel"/>
    <w:lvl w:ilvl="0">
      <w:lvlJc w:val="left"/>
      <w:lvlText w:val="%1."/>
      <w:numFmt w:val="decimal"/>
      <w:start w:val="2"/>
    </w:lvl>
    <w:lvl w:ilvl="1">
      <w:lvlJc w:val="left"/>
      <w:lvlText w:val="%2"/>
      <w:numFmt w:val="lowerRoman"/>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2"/>
    </w:lvl>
  </w:abstractNum>
  <w:abstractNum w:abstractNumId="42">
    <w:nsid w:val="32FFF90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43">
    <w:nsid w:val="684A481A"/>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abstractNum>
  <w:abstractNum w:abstractNumId="44">
    <w:nsid w:val="579478FE"/>
    <w:multiLevelType w:val="hybridMultilevel"/>
    <w:lvl w:ilvl="0">
      <w:lvlJc w:val="left"/>
      <w:lvlText w:val="%1"/>
      <w:numFmt w:val="decimal"/>
      <w:start w:val="1"/>
    </w:lvl>
    <w:lvl w:ilvl="1">
      <w:lvlJc w:val="left"/>
      <w:lvlText w:val="(%2)"/>
      <w:numFmt w:val="lowerLetter"/>
      <w:start w:val="3"/>
    </w:lvl>
  </w:abstractNum>
  <w:abstractNum w:abstractNumId="45">
    <w:nsid w:val="749ABB43"/>
    <w:multiLevelType w:val="hybridMultilevel"/>
    <w:lvl w:ilvl="0">
      <w:lvlJc w:val="left"/>
      <w:lvlText w:val="%1."/>
      <w:numFmt w:val="decimal"/>
      <w:start w:val="4"/>
    </w:lvl>
    <w:lvl w:ilvl="1">
      <w:lvlJc w:val="left"/>
      <w:lvlText w:val="%2"/>
      <w:numFmt w:val="lowerLetter"/>
      <w:start w:val="1"/>
    </w:lvl>
  </w:abstractNum>
  <w:abstractNum w:abstractNumId="46">
    <w:nsid w:val="3DC240FB"/>
    <w:multiLevelType w:val="hybridMultilevel"/>
    <w:lvl w:ilvl="0">
      <w:lvlJc w:val="left"/>
      <w:lvlText w:val="%1."/>
      <w:numFmt w:val="decimal"/>
      <w:start w:val="8"/>
    </w:lvl>
    <w:lvl w:ilvl="1">
      <w:lvlJc w:val="left"/>
      <w:lvlText w:val="(%2)"/>
      <w:numFmt w:val="lowerLetter"/>
      <w:start w:val="1"/>
    </w:lvl>
  </w:abstractNum>
  <w:abstractNum w:abstractNumId="47">
    <w:nsid w:val="1BA026FA"/>
    <w:multiLevelType w:val="hybridMultilevel"/>
    <w:lvl w:ilvl="0">
      <w:lvlJc w:val="left"/>
      <w:lvlText w:val="%1."/>
      <w:numFmt w:val="decimal"/>
      <w:start w:val="10"/>
    </w:lvl>
    <w:lvl w:ilvl="1">
      <w:lvlJc w:val="left"/>
      <w:lvlText w:val="(%2)"/>
      <w:numFmt w:val="lowerLetter"/>
      <w:start w:val="1"/>
    </w:lvl>
  </w:abstractNum>
  <w:abstractNum w:abstractNumId="48">
    <w:nsid w:val="79A1DEAA"/>
    <w:multiLevelType w:val="hybridMultilevel"/>
    <w:lvl w:ilvl="0">
      <w:lvlJc w:val="left"/>
      <w:lvlText w:val="%1"/>
      <w:numFmt w:val="decimal"/>
      <w:start w:val="1"/>
    </w:lvl>
    <w:lvl w:ilvl="1">
      <w:lvlJc w:val="left"/>
      <w:lvlText w:val="(%2)"/>
      <w:numFmt w:val="lowerLetter"/>
      <w:start w:val="4"/>
    </w:lvl>
  </w:abstractNum>
  <w:abstractNum w:abstractNumId="49">
    <w:nsid w:val="75C6C33A"/>
    <w:multiLevelType w:val="hybridMultilevel"/>
    <w:lvl w:ilvl="0">
      <w:lvlJc w:val="left"/>
      <w:lvlText w:val="%1."/>
      <w:numFmt w:val="decimal"/>
      <w:start w:val="11"/>
    </w:lvl>
    <w:lvl w:ilvl="1">
      <w:lvlJc w:val="left"/>
      <w:lvlText w:val="%2"/>
      <w:numFmt w:val="lowerLetter"/>
      <w:start w:val="1"/>
    </w:lvl>
  </w:abstractNum>
  <w:abstractNum w:abstractNumId="50">
    <w:nsid w:val="12E685FB"/>
    <w:multiLevelType w:val="hybridMultilevel"/>
    <w:lvl w:ilvl="0">
      <w:lvlJc w:val="left"/>
      <w:lvlText w:val="%1."/>
      <w:numFmt w:val="decimal"/>
      <w:start w:val="14"/>
    </w:lvl>
  </w:abstractNum>
  <w:abstractNum w:abstractNumId="51">
    <w:nsid w:val="70C6A529"/>
    <w:multiLevelType w:val="hybridMultilevel"/>
    <w:lvl w:ilvl="0">
      <w:lvlJc w:val="left"/>
      <w:lvlText w:val="%1."/>
      <w:numFmt w:val="decimal"/>
      <w:start w:val="20"/>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93" Type="http://schemas.openxmlformats.org/officeDocument/2006/relationships/hyperlink" Target="http://www.sec.gov/Archives/edgar/data/1006045/000156459019010390/irix-ex31_7.htm" TargetMode="External"/><Relationship Id="rId94" Type="http://schemas.openxmlformats.org/officeDocument/2006/relationships/hyperlink" Target="http://www.sec.gov/Archives/edgar/data/1006045/000089161807000540/f33502exv4w2.htm" TargetMode="External"/><Relationship Id="rId95" Type="http://schemas.openxmlformats.org/officeDocument/2006/relationships/hyperlink" Target="http://www.sec.gov/Archives/edgar/data/1006045/000119312509073387/dex43.htm" TargetMode="External"/><Relationship Id="rId96" Type="http://schemas.openxmlformats.org/officeDocument/2006/relationships/hyperlink" Target="http://www.sec.gov/Archives/edgar/data/1006045/000156459020010869/irix-ex43_14.htm" TargetMode="External"/><Relationship Id="rId97" Type="http://schemas.openxmlformats.org/officeDocument/2006/relationships/hyperlink" Target="http://www.sec.gov/Archives/edgar/data/1006045/000156459016015763/irix-ex101_303.htm" TargetMode="External"/><Relationship Id="rId98" Type="http://schemas.openxmlformats.org/officeDocument/2006/relationships/hyperlink" Target="http://www.sec.gov/Archives/edgar/data/1006045/000119312509070788/dex102.htm" TargetMode="External"/><Relationship Id="rId99" Type="http://schemas.openxmlformats.org/officeDocument/2006/relationships/hyperlink" Target="http://www.sec.gov/Archives/edgar/data/1006045/000156459014004861/irix-ex101_2014092780.htm" TargetMode="External"/><Relationship Id="rId102" Type="http://schemas.openxmlformats.org/officeDocument/2006/relationships/hyperlink" Target="http://www.sec.gov/Archives/edgar/data/1006045/000156459017007969/irix-ex101_6.htm" TargetMode="External"/><Relationship Id="rId103" Type="http://schemas.openxmlformats.org/officeDocument/2006/relationships/hyperlink" Target="http://www.sec.gov/Archives/edgar/data/1006045/000156459021044004/irix-ex101_29.htm" TargetMode="External"/><Relationship Id="rId104" Type="http://schemas.openxmlformats.org/officeDocument/2006/relationships/hyperlink" Target="http://www.sec.gov/Archives/edgar/data/1006045/000095013404006335/f98194dedef14a.htm#075" TargetMode="External"/><Relationship Id="rId105" Type="http://schemas.openxmlformats.org/officeDocument/2006/relationships/hyperlink" Target="http://www.sec.gov/Archives/edgar/data/1006045/000117494721000460/def14a-50502_irix.htm" TargetMode="External"/><Relationship Id="rId106" Type="http://schemas.openxmlformats.org/officeDocument/2006/relationships/hyperlink" Target="http://www.sec.gov/Archives/edgar/data/1006045/000119312508241322/dex991.htm" TargetMode="External"/><Relationship Id="rId107" Type="http://schemas.openxmlformats.org/officeDocument/2006/relationships/hyperlink" Target="http://www.sec.gov/Archives/edgar/data/1006045/000119312509159297/dex99d5.htm" TargetMode="External"/><Relationship Id="rId108" Type="http://schemas.openxmlformats.org/officeDocument/2006/relationships/hyperlink" Target="http://www.sec.gov/Archives/edgar/data/1006045/000089161807000540/f33502exv10w1.htm" TargetMode="External"/><Relationship Id="rId109" Type="http://schemas.openxmlformats.org/officeDocument/2006/relationships/hyperlink" Target="http://www.sec.gov/Archives/edgar/data/1006045/000119312511210538/dex101.htm" TargetMode="External"/><Relationship Id="rId110" Type="http://schemas.openxmlformats.org/officeDocument/2006/relationships/hyperlink" Target="http://www.sec.gov/Archives/edgar/data/1006045/000119312511210538/dex102.htm" TargetMode="External"/><Relationship Id="rId111" Type="http://schemas.openxmlformats.org/officeDocument/2006/relationships/hyperlink" Target="http://www.sec.gov/Archives/edgar/data/1006045/000156459016027421/irix-ex101_40.htm" TargetMode="External"/><Relationship Id="rId112" Type="http://schemas.openxmlformats.org/officeDocument/2006/relationships/hyperlink" Target="http://www.sec.gov/Archives/edgar/data/1006045/000156459020010869/irix-ex10191_57.htm" TargetMode="External"/><Relationship Id="rId113" Type="http://schemas.openxmlformats.org/officeDocument/2006/relationships/hyperlink" Target="http://www.sec.gov/Archives/edgar/data/1006045/000156459020010869/irix-ex10192_58.htm" TargetMode="External"/><Relationship Id="rId114" Type="http://schemas.openxmlformats.org/officeDocument/2006/relationships/hyperlink" Target="http://www.sec.gov/Archives/edgar/data/1006045/000156459021014859/irix-ex10193_10.htm" TargetMode="External"/><Relationship Id="rId115" Type="http://schemas.openxmlformats.org/officeDocument/2006/relationships/hyperlink" Target="http://www.sec.gov/Archives/edgar/data/1006045/000156459019022508/irix-ex101_6.htm" TargetMode="External"/><Relationship Id="rId116" Type="http://schemas.openxmlformats.org/officeDocument/2006/relationships/hyperlink" Target="http://www.sec.gov/Archives/edgar/data/1006045/000156459019038138/irix-ex101_7.htm" TargetMode="External"/><Relationship Id="rId117" Type="http://schemas.openxmlformats.org/officeDocument/2006/relationships/hyperlink" Target="http://www.sec.gov/Archives/edgar/data/1006045/000156459019038138/irix-ex102_8.htm" TargetMode="External"/><Relationship Id="rId118" Type="http://schemas.openxmlformats.org/officeDocument/2006/relationships/hyperlink" Target="http://www.sec.gov/Archives/edgar/data/1006045/000156459021010940/irix-ex101_11.htm" TargetMode="External"/><Relationship Id="rId121" Type="http://schemas.openxmlformats.org/officeDocument/2006/relationships/hyperlink" Target="http://www.sec.gov/Archives/edgar/data/1006045/000156459021010940/irix-ex102_7.htm" TargetMode="External"/><Relationship Id="rId122" Type="http://schemas.openxmlformats.org/officeDocument/2006/relationships/hyperlink" Target="http://www.sec.gov/Archives/edgar/data/1006045/000156459021010940/irix-ex103_6.htm" TargetMode="External"/><Relationship Id="rId123" Type="http://schemas.openxmlformats.org/officeDocument/2006/relationships/hyperlink" Target="http://www.sec.gov/Archives/edgar/data/1006045/000156459021010940/irix-ex10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2022-03-15T16:29:36Z</dcterms:created>
  <dcterms:modified xsi:type="dcterms:W3CDTF">2022-03-15T16:29:36Z</dcterms:modified>
</cp:coreProperties>
</file>