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 w:lineRule="exact"/>
        <w:rPr>
          <w:sz w:val="24"/>
          <w:szCs w:val="24"/>
          <w:color w:val="auto"/>
        </w:rPr>
      </w:pPr>
    </w:p>
    <w:p>
      <w:pPr>
        <w:ind w:left="580" w:right="1180" w:hanging="394"/>
        <w:spacing w:after="0" w:line="270" w:lineRule="auto"/>
        <w:tabs>
          <w:tab w:leader="none" w:pos="412"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29, 2025</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6" w:lineRule="exact"/>
        <w:rPr>
          <w:sz w:val="24"/>
          <w:szCs w:val="24"/>
          <w:color w:val="auto"/>
        </w:rPr>
      </w:pPr>
    </w:p>
    <w:p>
      <w:pPr>
        <w:ind w:left="580" w:right="1200" w:hanging="394"/>
        <w:spacing w:after="0" w:line="283" w:lineRule="auto"/>
        <w:tabs>
          <w:tab w:leader="none" w:pos="412"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 w:lineRule="exact"/>
        <w:rPr>
          <w:sz w:val="24"/>
          <w:szCs w:val="24"/>
          <w:color w:val="auto"/>
        </w:rPr>
      </w:pPr>
    </w:p>
    <w:p>
      <w:pPr>
        <w:ind w:left="3000"/>
        <w:spacing w:after="0"/>
        <w:tabs>
          <w:tab w:leader="none" w:pos="58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0-27598</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IRIDEX CORPORATION</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tbl>
      <w:tblPr>
        <w:tblLayout w:type="fixed"/>
        <w:tblInd w:w="1220" w:type="dxa"/>
        <w:tblCellMar>
          <w:top w:w="0" w:type="dxa"/>
          <w:left w:w="0" w:type="dxa"/>
          <w:bottom w:w="0" w:type="dxa"/>
          <w:right w:w="0" w:type="dxa"/>
        </w:tblCellMar>
      </w:tblPr>
      <w:tr>
        <w:trPr>
          <w:trHeight w:val="184"/>
        </w:trPr>
        <w:tc>
          <w:tcPr>
            <w:tcW w:w="3500" w:type="dxa"/>
            <w:vAlign w:val="bottom"/>
          </w:tcPr>
          <w:p>
            <w:pPr>
              <w:jc w:val="center"/>
              <w:ind w:right="12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640" w:type="dxa"/>
            <w:vAlign w:val="bottom"/>
          </w:tcPr>
          <w:p>
            <w:pPr>
              <w:jc w:val="center"/>
              <w:ind w:left="1289"/>
              <w:spacing w:after="0"/>
              <w:rPr>
                <w:sz w:val="20"/>
                <w:szCs w:val="20"/>
                <w:color w:val="auto"/>
              </w:rPr>
            </w:pPr>
            <w:r>
              <w:rPr>
                <w:rFonts w:ascii="Times New Roman" w:cs="Times New Roman" w:eastAsia="Times New Roman" w:hAnsi="Times New Roman"/>
                <w:sz w:val="16"/>
                <w:szCs w:val="16"/>
                <w:b w:val="1"/>
                <w:bCs w:val="1"/>
                <w:color w:val="auto"/>
                <w:w w:val="98"/>
              </w:rPr>
              <w:t>77-0210467</w:t>
            </w:r>
          </w:p>
        </w:tc>
      </w:tr>
      <w:tr>
        <w:trPr>
          <w:trHeight w:val="156"/>
        </w:trPr>
        <w:tc>
          <w:tcPr>
            <w:tcW w:w="3500" w:type="dxa"/>
            <w:vAlign w:val="bottom"/>
          </w:tcPr>
          <w:p>
            <w:pPr>
              <w:jc w:val="center"/>
              <w:ind w:right="124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640" w:type="dxa"/>
            <w:vAlign w:val="bottom"/>
          </w:tcPr>
          <w:p>
            <w:pPr>
              <w:jc w:val="center"/>
              <w:ind w:left="128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500" w:type="dxa"/>
            <w:vAlign w:val="bottom"/>
          </w:tcPr>
          <w:p>
            <w:pPr>
              <w:jc w:val="center"/>
              <w:ind w:right="126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640" w:type="dxa"/>
            <w:vAlign w:val="bottom"/>
          </w:tcPr>
          <w:p>
            <w:pPr>
              <w:jc w:val="center"/>
              <w:ind w:left="126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281"/>
        </w:trPr>
        <w:tc>
          <w:tcPr>
            <w:tcW w:w="3500" w:type="dxa"/>
            <w:vAlign w:val="bottom"/>
          </w:tcPr>
          <w:p>
            <w:pPr>
              <w:jc w:val="center"/>
              <w:ind w:right="1248"/>
              <w:spacing w:after="0"/>
              <w:rPr>
                <w:sz w:val="20"/>
                <w:szCs w:val="20"/>
                <w:color w:val="auto"/>
              </w:rPr>
            </w:pPr>
            <w:r>
              <w:rPr>
                <w:rFonts w:ascii="Times New Roman" w:cs="Times New Roman" w:eastAsia="Times New Roman" w:hAnsi="Times New Roman"/>
                <w:sz w:val="16"/>
                <w:szCs w:val="16"/>
                <w:b w:val="1"/>
                <w:bCs w:val="1"/>
                <w:color w:val="auto"/>
                <w:w w:val="97"/>
              </w:rPr>
              <w:t>1212 Terra Bella Avenue</w:t>
            </w:r>
          </w:p>
        </w:tc>
        <w:tc>
          <w:tcPr>
            <w:tcW w:w="2640" w:type="dxa"/>
            <w:vAlign w:val="bottom"/>
          </w:tcPr>
          <w:p>
            <w:pPr>
              <w:spacing w:after="0"/>
              <w:rPr>
                <w:sz w:val="24"/>
                <w:szCs w:val="24"/>
                <w:color w:val="auto"/>
              </w:rPr>
            </w:pPr>
          </w:p>
        </w:tc>
      </w:tr>
      <w:tr>
        <w:trPr>
          <w:trHeight w:val="181"/>
        </w:trPr>
        <w:tc>
          <w:tcPr>
            <w:tcW w:w="3500" w:type="dxa"/>
            <w:vAlign w:val="bottom"/>
          </w:tcPr>
          <w:p>
            <w:pPr>
              <w:jc w:val="center"/>
              <w:ind w:right="1268"/>
              <w:spacing w:after="0" w:line="181" w:lineRule="exact"/>
              <w:rPr>
                <w:sz w:val="20"/>
                <w:szCs w:val="20"/>
                <w:color w:val="auto"/>
              </w:rPr>
            </w:pPr>
            <w:r>
              <w:rPr>
                <w:rFonts w:ascii="Times New Roman" w:cs="Times New Roman" w:eastAsia="Times New Roman" w:hAnsi="Times New Roman"/>
                <w:sz w:val="16"/>
                <w:szCs w:val="16"/>
                <w:b w:val="1"/>
                <w:bCs w:val="1"/>
                <w:color w:val="auto"/>
                <w:w w:val="97"/>
              </w:rPr>
              <w:t>Mountain View, California</w:t>
            </w:r>
          </w:p>
        </w:tc>
        <w:tc>
          <w:tcPr>
            <w:tcW w:w="2640" w:type="dxa"/>
            <w:vAlign w:val="bottom"/>
          </w:tcPr>
          <w:p>
            <w:pPr>
              <w:jc w:val="center"/>
              <w:ind w:left="1289"/>
              <w:spacing w:after="0" w:line="181" w:lineRule="exact"/>
              <w:rPr>
                <w:sz w:val="20"/>
                <w:szCs w:val="20"/>
                <w:color w:val="auto"/>
              </w:rPr>
            </w:pPr>
            <w:r>
              <w:rPr>
                <w:rFonts w:ascii="Times New Roman" w:cs="Times New Roman" w:eastAsia="Times New Roman" w:hAnsi="Times New Roman"/>
                <w:sz w:val="16"/>
                <w:szCs w:val="16"/>
                <w:b w:val="1"/>
                <w:bCs w:val="1"/>
                <w:color w:val="auto"/>
                <w:w w:val="98"/>
              </w:rPr>
              <w:t>94043-1824</w:t>
            </w:r>
          </w:p>
        </w:tc>
      </w:tr>
      <w:tr>
        <w:trPr>
          <w:trHeight w:val="174"/>
        </w:trPr>
        <w:tc>
          <w:tcPr>
            <w:tcW w:w="3500" w:type="dxa"/>
            <w:vAlign w:val="bottom"/>
          </w:tcPr>
          <w:p>
            <w:pPr>
              <w:jc w:val="center"/>
              <w:ind w:right="124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640" w:type="dxa"/>
            <w:vAlign w:val="bottom"/>
          </w:tcPr>
          <w:p>
            <w:pPr>
              <w:jc w:val="center"/>
              <w:ind w:left="1289"/>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1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940-4700</w:t>
      </w:r>
    </w:p>
    <w:p>
      <w:pPr>
        <w:spacing w:after="0" w:line="13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40" w:orient="portrait"/>
          <w:cols w:equalWidth="0" w:num="1">
            <w:col w:w="9020"/>
          </w:cols>
          <w:pgMar w:left="1440" w:top="1440" w:right="1440" w:bottom="1440" w:gutter="0" w:footer="0" w:header="0"/>
        </w:sectPr>
      </w:pPr>
    </w:p>
    <w:p>
      <w:pPr>
        <w:spacing w:after="0" w:line="10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Title of Class</w:t>
      </w:r>
    </w:p>
    <w:p>
      <w:pPr>
        <w:spacing w:after="0" w:line="1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Trading Symbol</w:t>
      </w:r>
    </w:p>
    <w:p>
      <w:pPr>
        <w:spacing w:after="0" w:line="3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IRIX</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Name of Exchange on Which Registered</w:t>
      </w:r>
    </w:p>
    <w:p>
      <w:pPr>
        <w:spacing w:after="0" w:line="3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Nasdaq Capital Market</w:t>
      </w:r>
    </w:p>
    <w:p>
      <w:pPr>
        <w:spacing w:after="0" w:line="62" w:lineRule="exact"/>
        <w:rPr>
          <w:sz w:val="24"/>
          <w:szCs w:val="24"/>
          <w:color w:val="auto"/>
        </w:rPr>
      </w:pPr>
    </w:p>
    <w:p>
      <w:pPr>
        <w:sectPr>
          <w:pgSz w:w="11900" w:h="16840" w:orient="portrait"/>
          <w:cols w:equalWidth="0" w:num="3">
            <w:col w:w="3340" w:space="720"/>
            <w:col w:w="1400" w:space="720"/>
            <w:col w:w="2840"/>
          </w:cols>
          <w:pgMar w:left="1440" w:top="1440" w:right="1440" w:bottom="1440" w:gutter="0" w:footer="0" w:header="0"/>
          <w:type w:val="continuous"/>
        </w:sectPr>
      </w:pPr>
    </w:p>
    <w:p>
      <w:pPr>
        <w:ind w:left="180" w:right="200"/>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80"/>
        <w:spacing w:after="0" w:line="184" w:lineRule="exact"/>
        <w:tabs>
          <w:tab w:leader="none" w:pos="4580" w:val="left"/>
          <w:tab w:leader="none" w:pos="5280" w:val="left"/>
        </w:tabs>
        <w:rPr>
          <w:sz w:val="20"/>
          <w:szCs w:val="20"/>
          <w:color w:val="auto"/>
        </w:rPr>
      </w:pPr>
      <w:r>
        <w:rPr>
          <w:rFonts w:ascii="Times New Roman" w:cs="Times New Roman" w:eastAsia="Times New Roman" w:hAnsi="Times New Roman"/>
          <w:sz w:val="16"/>
          <w:szCs w:val="16"/>
          <w:color w:val="auto"/>
        </w:rPr>
        <w:t>(2) has been subject to such filing requirements for the past 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4" w:lineRule="exact"/>
        <w:rPr>
          <w:sz w:val="24"/>
          <w:szCs w:val="24"/>
          <w:color w:val="auto"/>
        </w:rPr>
      </w:pPr>
    </w:p>
    <w:p>
      <w:pPr>
        <w:ind w:left="180" w:right="180"/>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80" w:right="4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80" w:type="dxa"/>
        <w:tblCellMar>
          <w:top w:w="0" w:type="dxa"/>
          <w:left w:w="0" w:type="dxa"/>
          <w:bottom w:w="0" w:type="dxa"/>
          <w:right w:w="0" w:type="dxa"/>
        </w:tblCellMar>
      </w:tblP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43" w:lineRule="exact"/>
        <w:rPr>
          <w:sz w:val="24"/>
          <w:szCs w:val="24"/>
          <w:color w:val="auto"/>
        </w:rPr>
      </w:pPr>
    </w:p>
    <w:p>
      <w:pPr>
        <w:ind w:left="180" w:right="8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 w:lineRule="exact"/>
        <w:rPr>
          <w:sz w:val="24"/>
          <w:szCs w:val="24"/>
          <w:color w:val="auto"/>
        </w:rPr>
      </w:pPr>
    </w:p>
    <w:p>
      <w:pPr>
        <w:ind w:left="180" w:right="440"/>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common stock, $0.01 par value, issued and outstanding as of May 8, 2025 was 16,789,027.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-267335</wp:posOffset>
            </wp:positionH>
            <wp:positionV relativeFrom="paragraph">
              <wp:posOffset>675005</wp:posOffset>
            </wp:positionV>
            <wp:extent cx="62604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7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Items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Page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8080" w:type="dxa"/>
            <w:vAlign w:val="bottom"/>
            <w:gridSpan w:val="21"/>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PART I. FINANCIAL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Financial Statements (Unaudited)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tcBorders>
              <w:bottom w:val="single" w:sz="8" w:color="0000EE"/>
            </w:tcBorders>
            <w:gridSpan w:val="15"/>
          </w:tcPr>
          <w:p>
            <w:pPr>
              <w:spacing w:after="0"/>
              <w:rPr>
                <w:rFonts w:ascii="Times New Roman" w:cs="Times New Roman" w:eastAsia="Times New Roman" w:hAnsi="Times New Roman"/>
                <w:sz w:val="16"/>
                <w:szCs w:val="16"/>
                <w:color w:val="0000FF"/>
                <w:w w:val="97"/>
              </w:rPr>
            </w:pPr>
            <w:hyperlink w:anchor="page5">
              <w:r>
                <w:rPr>
                  <w:rFonts w:ascii="Times New Roman" w:cs="Times New Roman" w:eastAsia="Times New Roman" w:hAnsi="Times New Roman"/>
                  <w:sz w:val="16"/>
                  <w:szCs w:val="16"/>
                  <w:color w:val="0000FF"/>
                  <w:w w:val="97"/>
                </w:rPr>
                <w:t>Unaudited Condensed Consolidated Balance Sheets as of March 29, 2025 and December 28, 2024</w:t>
              </w:r>
            </w:hyperlink>
          </w:p>
        </w:tc>
        <w:tc>
          <w:tcPr>
            <w:tcW w:w="11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Unaudited Condensed Consolidated Statements of Operations for the three months ended March 29, 2025 and</w:t>
              </w:r>
            </w:hyperlink>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March 30, 2024</w:t>
              </w:r>
            </w:hyperlink>
          </w:p>
        </w:tc>
        <w:tc>
          <w:tcPr>
            <w:tcW w:w="3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w:anchor="page7">
              <w:r>
                <w:rPr>
                  <w:rFonts w:ascii="Times New Roman" w:cs="Times New Roman" w:eastAsia="Times New Roman" w:hAnsi="Times New Roman"/>
                  <w:sz w:val="16"/>
                  <w:szCs w:val="16"/>
                  <w:color w:val="0000FF"/>
                  <w:w w:val="97"/>
                </w:rPr>
                <w:t>Unaudited Condensed Consolidated Statements of Comprehensive Loss for the three months ended March 29, 2025</w:t>
              </w:r>
            </w:hyperlink>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0000EE"/>
            </w:tcBorders>
            <w:gridSpan w:val="6"/>
          </w:tcPr>
          <w:p>
            <w:pPr>
              <w:spacing w:after="0" w:line="160" w:lineRule="exact"/>
              <w:rPr>
                <w:rFonts w:ascii="Times New Roman" w:cs="Times New Roman" w:eastAsia="Times New Roman" w:hAnsi="Times New Roman"/>
                <w:sz w:val="16"/>
                <w:szCs w:val="16"/>
                <w:color w:val="0000FF"/>
                <w:w w:val="96"/>
              </w:rPr>
            </w:pPr>
            <w:hyperlink w:anchor="page7">
              <w:r>
                <w:rPr>
                  <w:rFonts w:ascii="Times New Roman" w:cs="Times New Roman" w:eastAsia="Times New Roman" w:hAnsi="Times New Roman"/>
                  <w:sz w:val="16"/>
                  <w:szCs w:val="16"/>
                  <w:color w:val="0000FF"/>
                  <w:w w:val="96"/>
                </w:rPr>
                <w:t>and March 30, 2024</w:t>
              </w:r>
            </w:hyperlink>
          </w:p>
        </w:tc>
        <w:tc>
          <w:tcPr>
            <w:tcW w:w="6000" w:type="dxa"/>
            <w:vAlign w:val="bottom"/>
            <w:gridSpan w:val="12"/>
          </w:tcPr>
          <w:p>
            <w:pPr>
              <w:spacing w:after="0"/>
              <w:rPr>
                <w:sz w:val="13"/>
                <w:szCs w:val="13"/>
                <w:color w:val="auto"/>
              </w:rPr>
            </w:pPr>
          </w:p>
        </w:tc>
        <w:tc>
          <w:tcPr>
            <w:tcW w:w="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w:anchor="page8">
              <w:r>
                <w:rPr>
                  <w:rFonts w:ascii="Times New Roman" w:cs="Times New Roman" w:eastAsia="Times New Roman" w:hAnsi="Times New Roman"/>
                  <w:sz w:val="16"/>
                  <w:szCs w:val="16"/>
                  <w:color w:val="0000FF"/>
                  <w:w w:val="97"/>
                </w:rPr>
                <w:t>Unaudited Condensed Consolidated Statements of Stockholders’ Equity for the three months ended March 29, 2025</w:t>
              </w:r>
            </w:hyperlink>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0000EE"/>
            </w:tcBorders>
            <w:gridSpan w:val="6"/>
          </w:tcPr>
          <w:p>
            <w:pPr>
              <w:spacing w:after="0" w:line="160" w:lineRule="exact"/>
              <w:rPr>
                <w:rFonts w:ascii="Times New Roman" w:cs="Times New Roman" w:eastAsia="Times New Roman" w:hAnsi="Times New Roman"/>
                <w:sz w:val="16"/>
                <w:szCs w:val="16"/>
                <w:color w:val="0000FF"/>
                <w:w w:val="96"/>
              </w:rPr>
            </w:pPr>
            <w:hyperlink w:anchor="page8">
              <w:r>
                <w:rPr>
                  <w:rFonts w:ascii="Times New Roman" w:cs="Times New Roman" w:eastAsia="Times New Roman" w:hAnsi="Times New Roman"/>
                  <w:sz w:val="16"/>
                  <w:szCs w:val="16"/>
                  <w:color w:val="0000FF"/>
                  <w:w w:val="96"/>
                </w:rPr>
                <w:t>and March 30, 2024</w:t>
              </w:r>
            </w:hyperlink>
          </w:p>
        </w:tc>
        <w:tc>
          <w:tcPr>
            <w:tcW w:w="6000" w:type="dxa"/>
            <w:vAlign w:val="bottom"/>
            <w:gridSpan w:val="12"/>
          </w:tcPr>
          <w:p>
            <w:pPr>
              <w:spacing w:after="0"/>
              <w:rPr>
                <w:sz w:val="13"/>
                <w:szCs w:val="13"/>
                <w:color w:val="auto"/>
              </w:rPr>
            </w:pPr>
          </w:p>
        </w:tc>
        <w:tc>
          <w:tcPr>
            <w:tcW w:w="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Unaudited Condensed Consolidated Statements of Cash Flows for the three months ended March 29, 2025 and</w:t>
              </w:r>
            </w:hyperlink>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2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March 30, 2024</w:t>
              </w:r>
            </w:hyperlink>
          </w:p>
        </w:tc>
        <w:tc>
          <w:tcPr>
            <w:tcW w:w="3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6"/>
              </w:rPr>
            </w:pPr>
            <w:hyperlink w:anchor="page10">
              <w:r>
                <w:rPr>
                  <w:rFonts w:ascii="Times New Roman" w:cs="Times New Roman" w:eastAsia="Times New Roman" w:hAnsi="Times New Roman"/>
                  <w:sz w:val="16"/>
                  <w:szCs w:val="16"/>
                  <w:color w:val="0000FF"/>
                  <w:w w:val="96"/>
                </w:rPr>
                <w:t>Notes to Unaudited Condensed Consolidated Financial Statements</w:t>
              </w:r>
            </w:hyperlink>
          </w:p>
        </w:tc>
        <w:tc>
          <w:tcPr>
            <w:tcW w:w="31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100" w:type="dxa"/>
            <w:vAlign w:val="bottom"/>
          </w:tcPr>
          <w:p>
            <w:pPr>
              <w:spacing w:after="0"/>
              <w:rPr>
                <w:sz w:val="24"/>
                <w:szCs w:val="24"/>
                <w:color w:val="auto"/>
              </w:rPr>
            </w:pPr>
          </w:p>
        </w:tc>
        <w:tc>
          <w:tcPr>
            <w:tcW w:w="560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w:anchor="page22">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16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Quantitative and Qualitative Disclosures about Market Risk</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00" w:type="dxa"/>
            <w:vAlign w:val="bottom"/>
          </w:tcPr>
          <w:p>
            <w:pPr>
              <w:spacing w:after="0"/>
              <w:rPr>
                <w:sz w:val="24"/>
                <w:szCs w:val="24"/>
                <w:color w:val="auto"/>
              </w:rPr>
            </w:pPr>
          </w:p>
        </w:tc>
        <w:tc>
          <w:tcPr>
            <w:tcW w:w="3720" w:type="dxa"/>
            <w:vAlign w:val="bottom"/>
            <w:tcBorders>
              <w:top w:val="single" w:sz="8" w:color="0000EE"/>
            </w:tcBorders>
            <w:gridSpan w:val="11"/>
          </w:tcPr>
          <w:p>
            <w:pPr>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Controls and Procedures</w:t>
              </w:r>
            </w:hyperlink>
          </w:p>
        </w:tc>
        <w:tc>
          <w:tcPr>
            <w:tcW w:w="35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8"/>
              </w:rPr>
            </w:pPr>
            <w:hyperlink w:anchor="page26">
              <w:r>
                <w:rPr>
                  <w:rFonts w:ascii="Times New Roman" w:cs="Times New Roman" w:eastAsia="Times New Roman" w:hAnsi="Times New Roman"/>
                  <w:sz w:val="16"/>
                  <w:szCs w:val="16"/>
                  <w:color w:val="0000FF"/>
                  <w:w w:val="98"/>
                </w:rPr>
                <w:t>PART II. OTHER INFORMATION</w:t>
              </w:r>
            </w:hyperlink>
          </w:p>
        </w:tc>
        <w:tc>
          <w:tcPr>
            <w:tcW w:w="57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0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6"/>
              </w:rPr>
            </w:pPr>
            <w:hyperlink w:anchor="page26">
              <w:r>
                <w:rPr>
                  <w:rFonts w:ascii="Times New Roman" w:cs="Times New Roman" w:eastAsia="Times New Roman" w:hAnsi="Times New Roman"/>
                  <w:sz w:val="16"/>
                  <w:szCs w:val="16"/>
                  <w:color w:val="0000FF"/>
                  <w:w w:val="96"/>
                </w:rPr>
                <w:t>Legal Proceedings</w:t>
              </w:r>
            </w:hyperlink>
          </w:p>
        </w:tc>
        <w:tc>
          <w:tcPr>
            <w:tcW w:w="61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4"/>
              </w:rPr>
            </w:pPr>
            <w:hyperlink w:anchor="page26">
              <w:r>
                <w:rPr>
                  <w:rFonts w:ascii="Times New Roman" w:cs="Times New Roman" w:eastAsia="Times New Roman" w:hAnsi="Times New Roman"/>
                  <w:sz w:val="16"/>
                  <w:szCs w:val="16"/>
                  <w:color w:val="0000FF"/>
                  <w:w w:val="94"/>
                </w:rPr>
                <w:t>Risk Factors</w:t>
              </w:r>
            </w:hyperlink>
          </w:p>
        </w:tc>
        <w:tc>
          <w:tcPr>
            <w:tcW w:w="648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10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6"/>
              </w:rPr>
            </w:pPr>
            <w:hyperlink w:anchor="page26">
              <w:r>
                <w:rPr>
                  <w:rFonts w:ascii="Times New Roman" w:cs="Times New Roman" w:eastAsia="Times New Roman" w:hAnsi="Times New Roman"/>
                  <w:sz w:val="16"/>
                  <w:szCs w:val="16"/>
                  <w:color w:val="0000FF"/>
                  <w:w w:val="96"/>
                </w:rPr>
                <w:t>Unregistered Sales of Equity Securities and Use of Proceeds</w:t>
              </w:r>
            </w:hyperlink>
          </w:p>
        </w:tc>
        <w:tc>
          <w:tcPr>
            <w:tcW w:w="35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Defaults Upon Senior Securities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00" w:type="dxa"/>
            <w:vAlign w:val="bottom"/>
          </w:tcPr>
          <w:p>
            <w:pPr>
              <w:spacing w:after="0"/>
              <w:rPr>
                <w:sz w:val="24"/>
                <w:szCs w:val="24"/>
                <w:color w:val="auto"/>
              </w:rPr>
            </w:pPr>
          </w:p>
        </w:tc>
        <w:tc>
          <w:tcPr>
            <w:tcW w:w="2000" w:type="dxa"/>
            <w:vAlign w:val="bottom"/>
            <w:tcBorders>
              <w:top w:val="single" w:sz="8" w:color="0000EE"/>
            </w:tcBorders>
            <w:gridSpan w:val="9"/>
          </w:tcPr>
          <w:p>
            <w:pPr>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Mine Safety Disclosures</w:t>
              </w:r>
            </w:hyperlink>
          </w:p>
        </w:tc>
        <w:tc>
          <w:tcPr>
            <w:tcW w:w="526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0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FF"/>
                <w:w w:val="95"/>
              </w:rPr>
            </w:pPr>
            <w:hyperlink w:anchor="page26">
              <w:r>
                <w:rPr>
                  <w:rFonts w:ascii="Times New Roman" w:cs="Times New Roman" w:eastAsia="Times New Roman" w:hAnsi="Times New Roman"/>
                  <w:sz w:val="16"/>
                  <w:szCs w:val="16"/>
                  <w:color w:val="0000FF"/>
                  <w:w w:val="95"/>
                </w:rPr>
                <w:t>Other Information</w:t>
              </w:r>
            </w:hyperlink>
          </w:p>
        </w:tc>
        <w:tc>
          <w:tcPr>
            <w:tcW w:w="380" w:type="dxa"/>
            <w:vAlign w:val="bottom"/>
            <w:tcBorders>
              <w:top w:val="single" w:sz="8" w:color="0000EE"/>
            </w:tcBorders>
            <w:gridSpan w:val="3"/>
          </w:tcPr>
          <w:p>
            <w:pPr>
              <w:spacing w:after="0"/>
              <w:rPr>
                <w:sz w:val="24"/>
                <w:szCs w:val="24"/>
                <w:color w:val="auto"/>
              </w:rPr>
            </w:pPr>
          </w:p>
        </w:tc>
        <w:tc>
          <w:tcPr>
            <w:tcW w:w="57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100" w:type="dxa"/>
            <w:vAlign w:val="bottom"/>
          </w:tcPr>
          <w:p>
            <w:pPr>
              <w:spacing w:after="0"/>
              <w:rPr>
                <w:sz w:val="24"/>
                <w:szCs w:val="24"/>
                <w:color w:val="auto"/>
              </w:rPr>
            </w:pPr>
          </w:p>
        </w:tc>
        <w:tc>
          <w:tcPr>
            <w:tcW w:w="7260" w:type="dxa"/>
            <w:vAlign w:val="bottom"/>
            <w:gridSpan w:val="18"/>
          </w:tcPr>
          <w:p>
            <w:pPr>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Exhibits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Signatures</w:t>
              </w:r>
            </w:hyperlink>
          </w:p>
        </w:tc>
        <w:tc>
          <w:tcPr>
            <w:tcW w:w="1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5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1"/>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359" w:right="10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NOTE REGARDING FORWARD-LOOKING STATEMENTS</w:t>
      </w:r>
    </w:p>
    <w:p>
      <w:pPr>
        <w:spacing w:after="0" w:line="202" w:lineRule="exact"/>
        <w:rPr>
          <w:sz w:val="20"/>
          <w:szCs w:val="20"/>
          <w:color w:val="auto"/>
        </w:rPr>
      </w:pPr>
    </w:p>
    <w:p>
      <w:pPr>
        <w:ind w:left="180" w:right="180" w:firstLine="384"/>
        <w:spacing w:after="0" w:line="278" w:lineRule="auto"/>
        <w:rPr>
          <w:sz w:val="20"/>
          <w:szCs w:val="20"/>
          <w:color w:val="auto"/>
        </w:rPr>
      </w:pPr>
      <w:r>
        <w:rPr>
          <w:rFonts w:ascii="Times New Roman" w:cs="Times New Roman" w:eastAsia="Times New Roman" w:hAnsi="Times New Roman"/>
          <w:sz w:val="14"/>
          <w:szCs w:val="14"/>
          <w:color w:val="auto"/>
        </w:rPr>
        <w:t>This Quarterly Report on Form 10- Q contains forward-looking statements within the meaning of Section 27A of the Securities Act of 1933, as amended, and Section 21E of the Securities Exchange Act of 1934, as amended, which statements involve substantial risks and uncertainties. Forward- 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5" w:lineRule="exact"/>
        <w:rPr>
          <w:sz w:val="20"/>
          <w:szCs w:val="20"/>
          <w:color w:val="auto"/>
        </w:rPr>
      </w:pPr>
    </w:p>
    <w:p>
      <w:pPr>
        <w:ind w:left="580" w:right="240"/>
        <w:spacing w:after="0" w:line="247" w:lineRule="auto"/>
        <w:rPr>
          <w:sz w:val="20"/>
          <w:szCs w:val="20"/>
          <w:color w:val="auto"/>
        </w:rPr>
      </w:pPr>
      <w:r>
        <w:rPr>
          <w:rFonts w:ascii="Times New Roman" w:cs="Times New Roman" w:eastAsia="Times New Roman" w:hAnsi="Times New Roman"/>
          <w:sz w:val="16"/>
          <w:szCs w:val="16"/>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8" w:lineRule="exact"/>
        <w:rPr>
          <w:sz w:val="20"/>
          <w:szCs w:val="20"/>
          <w:color w:val="auto"/>
        </w:rPr>
      </w:pPr>
    </w:p>
    <w:p>
      <w:pPr>
        <w:ind w:left="580" w:right="180"/>
        <w:spacing w:after="0" w:line="247" w:lineRule="auto"/>
        <w:rPr>
          <w:sz w:val="20"/>
          <w:szCs w:val="20"/>
          <w:color w:val="auto"/>
        </w:rPr>
      </w:pPr>
      <w:r>
        <w:rPr>
          <w:rFonts w:ascii="Times New Roman" w:cs="Times New Roman" w:eastAsia="Times New Roman" w:hAnsi="Times New Roman"/>
          <w:sz w:val="16"/>
          <w:szCs w:val="16"/>
          <w:color w:val="auto"/>
        </w:rPr>
        <w:t>•macroeconomic conditions, including impact of global pandemics or other public health emergencies or outbreaks, global and geopolitical uncertainty and tensions, tariffs, inflation concerns, unexpected changes in tax law or policy, and changing interest rates on our business and results of operations;</w:t>
      </w:r>
    </w:p>
    <w:p>
      <w:pPr>
        <w:spacing w:after="0" w:line="32" w:lineRule="exact"/>
        <w:rPr>
          <w:sz w:val="20"/>
          <w:szCs w:val="20"/>
          <w:color w:val="auto"/>
        </w:rPr>
      </w:pPr>
    </w:p>
    <w:p>
      <w:pPr>
        <w:ind w:left="580" w:right="3540"/>
        <w:spacing w:after="0" w:line="313" w:lineRule="auto"/>
        <w:rPr>
          <w:sz w:val="20"/>
          <w:szCs w:val="20"/>
          <w:color w:val="auto"/>
        </w:rPr>
      </w:pPr>
      <w:r>
        <w:rPr>
          <w:rFonts w:ascii="Times New Roman" w:cs="Times New Roman" w:eastAsia="Times New Roman" w:hAnsi="Times New Roman"/>
          <w:sz w:val="16"/>
          <w:szCs w:val="16"/>
          <w:color w:val="auto"/>
        </w:rPr>
        <w:t>•customer acceptance and purchase of our existing products and new products; •our ability to maintain and expand our customer base; •competition from other products;</w:t>
      </w:r>
    </w:p>
    <w:p>
      <w:pPr>
        <w:ind w:left="580"/>
        <w:spacing w:after="0"/>
        <w:rPr>
          <w:sz w:val="20"/>
          <w:szCs w:val="20"/>
          <w:color w:val="auto"/>
        </w:rPr>
      </w:pPr>
      <w:r>
        <w:rPr>
          <w:rFonts w:ascii="Times New Roman" w:cs="Times New Roman" w:eastAsia="Times New Roman" w:hAnsi="Times New Roman"/>
          <w:sz w:val="16"/>
          <w:szCs w:val="16"/>
          <w:color w:val="auto"/>
        </w:rPr>
        <w:t>•the impact of foreign currency exchange rate and interest rate fluctuations on our results and sales;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pace of change and innovation in the markets in which we participate and the competitive nature of those markets;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business strategy and our plan to build our business;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effectively manage our growth;</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success of our strategic partnership with Topcon Corporation;</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costs of manufacturing and reliance on third party manufacturers;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forecast and meet product demand;</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discover defects in our products and systems;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international sales strategy;</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operating results and cash flows;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beliefs and objectives for future operations;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relationships with third parties;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maintain, protect, and enhance our intellectual property rights;</w:t>
      </w:r>
    </w:p>
    <w:p>
      <w:pPr>
        <w:spacing w:after="0" w:line="56" w:lineRule="exact"/>
        <w:rPr>
          <w:sz w:val="20"/>
          <w:szCs w:val="20"/>
          <w:color w:val="auto"/>
        </w:rPr>
      </w:pPr>
    </w:p>
    <w:p>
      <w:pPr>
        <w:ind w:left="580" w:right="2740"/>
        <w:spacing w:after="0" w:line="313" w:lineRule="auto"/>
        <w:rPr>
          <w:sz w:val="20"/>
          <w:szCs w:val="20"/>
          <w:color w:val="auto"/>
        </w:rPr>
      </w:pPr>
      <w:r>
        <w:rPr>
          <w:rFonts w:ascii="Times New Roman" w:cs="Times New Roman" w:eastAsia="Times New Roman" w:hAnsi="Times New Roman"/>
          <w:sz w:val="16"/>
          <w:szCs w:val="16"/>
          <w:color w:val="auto"/>
        </w:rPr>
        <w:t>•our ability to maintain, protect, and enhance our information technology systems and data; •our ability to maintain our facilities in good working order; •our ability to recover the carrying value of goodwill;</w:t>
      </w:r>
    </w:p>
    <w:p>
      <w:pPr>
        <w:ind w:left="580"/>
        <w:spacing w:after="0"/>
        <w:rPr>
          <w:sz w:val="20"/>
          <w:szCs w:val="20"/>
          <w:color w:val="auto"/>
        </w:rPr>
      </w:pPr>
      <w:r>
        <w:rPr>
          <w:rFonts w:ascii="Times New Roman" w:cs="Times New Roman" w:eastAsia="Times New Roman" w:hAnsi="Times New Roman"/>
          <w:sz w:val="16"/>
          <w:szCs w:val="16"/>
          <w:color w:val="auto"/>
        </w:rPr>
        <w:t>•the impact of expensing stock options and other equity awards;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successfully defend litigation brought against us;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indemnify our directors and officers;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repay indebtedness and have indebtedness forgiven;</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successfully expand in our existing markets and into new markets;</w:t>
      </w:r>
    </w:p>
    <w:p>
      <w:pPr>
        <w:spacing w:after="0" w:line="56" w:lineRule="exact"/>
        <w:rPr>
          <w:sz w:val="20"/>
          <w:szCs w:val="20"/>
          <w:color w:val="auto"/>
        </w:rPr>
      </w:pPr>
    </w:p>
    <w:p>
      <w:pPr>
        <w:ind w:left="580" w:right="520"/>
        <w:spacing w:after="0" w:line="259" w:lineRule="auto"/>
        <w:rPr>
          <w:sz w:val="20"/>
          <w:szCs w:val="20"/>
          <w:color w:val="auto"/>
        </w:rPr>
      </w:pPr>
      <w:r>
        <w:rPr>
          <w:rFonts w:ascii="Times New Roman" w:cs="Times New Roman" w:eastAsia="Times New Roman" w:hAnsi="Times New Roman"/>
          <w:sz w:val="16"/>
          <w:szCs w:val="16"/>
          <w:color w:val="auto"/>
        </w:rPr>
        <w:t>•our ability to comply with laws, policies, and regulations that currently apply or become applicable to our business both in the United States and internationally;</w:t>
      </w:r>
    </w:p>
    <w:p>
      <w:pPr>
        <w:spacing w:after="0" w:line="23" w:lineRule="exact"/>
        <w:rPr>
          <w:sz w:val="20"/>
          <w:szCs w:val="20"/>
          <w:color w:val="auto"/>
        </w:rPr>
      </w:pPr>
    </w:p>
    <w:p>
      <w:pPr>
        <w:ind w:left="580" w:right="2620"/>
        <w:spacing w:after="0" w:line="313" w:lineRule="auto"/>
        <w:rPr>
          <w:sz w:val="20"/>
          <w:szCs w:val="20"/>
          <w:color w:val="auto"/>
        </w:rPr>
      </w:pPr>
      <w:r>
        <w:rPr>
          <w:rFonts w:ascii="Times New Roman" w:cs="Times New Roman" w:eastAsia="Times New Roman" w:hAnsi="Times New Roman"/>
          <w:sz w:val="16"/>
          <w:szCs w:val="16"/>
          <w:color w:val="auto"/>
        </w:rPr>
        <w:t>•our ability to attract and retain qualified employees and key personnel, and source suppliers; •our ability to raise additional capital;</w:t>
      </w:r>
    </w:p>
    <w:p>
      <w:pPr>
        <w:ind w:left="580"/>
        <w:spacing w:after="0"/>
        <w:rPr>
          <w:sz w:val="20"/>
          <w:szCs w:val="20"/>
          <w:color w:val="auto"/>
        </w:rPr>
      </w:pPr>
      <w:r>
        <w:rPr>
          <w:rFonts w:ascii="Times New Roman" w:cs="Times New Roman" w:eastAsia="Times New Roman" w:hAnsi="Times New Roman"/>
          <w:sz w:val="16"/>
          <w:szCs w:val="16"/>
          <w:color w:val="auto"/>
        </w:rPr>
        <w:t>•our ability to issue additional shares of preferred stock;</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6"/>
          <w:szCs w:val="16"/>
          <w:color w:val="auto"/>
        </w:rPr>
        <w:t>•the future trading prices of our common stock; and</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ability to pay dividends in the future.</w:t>
      </w:r>
    </w:p>
    <w:p>
      <w:pPr>
        <w:spacing w:after="0" w:line="116" w:lineRule="exact"/>
        <w:rPr>
          <w:sz w:val="20"/>
          <w:szCs w:val="20"/>
          <w:color w:val="auto"/>
        </w:rPr>
      </w:pPr>
    </w:p>
    <w:p>
      <w:pPr>
        <w:ind w:left="180" w:right="340" w:firstLine="384"/>
        <w:spacing w:after="0" w:line="241"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7" w:lineRule="exact"/>
        <w:rPr>
          <w:sz w:val="20"/>
          <w:szCs w:val="20"/>
          <w:color w:val="auto"/>
        </w:rPr>
      </w:pPr>
    </w:p>
    <w:p>
      <w:pPr>
        <w:ind w:left="180" w:right="200" w:firstLine="384"/>
        <w:spacing w:after="0" w:line="274"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 -looking statements will be achieved or occur, and actual results, events, or circumstances could differ materially from those described in the forward-looking statements.</w:t>
      </w:r>
    </w:p>
    <w:p>
      <w:pPr>
        <w:spacing w:after="0" w:line="259" w:lineRule="exact"/>
        <w:rPr>
          <w:sz w:val="20"/>
          <w:szCs w:val="20"/>
          <w:color w:val="auto"/>
        </w:rPr>
      </w:pPr>
    </w:p>
    <w:p>
      <w:pPr>
        <w:ind w:left="180" w:right="240" w:firstLine="384"/>
        <w:spacing w:after="0" w:line="274"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10 -Q relate only to events as of the date on which such statements are made. We undertake no obligation to update any forward -looking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 w:lineRule="exact"/>
        <w:rPr>
          <w:sz w:val="20"/>
          <w:szCs w:val="20"/>
          <w:color w:val="auto"/>
        </w:rPr>
      </w:pPr>
    </w:p>
    <w:p>
      <w:pPr>
        <w:ind w:left="180" w:right="840" w:firstLine="384"/>
        <w:spacing w:after="0" w:line="259" w:lineRule="auto"/>
        <w:rPr>
          <w:sz w:val="20"/>
          <w:szCs w:val="20"/>
          <w:color w:val="auto"/>
        </w:rPr>
      </w:pPr>
      <w:r>
        <w:rPr>
          <w:rFonts w:ascii="Times New Roman" w:cs="Times New Roman" w:eastAsia="Times New Roman" w:hAnsi="Times New Roman"/>
          <w:sz w:val="16"/>
          <w:szCs w:val="16"/>
          <w:color w:val="auto"/>
        </w:rPr>
        <w:t>As used in this Quarterly Report on Form 10-Q, the terms “Company,” “IRIDEX,” “we,” “us” and “our” refer to IRIDEX Corporation, and its consolidated subsidiaries.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21" w:right="144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1. Condensed Consolidated Financial Statements (Unaudited)</w:t>
      </w:r>
    </w:p>
    <w:p>
      <w:pPr>
        <w:spacing w:after="0" w:line="9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 except share and per share data)</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80"/>
        </w:trPr>
        <w:tc>
          <w:tcPr>
            <w:tcW w:w="5960" w:type="dxa"/>
            <w:vAlign w:val="bottom"/>
            <w:shd w:val="clear" w:color="auto" w:fill="CFF0FC"/>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ASSETS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7,244</w:t>
            </w:r>
          </w:p>
        </w:tc>
        <w:tc>
          <w:tcPr>
            <w:tcW w:w="400" w:type="dxa"/>
            <w:vAlign w:val="bottom"/>
            <w:shd w:val="clear" w:color="auto" w:fill="CFF0FC"/>
          </w:tcPr>
          <w:p>
            <w:pPr>
              <w:jc w:val="right"/>
              <w:ind w:right="2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2,387</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6,680</w:t>
            </w:r>
          </w:p>
        </w:tc>
        <w:tc>
          <w:tcPr>
            <w:tcW w:w="4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5,951</w:t>
            </w: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Receivable from related party</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2,706</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2,443</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10,142</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10,817</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1,964</w:t>
            </w: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29,129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23,562</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1,223</w:t>
            </w:r>
          </w:p>
        </w:tc>
        <w:tc>
          <w:tcPr>
            <w:tcW w:w="4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1,307</w:t>
            </w: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1,546</w:t>
            </w:r>
          </w:p>
        </w:tc>
        <w:tc>
          <w:tcPr>
            <w:tcW w:w="4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1,792</w:t>
            </w: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1,298</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1,394</w:t>
            </w: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34,236</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29,135</w:t>
            </w:r>
          </w:p>
        </w:tc>
        <w:tc>
          <w:tcPr>
            <w:tcW w:w="80" w:type="dxa"/>
            <w:vAlign w:val="bottom"/>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1"/>
        </w:trPr>
        <w:tc>
          <w:tcPr>
            <w:tcW w:w="5960" w:type="dxa"/>
            <w:vAlign w:val="bottom"/>
            <w:shd w:val="clear" w:color="auto" w:fill="CFF0FC"/>
          </w:tcPr>
          <w:p>
            <w:pPr>
              <w:jc w:val="center"/>
              <w:ind w:right="62"/>
              <w:spacing w:after="0" w:line="142" w:lineRule="exact"/>
              <w:rPr>
                <w:sz w:val="20"/>
                <w:szCs w:val="20"/>
                <w:color w:val="auto"/>
              </w:rPr>
            </w:pPr>
            <w:r>
              <w:rPr>
                <w:rFonts w:ascii="Times New Roman" w:cs="Times New Roman" w:eastAsia="Times New Roman" w:hAnsi="Times New Roman"/>
                <w:sz w:val="16"/>
                <w:szCs w:val="16"/>
                <w:b w:val="1"/>
                <w:bCs w:val="1"/>
                <w:color w:val="auto"/>
                <w:w w:val="97"/>
              </w:rPr>
              <w:t>LIABILITIES, CONVERTIBLE PREFERRED STOCK, AND STOCKHOLDERS’</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95"/>
        </w:trPr>
        <w:tc>
          <w:tcPr>
            <w:tcW w:w="5960" w:type="dxa"/>
            <w:vAlign w:val="bottom"/>
            <w:shd w:val="clear" w:color="auto" w:fill="CFF0FC"/>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4"/>
              </w:rPr>
              <w:t>EQUITY</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6,048</w:t>
            </w:r>
          </w:p>
        </w:tc>
        <w:tc>
          <w:tcPr>
            <w:tcW w:w="400" w:type="dxa"/>
            <w:vAlign w:val="bottom"/>
            <w:shd w:val="clear" w:color="auto" w:fill="CFF0FC"/>
          </w:tcPr>
          <w:p>
            <w:pPr>
              <w:jc w:val="right"/>
              <w:ind w:right="2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6,985</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Payable to related party</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609</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2,015</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1,672</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Convertible note payable, current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1,734</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2,045</w:t>
            </w:r>
          </w:p>
        </w:tc>
        <w:tc>
          <w:tcPr>
            <w:tcW w:w="4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1,812</w:t>
            </w: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Deferred revenue, current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2,090</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2,176</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1,120</w:t>
            </w:r>
          </w:p>
        </w:tc>
        <w:tc>
          <w:tcPr>
            <w:tcW w:w="4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1,094</w:t>
            </w: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14,947</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16,559</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7,968</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8,350</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811</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Convertible note payable</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3,644</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1,004</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27,384</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27,038</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 (Note 8)</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Series B convertible preferred stock, $0.01 par value</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Authorized: 2,000,000 shares;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5960" w:type="dxa"/>
            <w:vAlign w:val="bottom"/>
            <w:shd w:val="clear" w:color="auto" w:fill="CFF0FC"/>
          </w:tcPr>
          <w:p>
            <w:pPr>
              <w:ind w:left="160"/>
              <w:spacing w:after="0" w:line="167" w:lineRule="exact"/>
              <w:rPr>
                <w:sz w:val="20"/>
                <w:szCs w:val="20"/>
                <w:color w:val="auto"/>
              </w:rPr>
            </w:pPr>
            <w:r>
              <w:rPr>
                <w:rFonts w:ascii="Times New Roman" w:cs="Times New Roman" w:eastAsia="Times New Roman" w:hAnsi="Times New Roman"/>
                <w:sz w:val="16"/>
                <w:szCs w:val="16"/>
                <w:color w:val="auto"/>
              </w:rPr>
              <w:t>Issued and outstanding 600,000 shares as of March 29, 2025 and 0 as of December 28,</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2024 (Liquidation preference of $6 million as of March 29, 2025)</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Authorized: 30,000,000 shares;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5960" w:type="dxa"/>
            <w:vAlign w:val="bottom"/>
            <w:shd w:val="clear" w:color="auto" w:fill="CFF0FC"/>
          </w:tcPr>
          <w:p>
            <w:pPr>
              <w:ind w:left="160"/>
              <w:spacing w:after="0" w:line="167" w:lineRule="exact"/>
              <w:rPr>
                <w:sz w:val="20"/>
                <w:szCs w:val="20"/>
                <w:color w:val="auto"/>
              </w:rPr>
            </w:pPr>
            <w:r>
              <w:rPr>
                <w:rFonts w:ascii="Times New Roman" w:cs="Times New Roman" w:eastAsia="Times New Roman" w:hAnsi="Times New Roman"/>
                <w:sz w:val="16"/>
                <w:szCs w:val="16"/>
                <w:color w:val="auto"/>
              </w:rPr>
              <w:t>Issued and outstanding 16,789,027 shares as of March 29, 2025 and 16,636,380 as of</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December 28, 2024</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FF0FC"/>
          </w:tcPr>
          <w:p>
            <w:pPr>
              <w:spacing w:after="0"/>
              <w:rPr>
                <w:sz w:val="16"/>
                <w:szCs w:val="16"/>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90,344</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89,881</w:t>
            </w:r>
          </w:p>
        </w:tc>
        <w:tc>
          <w:tcPr>
            <w:tcW w:w="80" w:type="dxa"/>
            <w:vAlign w:val="bottom"/>
          </w:tcPr>
          <w:p>
            <w:pPr>
              <w:spacing w:after="0"/>
              <w:rPr>
                <w:sz w:val="15"/>
                <w:szCs w:val="15"/>
                <w:color w:val="auto"/>
              </w:rPr>
            </w:pP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(89,695)</w:t>
            </w:r>
          </w:p>
        </w:tc>
        <w:tc>
          <w:tcPr>
            <w:tcW w:w="400" w:type="dxa"/>
            <w:vAlign w:val="bottom"/>
          </w:tcPr>
          <w:p>
            <w:pPr>
              <w:spacing w:after="0"/>
              <w:rPr>
                <w:sz w:val="15"/>
                <w:szCs w:val="15"/>
                <w:color w:val="auto"/>
              </w:rPr>
            </w:pPr>
          </w:p>
        </w:tc>
        <w:tc>
          <w:tcPr>
            <w:tcW w:w="8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(88,009)</w:t>
            </w: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852</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2,097</w:t>
            </w:r>
          </w:p>
        </w:tc>
      </w:tr>
      <w:tr>
        <w:trPr>
          <w:trHeight w:val="180"/>
        </w:trPr>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34,236</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29,135</w:t>
            </w:r>
          </w:p>
        </w:tc>
        <w:tc>
          <w:tcPr>
            <w:tcW w:w="80" w:type="dxa"/>
            <w:vAlign w:val="bottom"/>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 except per share data)</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11,896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6,841</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5,055</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2,453</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1,931</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5,260</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expense, net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(1,469)</w:t>
            </w:r>
          </w:p>
        </w:tc>
        <w:tc>
          <w:tcPr>
            <w:tcW w:w="120" w:type="dxa"/>
            <w:vAlign w:val="bottom"/>
          </w:tcPr>
          <w:p>
            <w:pPr>
              <w:spacing w:after="0"/>
              <w:rPr>
                <w:sz w:val="15"/>
                <w:szCs w:val="15"/>
                <w:color w:val="auto"/>
              </w:rPr>
            </w:pPr>
          </w:p>
        </w:tc>
        <w:tc>
          <w:tcPr>
            <w:tcW w:w="11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 before provision for income taxes</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(1,686</w:t>
            </w:r>
            <w:r>
              <w:rPr>
                <w:rFonts w:ascii="Times New Roman" w:cs="Times New Roman" w:eastAsia="Times New Roman" w:hAnsi="Times New Roman"/>
                <w:sz w:val="18"/>
                <w:szCs w:val="18"/>
                <w:color w:val="auto"/>
                <w:vertAlign w:val="subscript"/>
              </w:rPr>
              <w:t>)</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(3,464</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Net loss per share: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40" w:type="dxa"/>
            <w:vAlign w:val="bottom"/>
            <w:shd w:val="clear" w:color="auto" w:fill="CFF0FC"/>
          </w:tcPr>
          <w:p>
            <w:pPr>
              <w:ind w:left="140"/>
              <w:spacing w:after="0" w:line="160"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(0.10</w:t>
            </w:r>
            <w:r>
              <w:rPr>
                <w:rFonts w:ascii="Times New Roman" w:cs="Times New Roman" w:eastAsia="Times New Roman" w:hAnsi="Times New Roman"/>
                <w:sz w:val="18"/>
                <w:szCs w:val="18"/>
                <w:color w:val="auto"/>
                <w:vertAlign w:val="subscript"/>
              </w:rPr>
              <w:t>)</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(0.21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1"/>
                <w:szCs w:val="11"/>
                <w:color w:val="auto"/>
              </w:rPr>
              <w:t>(0.10</w:t>
            </w:r>
            <w:r>
              <w:rPr>
                <w:rFonts w:ascii="Times New Roman" w:cs="Times New Roman" w:eastAsia="Times New Roman" w:hAnsi="Times New Roman"/>
                <w:sz w:val="18"/>
                <w:szCs w:val="18"/>
                <w:color w:val="auto"/>
                <w:vertAlign w:val="subscript"/>
              </w:rPr>
              <w:t>)</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1"/>
                <w:szCs w:val="11"/>
                <w:color w:val="auto"/>
              </w:rPr>
              <w:t>(0.21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Weighted average shares used in computing net loss per common share:</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16,727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bottom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16,727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16,253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57"/>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9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(3,464)</w:t>
            </w:r>
          </w:p>
        </w:tc>
      </w:tr>
      <w:tr>
        <w:trPr>
          <w:trHeight w:val="180"/>
        </w:trPr>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12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FF0FC"/>
          </w:tcPr>
          <w:p>
            <w:pPr>
              <w:spacing w:after="0"/>
              <w:rPr>
                <w:sz w:val="15"/>
                <w:szCs w:val="15"/>
                <w:color w:val="auto"/>
              </w:rPr>
            </w:pPr>
          </w:p>
        </w:tc>
      </w:tr>
      <w:tr>
        <w:trPr>
          <w:trHeight w:val="180"/>
        </w:trPr>
        <w:tc>
          <w:tcPr>
            <w:tcW w:w="59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(1,708</w:t>
            </w:r>
            <w:r>
              <w:rPr>
                <w:rFonts w:ascii="Times New Roman" w:cs="Times New Roman" w:eastAsia="Times New Roman" w:hAnsi="Times New Roman"/>
                <w:sz w:val="18"/>
                <w:szCs w:val="18"/>
                <w:color w:val="auto"/>
                <w:vertAlign w:val="subscript"/>
              </w:rPr>
              <w:t>)</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(3,428</w:t>
            </w:r>
            <w:r>
              <w:rPr>
                <w:rFonts w:ascii="Times New Roman" w:cs="Times New Roman" w:eastAsia="Times New Roman" w:hAnsi="Times New Roman"/>
                <w:sz w:val="18"/>
                <w:szCs w:val="18"/>
                <w:color w:val="auto"/>
                <w:vertAlign w:val="subscript"/>
              </w:rPr>
              <w:t>)</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 except share data)</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 March 29, 2025</w:t>
            </w:r>
          </w:p>
        </w:tc>
        <w:tc>
          <w:tcPr>
            <w:tcW w:w="1820" w:type="dxa"/>
            <w:vAlign w:val="bottom"/>
            <w:gridSpan w:val="4"/>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70"/>
        </w:trPr>
        <w:tc>
          <w:tcPr>
            <w:tcW w:w="2680" w:type="dxa"/>
            <w:vAlign w:val="bottom"/>
          </w:tcPr>
          <w:p>
            <w:pPr>
              <w:spacing w:after="0"/>
              <w:rPr>
                <w:sz w:val="14"/>
                <w:szCs w:val="14"/>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8"/>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Balances, December 28, 2024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16,636,380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(88,009)</w:t>
            </w:r>
          </w:p>
        </w:tc>
        <w:tc>
          <w:tcPr>
            <w:tcW w:w="2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80" w:type="dxa"/>
            <w:vAlign w:val="bottom"/>
            <w:shd w:val="clear" w:color="auto" w:fill="CFF0FC"/>
          </w:tcPr>
          <w:p>
            <w:pPr>
              <w:spacing w:after="0"/>
              <w:rPr>
                <w:sz w:val="14"/>
                <w:szCs w:val="14"/>
                <w:color w:val="auto"/>
              </w:rPr>
            </w:pPr>
          </w:p>
        </w:tc>
      </w:tr>
      <w:tr>
        <w:trPr>
          <w:trHeight w:val="156"/>
        </w:trPr>
        <w:tc>
          <w:tcPr>
            <w:tcW w:w="26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Issuance of common shares in conjunction</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with extinguishment of convertible notes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r>
      <w:tr>
        <w:trPr>
          <w:trHeight w:val="168"/>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FF0FC"/>
          </w:tcPr>
          <w:p>
            <w:pPr>
              <w:spacing w:after="0"/>
              <w:rPr>
                <w:sz w:val="14"/>
                <w:szCs w:val="14"/>
                <w:color w:val="auto"/>
              </w:rPr>
            </w:pPr>
          </w:p>
        </w:tc>
      </w:tr>
      <w:tr>
        <w:trPr>
          <w:trHeight w:val="16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(1,686)</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(1,686)</w:t>
            </w:r>
          </w:p>
        </w:tc>
      </w:tr>
      <w:tr>
        <w:trPr>
          <w:trHeight w:val="168"/>
        </w:trPr>
        <w:tc>
          <w:tcPr>
            <w:tcW w:w="26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Balances, March 29, 2025</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16,789,027</w:t>
            </w:r>
          </w:p>
        </w:tc>
        <w:tc>
          <w:tcPr>
            <w:tcW w:w="30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90,344</w:t>
            </w:r>
          </w:p>
        </w:tc>
        <w:tc>
          <w:tcPr>
            <w:tcW w:w="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1"/>
                <w:szCs w:val="11"/>
                <w:color w:val="auto"/>
              </w:rPr>
              <w:t>(89,695</w:t>
            </w:r>
            <w:r>
              <w:rPr>
                <w:rFonts w:ascii="Times New Roman" w:cs="Times New Roman" w:eastAsia="Times New Roman" w:hAnsi="Times New Roman"/>
                <w:sz w:val="17"/>
                <w:szCs w:val="17"/>
                <w:color w:val="auto"/>
                <w:vertAlign w:val="subscript"/>
              </w:rPr>
              <w:t>)</w:t>
            </w:r>
          </w:p>
        </w:tc>
        <w:tc>
          <w:tcPr>
            <w:tcW w:w="200" w:type="dxa"/>
            <w:vAlign w:val="bottom"/>
            <w:gridSpan w:val="2"/>
          </w:tcPr>
          <w:p>
            <w:pPr>
              <w:jc w:val="right"/>
              <w:ind w:right="14"/>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4"/>
                <w:szCs w:val="14"/>
                <w:color w:val="auto"/>
              </w:rPr>
            </w:pPr>
          </w:p>
        </w:tc>
      </w:tr>
      <w:tr>
        <w:trPr>
          <w:trHeight w:val="20"/>
        </w:trPr>
        <w:tc>
          <w:tcPr>
            <w:tcW w:w="2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26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 March 30, 2024</w:t>
            </w:r>
          </w:p>
        </w:tc>
        <w:tc>
          <w:tcPr>
            <w:tcW w:w="1820" w:type="dxa"/>
            <w:vAlign w:val="bottom"/>
            <w:gridSpan w:val="4"/>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7"/>
        </w:trPr>
        <w:tc>
          <w:tcPr>
            <w:tcW w:w="2680" w:type="dxa"/>
            <w:vAlign w:val="bottom"/>
          </w:tcPr>
          <w:p>
            <w:pPr>
              <w:spacing w:after="0"/>
              <w:rPr>
                <w:sz w:val="13"/>
                <w:szCs w:val="13"/>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Balances, December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16,252,813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88,444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(79,042)</w:t>
            </w: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9,522</w:t>
            </w:r>
          </w:p>
        </w:tc>
        <w:tc>
          <w:tcPr>
            <w:tcW w:w="80" w:type="dxa"/>
            <w:vAlign w:val="bottom"/>
          </w:tcPr>
          <w:p>
            <w:pPr>
              <w:spacing w:after="0"/>
              <w:rPr>
                <w:sz w:val="15"/>
                <w:szCs w:val="15"/>
                <w:color w:val="auto"/>
              </w:rPr>
            </w:pPr>
          </w:p>
        </w:tc>
      </w:tr>
      <w:tr>
        <w:trPr>
          <w:trHeight w:val="168"/>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FF0FC"/>
          </w:tcPr>
          <w:p>
            <w:pPr>
              <w:spacing w:after="0"/>
              <w:rPr>
                <w:sz w:val="14"/>
                <w:szCs w:val="14"/>
                <w:color w:val="auto"/>
              </w:rPr>
            </w:pPr>
          </w:p>
        </w:tc>
      </w:tr>
      <w:tr>
        <w:trPr>
          <w:trHeight w:val="16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r>
      <w:tr>
        <w:trPr>
          <w:trHeight w:val="168"/>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(3,464)</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(3,464)</w:t>
            </w:r>
          </w:p>
        </w:tc>
      </w:tr>
      <w:tr>
        <w:trPr>
          <w:trHeight w:val="168"/>
        </w:trPr>
        <w:tc>
          <w:tcPr>
            <w:tcW w:w="26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Balances, March 30, 2024</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16,252,813</w:t>
            </w:r>
          </w:p>
        </w:tc>
        <w:tc>
          <w:tcPr>
            <w:tcW w:w="30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172</w:t>
            </w:r>
          </w:p>
        </w:tc>
        <w:tc>
          <w:tcPr>
            <w:tcW w:w="26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88,838</w:t>
            </w:r>
          </w:p>
        </w:tc>
        <w:tc>
          <w:tcPr>
            <w:tcW w:w="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(16</w:t>
            </w:r>
            <w:r>
              <w:rPr>
                <w:rFonts w:ascii="Times New Roman" w:cs="Times New Roman" w:eastAsia="Times New Roman" w:hAnsi="Times New Roman"/>
                <w:sz w:val="17"/>
                <w:szCs w:val="17"/>
                <w:color w:val="auto"/>
                <w:vertAlign w:val="subscript"/>
              </w:rPr>
              <w:t>)</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1"/>
                <w:szCs w:val="11"/>
                <w:color w:val="auto"/>
              </w:rPr>
              <w:t>(82,506</w:t>
            </w:r>
            <w:r>
              <w:rPr>
                <w:rFonts w:ascii="Times New Roman" w:cs="Times New Roman" w:eastAsia="Times New Roman" w:hAnsi="Times New Roman"/>
                <w:sz w:val="17"/>
                <w:szCs w:val="17"/>
                <w:color w:val="auto"/>
                <w:vertAlign w:val="subscript"/>
              </w:rPr>
              <w:t>)</w:t>
            </w:r>
          </w:p>
        </w:tc>
        <w:tc>
          <w:tcPr>
            <w:tcW w:w="200" w:type="dxa"/>
            <w:vAlign w:val="bottom"/>
            <w:gridSpan w:val="2"/>
          </w:tcPr>
          <w:p>
            <w:pPr>
              <w:jc w:val="right"/>
              <w:ind w:right="14"/>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6,488</w:t>
            </w:r>
          </w:p>
        </w:tc>
        <w:tc>
          <w:tcPr>
            <w:tcW w:w="80" w:type="dxa"/>
            <w:vAlign w:val="bottom"/>
          </w:tcPr>
          <w:p>
            <w:pPr>
              <w:spacing w:after="0"/>
              <w:rPr>
                <w:sz w:val="14"/>
                <w:szCs w:val="14"/>
                <w:color w:val="auto"/>
              </w:rPr>
            </w:pPr>
          </w:p>
        </w:tc>
      </w:tr>
      <w:tr>
        <w:trPr>
          <w:trHeight w:val="20"/>
        </w:trPr>
        <w:tc>
          <w:tcPr>
            <w:tcW w:w="2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0"/>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(1,686)</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(3,464)</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extinguishment of convertible note payable</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debt issuance costs</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Receivable from related party</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(1,097)</w:t>
            </w: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5"/>
                <w:szCs w:val="15"/>
                <w:color w:val="auto"/>
              </w:rPr>
            </w:pPr>
          </w:p>
        </w:tc>
        <w:tc>
          <w:tcPr>
            <w:tcW w:w="11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(1,154)</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3,182</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Payable to related party</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637</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(884)</w:t>
            </w: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5"/>
                <w:szCs w:val="15"/>
                <w:color w:val="auto"/>
              </w:rPr>
            </w:pPr>
          </w:p>
        </w:tc>
        <w:tc>
          <w:tcPr>
            <w:tcW w:w="11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(274)</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(225)</w:t>
            </w: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(1,149)</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(1,648)</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Investing activities: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Acquisition of property and equipment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11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Financing activities: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Proceeds from issuance of convertible note payable</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rPr>
              <w:t>Payments on note payable</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(3,961)</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Proceeds from issuance of Series B preferred stock</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6,039</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exchange rate changes</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4,857</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(1,615)</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2,387</w:t>
            </w: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7,034</w:t>
            </w:r>
          </w:p>
        </w:tc>
      </w:tr>
      <w:tr>
        <w:trPr>
          <w:trHeight w:val="220"/>
        </w:trPr>
        <w:tc>
          <w:tcPr>
            <w:tcW w:w="20" w:type="dxa"/>
            <w:vAlign w:val="bottom"/>
          </w:tcPr>
          <w:p>
            <w:pPr>
              <w:spacing w:after="0"/>
              <w:rPr>
                <w:sz w:val="19"/>
                <w:szCs w:val="19"/>
                <w:color w:val="auto"/>
              </w:rPr>
            </w:pPr>
          </w:p>
        </w:tc>
        <w:tc>
          <w:tcPr>
            <w:tcW w:w="5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end of year</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7,244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5,419</w:t>
            </w:r>
          </w:p>
        </w:tc>
      </w:tr>
      <w:tr>
        <w:trPr>
          <w:trHeight w:val="156"/>
        </w:trPr>
        <w:tc>
          <w:tcPr>
            <w:tcW w:w="20" w:type="dxa"/>
            <w:vAlign w:val="bottom"/>
          </w:tcPr>
          <w:p>
            <w:pPr>
              <w:spacing w:after="0"/>
              <w:rPr>
                <w:sz w:val="13"/>
                <w:szCs w:val="13"/>
                <w:color w:val="auto"/>
              </w:rPr>
            </w:pPr>
          </w:p>
        </w:tc>
        <w:tc>
          <w:tcPr>
            <w:tcW w:w="59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9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Debt issuance cost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20" w:type="dxa"/>
            <w:vAlign w:val="bottom"/>
          </w:tcPr>
          <w:p>
            <w:pPr>
              <w:spacing w:after="0"/>
              <w:rPr>
                <w:sz w:val="14"/>
                <w:szCs w:val="14"/>
                <w:color w:val="auto"/>
              </w:rPr>
            </w:pPr>
          </w:p>
        </w:tc>
        <w:tc>
          <w:tcPr>
            <w:tcW w:w="5960" w:type="dxa"/>
            <w:vAlign w:val="bottom"/>
          </w:tcPr>
          <w:p>
            <w:pPr>
              <w:ind w:left="140"/>
              <w:spacing w:after="0" w:line="167" w:lineRule="exact"/>
              <w:rPr>
                <w:sz w:val="20"/>
                <w:szCs w:val="20"/>
                <w:color w:val="auto"/>
              </w:rPr>
            </w:pPr>
            <w:r>
              <w:rPr>
                <w:rFonts w:ascii="Times New Roman" w:cs="Times New Roman" w:eastAsia="Times New Roman" w:hAnsi="Times New Roman"/>
                <w:sz w:val="16"/>
                <w:szCs w:val="16"/>
                <w:color w:val="auto"/>
              </w:rPr>
              <w:t>Issuance of common shares in conjunction with extinguishment of convertible notes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IRIDEX Corporation</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 Basis of Presentation</w:t>
      </w:r>
    </w:p>
    <w:p>
      <w:pPr>
        <w:spacing w:after="0" w:line="94" w:lineRule="exact"/>
        <w:rPr>
          <w:sz w:val="20"/>
          <w:szCs w:val="20"/>
          <w:color w:val="auto"/>
        </w:rPr>
      </w:pPr>
    </w:p>
    <w:p>
      <w:pPr>
        <w:ind w:left="180" w:right="400" w:firstLine="384"/>
        <w:spacing w:after="0" w:line="239"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 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7" w:lineRule="exact"/>
        <w:rPr>
          <w:sz w:val="20"/>
          <w:szCs w:val="20"/>
          <w:color w:val="auto"/>
        </w:rPr>
      </w:pPr>
    </w:p>
    <w:p>
      <w:pPr>
        <w:ind w:left="180" w:right="200" w:firstLine="384"/>
        <w:spacing w:after="0" w:line="23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2024, which was filed with the SEC on March 27, 2025. The results of operations for the three months ended March 29, 2025 are not necessarily indicative of the results for the fiscal year ending January 3, 2026 or any future interim period. The three months ended March 29, 2025 and March 30, 2024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Company’s significant accounting policies are disclosed in our Annual Report on Form 10-K for the year ended December 28,</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2024 which was filed with the SEC on March 27, 2025.</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Financial Statement Presentation</w:t>
      </w:r>
    </w:p>
    <w:p>
      <w:pPr>
        <w:spacing w:after="0" w:line="94" w:lineRule="exact"/>
        <w:rPr>
          <w:sz w:val="20"/>
          <w:szCs w:val="20"/>
          <w:color w:val="auto"/>
        </w:rPr>
      </w:pPr>
    </w:p>
    <w:p>
      <w:pPr>
        <w:ind w:left="180" w:right="940" w:firstLine="384"/>
        <w:spacing w:after="0" w:line="259" w:lineRule="auto"/>
        <w:rPr>
          <w:sz w:val="20"/>
          <w:szCs w:val="20"/>
          <w:color w:val="auto"/>
        </w:rPr>
      </w:pPr>
      <w:r>
        <w:rPr>
          <w:rFonts w:ascii="Times New Roman" w:cs="Times New Roman" w:eastAsia="Times New Roman" w:hAnsi="Times New Roman"/>
          <w:sz w:val="16"/>
          <w:szCs w:val="16"/>
          <w:color w:val="auto"/>
        </w:rPr>
        <w:t>The unaudited condensed consolidated financial statements include the accounts of the Company and our wholly-owned subsidiaries. All significant intercompany accounts and transactions have been eliminated in consolidation.</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94" w:lineRule="exact"/>
        <w:rPr>
          <w:sz w:val="20"/>
          <w:szCs w:val="20"/>
          <w:color w:val="auto"/>
        </w:rPr>
      </w:pPr>
    </w:p>
    <w:p>
      <w:pPr>
        <w:ind w:left="180" w:right="240" w:firstLine="384"/>
        <w:spacing w:after="0" w:line="239"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94" w:lineRule="exact"/>
        <w:rPr>
          <w:sz w:val="20"/>
          <w:szCs w:val="20"/>
          <w:color w:val="auto"/>
        </w:rPr>
      </w:pPr>
    </w:p>
    <w:p>
      <w:pPr>
        <w:ind w:left="180" w:right="160" w:firstLine="384"/>
        <w:spacing w:after="0" w:line="241" w:lineRule="auto"/>
        <w:rPr>
          <w:sz w:val="20"/>
          <w:szCs w:val="20"/>
          <w:color w:val="auto"/>
        </w:rPr>
      </w:pPr>
      <w:r>
        <w:rPr>
          <w:rFonts w:ascii="Times New Roman" w:cs="Times New Roman" w:eastAsia="Times New Roman" w:hAnsi="Times New Roman"/>
          <w:sz w:val="16"/>
          <w:szCs w:val="16"/>
          <w:color w:val="auto"/>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94" w:lineRule="exact"/>
        <w:rPr>
          <w:sz w:val="20"/>
          <w:szCs w:val="20"/>
          <w:color w:val="auto"/>
        </w:rPr>
      </w:pPr>
    </w:p>
    <w:p>
      <w:pPr>
        <w:ind w:left="180" w:right="260" w:firstLine="384"/>
        <w:spacing w:after="0" w:line="280" w:lineRule="auto"/>
        <w:rPr>
          <w:sz w:val="20"/>
          <w:szCs w:val="20"/>
          <w:color w:val="auto"/>
        </w:rPr>
      </w:pPr>
      <w:r>
        <w:rPr>
          <w:rFonts w:ascii="Times New Roman" w:cs="Times New Roman" w:eastAsia="Times New Roman" w:hAnsi="Times New Roman"/>
          <w:sz w:val="14"/>
          <w:szCs w:val="14"/>
          <w:color w:val="auto"/>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sz w:val="20"/>
          <w:szCs w:val="20"/>
          <w:color w:val="auto"/>
        </w:rPr>
      </w:pPr>
    </w:p>
    <w:p>
      <w:pPr>
        <w:ind w:left="180" w:right="700" w:firstLine="384"/>
        <w:spacing w:after="0" w:line="259" w:lineRule="auto"/>
        <w:rPr>
          <w:sz w:val="20"/>
          <w:szCs w:val="20"/>
          <w:color w:val="auto"/>
        </w:rPr>
      </w:pPr>
      <w:r>
        <w:rPr>
          <w:rFonts w:ascii="Times New Roman" w:cs="Times New Roman" w:eastAsia="Times New Roman" w:hAnsi="Times New Roman"/>
          <w:sz w:val="16"/>
          <w:szCs w:val="16"/>
          <w:color w:val="auto"/>
        </w:rPr>
        <w:t>The Company has the following revenue transaction types: (1) Product Sale Only, (2) Service Contracts, (3) System Repairs (outside of warranty), (4) Royalty Revenue and (5) Exclusive Distribution Rights.</w:t>
      </w:r>
    </w:p>
    <w:p>
      <w:pPr>
        <w:spacing w:after="0" w:line="59" w:lineRule="exact"/>
        <w:rPr>
          <w:sz w:val="20"/>
          <w:szCs w:val="20"/>
          <w:color w:val="auto"/>
        </w:rPr>
      </w:pPr>
    </w:p>
    <w:p>
      <w:pPr>
        <w:ind w:left="580" w:right="540"/>
        <w:spacing w:after="0" w:line="243" w:lineRule="auto"/>
        <w:rPr>
          <w:sz w:val="20"/>
          <w:szCs w:val="20"/>
          <w:color w:val="auto"/>
        </w:rPr>
      </w:pPr>
      <w:r>
        <w:rPr>
          <w:rFonts w:ascii="Times New Roman" w:cs="Times New Roman" w:eastAsia="Times New Roman" w:hAnsi="Times New Roman"/>
          <w:sz w:val="16"/>
          <w:szCs w:val="16"/>
          <w:color w:val="auto"/>
        </w:rPr>
        <w:t>1.Product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10" w:name="page11"/>
    <w:bookmarkEnd w:id="10"/>
    <w:p>
      <w:pPr>
        <w:spacing w:after="0" w:line="17" w:lineRule="exact"/>
        <w:rPr>
          <w:sz w:val="20"/>
          <w:szCs w:val="20"/>
          <w:color w:val="auto"/>
        </w:rPr>
      </w:pPr>
    </w:p>
    <w:p>
      <w:pPr>
        <w:ind w:left="580" w:right="900"/>
        <w:spacing w:after="0" w:line="259" w:lineRule="auto"/>
        <w:rPr>
          <w:sz w:val="20"/>
          <w:szCs w:val="20"/>
          <w:color w:val="auto"/>
        </w:rPr>
      </w:pPr>
      <w:r>
        <w:rPr>
          <w:rFonts w:ascii="Times New Roman" w:cs="Times New Roman" w:eastAsia="Times New Roman" w:hAnsi="Times New Roman"/>
          <w:sz w:val="16"/>
          <w:szCs w:val="16"/>
          <w:color w:val="auto"/>
        </w:rPr>
        <w:t>distributors to market and sell the Company’s products. There is no continuing obligation after shipment is made to these distributors.</w:t>
      </w:r>
    </w:p>
    <w:p>
      <w:pPr>
        <w:spacing w:after="0" w:line="59" w:lineRule="exact"/>
        <w:rPr>
          <w:sz w:val="20"/>
          <w:szCs w:val="20"/>
          <w:color w:val="auto"/>
        </w:rPr>
      </w:pPr>
    </w:p>
    <w:p>
      <w:pPr>
        <w:ind w:left="960" w:right="700"/>
        <w:spacing w:after="0" w:line="259" w:lineRule="auto"/>
        <w:rPr>
          <w:sz w:val="20"/>
          <w:szCs w:val="20"/>
          <w:color w:val="auto"/>
        </w:rPr>
      </w:pPr>
      <w:r>
        <w:rPr>
          <w:rFonts w:ascii="Times New Roman" w:cs="Times New Roman" w:eastAsia="Times New Roman" w:hAnsi="Times New Roman"/>
          <w:sz w:val="16"/>
          <w:szCs w:val="16"/>
          <w:color w:val="auto"/>
        </w:rPr>
        <w:t>The Company recognizes revenue from product sales at a point in time subject to the allocation of transaction price to additional performance obligations, if any.</w:t>
      </w:r>
    </w:p>
    <w:p>
      <w:pPr>
        <w:spacing w:after="0" w:line="59" w:lineRule="exact"/>
        <w:rPr>
          <w:sz w:val="20"/>
          <w:szCs w:val="20"/>
          <w:color w:val="auto"/>
        </w:rPr>
      </w:pPr>
    </w:p>
    <w:p>
      <w:pPr>
        <w:ind w:left="580" w:right="200"/>
        <w:spacing w:after="0" w:line="299" w:lineRule="auto"/>
        <w:rPr>
          <w:sz w:val="20"/>
          <w:szCs w:val="20"/>
          <w:color w:val="auto"/>
        </w:rPr>
      </w:pPr>
      <w:r>
        <w:rPr>
          <w:rFonts w:ascii="Times New Roman" w:cs="Times New Roman" w:eastAsia="Times New Roman" w:hAnsi="Times New Roman"/>
          <w:sz w:val="14"/>
          <w:szCs w:val="14"/>
          <w:color w:val="auto"/>
        </w:rPr>
        <w:t>2.Service Contracts: The Company offers a standard two-year warranty on all system sales. The Company also offers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spacing w:after="0" w:line="34" w:lineRule="exact"/>
        <w:rPr>
          <w:sz w:val="20"/>
          <w:szCs w:val="20"/>
          <w:color w:val="auto"/>
        </w:rPr>
      </w:pPr>
    </w:p>
    <w:p>
      <w:pPr>
        <w:ind w:left="960" w:right="180"/>
        <w:spacing w:after="0" w:line="259" w:lineRule="auto"/>
        <w:rPr>
          <w:sz w:val="20"/>
          <w:szCs w:val="20"/>
          <w:color w:val="auto"/>
        </w:rPr>
      </w:pPr>
      <w:r>
        <w:rPr>
          <w:rFonts w:ascii="Times New Roman" w:cs="Times New Roman" w:eastAsia="Times New Roman" w:hAnsi="Times New Roman"/>
          <w:sz w:val="16"/>
          <w:szCs w:val="16"/>
          <w:color w:val="auto"/>
        </w:rPr>
        <w:t>The Company recognizes revenue from service contracts ratably over the service period. Revenue recognition for the sale of a service contract is largely dependent on the timing of the sale as follows:</w:t>
      </w:r>
    </w:p>
    <w:p>
      <w:pPr>
        <w:spacing w:after="0" w:line="59" w:lineRule="exact"/>
        <w:rPr>
          <w:sz w:val="20"/>
          <w:szCs w:val="20"/>
          <w:color w:val="auto"/>
        </w:rPr>
      </w:pPr>
    </w:p>
    <w:p>
      <w:pPr>
        <w:ind w:left="960" w:right="180"/>
        <w:spacing w:after="0" w:line="243" w:lineRule="auto"/>
        <w:rPr>
          <w:sz w:val="20"/>
          <w:szCs w:val="20"/>
          <w:color w:val="auto"/>
        </w:rPr>
      </w:pPr>
      <w:r>
        <w:rPr>
          <w:rFonts w:ascii="Times New Roman" w:cs="Times New Roman" w:eastAsia="Times New Roman" w:hAnsi="Times New Roman"/>
          <w:sz w:val="16"/>
          <w:szCs w:val="16"/>
          <w:color w:val="auto"/>
        </w:rPr>
        <w:t>a)Service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sz w:val="20"/>
          <w:szCs w:val="20"/>
          <w:color w:val="auto"/>
        </w:rPr>
      </w:pPr>
    </w:p>
    <w:p>
      <w:pPr>
        <w:ind w:left="960" w:right="180"/>
        <w:spacing w:after="0" w:line="238" w:lineRule="auto"/>
        <w:rPr>
          <w:sz w:val="20"/>
          <w:szCs w:val="20"/>
          <w:color w:val="auto"/>
        </w:rPr>
      </w:pPr>
      <w:r>
        <w:rPr>
          <w:rFonts w:ascii="Times New Roman" w:cs="Times New Roman" w:eastAsia="Times New Roman" w:hAnsi="Times New Roman"/>
          <w:sz w:val="16"/>
          <w:szCs w:val="16"/>
          <w:color w:val="auto"/>
        </w:rPr>
        <w:t>b)Service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77" w:lineRule="exact"/>
        <w:rPr>
          <w:sz w:val="20"/>
          <w:szCs w:val="20"/>
          <w:color w:val="auto"/>
        </w:rPr>
      </w:pPr>
    </w:p>
    <w:p>
      <w:pPr>
        <w:ind w:left="580" w:right="180"/>
        <w:spacing w:after="0" w:line="259" w:lineRule="auto"/>
        <w:rPr>
          <w:sz w:val="20"/>
          <w:szCs w:val="20"/>
          <w:color w:val="auto"/>
        </w:rPr>
      </w:pPr>
      <w:r>
        <w:rPr>
          <w:rFonts w:ascii="Times New Roman" w:cs="Times New Roman" w:eastAsia="Times New Roman" w:hAnsi="Times New Roman"/>
          <w:sz w:val="16"/>
          <w:szCs w:val="16"/>
          <w:color w:val="auto"/>
        </w:rPr>
        <w:t>3.System Repairs (outside of warranty): Customers will occasionally request repairs from the Company subsequent to the expiration of the standard warranty and outside of a service contract.</w:t>
      </w:r>
    </w:p>
    <w:p>
      <w:pPr>
        <w:spacing w:after="0" w:line="59" w:lineRule="exact"/>
        <w:rPr>
          <w:sz w:val="20"/>
          <w:szCs w:val="20"/>
          <w:color w:val="auto"/>
        </w:rPr>
      </w:pPr>
    </w:p>
    <w:p>
      <w:pPr>
        <w:ind w:left="960" w:right="200"/>
        <w:spacing w:after="0" w:line="243" w:lineRule="auto"/>
        <w:rPr>
          <w:sz w:val="20"/>
          <w:szCs w:val="20"/>
          <w:color w:val="auto"/>
        </w:rPr>
      </w:pPr>
      <w:r>
        <w:rPr>
          <w:rFonts w:ascii="Times New Roman" w:cs="Times New Roman" w:eastAsia="Times New Roman" w:hAnsi="Times New Roman"/>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w:t>
      </w:r>
    </w:p>
    <w:p>
      <w:pPr>
        <w:spacing w:after="0" w:line="71" w:lineRule="exact"/>
        <w:rPr>
          <w:sz w:val="20"/>
          <w:szCs w:val="20"/>
          <w:color w:val="auto"/>
        </w:rPr>
      </w:pPr>
    </w:p>
    <w:p>
      <w:pPr>
        <w:ind w:left="580" w:right="320"/>
        <w:spacing w:after="0" w:line="247" w:lineRule="auto"/>
        <w:rPr>
          <w:sz w:val="20"/>
          <w:szCs w:val="20"/>
          <w:color w:val="auto"/>
        </w:rPr>
      </w:pPr>
      <w:r>
        <w:rPr>
          <w:rFonts w:ascii="Times New Roman" w:cs="Times New Roman" w:eastAsia="Times New Roman" w:hAnsi="Times New Roman"/>
          <w:sz w:val="16"/>
          <w:szCs w:val="16"/>
          <w:color w:val="auto"/>
        </w:rPr>
        <w:t>4.Royalty Revenue: The Company has royalty agreements with four customers related to the sale of the Company’s intellectual property. Under the terms of these agreements, two customers are to remit a percentage of sales to the Company as the sales occur and one customer made an upfront prepayment for royalties.</w:t>
      </w:r>
    </w:p>
    <w:p>
      <w:pPr>
        <w:spacing w:after="0" w:line="68" w:lineRule="exact"/>
        <w:rPr>
          <w:sz w:val="20"/>
          <w:szCs w:val="20"/>
          <w:color w:val="auto"/>
        </w:rPr>
      </w:pPr>
    </w:p>
    <w:p>
      <w:pPr>
        <w:ind w:left="960" w:right="200"/>
        <w:spacing w:after="0" w:line="278" w:lineRule="auto"/>
        <w:rPr>
          <w:sz w:val="20"/>
          <w:szCs w:val="20"/>
          <w:color w:val="auto"/>
        </w:rPr>
      </w:pPr>
      <w:r>
        <w:rPr>
          <w:rFonts w:ascii="Times New Roman" w:cs="Times New Roman" w:eastAsia="Times New Roman" w:hAnsi="Times New Roman"/>
          <w:sz w:val="14"/>
          <w:szCs w:val="14"/>
          <w:color w:val="auto"/>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 w:name="page12"/>
    <w:bookmarkEnd w:id="11"/>
    <w:p>
      <w:pPr>
        <w:spacing w:after="0" w:line="17" w:lineRule="exact"/>
        <w:rPr>
          <w:sz w:val="20"/>
          <w:szCs w:val="20"/>
          <w:color w:val="auto"/>
        </w:rPr>
      </w:pPr>
    </w:p>
    <w:p>
      <w:pPr>
        <w:ind w:left="960" w:right="220" w:hanging="390"/>
        <w:spacing w:after="0" w:line="272" w:lineRule="auto"/>
        <w:tabs>
          <w:tab w:leader="none" w:pos="7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March 29, 2025 and March 30, 2024, $0.4 million in revenue related to the exclusive distribution rights were recorded.</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Costs of Obtaining Revenue Contracts</w:t>
      </w:r>
    </w:p>
    <w:p>
      <w:pPr>
        <w:spacing w:after="0" w:line="94" w:lineRule="exact"/>
        <w:rPr>
          <w:sz w:val="20"/>
          <w:szCs w:val="20"/>
          <w:color w:val="auto"/>
        </w:rPr>
      </w:pPr>
    </w:p>
    <w:p>
      <w:pPr>
        <w:ind w:left="180" w:right="180" w:firstLine="384"/>
        <w:spacing w:after="0" w:line="278" w:lineRule="auto"/>
        <w:rPr>
          <w:sz w:val="20"/>
          <w:szCs w:val="20"/>
          <w:color w:val="auto"/>
        </w:rPr>
      </w:pPr>
      <w:r>
        <w:rPr>
          <w:rFonts w:ascii="Times New Roman" w:cs="Times New Roman" w:eastAsia="Times New Roman" w:hAnsi="Times New Roman"/>
          <w:sz w:val="14"/>
          <w:szCs w:val="14"/>
          <w:color w:val="auto"/>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 line basis over the estimated period of benefit, which typically ranges from 2 to 3 years. As of March 29, 2025, the Company recognized deferred costs incurred to obtain revenue contracts with customers, net of accumulated amortization, of $4 thousand, and included these amounts in Prepaid expenses and other current assets and Other long-term assets in the Company’s condensed consolidated balance sheets. Amortization expense was $19 thousand for each of the three months ended March 29, 2025 and March 30, 2024. There were no impairment expenses for both the three months ended March 29, 2025 and March 30, 2024.</w:t>
      </w:r>
    </w:p>
    <w:p>
      <w:pPr>
        <w:spacing w:after="0" w:line="51" w:lineRule="exact"/>
        <w:rPr>
          <w:sz w:val="20"/>
          <w:szCs w:val="20"/>
          <w:color w:val="auto"/>
        </w:rPr>
      </w:pPr>
    </w:p>
    <w:p>
      <w:pPr>
        <w:jc w:val="both"/>
        <w:ind w:left="180" w:right="400" w:firstLine="384"/>
        <w:spacing w:after="0" w:line="299" w:lineRule="auto"/>
        <w:rPr>
          <w:sz w:val="20"/>
          <w:szCs w:val="20"/>
          <w:color w:val="auto"/>
        </w:rPr>
      </w:pPr>
      <w:r>
        <w:rPr>
          <w:rFonts w:ascii="Times New Roman" w:cs="Times New Roman" w:eastAsia="Times New Roman" w:hAnsi="Times New Roman"/>
          <w:sz w:val="14"/>
          <w:szCs w:val="14"/>
          <w:color w:val="auto"/>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Contract Fulfillment Costs</w:t>
      </w:r>
    </w:p>
    <w:p>
      <w:pPr>
        <w:spacing w:after="0" w:line="94" w:lineRule="exact"/>
        <w:rPr>
          <w:sz w:val="20"/>
          <w:szCs w:val="20"/>
          <w:color w:val="auto"/>
        </w:rPr>
      </w:pPr>
    </w:p>
    <w:p>
      <w:pPr>
        <w:ind w:left="180" w:right="260" w:firstLine="384"/>
        <w:spacing w:after="0" w:line="239" w:lineRule="auto"/>
        <w:rPr>
          <w:sz w:val="20"/>
          <w:szCs w:val="20"/>
          <w:color w:val="auto"/>
        </w:rPr>
      </w:pPr>
      <w:r>
        <w:rPr>
          <w:rFonts w:ascii="Times New Roman" w:cs="Times New Roman" w:eastAsia="Times New Roman" w:hAnsi="Times New Roman"/>
          <w:sz w:val="16"/>
          <w:szCs w:val="16"/>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March 29, 2025, the Company recognized deferred costs incurred to fulfill a contract with a customer, net of accumulated amortization, of $0.6 million, and included these amounts in Prepaid expenses and other current assets and Other long-term assets in the Company’s condensed consolidated balance sheets. Amortization expense was $21 thousand for each of the three months ended March 29, 2025 and March 30, 2024. There were no impairment expenses for each of three months ended March 29, 2025 and March 30, 2024.</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94" w:lineRule="exact"/>
        <w:rPr>
          <w:sz w:val="20"/>
          <w:szCs w:val="20"/>
          <w:color w:val="auto"/>
        </w:rPr>
      </w:pPr>
    </w:p>
    <w:p>
      <w:pPr>
        <w:ind w:left="180" w:right="420" w:firstLine="384"/>
        <w:spacing w:after="0" w:line="247" w:lineRule="auto"/>
        <w:rPr>
          <w:sz w:val="20"/>
          <w:szCs w:val="20"/>
          <w:color w:val="auto"/>
        </w:rPr>
      </w:pPr>
      <w:r>
        <w:rPr>
          <w:rFonts w:ascii="Times New Roman" w:cs="Times New Roman" w:eastAsia="Times New Roman" w:hAnsi="Times New Roman"/>
          <w:sz w:val="16"/>
          <w:szCs w:val="16"/>
          <w:color w:val="auto"/>
        </w:rPr>
        <w:t>We determine if an arrangement is a lease at inception. Operating leases are included in Operating lease right-of-use (“ROU”) assets, net and Operating lease liabilities in our condensed consolidated balance sheets. As of March 29, 2025 and December 28, 2024, the Company was not a party to any finance lease arrangements.</w:t>
      </w:r>
    </w:p>
    <w:p>
      <w:pPr>
        <w:spacing w:after="0" w:line="68" w:lineRule="exact"/>
        <w:rPr>
          <w:sz w:val="20"/>
          <w:szCs w:val="20"/>
          <w:color w:val="auto"/>
        </w:rPr>
      </w:pPr>
    </w:p>
    <w:p>
      <w:pPr>
        <w:ind w:left="180" w:right="260" w:firstLine="384"/>
        <w:spacing w:after="0" w:line="239" w:lineRule="auto"/>
        <w:rPr>
          <w:sz w:val="20"/>
          <w:szCs w:val="20"/>
          <w:color w:val="auto"/>
        </w:rPr>
      </w:pPr>
      <w:r>
        <w:rPr>
          <w:rFonts w:ascii="Times New Roman" w:cs="Times New Roman" w:eastAsia="Times New Roman" w:hAnsi="Times New Roman"/>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74" w:lineRule="exact"/>
        <w:rPr>
          <w:sz w:val="20"/>
          <w:szCs w:val="20"/>
          <w:color w:val="auto"/>
        </w:rPr>
      </w:pPr>
    </w:p>
    <w:p>
      <w:pPr>
        <w:ind w:left="180" w:right="920" w:firstLine="384"/>
        <w:spacing w:after="0" w:line="360" w:lineRule="auto"/>
        <w:rPr>
          <w:sz w:val="20"/>
          <w:szCs w:val="20"/>
          <w:color w:val="auto"/>
        </w:rPr>
      </w:pPr>
      <w:r>
        <w:rPr>
          <w:rFonts w:ascii="Times New Roman" w:cs="Times New Roman" w:eastAsia="Times New Roman" w:hAnsi="Times New Roman"/>
          <w:sz w:val="16"/>
          <w:szCs w:val="16"/>
          <w:color w:val="auto"/>
        </w:rPr>
        <w:t xml:space="preserve">Under the available practical expedient, we account for the lease and non-lease components as a single lease component. </w:t>
      </w:r>
      <w:r>
        <w:rPr>
          <w:rFonts w:ascii="Times New Roman" w:cs="Times New Roman" w:eastAsia="Times New Roman" w:hAnsi="Times New Roman"/>
          <w:sz w:val="16"/>
          <w:szCs w:val="16"/>
          <w:i w:val="1"/>
          <w:iCs w:val="1"/>
          <w:color w:val="auto"/>
        </w:rPr>
        <w:t>Concentration of Credit Risk and Other Risks and Uncertainties</w:t>
      </w:r>
    </w:p>
    <w:p>
      <w:pPr>
        <w:ind w:left="180" w:right="560" w:firstLine="384"/>
        <w:spacing w:after="0" w:line="259" w:lineRule="auto"/>
        <w:rPr>
          <w:sz w:val="20"/>
          <w:szCs w:val="20"/>
          <w:color w:val="auto"/>
        </w:rPr>
      </w:pPr>
      <w:r>
        <w:rPr>
          <w:rFonts w:ascii="Times New Roman" w:cs="Times New Roman" w:eastAsia="Times New Roman" w:hAnsi="Times New Roman"/>
          <w:sz w:val="16"/>
          <w:szCs w:val="16"/>
          <w:color w:val="auto"/>
        </w:rPr>
        <w:t>Our cash and cash equivalents are deposited in demand and money market accounts. Deposits held with banks may exceed the amount of insurance provided on such deposits. Generally, these deposits may be redeemed upon demand.</w:t>
      </w:r>
    </w:p>
    <w:p>
      <w:pPr>
        <w:spacing w:after="0" w:line="59" w:lineRule="exact"/>
        <w:rPr>
          <w:sz w:val="20"/>
          <w:szCs w:val="20"/>
          <w:color w:val="auto"/>
        </w:rPr>
      </w:pPr>
    </w:p>
    <w:p>
      <w:pPr>
        <w:ind w:left="180" w:right="200" w:firstLine="384"/>
        <w:spacing w:after="0" w:line="259" w:lineRule="auto"/>
        <w:rPr>
          <w:sz w:val="20"/>
          <w:szCs w:val="20"/>
          <w:color w:val="auto"/>
        </w:rPr>
      </w:pPr>
      <w:r>
        <w:rPr>
          <w:rFonts w:ascii="Times New Roman" w:cs="Times New Roman" w:eastAsia="Times New Roman" w:hAnsi="Times New Roman"/>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 w:name="page13"/>
    <w:bookmarkEnd w:id="12"/>
    <w:p>
      <w:pPr>
        <w:spacing w:after="0" w:line="17" w:lineRule="exact"/>
        <w:rPr>
          <w:sz w:val="20"/>
          <w:szCs w:val="20"/>
          <w:color w:val="auto"/>
        </w:rPr>
      </w:pPr>
    </w:p>
    <w:p>
      <w:pPr>
        <w:ind w:left="180" w:right="300"/>
        <w:spacing w:after="0" w:line="241" w:lineRule="auto"/>
        <w:rPr>
          <w:sz w:val="20"/>
          <w:szCs w:val="20"/>
          <w:color w:val="auto"/>
        </w:rPr>
      </w:pPr>
      <w:r>
        <w:rPr>
          <w:rFonts w:ascii="Times New Roman" w:cs="Times New Roman" w:eastAsia="Times New Roman" w:hAnsi="Times New Roman"/>
          <w:sz w:val="16"/>
          <w:szCs w:val="16"/>
          <w:color w:val="auto"/>
        </w:rPr>
        <w:t>provision for potential credit losses. Historically, we have not experienced any significant losses related to individual customers or a group of customers in any particular geographic area. For the three months ended March 29, 2025 and March 30, 2024, one customer, Topcon, accounted for more than 10% of total revenues, representing 30% and 32%, respectively. For the three months ended March 29, 2025 and March 30, 2024, one customer, Topcon, accounted for over 10% of our accounts receivable, representing 29% and 28%, respectively.</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Taxes Collected from Customers and Remitted to Governmental Authorities</w:t>
      </w:r>
    </w:p>
    <w:p>
      <w:pPr>
        <w:spacing w:after="0" w:line="94" w:lineRule="exact"/>
        <w:rPr>
          <w:sz w:val="20"/>
          <w:szCs w:val="20"/>
          <w:color w:val="auto"/>
        </w:rPr>
      </w:pPr>
    </w:p>
    <w:p>
      <w:pPr>
        <w:ind w:left="180" w:right="720" w:firstLine="384"/>
        <w:spacing w:after="0" w:line="259" w:lineRule="auto"/>
        <w:rPr>
          <w:sz w:val="20"/>
          <w:szCs w:val="20"/>
          <w:color w:val="auto"/>
        </w:rPr>
      </w:pPr>
      <w:r>
        <w:rPr>
          <w:rFonts w:ascii="Times New Roman" w:cs="Times New Roman" w:eastAsia="Times New Roman" w:hAnsi="Times New Roman"/>
          <w:sz w:val="16"/>
          <w:szCs w:val="16"/>
          <w:color w:val="auto"/>
        </w:rPr>
        <w:t>Taxes collected from customers and remitted to governmental authorities are recognized on a net basis in the accompanying condensed consolidated statements of operations.</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Shipping and Handling Costs</w:t>
      </w:r>
    </w:p>
    <w:p>
      <w:pPr>
        <w:spacing w:after="0" w:line="94" w:lineRule="exact"/>
        <w:rPr>
          <w:sz w:val="20"/>
          <w:szCs w:val="20"/>
          <w:color w:val="auto"/>
        </w:rPr>
      </w:pPr>
    </w:p>
    <w:p>
      <w:pPr>
        <w:ind w:left="180" w:right="580" w:firstLine="384"/>
        <w:spacing w:after="0" w:line="259" w:lineRule="auto"/>
        <w:rPr>
          <w:sz w:val="20"/>
          <w:szCs w:val="20"/>
          <w:color w:val="auto"/>
        </w:rPr>
      </w:pPr>
      <w:r>
        <w:rPr>
          <w:rFonts w:ascii="Times New Roman" w:cs="Times New Roman" w:eastAsia="Times New Roman" w:hAnsi="Times New Roman"/>
          <w:sz w:val="16"/>
          <w:szCs w:val="16"/>
          <w:color w:val="auto"/>
        </w:rPr>
        <w:t>Our shipping and handling costs billed to customers are included in revenues and the associated expense is recorded in cost of revenues for all periods presented.</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Deferred Revenue</w:t>
      </w:r>
    </w:p>
    <w:p>
      <w:pPr>
        <w:spacing w:after="0" w:line="94" w:lineRule="exact"/>
        <w:rPr>
          <w:sz w:val="20"/>
          <w:szCs w:val="20"/>
          <w:color w:val="auto"/>
        </w:rPr>
      </w:pPr>
    </w:p>
    <w:p>
      <w:pPr>
        <w:jc w:val="both"/>
        <w:ind w:left="180" w:right="240" w:firstLine="384"/>
        <w:spacing w:after="0" w:line="247" w:lineRule="auto"/>
        <w:rPr>
          <w:sz w:val="20"/>
          <w:szCs w:val="20"/>
          <w:color w:val="auto"/>
        </w:rPr>
      </w:pPr>
      <w:r>
        <w:rPr>
          <w:rFonts w:ascii="Times New Roman" w:cs="Times New Roman" w:eastAsia="Times New Roman" w:hAnsi="Times New Roman"/>
          <w:sz w:val="16"/>
          <w:szCs w:val="16"/>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68" w:lineRule="exact"/>
        <w:rPr>
          <w:sz w:val="20"/>
          <w:szCs w:val="20"/>
          <w:color w:val="auto"/>
        </w:rPr>
      </w:pPr>
    </w:p>
    <w:p>
      <w:pPr>
        <w:ind w:left="180" w:right="280" w:firstLine="384"/>
        <w:spacing w:after="0" w:line="259" w:lineRule="auto"/>
        <w:rPr>
          <w:sz w:val="20"/>
          <w:szCs w:val="20"/>
          <w:color w:val="auto"/>
        </w:rPr>
      </w:pPr>
      <w:r>
        <w:rPr>
          <w:rFonts w:ascii="Times New Roman" w:cs="Times New Roman" w:eastAsia="Times New Roman" w:hAnsi="Times New Roman"/>
          <w:sz w:val="16"/>
          <w:szCs w:val="16"/>
          <w:color w:val="auto"/>
        </w:rPr>
        <w:t>A reconciliation of the changes in the Company’s deferred revenue balance for the three months ended March 29, 2025 and March 30, 2024, is as follows: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March 30, 2024</w:t>
            </w:r>
          </w:p>
        </w:tc>
      </w:tr>
      <w:tr>
        <w:trPr>
          <w:trHeight w:val="180"/>
        </w:trPr>
        <w:tc>
          <w:tcPr>
            <w:tcW w:w="5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10,526</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12,429</w:t>
            </w:r>
          </w:p>
        </w:tc>
        <w:tc>
          <w:tcPr>
            <w:tcW w:w="80" w:type="dxa"/>
            <w:vAlign w:val="bottom"/>
            <w:shd w:val="clear" w:color="auto" w:fill="CFF0FC"/>
          </w:tcPr>
          <w:p>
            <w:pPr>
              <w:spacing w:after="0"/>
              <w:rPr>
                <w:sz w:val="15"/>
                <w:szCs w:val="15"/>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 to deferral</w:t>
            </w:r>
          </w:p>
        </w:tc>
        <w:tc>
          <w:tcPr>
            <w:tcW w:w="30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5"/>
                <w:szCs w:val="15"/>
                <w:color w:val="auto"/>
              </w:rPr>
            </w:pPr>
          </w:p>
        </w:tc>
      </w:tr>
      <w:tr>
        <w:trPr>
          <w:trHeight w:val="180"/>
        </w:trPr>
        <w:tc>
          <w:tcPr>
            <w:tcW w:w="5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 recognized</w:t>
            </w:r>
          </w:p>
        </w:tc>
        <w:tc>
          <w:tcPr>
            <w:tcW w:w="300" w:type="dxa"/>
            <w:vAlign w:val="bottom"/>
            <w:shd w:val="clear" w:color="auto" w:fill="CFF0FC"/>
          </w:tcPr>
          <w:p>
            <w:pPr>
              <w:spacing w:after="0"/>
              <w:rPr>
                <w:sz w:val="15"/>
                <w:szCs w:val="15"/>
                <w:color w:val="auto"/>
              </w:rPr>
            </w:pPr>
          </w:p>
        </w:tc>
        <w:tc>
          <w:tcPr>
            <w:tcW w:w="19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(797)</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(731)</w:t>
            </w: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end of the period</w:t>
            </w:r>
          </w:p>
        </w:tc>
        <w:tc>
          <w:tcPr>
            <w:tcW w:w="30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10,058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12,155</w:t>
            </w:r>
          </w:p>
        </w:tc>
        <w:tc>
          <w:tcPr>
            <w:tcW w:w="80" w:type="dxa"/>
            <w:vAlign w:val="bottom"/>
          </w:tcPr>
          <w:p>
            <w:pPr>
              <w:spacing w:after="0"/>
              <w:rPr>
                <w:sz w:val="15"/>
                <w:szCs w:val="15"/>
                <w:color w:val="auto"/>
              </w:rPr>
            </w:pPr>
          </w:p>
        </w:tc>
      </w:tr>
      <w:tr>
        <w:trPr>
          <w:trHeight w:val="180"/>
        </w:trPr>
        <w:tc>
          <w:tcPr>
            <w:tcW w:w="5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Non-current portion of deferred revenue</w:t>
            </w:r>
          </w:p>
        </w:tc>
        <w:tc>
          <w:tcPr>
            <w:tcW w:w="30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7,968</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9,708</w:t>
            </w: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deferred revenue</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2,090</w:t>
            </w:r>
          </w:p>
        </w:tc>
        <w:tc>
          <w:tcPr>
            <w:tcW w:w="30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2,447</w:t>
            </w: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right="220" w:firstLine="384"/>
        <w:spacing w:after="0" w:line="243" w:lineRule="auto"/>
        <w:rPr>
          <w:sz w:val="20"/>
          <w:szCs w:val="20"/>
          <w:color w:val="auto"/>
        </w:rPr>
      </w:pPr>
      <w:r>
        <w:rPr>
          <w:rFonts w:ascii="Times New Roman" w:cs="Times New Roman" w:eastAsia="Times New Roman" w:hAnsi="Times New Roman"/>
          <w:sz w:val="16"/>
          <w:szCs w:val="16"/>
          <w:color w:val="auto"/>
        </w:rPr>
        <w:t>During the three months ended March 29, 2025 and March 30, 2024, approximately $0.6 million and $0.7 million were recognized pertaining to amounts deferred as of December 28, 2024 and December 30, 2023, respectively. As of March 29, 2025, approximately $7.9 million of the non -current portion of deferred revenue and $1.5 million of the current portion of deferred revenue pertain to exclusivity distribution rights deferred revenue.</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Warranty</w:t>
      </w:r>
    </w:p>
    <w:p>
      <w:pPr>
        <w:spacing w:after="0" w:line="94" w:lineRule="exact"/>
        <w:rPr>
          <w:sz w:val="20"/>
          <w:szCs w:val="20"/>
          <w:color w:val="auto"/>
        </w:rPr>
      </w:pPr>
    </w:p>
    <w:p>
      <w:pPr>
        <w:ind w:left="180" w:right="180" w:firstLine="384"/>
        <w:spacing w:after="0" w:line="243" w:lineRule="auto"/>
        <w:rPr>
          <w:sz w:val="20"/>
          <w:szCs w:val="20"/>
          <w:color w:val="auto"/>
        </w:rPr>
      </w:pPr>
      <w:r>
        <w:rPr>
          <w:rFonts w:ascii="Times New Roman" w:cs="Times New Roman" w:eastAsia="Times New Roman" w:hAnsi="Times New Roman"/>
          <w:sz w:val="16"/>
          <w:szCs w:val="16"/>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71" w:lineRule="exact"/>
        <w:rPr>
          <w:sz w:val="20"/>
          <w:szCs w:val="20"/>
          <w:color w:val="auto"/>
        </w:rPr>
      </w:pPr>
    </w:p>
    <w:p>
      <w:pPr>
        <w:ind w:left="180" w:right="500" w:firstLine="384"/>
        <w:spacing w:after="0" w:line="259" w:lineRule="auto"/>
        <w:rPr>
          <w:sz w:val="20"/>
          <w:szCs w:val="20"/>
          <w:color w:val="auto"/>
        </w:rPr>
      </w:pPr>
      <w:r>
        <w:rPr>
          <w:rFonts w:ascii="Times New Roman" w:cs="Times New Roman" w:eastAsia="Times New Roman" w:hAnsi="Times New Roman"/>
          <w:sz w:val="16"/>
          <w:szCs w:val="16"/>
          <w:color w:val="auto"/>
        </w:rPr>
        <w:t>As warranty reserves do not meet the criteria to have separate captions on the face of the condensed balance sheet, we removed these captions and included those amounts in other current and long-term liabilities.</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Implementation Costs Incurred in a Cloud Computing Service Arrangement</w:t>
      </w:r>
    </w:p>
    <w:p>
      <w:pPr>
        <w:spacing w:after="0" w:line="94" w:lineRule="exact"/>
        <w:rPr>
          <w:sz w:val="20"/>
          <w:szCs w:val="20"/>
          <w:color w:val="auto"/>
        </w:rPr>
      </w:pPr>
    </w:p>
    <w:p>
      <w:pPr>
        <w:ind w:left="180" w:right="260" w:firstLine="384"/>
        <w:spacing w:after="0" w:line="239" w:lineRule="auto"/>
        <w:rPr>
          <w:sz w:val="20"/>
          <w:szCs w:val="20"/>
          <w:color w:val="auto"/>
        </w:rPr>
      </w:pPr>
      <w:r>
        <w:rPr>
          <w:rFonts w:ascii="Times New Roman" w:cs="Times New Roman" w:eastAsia="Times New Roman" w:hAnsi="Times New Roman"/>
          <w:sz w:val="16"/>
          <w:szCs w:val="16"/>
          <w:color w:val="auto"/>
        </w:rPr>
        <w:t>In 2023, the Company completed implementing its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Amortization expense was approximately $57 thousand for each of the three months ended March 29, 2025 and March 30, 2024.</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Recent Accounting Standards Not Yet Adopted</w:t>
      </w:r>
    </w:p>
    <w:p>
      <w:pPr>
        <w:spacing w:after="0" w:line="94" w:lineRule="exact"/>
        <w:rPr>
          <w:sz w:val="20"/>
          <w:szCs w:val="20"/>
          <w:color w:val="auto"/>
        </w:rPr>
      </w:pPr>
    </w:p>
    <w:p>
      <w:pPr>
        <w:ind w:left="180" w:right="220" w:firstLine="384"/>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consolidated financial statement disclosures.</w:t>
      </w:r>
    </w:p>
    <w:p>
      <w:pPr>
        <w:spacing w:after="0" w:line="71" w:lineRule="exact"/>
        <w:rPr>
          <w:sz w:val="20"/>
          <w:szCs w:val="20"/>
          <w:color w:val="auto"/>
        </w:rPr>
      </w:pPr>
    </w:p>
    <w:p>
      <w:pPr>
        <w:ind w:left="180" w:right="1020" w:firstLine="384"/>
        <w:spacing w:after="0" w:line="33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which requires disclosure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 w:name="page14"/>
    <w:bookmarkEnd w:id="13"/>
    <w:p>
      <w:pPr>
        <w:spacing w:after="0" w:line="17" w:lineRule="exact"/>
        <w:rPr>
          <w:sz w:val="20"/>
          <w:szCs w:val="20"/>
          <w:color w:val="auto"/>
        </w:rPr>
      </w:pPr>
    </w:p>
    <w:p>
      <w:pPr>
        <w:ind w:left="180" w:right="220"/>
        <w:spacing w:after="0" w:line="243" w:lineRule="auto"/>
        <w:rPr>
          <w:sz w:val="20"/>
          <w:szCs w:val="20"/>
          <w:color w:val="auto"/>
        </w:rPr>
      </w:pPr>
      <w:r>
        <w:rPr>
          <w:rFonts w:ascii="Times New Roman" w:cs="Times New Roman" w:eastAsia="Times New Roman" w:hAnsi="Times New Roman"/>
          <w:sz w:val="16"/>
          <w:szCs w:val="16"/>
          <w:color w:val="auto"/>
        </w:rPr>
        <w:t>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333333"/>
        </w:rPr>
        <w:t>3. Accounts Receivable and Provision for Credit Losses</w:t>
      </w:r>
    </w:p>
    <w:p>
      <w:pPr>
        <w:spacing w:after="0" w:line="94" w:lineRule="exact"/>
        <w:rPr>
          <w:sz w:val="20"/>
          <w:szCs w:val="20"/>
          <w:color w:val="auto"/>
        </w:rPr>
      </w:pPr>
    </w:p>
    <w:p>
      <w:pPr>
        <w:ind w:left="180" w:right="180" w:firstLine="384"/>
        <w:spacing w:after="0" w:line="243" w:lineRule="auto"/>
        <w:rPr>
          <w:sz w:val="20"/>
          <w:szCs w:val="20"/>
          <w:color w:val="auto"/>
        </w:rPr>
      </w:pPr>
      <w:r>
        <w:rPr>
          <w:rFonts w:ascii="Times New Roman" w:cs="Times New Roman" w:eastAsia="Times New Roman" w:hAnsi="Times New Roman"/>
          <w:sz w:val="16"/>
          <w:szCs w:val="16"/>
          <w:color w:val="auto"/>
        </w:rPr>
        <w:t>The Company has trade receivables with various individual customers such as private businesses, hospitals, universities, government and non- 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spacing w:after="0" w:line="71" w:lineRule="exact"/>
        <w:rPr>
          <w:sz w:val="20"/>
          <w:szCs w:val="20"/>
          <w:color w:val="auto"/>
        </w:rPr>
      </w:pPr>
    </w:p>
    <w:p>
      <w:pPr>
        <w:ind w:left="180" w:right="320" w:firstLine="384"/>
        <w:spacing w:after="0" w:line="243" w:lineRule="auto"/>
        <w:rPr>
          <w:sz w:val="20"/>
          <w:szCs w:val="20"/>
          <w:color w:val="auto"/>
        </w:rPr>
      </w:pPr>
      <w:r>
        <w:rPr>
          <w:rFonts w:ascii="Times New Roman" w:cs="Times New Roman" w:eastAsia="Times New Roman" w:hAnsi="Times New Roman"/>
          <w:sz w:val="16"/>
          <w:szCs w:val="16"/>
          <w:color w:val="auto"/>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spacing w:after="0" w:line="71" w:lineRule="exact"/>
        <w:rPr>
          <w:sz w:val="20"/>
          <w:szCs w:val="20"/>
          <w:color w:val="auto"/>
        </w:rPr>
      </w:pPr>
    </w:p>
    <w:p>
      <w:pPr>
        <w:ind w:left="180" w:right="300" w:firstLine="288"/>
        <w:spacing w:after="0" w:line="243" w:lineRule="auto"/>
        <w:rPr>
          <w:sz w:val="20"/>
          <w:szCs w:val="20"/>
          <w:color w:val="auto"/>
        </w:rPr>
      </w:pPr>
      <w:r>
        <w:rPr>
          <w:rFonts w:ascii="Times New Roman" w:cs="Times New Roman" w:eastAsia="Times New Roman" w:hAnsi="Times New Roman"/>
          <w:sz w:val="16"/>
          <w:szCs w:val="16"/>
          <w:color w:val="auto"/>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spacing w:after="0" w:line="71" w:lineRule="exact"/>
        <w:rPr>
          <w:sz w:val="20"/>
          <w:szCs w:val="20"/>
          <w:color w:val="auto"/>
        </w:rPr>
      </w:pPr>
    </w:p>
    <w:p>
      <w:pPr>
        <w:ind w:left="180" w:right="380" w:firstLine="288"/>
        <w:spacing w:after="0" w:line="250" w:lineRule="auto"/>
        <w:rPr>
          <w:sz w:val="20"/>
          <w:szCs w:val="20"/>
          <w:color w:val="auto"/>
        </w:rPr>
      </w:pPr>
      <w:r>
        <w:rPr>
          <w:rFonts w:ascii="Times New Roman" w:cs="Times New Roman" w:eastAsia="Times New Roman" w:hAnsi="Times New Roman"/>
          <w:sz w:val="16"/>
          <w:szCs w:val="16"/>
          <w:color w:val="auto"/>
        </w:rPr>
        <w:t>The following table presents the activity in the provision for credit losses for accounts receivable by pool type for the three months ended March 29, 2025 (in thousands):</w:t>
      </w:r>
    </w:p>
    <w:tbl>
      <w:tblPr>
        <w:tblLayout w:type="fixed"/>
        <w:tblInd w:w="18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Domestic</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2100" w:type="dxa"/>
            <w:vAlign w:val="bottom"/>
            <w:gridSpan w:val="2"/>
            <w:shd w:val="clear" w:color="auto" w:fill="CFF0FC"/>
          </w:tcPr>
          <w:p>
            <w:pPr>
              <w:jc w:val="right"/>
              <w:ind w:right="8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160" w:type="dxa"/>
            <w:vAlign w:val="bottom"/>
            <w:gridSpan w:val="2"/>
            <w:shd w:val="clear" w:color="auto" w:fill="CFF0FC"/>
          </w:tcPr>
          <w:p>
            <w:pPr>
              <w:jc w:val="right"/>
              <w:ind w:right="9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w w:val="92"/>
              </w:rPr>
              <w:t>(114)</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(259)</w:t>
            </w: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to provision</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5"/>
                <w:szCs w:val="15"/>
                <w:color w:val="auto"/>
              </w:rPr>
            </w:pPr>
          </w:p>
        </w:tc>
      </w:tr>
      <w:tr>
        <w:trPr>
          <w:trHeight w:val="20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end of period</w:t>
            </w:r>
          </w:p>
        </w:tc>
        <w:tc>
          <w:tcPr>
            <w:tcW w:w="2100" w:type="dxa"/>
            <w:vAlign w:val="bottom"/>
            <w:gridSpan w:val="2"/>
            <w:shd w:val="clear" w:color="auto" w:fill="CFF0FC"/>
          </w:tcPr>
          <w:p>
            <w:pPr>
              <w:jc w:val="right"/>
              <w:ind w:right="8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160" w:type="dxa"/>
            <w:vAlign w:val="bottom"/>
            <w:gridSpan w:val="2"/>
            <w:shd w:val="clear" w:color="auto" w:fill="CFF0FC"/>
          </w:tcPr>
          <w:p>
            <w:pPr>
              <w:jc w:val="right"/>
              <w:ind w:right="9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333333"/>
        </w:rPr>
        <w:t>4. Related Party - Topcon</w:t>
      </w:r>
    </w:p>
    <w:p>
      <w:pPr>
        <w:spacing w:after="0" w:line="94" w:lineRule="exact"/>
        <w:rPr>
          <w:sz w:val="20"/>
          <w:szCs w:val="20"/>
          <w:color w:val="auto"/>
        </w:rPr>
      </w:pPr>
    </w:p>
    <w:p>
      <w:pPr>
        <w:jc w:val="both"/>
        <w:ind w:left="180" w:right="220" w:firstLine="288"/>
        <w:spacing w:after="0" w:line="259" w:lineRule="auto"/>
        <w:rPr>
          <w:sz w:val="20"/>
          <w:szCs w:val="20"/>
          <w:color w:val="auto"/>
        </w:rPr>
      </w:pPr>
      <w:r>
        <w:rPr>
          <w:rFonts w:ascii="Times New Roman" w:cs="Times New Roman" w:eastAsia="Times New Roman" w:hAnsi="Times New Roman"/>
          <w:sz w:val="16"/>
          <w:szCs w:val="16"/>
          <w:color w:val="auto"/>
        </w:rPr>
        <w:t>As of March 29, 2025, Topcon holds a 10% voting interest in the Company, which qualifies it to be a principal owner and considered a related party, even though it currently does not have significant influence over the Company’s operations.</w:t>
      </w:r>
    </w:p>
    <w:p>
      <w:pPr>
        <w:spacing w:after="0" w:line="59" w:lineRule="exact"/>
        <w:rPr>
          <w:sz w:val="20"/>
          <w:szCs w:val="20"/>
          <w:color w:val="auto"/>
        </w:rPr>
      </w:pPr>
    </w:p>
    <w:p>
      <w:pPr>
        <w:ind w:left="180" w:right="220" w:firstLine="288"/>
        <w:spacing w:after="0" w:line="238" w:lineRule="auto"/>
        <w:rPr>
          <w:sz w:val="20"/>
          <w:szCs w:val="20"/>
          <w:color w:val="auto"/>
        </w:rPr>
      </w:pPr>
      <w:r>
        <w:rPr>
          <w:rFonts w:ascii="Times New Roman" w:cs="Times New Roman" w:eastAsia="Times New Roman" w:hAnsi="Times New Roman"/>
          <w:sz w:val="16"/>
          <w:szCs w:val="16"/>
          <w:color w:val="auto"/>
        </w:rPr>
        <w:t>Topcon resells certain of our products as our exclusive distributor in certain international regions. At the same time, the Company also purchases certain raw materials from Topcon. During the three months ended March 29, 2025, the Company’s revenues related to Topcon amounted to approximately $3.6 million, including $0.4 million in recognized exclusive distribution rights revenue. During the three months ended March 30, 2024, the Company’s revenues related to Topcon amounted to approximately $3.8 million, including $0.4 million in recognized exclusive distribution rights revenue. The Company’s purchases from Topcon during the three months ended March 29, 2025 amounted to approximately $0.3 million. As of March 29, 2025, the amounts receivable from and payable to Topcon were $2.7 million and $0.7 million, respectively. As of December 28, 2024, the amounts receivable from and payable to Topcon were $2.4 million and $0.6 million, respectively.</w:t>
      </w: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5. Inventories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components of the Company’s inventories as of March 29, 2025 and December 28, 2024 are as follows:</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3,848</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4,236</w:t>
            </w: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Work in process</w:t>
            </w:r>
          </w:p>
        </w:tc>
        <w:tc>
          <w:tcPr>
            <w:tcW w:w="14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6,294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6,581</w:t>
            </w: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10,142</w:t>
            </w:r>
          </w:p>
        </w:tc>
        <w:tc>
          <w:tcPr>
            <w:tcW w:w="80" w:type="dxa"/>
            <w:vAlign w:val="bottom"/>
          </w:tcPr>
          <w:p>
            <w:pPr>
              <w:spacing w:after="0"/>
              <w:rPr>
                <w:sz w:val="15"/>
                <w:szCs w:val="15"/>
                <w:color w:val="auto"/>
              </w:rPr>
            </w:pPr>
          </w:p>
        </w:tc>
        <w:tc>
          <w:tcPr>
            <w:tcW w:w="1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10,817</w:t>
            </w:r>
          </w:p>
        </w:tc>
        <w:tc>
          <w:tcPr>
            <w:tcW w:w="60" w:type="dxa"/>
            <w:vAlign w:val="bottom"/>
          </w:tcPr>
          <w:p>
            <w:pPr>
              <w:spacing w:after="0"/>
              <w:rPr>
                <w:sz w:val="15"/>
                <w:szCs w:val="15"/>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right="6600" w:firstLine="6"/>
        <w:spacing w:after="0" w:line="361" w:lineRule="auto"/>
        <w:tabs>
          <w:tab w:leader="none" w:pos="33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Goodwill and Intangible Assets </w:t>
      </w:r>
      <w:r>
        <w:rPr>
          <w:rFonts w:ascii="Times New Roman" w:cs="Times New Roman" w:eastAsia="Times New Roman" w:hAnsi="Times New Roman"/>
          <w:sz w:val="16"/>
          <w:szCs w:val="16"/>
          <w:i w:val="1"/>
          <w:iCs w:val="1"/>
          <w:color w:val="auto"/>
        </w:rPr>
        <w:t>Goodwill</w:t>
      </w:r>
    </w:p>
    <w:p>
      <w:pPr>
        <w:ind w:left="5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carrying value of goodwill was $1.0 million as of both March 29, 2025 and December 28, 2024.</w:t>
      </w:r>
    </w:p>
    <w:p>
      <w:pPr>
        <w:spacing w:after="0" w:line="92" w:lineRule="exact"/>
        <w:rPr>
          <w:sz w:val="20"/>
          <w:szCs w:val="20"/>
          <w:color w:val="auto"/>
        </w:rPr>
      </w:pPr>
    </w:p>
    <w:p>
      <w:pPr>
        <w:ind w:left="180" w:right="160" w:firstLine="384"/>
        <w:spacing w:after="0" w:line="247"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 w:name="page15"/>
    <w:bookmarkEnd w:id="14"/>
    <w:p>
      <w:pPr>
        <w:spacing w:after="0" w:line="17" w:lineRule="exact"/>
        <w:rPr>
          <w:sz w:val="20"/>
          <w:szCs w:val="20"/>
          <w:color w:val="auto"/>
        </w:rPr>
      </w:pPr>
    </w:p>
    <w:p>
      <w:pPr>
        <w:ind w:left="180" w:right="180"/>
        <w:spacing w:after="0" w:line="238" w:lineRule="auto"/>
        <w:rPr>
          <w:sz w:val="20"/>
          <w:szCs w:val="20"/>
          <w:color w:val="auto"/>
        </w:rPr>
      </w:pPr>
      <w:r>
        <w:rPr>
          <w:rFonts w:ascii="Times New Roman" w:cs="Times New Roman" w:eastAsia="Times New Roman" w:hAnsi="Times New Roman"/>
          <w:sz w:val="16"/>
          <w:szCs w:val="16"/>
          <w:color w:val="auto"/>
        </w:rPr>
        <w:t>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2024 and determined that its goodwill was not impaired.</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components of gross and net of intangible assets carrying amounts (in thousands):</w:t>
      </w:r>
    </w:p>
    <w:p>
      <w:pPr>
        <w:spacing w:after="0" w:line="79"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40" w:type="dxa"/>
            <w:vAlign w:val="bottom"/>
          </w:tcPr>
          <w:p>
            <w:pPr>
              <w:spacing w:after="0"/>
              <w:rPr>
                <w:sz w:val="15"/>
                <w:szCs w:val="15"/>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Useful Lives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6"/>
                <w:szCs w:val="16"/>
                <w:color w:val="auto"/>
              </w:rPr>
            </w:pPr>
          </w:p>
        </w:tc>
        <w:tc>
          <w:tcPr>
            <w:tcW w:w="420" w:type="dxa"/>
            <w:vAlign w:val="bottom"/>
            <w:gridSpan w:val="2"/>
          </w:tcPr>
          <w:p>
            <w:pPr>
              <w:jc w:val="right"/>
              <w:ind w:right="15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2.92 Years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4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Developed</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technology</w:t>
            </w: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1,017</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3.92 Years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4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180"/>
        </w:trPr>
        <w:tc>
          <w:tcPr>
            <w:tcW w:w="1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names</w:t>
            </w: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6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4.92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2,539</w:t>
            </w:r>
          </w:p>
        </w:tc>
        <w:tc>
          <w:tcPr>
            <w:tcW w:w="420" w:type="dxa"/>
            <w:vAlign w:val="bottom"/>
            <w:gridSpan w:val="2"/>
            <w:shd w:val="clear" w:color="auto" w:fill="CFF0FC"/>
          </w:tcPr>
          <w:p>
            <w:pPr>
              <w:jc w:val="right"/>
              <w:ind w:right="1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1,316</w:t>
            </w:r>
          </w:p>
        </w:tc>
        <w:tc>
          <w:tcPr>
            <w:tcW w:w="2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1,223</w:t>
            </w:r>
          </w:p>
        </w:tc>
        <w:tc>
          <w:tcPr>
            <w:tcW w:w="9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2,539</w:t>
            </w:r>
          </w:p>
        </w:tc>
        <w:tc>
          <w:tcPr>
            <w:tcW w:w="44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1,232</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Amortization expense was $84 thousand for both the three months ended March 29, 2025 and March 30, 2024.</w:t>
      </w:r>
    </w:p>
    <w:p>
      <w:pPr>
        <w:spacing w:after="0" w:line="92" w:lineRule="exact"/>
        <w:rPr>
          <w:sz w:val="20"/>
          <w:szCs w:val="20"/>
          <w:color w:val="auto"/>
        </w:rPr>
      </w:pPr>
    </w:p>
    <w:p>
      <w:pPr>
        <w:ind w:left="180" w:right="420" w:firstLine="384"/>
        <w:spacing w:after="0" w:line="247" w:lineRule="auto"/>
        <w:rPr>
          <w:sz w:val="20"/>
          <w:szCs w:val="20"/>
          <w:color w:val="auto"/>
        </w:rPr>
      </w:pPr>
      <w:r>
        <w:rPr>
          <w:rFonts w:ascii="Times New Roman" w:cs="Times New Roman" w:eastAsia="Times New Roman" w:hAnsi="Times New Roman"/>
          <w:sz w:val="16"/>
          <w:szCs w:val="16"/>
          <w:color w:val="auto"/>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spacing w:after="0" w:line="185"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Year:</w:t>
            </w:r>
          </w:p>
        </w:tc>
        <w:tc>
          <w:tcPr>
            <w:tcW w:w="6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Remainder of 2025 (nine months)</w:t>
            </w:r>
          </w:p>
        </w:tc>
        <w:tc>
          <w:tcPr>
            <w:tcW w:w="680" w:type="dxa"/>
            <w:vAlign w:val="bottom"/>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w:t>
            </w:r>
          </w:p>
        </w:tc>
        <w:tc>
          <w:tcPr>
            <w:tcW w:w="60" w:type="dxa"/>
            <w:vAlign w:val="bottom"/>
          </w:tcPr>
          <w:p>
            <w:pPr>
              <w:spacing w:after="0"/>
              <w:rPr>
                <w:sz w:val="15"/>
                <w:szCs w:val="15"/>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6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w:t>
            </w:r>
          </w:p>
        </w:tc>
        <w:tc>
          <w:tcPr>
            <w:tcW w:w="60" w:type="dxa"/>
            <w:vAlign w:val="bottom"/>
            <w:shd w:val="clear" w:color="auto" w:fill="CFF0FC"/>
          </w:tcPr>
          <w:p>
            <w:pPr>
              <w:spacing w:after="0"/>
              <w:rPr>
                <w:sz w:val="15"/>
                <w:szCs w:val="15"/>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6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319</w:t>
            </w:r>
          </w:p>
        </w:tc>
        <w:tc>
          <w:tcPr>
            <w:tcW w:w="60" w:type="dxa"/>
            <w:vAlign w:val="bottom"/>
          </w:tcPr>
          <w:p>
            <w:pPr>
              <w:spacing w:after="0"/>
              <w:rPr>
                <w:sz w:val="15"/>
                <w:szCs w:val="15"/>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6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60" w:type="dxa"/>
            <w:vAlign w:val="bottom"/>
            <w:shd w:val="clear" w:color="auto" w:fill="CFF0FC"/>
          </w:tcPr>
          <w:p>
            <w:pPr>
              <w:spacing w:after="0"/>
              <w:rPr>
                <w:sz w:val="15"/>
                <w:szCs w:val="15"/>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6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60" w:type="dxa"/>
            <w:vAlign w:val="bottom"/>
          </w:tcPr>
          <w:p>
            <w:pPr>
              <w:spacing w:after="0"/>
              <w:rPr>
                <w:sz w:val="15"/>
                <w:szCs w:val="15"/>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6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FF0FC"/>
          </w:tcPr>
          <w:p>
            <w:pPr>
              <w:spacing w:after="0"/>
              <w:rPr>
                <w:sz w:val="15"/>
                <w:szCs w:val="15"/>
                <w:color w:val="auto"/>
              </w:rPr>
            </w:pPr>
          </w:p>
        </w:tc>
      </w:tr>
      <w:tr>
        <w:trPr>
          <w:trHeight w:val="180"/>
        </w:trPr>
        <w:tc>
          <w:tcPr>
            <w:tcW w:w="43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bottom w:val="single" w:sz="8" w:color="auto"/>
            </w:tcBorders>
          </w:tcPr>
          <w:p>
            <w:pPr>
              <w:jc w:val="right"/>
              <w:ind w:right="5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1,223</w:t>
            </w:r>
          </w:p>
        </w:tc>
        <w:tc>
          <w:tcPr>
            <w:tcW w:w="60" w:type="dxa"/>
            <w:vAlign w:val="bottom"/>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7. Fair Value Measurements</w:t>
      </w:r>
    </w:p>
    <w:p>
      <w:pPr>
        <w:spacing w:after="0" w:line="94" w:lineRule="exact"/>
        <w:rPr>
          <w:sz w:val="20"/>
          <w:szCs w:val="20"/>
          <w:color w:val="auto"/>
        </w:rPr>
      </w:pPr>
    </w:p>
    <w:p>
      <w:pPr>
        <w:ind w:left="180" w:right="220" w:firstLine="384"/>
        <w:spacing w:after="0" w:line="239"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•Level 1: Quoted prices (unadjusted) in active markets that are accessible at the measurement date for assets or liabilities.</w:t>
      </w:r>
    </w:p>
    <w:p>
      <w:pPr>
        <w:spacing w:after="0" w:line="92" w:lineRule="exact"/>
        <w:rPr>
          <w:sz w:val="20"/>
          <w:szCs w:val="20"/>
          <w:color w:val="auto"/>
        </w:rPr>
      </w:pPr>
    </w:p>
    <w:p>
      <w:pPr>
        <w:ind w:left="580" w:right="200"/>
        <w:spacing w:after="0" w:line="241" w:lineRule="auto"/>
        <w:rPr>
          <w:sz w:val="20"/>
          <w:szCs w:val="20"/>
          <w:color w:val="auto"/>
        </w:rPr>
      </w:pPr>
      <w:r>
        <w:rPr>
          <w:rFonts w:ascii="Times New Roman" w:cs="Times New Roman" w:eastAsia="Times New Roman" w:hAnsi="Times New Roman"/>
          <w:sz w:val="16"/>
          <w:szCs w:val="16"/>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 w:name="page16"/>
    <w:bookmarkEnd w:id="15"/>
    <w:p>
      <w:pPr>
        <w:spacing w:after="0" w:line="17" w:lineRule="exact"/>
        <w:rPr>
          <w:sz w:val="20"/>
          <w:szCs w:val="20"/>
          <w:color w:val="auto"/>
        </w:rPr>
      </w:pPr>
    </w:p>
    <w:p>
      <w:pPr>
        <w:ind w:left="580" w:right="200"/>
        <w:spacing w:after="0" w:line="247" w:lineRule="auto"/>
        <w:rPr>
          <w:sz w:val="20"/>
          <w:szCs w:val="20"/>
          <w:color w:val="auto"/>
        </w:rPr>
      </w:pPr>
      <w:r>
        <w:rPr>
          <w:rFonts w:ascii="Times New Roman" w:cs="Times New Roman" w:eastAsia="Times New Roman" w:hAnsi="Times New Roman"/>
          <w:sz w:val="16"/>
          <w:szCs w:val="16"/>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left="180" w:right="340" w:firstLine="384"/>
        <w:spacing w:after="0" w:line="259" w:lineRule="auto"/>
        <w:rPr>
          <w:sz w:val="20"/>
          <w:szCs w:val="20"/>
          <w:color w:val="auto"/>
        </w:rPr>
      </w:pPr>
      <w:r>
        <w:rPr>
          <w:rFonts w:ascii="Times New Roman" w:cs="Times New Roman" w:eastAsia="Times New Roman" w:hAnsi="Times New Roman"/>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59" w:lineRule="exact"/>
        <w:rPr>
          <w:sz w:val="20"/>
          <w:szCs w:val="20"/>
          <w:color w:val="auto"/>
        </w:rPr>
      </w:pPr>
    </w:p>
    <w:p>
      <w:pPr>
        <w:ind w:left="180" w:right="400" w:firstLine="384"/>
        <w:spacing w:after="0" w:line="247" w:lineRule="auto"/>
        <w:rPr>
          <w:sz w:val="20"/>
          <w:szCs w:val="20"/>
          <w:color w:val="auto"/>
        </w:rPr>
      </w:pPr>
      <w:r>
        <w:rPr>
          <w:rFonts w:ascii="Times New Roman" w:cs="Times New Roman" w:eastAsia="Times New Roman" w:hAnsi="Times New Roman"/>
          <w:sz w:val="16"/>
          <w:szCs w:val="16"/>
          <w:color w:val="auto"/>
        </w:rPr>
        <w:t>The carrying amounts of the Company’s financial assets and liabilities, including cash and cash equivalents, accounts receivable, accounts payable, and accrued expenses as of March 29, 2025 and December 28, 2024, approximate fair value because of the short maturity of these instruments.</w:t>
      </w:r>
    </w:p>
    <w:p>
      <w:pPr>
        <w:spacing w:after="0" w:line="68" w:lineRule="exact"/>
        <w:rPr>
          <w:sz w:val="20"/>
          <w:szCs w:val="20"/>
          <w:color w:val="auto"/>
        </w:rPr>
      </w:pPr>
    </w:p>
    <w:p>
      <w:pPr>
        <w:ind w:left="180" w:right="580" w:firstLine="384"/>
        <w:spacing w:after="0" w:line="259" w:lineRule="auto"/>
        <w:rPr>
          <w:sz w:val="20"/>
          <w:szCs w:val="20"/>
          <w:color w:val="auto"/>
        </w:rPr>
      </w:pPr>
      <w:r>
        <w:rPr>
          <w:rFonts w:ascii="Times New Roman" w:cs="Times New Roman" w:eastAsia="Times New Roman" w:hAnsi="Times New Roman"/>
          <w:sz w:val="16"/>
          <w:szCs w:val="16"/>
          <w:color w:val="auto"/>
        </w:rPr>
        <w:t>As of March 29, 2025 and December 28, 2024, financial assets measured and recognized at fair value on a recurring basis and classified under the appropriate level of the fair value hierarchy as described above were as follows (in thousands):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3"/>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As of March 29, 2025</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As of December 28, 2024</w:t>
            </w:r>
          </w:p>
        </w:tc>
        <w:tc>
          <w:tcPr>
            <w:tcW w:w="600" w:type="dxa"/>
            <w:vAlign w:val="bottom"/>
          </w:tcPr>
          <w:p>
            <w:pPr>
              <w:spacing w:after="0"/>
              <w:rPr>
                <w:sz w:val="13"/>
                <w:szCs w:val="13"/>
                <w:color w:val="auto"/>
              </w:rPr>
            </w:pPr>
          </w:p>
        </w:tc>
      </w:tr>
      <w:tr>
        <w:trPr>
          <w:trHeight w:val="156"/>
        </w:trPr>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gridSpan w:val="3"/>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600" w:type="dxa"/>
            <w:vAlign w:val="bottom"/>
          </w:tcPr>
          <w:p>
            <w:pPr>
              <w:spacing w:after="0"/>
              <w:rPr>
                <w:sz w:val="13"/>
                <w:szCs w:val="13"/>
                <w:color w:val="auto"/>
              </w:rPr>
            </w:pPr>
          </w:p>
        </w:tc>
      </w:tr>
      <w:tr>
        <w:trPr>
          <w:trHeight w:val="170"/>
        </w:trPr>
        <w:tc>
          <w:tcPr>
            <w:tcW w:w="1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1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203"/>
        </w:trPr>
        <w:tc>
          <w:tcPr>
            <w:tcW w:w="1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   6,237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397</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397</w:t>
            </w:r>
          </w:p>
        </w:tc>
      </w:tr>
    </w:tbl>
    <w:p>
      <w:pPr>
        <w:spacing w:after="0" w:line="192" w:lineRule="exact"/>
        <w:rPr>
          <w:sz w:val="20"/>
          <w:szCs w:val="20"/>
          <w:color w:val="auto"/>
        </w:rPr>
      </w:pPr>
    </w:p>
    <w:p>
      <w:pPr>
        <w:ind w:left="180" w:right="780" w:firstLine="384"/>
        <w:spacing w:after="0" w:line="259" w:lineRule="auto"/>
        <w:rPr>
          <w:sz w:val="20"/>
          <w:szCs w:val="20"/>
          <w:color w:val="auto"/>
        </w:rPr>
      </w:pPr>
      <w:r>
        <w:rPr>
          <w:rFonts w:ascii="Times New Roman" w:cs="Times New Roman" w:eastAsia="Times New Roman" w:hAnsi="Times New Roman"/>
          <w:sz w:val="16"/>
          <w:szCs w:val="16"/>
          <w:color w:val="auto"/>
        </w:rPr>
        <w:t>The Company’s Level 1 financial assets are money market funds whose fair values are based on quoted market prices. The Company does not have any Level 2 and Level 3 financial assets or liabilities.</w:t>
      </w:r>
    </w:p>
    <w:p>
      <w:pPr>
        <w:spacing w:after="0" w:line="237" w:lineRule="exact"/>
        <w:rPr>
          <w:sz w:val="20"/>
          <w:szCs w:val="20"/>
          <w:color w:val="auto"/>
        </w:rPr>
      </w:pPr>
    </w:p>
    <w:p>
      <w:pPr>
        <w:ind w:left="180" w:right="5700" w:firstLine="6"/>
        <w:spacing w:after="0" w:line="361" w:lineRule="auto"/>
        <w:tabs>
          <w:tab w:leader="none" w:pos="33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Leases and Commitments and Contingencies </w:t>
      </w:r>
      <w:r>
        <w:rPr>
          <w:rFonts w:ascii="Times New Roman" w:cs="Times New Roman" w:eastAsia="Times New Roman" w:hAnsi="Times New Roman"/>
          <w:sz w:val="16"/>
          <w:szCs w:val="16"/>
          <w:i w:val="1"/>
          <w:iCs w:val="1"/>
          <w:color w:val="auto"/>
        </w:rPr>
        <w:t>Operating Leases</w:t>
      </w:r>
    </w:p>
    <w:p>
      <w:pPr>
        <w:spacing w:after="0" w:line="1" w:lineRule="exact"/>
        <w:rPr>
          <w:sz w:val="20"/>
          <w:szCs w:val="20"/>
          <w:color w:val="auto"/>
        </w:rPr>
      </w:pPr>
    </w:p>
    <w:p>
      <w:pPr>
        <w:ind w:left="180" w:right="220" w:firstLine="384"/>
        <w:spacing w:after="0" w:line="247" w:lineRule="auto"/>
        <w:rPr>
          <w:sz w:val="20"/>
          <w:szCs w:val="20"/>
          <w:color w:val="auto"/>
        </w:rPr>
      </w:pPr>
      <w:r>
        <w:rPr>
          <w:rFonts w:ascii="Times New Roman" w:cs="Times New Roman" w:eastAsia="Times New Roman" w:hAnsi="Times New Roman"/>
          <w:sz w:val="16"/>
          <w:szCs w:val="16"/>
          <w:color w:val="auto"/>
        </w:rPr>
        <w:t>Our operating leases consist of facility and office equipment leases. Operating lease expenses for the three months ended March 29, 2025 and March 30, 2024 were $0.3 million. The weighted average discount rate used in calculating the present value of lease payments was 4.8%. As of March 29, 2025, the weighted average remaining lease term for our operating leases was 1.5 years.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represents maturities of operating lease liabilities as of March 29, 2025 (in thousands):</w:t>
      </w:r>
    </w:p>
    <w:p>
      <w:pPr>
        <w:spacing w:after="0" w:line="19"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Operating</w:t>
            </w:r>
          </w:p>
        </w:tc>
      </w:tr>
      <w:tr>
        <w:trPr>
          <w:trHeight w:val="170"/>
        </w:trPr>
        <w:tc>
          <w:tcPr>
            <w:tcW w:w="6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320" w:type="dxa"/>
            <w:vAlign w:val="bottom"/>
          </w:tcPr>
          <w:p>
            <w:pPr>
              <w:spacing w:after="0"/>
              <w:rPr>
                <w:sz w:val="14"/>
                <w:szCs w:val="14"/>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Lease Payments</w:t>
            </w: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Remainder of 2025 (nine months)</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923</w:t>
            </w:r>
          </w:p>
        </w:tc>
        <w:tc>
          <w:tcPr>
            <w:tcW w:w="80" w:type="dxa"/>
            <w:vAlign w:val="bottom"/>
            <w:shd w:val="clear" w:color="auto" w:fill="CFF0FC"/>
          </w:tcPr>
          <w:p>
            <w:pPr>
              <w:spacing w:after="0"/>
              <w:rPr>
                <w:sz w:val="15"/>
                <w:szCs w:val="15"/>
                <w:color w:val="auto"/>
              </w:rPr>
            </w:pP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w:t>
            </w:r>
          </w:p>
        </w:tc>
        <w:tc>
          <w:tcPr>
            <w:tcW w:w="80" w:type="dxa"/>
            <w:vAlign w:val="bottom"/>
          </w:tcPr>
          <w:p>
            <w:pPr>
              <w:spacing w:after="0"/>
              <w:rPr>
                <w:sz w:val="15"/>
                <w:szCs w:val="15"/>
                <w:color w:val="auto"/>
              </w:rPr>
            </w:pP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5"/>
                <w:szCs w:val="15"/>
                <w:color w:val="auto"/>
              </w:rPr>
            </w:pP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5"/>
                <w:szCs w:val="15"/>
                <w:color w:val="auto"/>
              </w:rPr>
            </w:pP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FF0FC"/>
          </w:tcPr>
          <w:p>
            <w:pPr>
              <w:spacing w:after="0"/>
              <w:rPr>
                <w:sz w:val="15"/>
                <w:szCs w:val="15"/>
                <w:color w:val="auto"/>
              </w:rPr>
            </w:pP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1,753</w:t>
            </w:r>
          </w:p>
        </w:tc>
        <w:tc>
          <w:tcPr>
            <w:tcW w:w="80" w:type="dxa"/>
            <w:vAlign w:val="bottom"/>
          </w:tcPr>
          <w:p>
            <w:pPr>
              <w:spacing w:after="0"/>
              <w:rPr>
                <w:sz w:val="15"/>
                <w:szCs w:val="15"/>
                <w:color w:val="auto"/>
              </w:rPr>
            </w:pP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(98)</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lease liabilities</w:t>
            </w: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1,655</w:t>
            </w:r>
          </w:p>
        </w:tc>
        <w:tc>
          <w:tcPr>
            <w:tcW w:w="80" w:type="dxa"/>
            <w:vAlign w:val="bottom"/>
          </w:tcPr>
          <w:p>
            <w:pPr>
              <w:spacing w:after="0"/>
              <w:rPr>
                <w:sz w:val="15"/>
                <w:szCs w:val="15"/>
                <w:color w:val="auto"/>
              </w:rPr>
            </w:pP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Non-current portion of lease liabilities</w:t>
            </w:r>
          </w:p>
        </w:tc>
        <w:tc>
          <w:tcPr>
            <w:tcW w:w="3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(535)</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lease liabilities</w:t>
            </w: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94" w:lineRule="exact"/>
        <w:rPr>
          <w:sz w:val="20"/>
          <w:szCs w:val="20"/>
          <w:color w:val="auto"/>
        </w:rPr>
      </w:pPr>
    </w:p>
    <w:p>
      <w:pPr>
        <w:jc w:val="both"/>
        <w:ind w:left="180" w:right="600" w:firstLine="384"/>
        <w:spacing w:after="0" w:line="247" w:lineRule="auto"/>
        <w:rPr>
          <w:sz w:val="20"/>
          <w:szCs w:val="20"/>
          <w:color w:val="auto"/>
        </w:rPr>
      </w:pPr>
      <w:r>
        <w:rPr>
          <w:rFonts w:ascii="Times New Roman" w:cs="Times New Roman" w:eastAsia="Times New Roman" w:hAnsi="Times New Roman"/>
          <w:sz w:val="16"/>
          <w:szCs w:val="16"/>
          <w:color w:val="auto"/>
        </w:rPr>
        <w:t>Our purchase commitments consist primarily of non-cancellable purchase commitments with vendors to manufacture certain components and ophthalmic instrumentation. As of March 29, 2025, our future minimum payments through fiscal year 2027 for our purchase commitments were approximately $13.1 million, with $9.8 million committed for the next 12 months.</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Indemnities</w:t>
      </w:r>
    </w:p>
    <w:p>
      <w:pPr>
        <w:spacing w:after="0" w:line="94" w:lineRule="exact"/>
        <w:rPr>
          <w:sz w:val="20"/>
          <w:szCs w:val="20"/>
          <w:color w:val="auto"/>
        </w:rPr>
      </w:pPr>
    </w:p>
    <w:p>
      <w:pPr>
        <w:ind w:left="180" w:right="360" w:firstLine="384"/>
        <w:spacing w:after="0" w:line="239" w:lineRule="auto"/>
        <w:rPr>
          <w:sz w:val="20"/>
          <w:szCs w:val="20"/>
          <w:color w:val="auto"/>
        </w:rPr>
      </w:pPr>
      <w:r>
        <w:rPr>
          <w:rFonts w:ascii="Times New Roman" w:cs="Times New Roman" w:eastAsia="Times New Roman" w:hAnsi="Times New Roman"/>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4" w:lineRule="exact"/>
        <w:rPr>
          <w:sz w:val="20"/>
          <w:szCs w:val="20"/>
          <w:color w:val="auto"/>
        </w:rPr>
      </w:pPr>
    </w:p>
    <w:p>
      <w:pPr>
        <w:ind w:left="180" w:right="240" w:firstLine="384"/>
        <w:spacing w:after="0" w:line="259" w:lineRule="auto"/>
        <w:rPr>
          <w:sz w:val="20"/>
          <w:szCs w:val="20"/>
          <w:color w:val="auto"/>
        </w:rPr>
      </w:pPr>
      <w:r>
        <w:rPr>
          <w:rFonts w:ascii="Times New Roman" w:cs="Times New Roman" w:eastAsia="Times New Roman" w:hAnsi="Times New Roman"/>
          <w:sz w:val="16"/>
          <w:szCs w:val="16"/>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 w:name="page17"/>
    <w:bookmarkEnd w:id="16"/>
    <w:p>
      <w:pPr>
        <w:spacing w:after="0" w:line="17" w:lineRule="exact"/>
        <w:rPr>
          <w:sz w:val="20"/>
          <w:szCs w:val="20"/>
          <w:color w:val="auto"/>
        </w:rPr>
      </w:pPr>
    </w:p>
    <w:p>
      <w:pPr>
        <w:ind w:left="180" w:right="160"/>
        <w:spacing w:after="0" w:line="247" w:lineRule="auto"/>
        <w:rPr>
          <w:sz w:val="20"/>
          <w:szCs w:val="20"/>
          <w:color w:val="auto"/>
        </w:rPr>
      </w:pPr>
      <w:r>
        <w:rPr>
          <w:rFonts w:ascii="Times New Roman" w:cs="Times New Roman" w:eastAsia="Times New Roman" w:hAnsi="Times New Roman"/>
          <w:sz w:val="16"/>
          <w:szCs w:val="16"/>
          <w:color w:val="auto"/>
        </w:rPr>
        <w:t>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Legal Proceedings</w:t>
      </w:r>
    </w:p>
    <w:p>
      <w:pPr>
        <w:spacing w:after="0" w:line="94" w:lineRule="exact"/>
        <w:rPr>
          <w:sz w:val="20"/>
          <w:szCs w:val="20"/>
          <w:color w:val="auto"/>
        </w:rPr>
      </w:pPr>
    </w:p>
    <w:p>
      <w:pPr>
        <w:ind w:left="180" w:right="240" w:firstLine="384"/>
        <w:spacing w:after="0" w:line="241" w:lineRule="auto"/>
        <w:rPr>
          <w:sz w:val="20"/>
          <w:szCs w:val="20"/>
          <w:color w:val="auto"/>
        </w:rPr>
      </w:pPr>
      <w:r>
        <w:rPr>
          <w:rFonts w:ascii="Times New Roman" w:cs="Times New Roman" w:eastAsia="Times New Roman" w:hAnsi="Times New Roman"/>
          <w:sz w:val="16"/>
          <w:szCs w:val="16"/>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spacing w:after="0" w:line="155" w:lineRule="exact"/>
        <w:rPr>
          <w:sz w:val="20"/>
          <w:szCs w:val="20"/>
          <w:color w:val="auto"/>
        </w:rPr>
      </w:pPr>
    </w:p>
    <w:p>
      <w:pPr>
        <w:ind w:left="340" w:hanging="154"/>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Convertible Preferred Shares and Convertible Debt</w:t>
      </w:r>
    </w:p>
    <w:p>
      <w:pPr>
        <w:spacing w:after="0" w:line="94" w:lineRule="exact"/>
        <w:rPr>
          <w:sz w:val="20"/>
          <w:szCs w:val="20"/>
          <w:color w:val="auto"/>
        </w:rPr>
      </w:pPr>
    </w:p>
    <w:p>
      <w:pPr>
        <w:ind w:left="180" w:right="280" w:firstLine="384"/>
        <w:spacing w:after="0" w:line="331" w:lineRule="auto"/>
        <w:rPr>
          <w:sz w:val="20"/>
          <w:szCs w:val="20"/>
          <w:color w:val="auto"/>
        </w:rPr>
      </w:pPr>
      <w:r>
        <w:rPr>
          <w:rFonts w:ascii="Times New Roman" w:cs="Times New Roman" w:eastAsia="Times New Roman" w:hAnsi="Times New Roman"/>
          <w:sz w:val="14"/>
          <w:szCs w:val="14"/>
          <w:color w:val="auto"/>
        </w:rPr>
        <w:t>On March 18, 2025, the Company filed a Certificate of Designation authorizing the Company to issue up to 1,000,000 shares of authorized undesignated preferred stock as shares of Series B Preferred stock, par value $0.01 per share (the “Series B Preferred Stock”).</w:t>
      </w:r>
    </w:p>
    <w:p>
      <w:pPr>
        <w:spacing w:after="0" w:line="12" w:lineRule="exact"/>
        <w:rPr>
          <w:sz w:val="20"/>
          <w:szCs w:val="20"/>
          <w:color w:val="auto"/>
        </w:rPr>
      </w:pPr>
    </w:p>
    <w:p>
      <w:pPr>
        <w:ind w:left="180" w:right="200" w:firstLine="384"/>
        <w:spacing w:after="0" w:line="239" w:lineRule="auto"/>
        <w:rPr>
          <w:sz w:val="20"/>
          <w:szCs w:val="20"/>
          <w:color w:val="auto"/>
        </w:rPr>
      </w:pPr>
      <w:r>
        <w:rPr>
          <w:rFonts w:ascii="Times New Roman" w:cs="Times New Roman" w:eastAsia="Times New Roman" w:hAnsi="Times New Roman"/>
          <w:sz w:val="16"/>
          <w:szCs w:val="16"/>
          <w:color w:val="auto"/>
        </w:rPr>
        <w:t>On March 19, 2025, the Company entered into a securities purchase agreement (the “Novel Securities Agreement”) and a Note Purchase Agreement (the “Novel Note Purchase Agreement”) with Novel Inspirational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and together with the Novel Growth Notes (as defined below), the “Novel Notes”). The Initial Novel Note is convertible into 400,000 shares of the Company’s Series B Preferred Stock.</w:t>
      </w:r>
    </w:p>
    <w:p>
      <w:pPr>
        <w:spacing w:after="0" w:line="74" w:lineRule="exact"/>
        <w:rPr>
          <w:sz w:val="20"/>
          <w:szCs w:val="20"/>
          <w:color w:val="auto"/>
        </w:rPr>
      </w:pPr>
    </w:p>
    <w:p>
      <w:pPr>
        <w:ind w:left="180" w:right="240" w:firstLine="384"/>
        <w:spacing w:after="0" w:line="239" w:lineRule="auto"/>
        <w:rPr>
          <w:sz w:val="20"/>
          <w:szCs w:val="20"/>
          <w:color w:val="auto"/>
        </w:rPr>
      </w:pPr>
      <w:r>
        <w:rPr>
          <w:rFonts w:ascii="Times New Roman" w:cs="Times New Roman" w:eastAsia="Times New Roman" w:hAnsi="Times New Roman"/>
          <w:sz w:val="16"/>
          <w:szCs w:val="16"/>
          <w:color w:val="auto"/>
        </w:rPr>
        <w:t>Concurrently with the purchase of the shares of Series B Preferred Stock and the Initial Novel Note, the Company also entered into an Investor Rights Agreement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which was effective as of March 19, 2025; and (iii) the right to approve certain corporate actions of the Company.</w:t>
      </w:r>
    </w:p>
    <w:p>
      <w:pPr>
        <w:spacing w:after="0" w:line="77" w:lineRule="exact"/>
        <w:rPr>
          <w:sz w:val="20"/>
          <w:szCs w:val="20"/>
          <w:color w:val="auto"/>
        </w:rPr>
      </w:pPr>
    </w:p>
    <w:p>
      <w:pPr>
        <w:ind w:left="180" w:right="180" w:firstLine="384"/>
        <w:spacing w:after="0" w:line="272" w:lineRule="auto"/>
        <w:rPr>
          <w:sz w:val="20"/>
          <w:szCs w:val="20"/>
          <w:color w:val="auto"/>
        </w:rPr>
      </w:pPr>
      <w:r>
        <w:rPr>
          <w:rFonts w:ascii="Times New Roman" w:cs="Times New Roman" w:eastAsia="Times New Roman" w:hAnsi="Times New Roman"/>
          <w:sz w:val="14"/>
          <w:szCs w:val="14"/>
          <w:color w:val="auto"/>
        </w:rPr>
        <w:t>The Initial Novel Note has a 36- 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In addition, the Company incurred</w:t>
      </w:r>
    </w:p>
    <w:p>
      <w:pPr>
        <w:spacing w:after="0" w:line="4" w:lineRule="exact"/>
        <w:rPr>
          <w:sz w:val="20"/>
          <w:szCs w:val="20"/>
          <w:color w:val="auto"/>
        </w:rPr>
      </w:pPr>
    </w:p>
    <w:p>
      <w:pPr>
        <w:ind w:left="180" w:right="260"/>
        <w:spacing w:after="0" w:line="237" w:lineRule="auto"/>
        <w:rPr>
          <w:sz w:val="20"/>
          <w:szCs w:val="20"/>
          <w:color w:val="auto"/>
        </w:rPr>
      </w:pPr>
      <w:r>
        <w:rPr>
          <w:rFonts w:ascii="Times New Roman" w:cs="Times New Roman" w:eastAsia="Times New Roman" w:hAnsi="Times New Roman"/>
          <w:sz w:val="16"/>
          <w:szCs w:val="16"/>
          <w:color w:val="auto"/>
        </w:rPr>
        <w:t>$0.4 million in debt issuance costs. For the three months ended March 29, 2025, $4 thousand of debt issuance costs were recorded on a straight-line basis over the term of the loan. The accretion of debt issuance costs under that under method is deemed materially consistent with the effective interest rate method.</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represents the payments of notes payable as of March 29, 2025 (in thousands):</w:t>
      </w:r>
    </w:p>
    <w:p>
      <w:pPr>
        <w:spacing w:after="0" w:line="20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400" w:type="dxa"/>
            <w:vAlign w:val="bottom"/>
          </w:tcPr>
          <w:p>
            <w:pPr>
              <w:spacing w:after="0"/>
              <w:rPr>
                <w:sz w:val="14"/>
                <w:szCs w:val="14"/>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Payments</w:t>
            </w: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Remainder of 2025 (nine months)</w:t>
            </w:r>
          </w:p>
        </w:tc>
        <w:tc>
          <w:tcPr>
            <w:tcW w:w="40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5"/>
                <w:szCs w:val="15"/>
                <w:color w:val="auto"/>
              </w:rPr>
            </w:pPr>
          </w:p>
        </w:tc>
        <w:tc>
          <w:tcPr>
            <w:tcW w:w="1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0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4,000,000</w:t>
            </w:r>
          </w:p>
        </w:tc>
        <w:tc>
          <w:tcPr>
            <w:tcW w:w="80" w:type="dxa"/>
            <w:vAlign w:val="bottom"/>
          </w:tcPr>
          <w:p>
            <w:pPr>
              <w:spacing w:after="0"/>
              <w:rPr>
                <w:sz w:val="15"/>
                <w:szCs w:val="15"/>
                <w:color w:val="auto"/>
              </w:rPr>
            </w:pPr>
          </w:p>
        </w:tc>
      </w:tr>
      <w:tr>
        <w:trPr>
          <w:trHeight w:val="220"/>
        </w:trPr>
        <w:tc>
          <w:tcPr>
            <w:tcW w:w="652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payments</w:t>
            </w:r>
          </w:p>
        </w:tc>
        <w:tc>
          <w:tcPr>
            <w:tcW w:w="400" w:type="dxa"/>
            <w:vAlign w:val="bottom"/>
            <w:tcBorders>
              <w:bottom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4,000,000</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63" w:lineRule="exact"/>
        <w:rPr>
          <w:sz w:val="20"/>
          <w:szCs w:val="20"/>
          <w:color w:val="auto"/>
        </w:rPr>
      </w:pPr>
    </w:p>
    <w:p>
      <w:pPr>
        <w:ind w:left="180" w:right="280" w:firstLine="384"/>
        <w:spacing w:after="0" w:line="275" w:lineRule="auto"/>
        <w:rPr>
          <w:sz w:val="20"/>
          <w:szCs w:val="20"/>
          <w:color w:val="auto"/>
        </w:rPr>
      </w:pPr>
      <w:r>
        <w:rPr>
          <w:rFonts w:ascii="Times New Roman" w:cs="Times New Roman" w:eastAsia="Times New Roman" w:hAnsi="Times New Roman"/>
          <w:sz w:val="14"/>
          <w:szCs w:val="14"/>
          <w:color w:val="212529"/>
        </w:rPr>
        <w:t xml:space="preserve">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of the March 19, 2025. </w:t>
      </w:r>
      <w:r>
        <w:rPr>
          <w:rFonts w:ascii="Times New Roman" w:cs="Times New Roman" w:eastAsia="Times New Roman" w:hAnsi="Times New Roman"/>
          <w:sz w:val="14"/>
          <w:szCs w:val="14"/>
          <w:color w:val="000000"/>
        </w:rPr>
        <w:t>Notwithstanding any provision in the Transaction</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Documents (as defined in the Initial Novel Note) to the contrary, in no circumstance shall the Company be required to deliver to Novel any shares of Series B Preferred Stock or common stock pursuant to the terms of the Transaction Documents to the extent that (i) the aggregate of all such shares issued by the Company would exceed 19.99% of either (a) the total number of shares of common stock outstanding as of March 19, 2025 or (b) the total voting power of the Company’s securities outstanding as of March 19, 2025 that are entitled to vote on a matter being voted on by holders of the common stock, or (ii) such delivery would cause the holder to become, directly or indirectly, a “beneficial owner” (as defined in Rule 13d-3 under the Securities Exchange Act of 1934, as amended) of more than 19.99% of either (a) the total number of shares of common stock outstanding as of such date or (b) the total</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 w:name="page18"/>
    <w:bookmarkEnd w:id="17"/>
    <w:p>
      <w:pPr>
        <w:spacing w:after="0" w:line="17" w:lineRule="exact"/>
        <w:rPr>
          <w:sz w:val="20"/>
          <w:szCs w:val="20"/>
          <w:color w:val="auto"/>
        </w:rPr>
      </w:pPr>
    </w:p>
    <w:p>
      <w:pPr>
        <w:ind w:left="580" w:right="620"/>
        <w:spacing w:after="0" w:line="259" w:lineRule="auto"/>
        <w:rPr>
          <w:sz w:val="20"/>
          <w:szCs w:val="20"/>
          <w:color w:val="auto"/>
        </w:rPr>
      </w:pPr>
      <w:r>
        <w:rPr>
          <w:rFonts w:ascii="Times New Roman" w:cs="Times New Roman" w:eastAsia="Times New Roman" w:hAnsi="Times New Roman"/>
          <w:sz w:val="16"/>
          <w:szCs w:val="16"/>
          <w:color w:val="auto"/>
        </w:rPr>
        <w:t>voting power of the Company’s securities outstanding as of such date that are entitled to vote on a matter being voted on by holders of the common stock, in each case, unless shareholder approval has been obtained.</w:t>
      </w:r>
    </w:p>
    <w:p>
      <w:pPr>
        <w:spacing w:after="0" w:line="59" w:lineRule="exact"/>
        <w:rPr>
          <w:sz w:val="20"/>
          <w:szCs w:val="20"/>
          <w:color w:val="auto"/>
        </w:rPr>
      </w:pPr>
    </w:p>
    <w:p>
      <w:pPr>
        <w:ind w:left="580" w:right="620" w:firstLine="384"/>
        <w:spacing w:after="0" w:line="239" w:lineRule="auto"/>
        <w:rPr>
          <w:sz w:val="20"/>
          <w:szCs w:val="20"/>
          <w:color w:val="auto"/>
        </w:rPr>
      </w:pPr>
      <w:r>
        <w:rPr>
          <w:rFonts w:ascii="Times New Roman" w:cs="Times New Roman" w:eastAsia="Times New Roman" w:hAnsi="Times New Roman"/>
          <w:sz w:val="16"/>
          <w:szCs w:val="16"/>
          <w:color w:val="auto"/>
        </w:rPr>
        <w:t>On March 18, 2025, the Company also entered into that certain repayment notice (the “Repayment Notice”) with Lind Global Asset Management IX LLC (</w:t>
      </w:r>
      <w:r>
        <w:rPr>
          <w:rFonts w:ascii="Times New Roman" w:cs="Times New Roman" w:eastAsia="Times New Roman" w:hAnsi="Times New Roman"/>
          <w:sz w:val="16"/>
          <w:szCs w:val="16"/>
          <w:color w:val="212529"/>
        </w:rPr>
        <w:t>“</w:t>
      </w:r>
      <w:r>
        <w:rPr>
          <w:rFonts w:ascii="Times New Roman" w:cs="Times New Roman" w:eastAsia="Times New Roman" w:hAnsi="Times New Roman"/>
          <w:sz w:val="16"/>
          <w:szCs w:val="16"/>
          <w:color w:val="auto"/>
        </w:rPr>
        <w:t>Lind</w:t>
      </w:r>
      <w:r>
        <w:rPr>
          <w:rFonts w:ascii="Times New Roman" w:cs="Times New Roman" w:eastAsia="Times New Roman" w:hAnsi="Times New Roman"/>
          <w:sz w:val="16"/>
          <w:szCs w:val="16"/>
          <w:color w:val="212529"/>
        </w:rPr>
        <w:t>”</w:t>
      </w:r>
      <w:r>
        <w:rPr>
          <w:rFonts w:ascii="Times New Roman" w:cs="Times New Roman" w:eastAsia="Times New Roman" w:hAnsi="Times New Roman"/>
          <w:sz w:val="16"/>
          <w:szCs w:val="16"/>
          <w:color w:val="auto"/>
        </w:rPr>
        <w:t>). Pursuant to the Repayment Notice and upon the subsequent delivery of a cash payment to Lind,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As a result of the early repayment of the Lind’s notes on March 19, 2025, the Company recognized a loss of $1.3 million on the extinguishment of the convertible note payable.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10. Stock-Based Compensation</w:t>
      </w:r>
    </w:p>
    <w:p>
      <w:pPr>
        <w:spacing w:after="0" w:line="94" w:lineRule="exact"/>
        <w:rPr>
          <w:sz w:val="20"/>
          <w:szCs w:val="20"/>
          <w:color w:val="auto"/>
        </w:rPr>
      </w:pPr>
    </w:p>
    <w:p>
      <w:pPr>
        <w:ind w:left="580" w:right="580" w:firstLine="384"/>
        <w:spacing w:after="0" w:line="241" w:lineRule="auto"/>
        <w:rPr>
          <w:sz w:val="20"/>
          <w:szCs w:val="20"/>
          <w:color w:val="auto"/>
        </w:rPr>
      </w:pPr>
      <w:r>
        <w:rPr>
          <w:rFonts w:ascii="Times New Roman" w:cs="Times New Roman" w:eastAsia="Times New Roman" w:hAnsi="Times New Roman"/>
          <w:sz w:val="16"/>
          <w:szCs w:val="16"/>
          <w:color w:val="auto"/>
        </w:rPr>
        <w:t>The Company accounts for stock-based compensation granted to employees and directors, including stock option awards, restricted stock and restricted stock units (“RSUs”) in accordance with FASB ASC Topic 718</w:t>
      </w:r>
      <w:r>
        <w:rPr>
          <w:rFonts w:ascii="Times New Roman" w:cs="Times New Roman" w:eastAsia="Times New Roman" w:hAnsi="Times New Roman"/>
          <w:sz w:val="16"/>
          <w:szCs w:val="16"/>
          <w:i w:val="1"/>
          <w:iCs w:val="1"/>
          <w:color w:val="auto"/>
        </w:rPr>
        <w:t>, “Compensation – Stock Compensation”</w:t>
      </w:r>
      <w:r>
        <w:rPr>
          <w:rFonts w:ascii="Times New Roman" w:cs="Times New Roman" w:eastAsia="Times New Roman" w:hAnsi="Times New Roman"/>
          <w:sz w:val="16"/>
          <w:szCs w:val="16"/>
          <w:color w:val="auto"/>
        </w:rPr>
        <w:t xml:space="preserve"> (“ASC 718”).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w:t>
      </w:r>
    </w:p>
    <w:p>
      <w:pPr>
        <w:spacing w:after="0" w:line="73" w:lineRule="exact"/>
        <w:rPr>
          <w:sz w:val="20"/>
          <w:szCs w:val="20"/>
          <w:color w:val="auto"/>
        </w:rPr>
      </w:pPr>
    </w:p>
    <w:p>
      <w:pPr>
        <w:ind w:left="580" w:right="720" w:firstLine="384"/>
        <w:spacing w:after="0" w:line="239" w:lineRule="auto"/>
        <w:rPr>
          <w:sz w:val="20"/>
          <w:szCs w:val="20"/>
          <w:color w:val="auto"/>
        </w:rPr>
      </w:pPr>
      <w:r>
        <w:rPr>
          <w:rFonts w:ascii="Times New Roman" w:cs="Times New Roman" w:eastAsia="Times New Roman" w:hAnsi="Times New Roman"/>
          <w:sz w:val="16"/>
          <w:szCs w:val="16"/>
          <w:color w:val="auto"/>
        </w:rPr>
        <w:t>The Company values options using the Black-Scholes option pricing model. Time-based RSUs are valued at the grant date fair value of the underlying common shares. Performance- 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2008 Equity Incentive Plan, as amended.</w:t>
      </w:r>
    </w:p>
    <w:p>
      <w:pPr>
        <w:spacing w:after="0" w:line="94" w:lineRule="exact"/>
        <w:rPr>
          <w:sz w:val="20"/>
          <w:szCs w:val="20"/>
          <w:color w:val="auto"/>
        </w:rPr>
      </w:pPr>
    </w:p>
    <w:p>
      <w:pPr>
        <w:ind w:left="580" w:right="1380" w:firstLine="384"/>
        <w:spacing w:after="0" w:line="259" w:lineRule="auto"/>
        <w:rPr>
          <w:sz w:val="20"/>
          <w:szCs w:val="20"/>
          <w:color w:val="auto"/>
        </w:rPr>
      </w:pPr>
      <w:r>
        <w:rPr>
          <w:rFonts w:ascii="Times New Roman" w:cs="Times New Roman" w:eastAsia="Times New Roman" w:hAnsi="Times New Roman"/>
          <w:sz w:val="16"/>
          <w:szCs w:val="16"/>
          <w:color w:val="auto"/>
        </w:rPr>
        <w:t>The terms of awards granted during the three months ended March 29, 2025 were consistent with those described in the consolidated financial statements included in our Annual Report on Form 10-K for the year ended December 28, 2024.</w:t>
      </w:r>
    </w:p>
    <w:p>
      <w:pPr>
        <w:spacing w:after="0" w:line="59" w:lineRule="exact"/>
        <w:rPr>
          <w:sz w:val="20"/>
          <w:szCs w:val="20"/>
          <w:color w:val="auto"/>
        </w:rPr>
      </w:pPr>
    </w:p>
    <w:p>
      <w:pPr>
        <w:ind w:left="580" w:right="7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shows stock-based compensation expense included in the condensed consolidated statements of operations for the three months ended March 29, 2025 and March 30, 2024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140" w:type="dxa"/>
            <w:vAlign w:val="bottom"/>
          </w:tcPr>
          <w:p>
            <w:pPr>
              <w:spacing w:after="0"/>
              <w:rPr>
                <w:sz w:val="13"/>
                <w:szCs w:val="13"/>
                <w:color w:val="auto"/>
              </w:rPr>
            </w:pPr>
          </w:p>
        </w:tc>
        <w:tc>
          <w:tcPr>
            <w:tcW w:w="3120" w:type="dxa"/>
            <w:vAlign w:val="bottom"/>
            <w:gridSpan w:val="4"/>
          </w:tcPr>
          <w:p>
            <w:pPr>
              <w:jc w:val="right"/>
              <w:ind w:right="7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5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Cost of revenues</w:t>
            </w:r>
          </w:p>
        </w:tc>
        <w:tc>
          <w:tcPr>
            <w:tcW w:w="130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500" w:type="dxa"/>
            <w:vAlign w:val="bottom"/>
            <w:gridSpan w:val="2"/>
            <w:shd w:val="clear" w:color="auto" w:fill="CFF0FC"/>
          </w:tcPr>
          <w:p>
            <w:pPr>
              <w:jc w:val="right"/>
              <w:ind w:right="1148"/>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FF0FC"/>
          </w:tcPr>
          <w:p>
            <w:pPr>
              <w:spacing w:after="0"/>
              <w:rPr>
                <w:sz w:val="15"/>
                <w:szCs w:val="15"/>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30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5"/>
                <w:szCs w:val="15"/>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3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FF0FC"/>
          </w:tcPr>
          <w:p>
            <w:pPr>
              <w:spacing w:after="0"/>
              <w:rPr>
                <w:sz w:val="15"/>
                <w:szCs w:val="15"/>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30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5"/>
                <w:szCs w:val="15"/>
                <w:color w:val="auto"/>
              </w:rPr>
            </w:pPr>
          </w:p>
        </w:tc>
      </w:tr>
      <w:tr>
        <w:trPr>
          <w:trHeight w:val="220"/>
        </w:trPr>
        <w:tc>
          <w:tcPr>
            <w:tcW w:w="51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stock-based compensation expense</w:t>
            </w:r>
          </w:p>
        </w:tc>
        <w:tc>
          <w:tcPr>
            <w:tcW w:w="130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4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jc w:val="both"/>
        <w:ind w:left="580" w:right="680" w:firstLine="384"/>
        <w:spacing w:after="0" w:line="259" w:lineRule="auto"/>
        <w:rPr>
          <w:sz w:val="20"/>
          <w:szCs w:val="20"/>
          <w:color w:val="auto"/>
        </w:rPr>
      </w:pPr>
      <w:r>
        <w:rPr>
          <w:rFonts w:ascii="Times New Roman" w:cs="Times New Roman" w:eastAsia="Times New Roman" w:hAnsi="Times New Roman"/>
          <w:sz w:val="16"/>
          <w:szCs w:val="16"/>
          <w:color w:val="auto"/>
        </w:rPr>
        <w:t>Stock-based compensation expense capitalized to inventory was immaterial for the three months ended March 29, 2025 and March 30, 2024.</w:t>
      </w:r>
    </w:p>
    <w:p>
      <w:pPr>
        <w:spacing w:after="0" w:line="59" w:lineRule="exact"/>
        <w:rPr>
          <w:sz w:val="20"/>
          <w:szCs w:val="20"/>
          <w:color w:val="auto"/>
        </w:rPr>
      </w:pPr>
    </w:p>
    <w:p>
      <w:pPr>
        <w:ind w:left="580" w:right="740" w:firstLine="384"/>
        <w:spacing w:after="0" w:line="331" w:lineRule="auto"/>
        <w:rPr>
          <w:sz w:val="20"/>
          <w:szCs w:val="20"/>
          <w:color w:val="auto"/>
        </w:rPr>
      </w:pPr>
      <w:r>
        <w:rPr>
          <w:rFonts w:ascii="Times New Roman" w:cs="Times New Roman" w:eastAsia="Times New Roman" w:hAnsi="Times New Roman"/>
          <w:sz w:val="14"/>
          <w:szCs w:val="14"/>
          <w:color w:val="auto"/>
        </w:rPr>
        <w:t>As of March 29, 2025, there was $1.2 million of total unrecognized compensation cost, net of expected forfeitures, related to non-vested stock-based compensation arrangements. The cost is expected to be recognized over a weighted average period of 1.5 years.</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Summary of Stock Options</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following table summarizes stock options information during the three months ended March 29,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2"/>
          </w:tcPr>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14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2"/>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Intrinsic</w:t>
            </w:r>
          </w:p>
        </w:tc>
      </w:tr>
      <w:tr>
        <w:trPr>
          <w:trHeight w:val="156"/>
        </w:trPr>
        <w:tc>
          <w:tcPr>
            <w:tcW w:w="14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260" w:type="dxa"/>
            <w:vAlign w:val="bottom"/>
          </w:tcPr>
          <w:p>
            <w:pPr>
              <w:spacing w:after="0"/>
              <w:rPr>
                <w:sz w:val="13"/>
                <w:szCs w:val="13"/>
                <w:color w:val="auto"/>
              </w:rPr>
            </w:pPr>
          </w:p>
        </w:tc>
        <w:tc>
          <w:tcPr>
            <w:tcW w:w="2520" w:type="dxa"/>
            <w:vAlign w:val="bottom"/>
            <w:gridSpan w:val="2"/>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70"/>
        </w:trPr>
        <w:tc>
          <w:tcPr>
            <w:tcW w:w="1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40" w:type="dxa"/>
            <w:vAlign w:val="bottom"/>
          </w:tcPr>
          <w:p>
            <w:pPr>
              <w:jc w:val="center"/>
              <w:ind w:left="268"/>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2"/>
          </w:tcPr>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(thousands)</w:t>
            </w:r>
          </w:p>
        </w:tc>
      </w:tr>
      <w:tr>
        <w:trPr>
          <w:trHeight w:val="180"/>
        </w:trPr>
        <w:tc>
          <w:tcPr>
            <w:tcW w:w="1460" w:type="dxa"/>
            <w:vAlign w:val="bottom"/>
          </w:tcPr>
          <w:p>
            <w:pPr>
              <w:spacing w:after="0"/>
              <w:rPr>
                <w:sz w:val="15"/>
                <w:szCs w:val="15"/>
                <w:color w:val="auto"/>
              </w:rPr>
            </w:pPr>
          </w:p>
        </w:tc>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as of December 28, 2024</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1,692,707</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2"/>
              </w:rPr>
              <w:t>2.89</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63,000</w:t>
            </w:r>
          </w:p>
        </w:tc>
        <w:tc>
          <w:tcPr>
            <w:tcW w:w="120" w:type="dxa"/>
            <w:vAlign w:val="bottom"/>
          </w:tcPr>
          <w:p>
            <w:pPr>
              <w:spacing w:after="0"/>
              <w:rPr>
                <w:sz w:val="15"/>
                <w:szCs w:val="15"/>
                <w:color w:val="auto"/>
              </w:rPr>
            </w:pPr>
          </w:p>
        </w:tc>
        <w:tc>
          <w:tcPr>
            <w:tcW w:w="940" w:type="dxa"/>
            <w:vAlign w:val="bottom"/>
          </w:tcPr>
          <w:p>
            <w:pPr>
              <w:jc w:val="right"/>
              <w:ind w:right="7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2"/>
              </w:rPr>
              <w:t>0.92</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2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Canceled or forfeited</w:t>
            </w:r>
          </w:p>
        </w:tc>
        <w:tc>
          <w:tcPr>
            <w:tcW w:w="1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(144,501)</w:t>
            </w:r>
          </w:p>
        </w:tc>
        <w:tc>
          <w:tcPr>
            <w:tcW w:w="940" w:type="dxa"/>
            <w:vAlign w:val="bottom"/>
            <w:shd w:val="clear" w:color="auto" w:fill="CFF0FC"/>
          </w:tcPr>
          <w:p>
            <w:pPr>
              <w:jc w:val="right"/>
              <w:ind w:right="7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2"/>
              </w:rPr>
              <w:t>3.47</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29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Outstanding as of March 29, 2025</w:t>
            </w:r>
          </w:p>
        </w:tc>
        <w:tc>
          <w:tcPr>
            <w:tcW w:w="118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1,611,206</w:t>
            </w:r>
          </w:p>
        </w:tc>
        <w:tc>
          <w:tcPr>
            <w:tcW w:w="120" w:type="dxa"/>
            <w:vAlign w:val="bottom"/>
          </w:tcPr>
          <w:p>
            <w:pPr>
              <w:spacing w:after="0"/>
              <w:rPr>
                <w:sz w:val="15"/>
                <w:szCs w:val="15"/>
                <w:color w:val="auto"/>
              </w:rPr>
            </w:pPr>
          </w:p>
        </w:tc>
        <w:tc>
          <w:tcPr>
            <w:tcW w:w="940" w:type="dxa"/>
            <w:vAlign w:val="bottom"/>
          </w:tcPr>
          <w:p>
            <w:pPr>
              <w:jc w:val="right"/>
              <w:ind w:right="728"/>
              <w:spacing w:after="0" w:line="16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92"/>
              </w:rPr>
              <w:t>2.76</w:t>
            </w:r>
          </w:p>
        </w:tc>
        <w:tc>
          <w:tcPr>
            <w:tcW w:w="26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5,782</w:t>
            </w:r>
          </w:p>
        </w:tc>
        <w:tc>
          <w:tcPr>
            <w:tcW w:w="146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38"/>
        </w:trPr>
        <w:tc>
          <w:tcPr>
            <w:tcW w:w="1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8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74"/>
        </w:trPr>
        <w:tc>
          <w:tcPr>
            <w:tcW w:w="1460" w:type="dxa"/>
            <w:vAlign w:val="bottom"/>
            <w:tcBorders>
              <w:bottom w:val="single" w:sz="8" w:color="EEEEEE"/>
            </w:tcBorders>
          </w:tcPr>
          <w:p>
            <w:pPr>
              <w:spacing w:after="0"/>
              <w:rPr>
                <w:sz w:val="24"/>
                <w:szCs w:val="24"/>
                <w:color w:val="auto"/>
              </w:rPr>
            </w:pPr>
          </w:p>
        </w:tc>
        <w:tc>
          <w:tcPr>
            <w:tcW w:w="296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440" w:right="1040" w:bottom="1440" w:gutter="0" w:footer="0" w:header="0"/>
        </w:sectPr>
      </w:pPr>
    </w:p>
    <w:bookmarkStart w:id="18" w:name="page19"/>
    <w:bookmarkEnd w:id="18"/>
    <w:p>
      <w:pPr>
        <w:ind w:left="180" w:right="280" w:firstLine="384"/>
        <w:spacing w:after="0" w:line="259" w:lineRule="auto"/>
        <w:rPr>
          <w:sz w:val="20"/>
          <w:szCs w:val="20"/>
          <w:color w:val="auto"/>
        </w:rPr>
      </w:pPr>
      <w:r>
        <w:rPr>
          <w:rFonts w:ascii="Times New Roman" w:cs="Times New Roman" w:eastAsia="Times New Roman" w:hAnsi="Times New Roman"/>
          <w:sz w:val="16"/>
          <w:szCs w:val="16"/>
          <w:color w:val="auto"/>
        </w:rPr>
        <w:t>The weighted average grant date fair value of the options granted was $0.70 and $1.75 per share for the three months ended March 29, 2025 and March 30, 2024, respectively.</w:t>
      </w:r>
    </w:p>
    <w:p>
      <w:pPr>
        <w:spacing w:after="0" w:line="59" w:lineRule="exact"/>
        <w:rPr>
          <w:sz w:val="20"/>
          <w:szCs w:val="20"/>
          <w:color w:val="auto"/>
        </w:rPr>
      </w:pPr>
    </w:p>
    <w:p>
      <w:pPr>
        <w:ind w:left="180" w:right="580" w:firstLine="384"/>
        <w:spacing w:after="0" w:line="259" w:lineRule="auto"/>
        <w:rPr>
          <w:sz w:val="20"/>
          <w:szCs w:val="20"/>
          <w:color w:val="auto"/>
        </w:rPr>
      </w:pPr>
      <w:r>
        <w:rPr>
          <w:rFonts w:ascii="Times New Roman" w:cs="Times New Roman" w:eastAsia="Times New Roman" w:hAnsi="Times New Roman"/>
          <w:sz w:val="16"/>
          <w:szCs w:val="16"/>
          <w:color w:val="auto"/>
        </w:rPr>
        <w:t>The Company uses the Black-Scholes option-pricing model to estimate the fair value of stock-based awards (options) with the following weighted-average assumptions: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5040" w:type="dxa"/>
            <w:vAlign w:val="bottom"/>
            <w:vMerge w:val="restart"/>
          </w:tcPr>
          <w:p>
            <w:pPr>
              <w:ind w:left="4160"/>
              <w:spacing w:after="0"/>
              <w:rPr>
                <w:sz w:val="20"/>
                <w:szCs w:val="20"/>
                <w:color w:val="auto"/>
              </w:rPr>
            </w:pPr>
            <w:r>
              <w:rPr>
                <w:rFonts w:ascii="Times New Roman" w:cs="Times New Roman" w:eastAsia="Times New Roman" w:hAnsi="Times New Roman"/>
                <w:sz w:val="13"/>
                <w:szCs w:val="13"/>
                <w:b w:val="1"/>
                <w:bCs w:val="1"/>
                <w:color w:val="auto"/>
                <w:w w:val="99"/>
              </w:rPr>
              <w:t>March 29,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00" w:type="dxa"/>
            <w:vAlign w:val="bottom"/>
            <w:vMerge w:val="restart"/>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w w:val="99"/>
              </w:rPr>
              <w:t>March 30, 2024</w:t>
            </w:r>
          </w:p>
        </w:tc>
        <w:tc>
          <w:tcPr>
            <w:tcW w:w="0" w:type="dxa"/>
            <w:vAlign w:val="bottom"/>
          </w:tcPr>
          <w:p>
            <w:pPr>
              <w:spacing w:after="0"/>
              <w:rPr>
                <w:sz w:val="1"/>
                <w:szCs w:val="1"/>
                <w:color w:val="auto"/>
              </w:rPr>
            </w:pPr>
          </w:p>
        </w:tc>
      </w:tr>
      <w:tr>
        <w:trPr>
          <w:trHeight w:val="152"/>
        </w:trPr>
        <w:tc>
          <w:tcPr>
            <w:tcW w:w="50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Average risk free interest rate</w:t>
            </w:r>
          </w:p>
        </w:tc>
        <w:tc>
          <w:tcPr>
            <w:tcW w:w="1240" w:type="dxa"/>
            <w:vAlign w:val="bottom"/>
            <w:shd w:val="clear" w:color="auto" w:fill="CFF0FC"/>
          </w:tcPr>
          <w:p>
            <w:pPr>
              <w:jc w:val="right"/>
              <w:ind w:right="564"/>
              <w:spacing w:after="0" w:line="180" w:lineRule="exact"/>
              <w:rPr>
                <w:sz w:val="20"/>
                <w:szCs w:val="20"/>
                <w:color w:val="auto"/>
              </w:rPr>
            </w:pPr>
            <w:r>
              <w:rPr>
                <w:rFonts w:ascii="Times New Roman" w:cs="Times New Roman" w:eastAsia="Times New Roman" w:hAnsi="Times New Roman"/>
                <w:sz w:val="16"/>
                <w:szCs w:val="16"/>
                <w:color w:val="auto"/>
              </w:rPr>
              <w:t>4.02%</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life (in years)</w:t>
            </w:r>
          </w:p>
        </w:tc>
        <w:tc>
          <w:tcPr>
            <w:tcW w:w="1240" w:type="dxa"/>
            <w:vAlign w:val="bottom"/>
          </w:tcPr>
          <w:p>
            <w:pPr>
              <w:jc w:val="right"/>
              <w:ind w:right="704"/>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150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yield</w:t>
            </w:r>
          </w:p>
        </w:tc>
        <w:tc>
          <w:tcPr>
            <w:tcW w:w="1240" w:type="dxa"/>
            <w:vAlign w:val="bottom"/>
            <w:shd w:val="clear" w:color="auto" w:fill="CFF0FC"/>
          </w:tcPr>
          <w:p>
            <w:pPr>
              <w:jc w:val="right"/>
              <w:ind w:right="7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Average volatility</w:t>
            </w:r>
          </w:p>
        </w:tc>
        <w:tc>
          <w:tcPr>
            <w:tcW w:w="1240" w:type="dxa"/>
            <w:vAlign w:val="bottom"/>
          </w:tcPr>
          <w:p>
            <w:pPr>
              <w:jc w:val="right"/>
              <w:ind w:right="564"/>
              <w:spacing w:after="0"/>
              <w:rPr>
                <w:sz w:val="20"/>
                <w:szCs w:val="20"/>
                <w:color w:val="auto"/>
              </w:rPr>
            </w:pPr>
            <w:r>
              <w:rPr>
                <w:rFonts w:ascii="Times New Roman" w:cs="Times New Roman" w:eastAsia="Times New Roman" w:hAnsi="Times New Roman"/>
                <w:sz w:val="16"/>
                <w:szCs w:val="16"/>
                <w:color w:val="auto"/>
              </w:rPr>
              <w:t>106%</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80" w:right="220" w:firstLine="384"/>
        <w:spacing w:after="0" w:line="277" w:lineRule="auto"/>
        <w:rPr>
          <w:sz w:val="20"/>
          <w:szCs w:val="20"/>
          <w:color w:val="auto"/>
        </w:rPr>
      </w:pPr>
      <w:r>
        <w:rPr>
          <w:rFonts w:ascii="Times New Roman" w:cs="Times New Roman" w:eastAsia="Times New Roman" w:hAnsi="Times New Roman"/>
          <w:sz w:val="14"/>
          <w:szCs w:val="14"/>
          <w:color w:val="auto"/>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50" w:lineRule="exact"/>
        <w:rPr>
          <w:sz w:val="20"/>
          <w:szCs w:val="20"/>
          <w:color w:val="auto"/>
        </w:rPr>
      </w:pPr>
    </w:p>
    <w:p>
      <w:pPr>
        <w:ind w:left="180" w:right="520" w:firstLine="384"/>
        <w:spacing w:after="0" w:line="259" w:lineRule="auto"/>
        <w:rPr>
          <w:sz w:val="20"/>
          <w:szCs w:val="20"/>
          <w:color w:val="auto"/>
        </w:rPr>
      </w:pPr>
      <w:r>
        <w:rPr>
          <w:rFonts w:ascii="Times New Roman" w:cs="Times New Roman" w:eastAsia="Times New Roman" w:hAnsi="Times New Roman"/>
          <w:sz w:val="16"/>
          <w:szCs w:val="16"/>
          <w:color w:val="auto"/>
        </w:rPr>
        <w:t>Information regarding stock options outstanding, vested, expected to vest, and exercisable as of March 29, 2025 is summarized below:</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3"/>
                <w:szCs w:val="13"/>
                <w:color w:val="auto"/>
              </w:rPr>
            </w:pPr>
          </w:p>
        </w:tc>
        <w:tc>
          <w:tcPr>
            <w:tcW w:w="11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268"/>
              <w:spacing w:after="0" w:line="14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0" w:type="dxa"/>
            <w:vAlign w:val="bottom"/>
          </w:tcPr>
          <w:p>
            <w:pPr>
              <w:jc w:val="center"/>
              <w:ind w:right="89"/>
              <w:spacing w:after="0" w:line="144"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300" w:type="dxa"/>
            <w:vAlign w:val="bottom"/>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4"/>
                <w:szCs w:val="14"/>
                <w:color w:val="auto"/>
              </w:rPr>
            </w:pPr>
          </w:p>
        </w:tc>
        <w:tc>
          <w:tcPr>
            <w:tcW w:w="120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220" w:type="dxa"/>
            <w:vAlign w:val="bottom"/>
          </w:tcPr>
          <w:p>
            <w:pPr>
              <w:spacing w:after="0"/>
              <w:rPr>
                <w:sz w:val="14"/>
                <w:szCs w:val="14"/>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1300" w:type="dxa"/>
            <w:vAlign w:val="bottom"/>
          </w:tcPr>
          <w:p>
            <w:pPr>
              <w:jc w:val="right"/>
              <w:ind w:right="40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2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220" w:type="dxa"/>
            <w:vAlign w:val="bottom"/>
          </w:tcPr>
          <w:p>
            <w:pPr>
              <w:spacing w:after="0"/>
              <w:rPr>
                <w:sz w:val="14"/>
                <w:szCs w:val="14"/>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Options outstanding</w:t>
            </w:r>
          </w:p>
        </w:tc>
        <w:tc>
          <w:tcPr>
            <w:tcW w:w="130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1,611,206</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8"/>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20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5,782</w:t>
            </w:r>
          </w:p>
        </w:tc>
        <w:tc>
          <w:tcPr>
            <w:tcW w:w="0" w:type="dxa"/>
            <w:vAlign w:val="bottom"/>
          </w:tcPr>
          <w:p>
            <w:pPr>
              <w:spacing w:after="0"/>
              <w:rPr>
                <w:sz w:val="1"/>
                <w:szCs w:val="1"/>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Options vested and expected to vest</w:t>
            </w:r>
          </w:p>
        </w:tc>
        <w:tc>
          <w:tcPr>
            <w:tcW w:w="130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1,562,323</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8"/>
              <w:spacing w:after="0" w:line="180" w:lineRule="exact"/>
              <w:rPr>
                <w:sz w:val="20"/>
                <w:szCs w:val="20"/>
                <w:color w:val="auto"/>
              </w:rPr>
            </w:pPr>
            <w:r>
              <w:rPr>
                <w:rFonts w:ascii="Times New Roman" w:cs="Times New Roman" w:eastAsia="Times New Roman" w:hAnsi="Times New Roman"/>
                <w:sz w:val="16"/>
                <w:szCs w:val="16"/>
                <w:color w:val="auto"/>
              </w:rPr>
              <w:t>2.79</w:t>
            </w:r>
          </w:p>
        </w:tc>
        <w:tc>
          <w:tcPr>
            <w:tcW w:w="1200" w:type="dxa"/>
            <w:vAlign w:val="bottom"/>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Options exercisable</w:t>
            </w:r>
          </w:p>
        </w:tc>
        <w:tc>
          <w:tcPr>
            <w:tcW w:w="130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1,014,683</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8"/>
              <w:spacing w:after="0" w:line="180" w:lineRule="exact"/>
              <w:rPr>
                <w:sz w:val="20"/>
                <w:szCs w:val="20"/>
                <w:color w:val="auto"/>
              </w:rPr>
            </w:pPr>
            <w:r>
              <w:rPr>
                <w:rFonts w:ascii="Times New Roman" w:cs="Times New Roman" w:eastAsia="Times New Roman" w:hAnsi="Times New Roman"/>
                <w:sz w:val="16"/>
                <w:szCs w:val="16"/>
                <w:color w:val="auto"/>
              </w:rPr>
              <w:t>3.16</w:t>
            </w:r>
          </w:p>
        </w:tc>
        <w:tc>
          <w:tcPr>
            <w:tcW w:w="120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80" w:right="160" w:firstLine="384"/>
        <w:spacing w:after="0" w:line="243" w:lineRule="auto"/>
        <w:rPr>
          <w:sz w:val="20"/>
          <w:szCs w:val="20"/>
          <w:color w:val="auto"/>
        </w:rPr>
      </w:pPr>
      <w:r>
        <w:rPr>
          <w:rFonts w:ascii="Times New Roman" w:cs="Times New Roman" w:eastAsia="Times New Roman" w:hAnsi="Times New Roman"/>
          <w:sz w:val="16"/>
          <w:szCs w:val="16"/>
          <w:color w:val="auto"/>
        </w:rPr>
        <w:t>The aggregate intrinsic value in the table above represents the pre-tax intrinsic value, based on the Company’s closing price as of March 29, 2025, that would have been received by option holders had all option holders exercised their stock options as of that date. This amount changes based on the fair market value of the Company’s common stock. There were no options exercised during each of the three months ended March 29, 2025 and March 30, 2024.</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Summary of RSUs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Information regarding RSUs activity for the three months ended March 29, 2025 is as summarized below:</w:t>
      </w: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6220" w:type="dxa"/>
            <w:vAlign w:val="bottom"/>
          </w:tcPr>
          <w:p>
            <w:pPr>
              <w:spacing w:after="0"/>
              <w:rPr>
                <w:sz w:val="13"/>
                <w:szCs w:val="13"/>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0"/>
        </w:trPr>
        <w:tc>
          <w:tcPr>
            <w:tcW w:w="62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of Shares</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as of December 28, 2024</w:t>
            </w:r>
          </w:p>
        </w:tc>
        <w:tc>
          <w:tcPr>
            <w:tcW w:w="2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615,707</w:t>
            </w:r>
          </w:p>
        </w:tc>
        <w:tc>
          <w:tcPr>
            <w:tcW w:w="80" w:type="dxa"/>
            <w:vAlign w:val="bottom"/>
            <w:shd w:val="clear" w:color="auto" w:fill="CFF0FC"/>
          </w:tcPr>
          <w:p>
            <w:pPr>
              <w:spacing w:after="0"/>
              <w:rPr>
                <w:sz w:val="15"/>
                <w:szCs w:val="15"/>
                <w:color w:val="auto"/>
              </w:rPr>
            </w:pP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stock units granted</w:t>
            </w:r>
          </w:p>
        </w:tc>
        <w:tc>
          <w:tcPr>
            <w:tcW w:w="2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5"/>
                <w:szCs w:val="15"/>
                <w:color w:val="auto"/>
              </w:rPr>
            </w:pP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Restricted stock units forfeited</w:t>
            </w:r>
          </w:p>
        </w:tc>
        <w:tc>
          <w:tcPr>
            <w:tcW w:w="2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(5,000)</w:t>
            </w: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Outstanding as of March 29, 2025</w:t>
            </w:r>
          </w:p>
        </w:tc>
        <w:tc>
          <w:tcPr>
            <w:tcW w:w="2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615,707</w:t>
            </w:r>
          </w:p>
        </w:tc>
        <w:tc>
          <w:tcPr>
            <w:tcW w:w="80" w:type="dxa"/>
            <w:vAlign w:val="bottom"/>
          </w:tcPr>
          <w:p>
            <w:pPr>
              <w:spacing w:after="0"/>
              <w:rPr>
                <w:sz w:val="15"/>
                <w:szCs w:val="15"/>
                <w:color w:val="auto"/>
              </w:rPr>
            </w:pPr>
          </w:p>
        </w:tc>
      </w:tr>
      <w:tr>
        <w:trPr>
          <w:trHeight w:val="20"/>
        </w:trPr>
        <w:tc>
          <w:tcPr>
            <w:tcW w:w="62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ind w:left="180" w:right="7240" w:firstLine="6"/>
        <w:spacing w:after="0" w:line="411" w:lineRule="auto"/>
        <w:tabs>
          <w:tab w:leader="none" w:pos="414"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i w:val="1"/>
          <w:iCs w:val="1"/>
          <w:color w:val="auto"/>
        </w:rPr>
        <w:t>Provision for Income Tax</w:t>
      </w:r>
    </w:p>
    <w:p>
      <w:pPr>
        <w:spacing w:after="0" w:line="1" w:lineRule="exact"/>
        <w:rPr>
          <w:sz w:val="20"/>
          <w:szCs w:val="20"/>
          <w:color w:val="auto"/>
        </w:rPr>
      </w:pPr>
    </w:p>
    <w:p>
      <w:pPr>
        <w:ind w:left="180" w:right="220" w:firstLine="384"/>
        <w:spacing w:after="0" w:line="282" w:lineRule="auto"/>
        <w:rPr>
          <w:sz w:val="20"/>
          <w:szCs w:val="20"/>
          <w:color w:val="auto"/>
        </w:rPr>
      </w:pPr>
      <w:r>
        <w:rPr>
          <w:rFonts w:ascii="Times New Roman" w:cs="Times New Roman" w:eastAsia="Times New Roman" w:hAnsi="Times New Roman"/>
          <w:sz w:val="14"/>
          <w:szCs w:val="14"/>
          <w:color w:val="auto"/>
        </w:rPr>
        <w:t xml:space="preserve">The Company calculates its interim tax provision in accordance with the provisions of ASC Topic 740-270, </w:t>
      </w:r>
      <w:r>
        <w:rPr>
          <w:rFonts w:ascii="Times New Roman" w:cs="Times New Roman" w:eastAsia="Times New Roman" w:hAnsi="Times New Roman"/>
          <w:sz w:val="14"/>
          <w:szCs w:val="14"/>
          <w:i w:val="1"/>
          <w:iCs w:val="1"/>
          <w:color w:val="auto"/>
        </w:rPr>
        <w:t>Income Taxes; Interim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Reporting</w:t>
      </w:r>
      <w:r>
        <w:rPr>
          <w:rFonts w:ascii="Times New Roman" w:cs="Times New Roman" w:eastAsia="Times New Roman" w:hAnsi="Times New Roman"/>
          <w:sz w:val="14"/>
          <w:szCs w:val="14"/>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changes in enacted tax laws or rates in the interim periods in which the changes occur. The Company recorded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61" w:right="1440" w:bottom="1440" w:gutter="0" w:footer="0" w:header="0"/>
        </w:sectPr>
      </w:pPr>
    </w:p>
    <w:bookmarkStart w:id="19" w:name="page20"/>
    <w:bookmarkEnd w:id="19"/>
    <w:p>
      <w:pPr>
        <w:spacing w:after="0" w:line="17" w:lineRule="exact"/>
        <w:rPr>
          <w:sz w:val="20"/>
          <w:szCs w:val="20"/>
          <w:color w:val="auto"/>
        </w:rPr>
      </w:pPr>
    </w:p>
    <w:p>
      <w:pPr>
        <w:ind w:left="180" w:right="920"/>
        <w:spacing w:after="0" w:line="259" w:lineRule="auto"/>
        <w:rPr>
          <w:sz w:val="20"/>
          <w:szCs w:val="20"/>
          <w:color w:val="auto"/>
        </w:rPr>
      </w:pPr>
      <w:r>
        <w:rPr>
          <w:rFonts w:ascii="Times New Roman" w:cs="Times New Roman" w:eastAsia="Times New Roman" w:hAnsi="Times New Roman"/>
          <w:sz w:val="16"/>
          <w:szCs w:val="16"/>
          <w:color w:val="auto"/>
        </w:rPr>
        <w:t>a provision for income tax of $12 thousand and $38 thousand for the three months ended March 29, 2025 and March 30, 2024, respectively.</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Deferred Income Taxes</w:t>
      </w:r>
    </w:p>
    <w:p>
      <w:pPr>
        <w:spacing w:after="0" w:line="92" w:lineRule="exact"/>
        <w:rPr>
          <w:sz w:val="20"/>
          <w:szCs w:val="20"/>
          <w:color w:val="auto"/>
        </w:rPr>
      </w:pPr>
    </w:p>
    <w:p>
      <w:pPr>
        <w:ind w:left="180" w:right="3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Company accounts for income taxes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2025, based on the Company’s recent history of losses and its forecasted losses, management believes on the more-likely-than-not basis that a full valuation allowance is required. Accordingly, the Company continues to provide a full valuation allowance on its federal and states deferred tax assets.</w:t>
      </w:r>
    </w:p>
    <w:p>
      <w:pPr>
        <w:spacing w:after="0" w:line="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accounts for its uncertain tax positions in accordance with ASC 740. As of December 28, 2024, the Company had</w:t>
      </w:r>
    </w:p>
    <w:p>
      <w:pPr>
        <w:spacing w:after="0" w:line="14" w:lineRule="exact"/>
        <w:rPr>
          <w:sz w:val="20"/>
          <w:szCs w:val="20"/>
          <w:color w:val="auto"/>
        </w:rPr>
      </w:pPr>
    </w:p>
    <w:p>
      <w:pPr>
        <w:ind w:left="180" w:right="320"/>
        <w:spacing w:after="0" w:line="238" w:lineRule="auto"/>
        <w:rPr>
          <w:sz w:val="20"/>
          <w:szCs w:val="20"/>
          <w:color w:val="auto"/>
        </w:rPr>
      </w:pPr>
      <w:r>
        <w:rPr>
          <w:rFonts w:ascii="Times New Roman" w:cs="Times New Roman" w:eastAsia="Times New Roman" w:hAnsi="Times New Roman"/>
          <w:sz w:val="16"/>
          <w:szCs w:val="16"/>
          <w:color w:val="auto"/>
        </w:rPr>
        <w:t>$1.4 million of unrecognized tax benefits, none of the unrecognized tax benefits would result in a change in the Company’s effective tax rate if recognized in future years.</w:t>
      </w:r>
    </w:p>
    <w:p>
      <w:pPr>
        <w:spacing w:after="0" w:line="73" w:lineRule="exact"/>
        <w:rPr>
          <w:sz w:val="20"/>
          <w:szCs w:val="20"/>
          <w:color w:val="auto"/>
        </w:rPr>
      </w:pPr>
    </w:p>
    <w:p>
      <w:pPr>
        <w:ind w:left="180" w:right="520" w:firstLine="384"/>
        <w:spacing w:after="0" w:line="259" w:lineRule="auto"/>
        <w:rPr>
          <w:sz w:val="20"/>
          <w:szCs w:val="20"/>
          <w:color w:val="auto"/>
        </w:rPr>
      </w:pPr>
      <w:r>
        <w:rPr>
          <w:rFonts w:ascii="Times New Roman" w:cs="Times New Roman" w:eastAsia="Times New Roman" w:hAnsi="Times New Roman"/>
          <w:sz w:val="16"/>
          <w:szCs w:val="16"/>
          <w:color w:val="auto"/>
        </w:rPr>
        <w:t>The Company is not aware of any other uncertain tax positions that could result in significant additional payments, accruals, or other material deviation in this estimate during the fiscal year.</w:t>
      </w:r>
    </w:p>
    <w:p>
      <w:pPr>
        <w:spacing w:after="0" w:line="59" w:lineRule="exact"/>
        <w:rPr>
          <w:sz w:val="20"/>
          <w:szCs w:val="20"/>
          <w:color w:val="auto"/>
        </w:rPr>
      </w:pPr>
    </w:p>
    <w:p>
      <w:pPr>
        <w:ind w:left="180" w:right="200" w:firstLine="384"/>
        <w:spacing w:after="0" w:line="259" w:lineRule="auto"/>
        <w:rPr>
          <w:sz w:val="20"/>
          <w:szCs w:val="20"/>
          <w:color w:val="auto"/>
        </w:rPr>
      </w:pPr>
      <w:r>
        <w:rPr>
          <w:rFonts w:ascii="Times New Roman" w:cs="Times New Roman" w:eastAsia="Times New Roman" w:hAnsi="Times New Roman"/>
          <w:sz w:val="16"/>
          <w:szCs w:val="16"/>
          <w:color w:val="auto"/>
        </w:rPr>
        <w:t>The Company is subject to United States federal income tax as well as to income taxes in state jurisdictions. The Company’s federal and state income tax returns are open to examination by tax authorities for three years and three to five years, respectively.</w:t>
      </w: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12. Computation of Basic and Diluted Net Loss Per Share</w:t>
      </w:r>
    </w:p>
    <w:p>
      <w:pPr>
        <w:spacing w:after="0" w:line="94" w:lineRule="exact"/>
        <w:rPr>
          <w:sz w:val="20"/>
          <w:szCs w:val="20"/>
          <w:color w:val="auto"/>
        </w:rPr>
      </w:pPr>
    </w:p>
    <w:p>
      <w:pPr>
        <w:ind w:left="180" w:right="220" w:firstLine="384"/>
        <w:spacing w:after="0" w:line="238" w:lineRule="auto"/>
        <w:rPr>
          <w:sz w:val="20"/>
          <w:szCs w:val="20"/>
          <w:color w:val="auto"/>
        </w:rPr>
      </w:pPr>
      <w:r>
        <w:rPr>
          <w:rFonts w:ascii="Times New Roman" w:cs="Times New Roman" w:eastAsia="Times New Roman" w:hAnsi="Times New Roman"/>
          <w:sz w:val="16"/>
          <w:szCs w:val="16"/>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Common stock equivalents consist of incremental common shares issuable upon conversion of convertible debt and preferred shares are calculated under the if-converted method. Common stock equivalent shares from convertible debt and preferred shares are excluded from the computation for periods in which we incur a net loss or if their effect would be anti-dilutive.</w:t>
      </w:r>
    </w:p>
    <w:p>
      <w:pPr>
        <w:spacing w:after="0" w:line="77" w:lineRule="exact"/>
        <w:rPr>
          <w:sz w:val="20"/>
          <w:szCs w:val="20"/>
          <w:color w:val="auto"/>
        </w:rPr>
      </w:pPr>
    </w:p>
    <w:p>
      <w:pPr>
        <w:ind w:left="180" w:right="200" w:firstLine="384"/>
        <w:spacing w:after="0" w:line="237" w:lineRule="auto"/>
        <w:rPr>
          <w:sz w:val="20"/>
          <w:szCs w:val="20"/>
          <w:color w:val="auto"/>
        </w:rPr>
      </w:pPr>
      <w:r>
        <w:rPr>
          <w:rFonts w:ascii="Times New Roman" w:cs="Times New Roman" w:eastAsia="Times New Roman" w:hAnsi="Times New Roman"/>
          <w:sz w:val="16"/>
          <w:szCs w:val="16"/>
          <w:color w:val="auto"/>
        </w:rPr>
        <w:t>For the three months ended March 29, 2025 and March 30, 2024, potential shares from stock options and RSUs totaling 2,269,639 and 3,201,628 shares, respectively, were excluded from the computation of diluted weighted average shares outstanding. For the three months ended March 29, 2025 and March 30, 2024, potential shares from the conversion of convertible debt and preferred shares totaling 5,000,000 and 0 were excluded from the computation of diluted weighted average shares outstanding, respectively. However, notwithstanding any provision in the transaction documents with Novel to the contrary, in no circumstance shall the Company be required to deliver to Novel any shares of Series B Preferred Stock or common stock pursuant to the terms of the Transaction Documents to the extent that (i) the aggregate of all such shares issued by the Company would exceed 19.99% of either (a) the total number of shares of common stock outstanding as of March 19, 2025 or (b) the total voting power of the Company’s securities outstanding as of March 19, 2025 that are entitled to vote on a matter being voted on by holders of the common stock, or (ii) such delivery would cause the holder to become, directly or indirectly, a “beneficial owner” (as defined in Rule 13d -3 under the Securities Exchange Act of 1934, as amended) of more than 19.99% of either (a) the total number of shares of common stock outstanding as of such date or (b) the total voting power of the Company’s securities outstanding as of such date that are entitled to vote on a matter being voted on by holders of the common stock, in each case, unless shareholder approval has been obtained.</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 w:name="page21"/>
    <w:bookmarkEnd w:id="20"/>
    <w:p>
      <w:pPr>
        <w:spacing w:after="0" w:line="17" w:lineRule="exact"/>
        <w:rPr>
          <w:sz w:val="20"/>
          <w:szCs w:val="20"/>
          <w:color w:val="auto"/>
        </w:rPr>
      </w:pPr>
    </w:p>
    <w:p>
      <w:pPr>
        <w:ind w:left="180" w:right="680" w:firstLine="384"/>
        <w:spacing w:after="0" w:line="259" w:lineRule="auto"/>
        <w:rPr>
          <w:sz w:val="20"/>
          <w:szCs w:val="20"/>
          <w:color w:val="auto"/>
        </w:rPr>
      </w:pPr>
      <w:r>
        <w:rPr>
          <w:rFonts w:ascii="Times New Roman" w:cs="Times New Roman" w:eastAsia="Times New Roman" w:hAnsi="Times New Roman"/>
          <w:sz w:val="16"/>
          <w:szCs w:val="16"/>
          <w:color w:val="auto"/>
        </w:rPr>
        <w:t>A reconciliation of the numerator and denominator of basic and diluted net loss per common share is provided as follows (in thousands except per share data):</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14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1440" w:type="dxa"/>
            <w:vAlign w:val="bottom"/>
          </w:tcPr>
          <w:p>
            <w:pPr>
              <w:jc w:val="right"/>
              <w:ind w:right="1285"/>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(1,686</w:t>
            </w:r>
            <w:r>
              <w:rPr>
                <w:rFonts w:ascii="Times New Roman" w:cs="Times New Roman" w:eastAsia="Times New Roman" w:hAnsi="Times New Roman"/>
                <w:sz w:val="18"/>
                <w:szCs w:val="18"/>
                <w:color w:val="auto"/>
                <w:vertAlign w:val="subscript"/>
              </w:rPr>
              <w:t>)</w:t>
            </w:r>
          </w:p>
        </w:tc>
        <w:tc>
          <w:tcPr>
            <w:tcW w:w="62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(3,464</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14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ind w:left="140"/>
              <w:spacing w:after="0" w:line="167"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FF0FC"/>
          </w:tcPr>
          <w:p>
            <w:pPr>
              <w:ind w:left="140"/>
              <w:spacing w:after="0" w:line="167"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14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Per share data:</w:t>
            </w: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00" w:type="dxa"/>
            <w:vAlign w:val="bottom"/>
            <w:shd w:val="clear" w:color="auto" w:fill="CFF0FC"/>
          </w:tcPr>
          <w:p>
            <w:pPr>
              <w:ind w:left="300"/>
              <w:spacing w:after="0" w:line="160" w:lineRule="exact"/>
              <w:rPr>
                <w:sz w:val="20"/>
                <w:szCs w:val="20"/>
                <w:color w:val="auto"/>
              </w:rPr>
            </w:pPr>
            <w:r>
              <w:rPr>
                <w:rFonts w:ascii="Times New Roman" w:cs="Times New Roman" w:eastAsia="Times New Roman" w:hAnsi="Times New Roman"/>
                <w:sz w:val="16"/>
                <w:szCs w:val="16"/>
                <w:color w:val="auto"/>
              </w:rPr>
              <w:t>Basic net loss per share</w:t>
            </w:r>
          </w:p>
        </w:tc>
        <w:tc>
          <w:tcPr>
            <w:tcW w:w="1440" w:type="dxa"/>
            <w:vAlign w:val="bottom"/>
            <w:shd w:val="clear" w:color="auto" w:fill="CFF0FC"/>
          </w:tcPr>
          <w:p>
            <w:pPr>
              <w:jc w:val="right"/>
              <w:ind w:right="1285"/>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(0.10</w:t>
            </w:r>
            <w:r>
              <w:rPr>
                <w:rFonts w:ascii="Times New Roman" w:cs="Times New Roman" w:eastAsia="Times New Roman" w:hAnsi="Times New Roman"/>
                <w:sz w:val="18"/>
                <w:szCs w:val="18"/>
                <w:color w:val="auto"/>
                <w:vertAlign w:val="subscript"/>
              </w:rPr>
              <w:t>)</w:t>
            </w:r>
          </w:p>
        </w:tc>
        <w:tc>
          <w:tcPr>
            <w:tcW w:w="620" w:type="dxa"/>
            <w:vAlign w:val="bottom"/>
            <w:gridSpan w:val="2"/>
            <w:shd w:val="clear" w:color="auto" w:fill="CFF0FC"/>
          </w:tcPr>
          <w:p>
            <w:pPr>
              <w:jc w:val="right"/>
              <w:ind w:right="4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(0.21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ind w:left="300"/>
              <w:spacing w:after="0" w:line="156" w:lineRule="exact"/>
              <w:rPr>
                <w:sz w:val="20"/>
                <w:szCs w:val="20"/>
                <w:color w:val="auto"/>
              </w:rPr>
            </w:pPr>
            <w:r>
              <w:rPr>
                <w:rFonts w:ascii="Times New Roman" w:cs="Times New Roman" w:eastAsia="Times New Roman" w:hAnsi="Times New Roman"/>
                <w:sz w:val="16"/>
                <w:szCs w:val="16"/>
                <w:color w:val="auto"/>
              </w:rPr>
              <w:t>Diluted net loss per share</w:t>
            </w:r>
          </w:p>
        </w:tc>
        <w:tc>
          <w:tcPr>
            <w:tcW w:w="1440" w:type="dxa"/>
            <w:vAlign w:val="bottom"/>
          </w:tcPr>
          <w:p>
            <w:pPr>
              <w:jc w:val="right"/>
              <w:ind w:right="1285"/>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1"/>
                <w:szCs w:val="11"/>
                <w:color w:val="auto"/>
              </w:rPr>
              <w:t>(0.10</w:t>
            </w:r>
            <w:r>
              <w:rPr>
                <w:rFonts w:ascii="Times New Roman" w:cs="Times New Roman" w:eastAsia="Times New Roman" w:hAnsi="Times New Roman"/>
                <w:sz w:val="18"/>
                <w:szCs w:val="18"/>
                <w:color w:val="auto"/>
                <w:vertAlign w:val="subscript"/>
              </w:rPr>
              <w:t>)</w:t>
            </w:r>
          </w:p>
        </w:tc>
        <w:tc>
          <w:tcPr>
            <w:tcW w:w="62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1"/>
                <w:szCs w:val="11"/>
                <w:color w:val="auto"/>
              </w:rPr>
              <w:t>(0.21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13. Business Segments</w:t>
      </w:r>
    </w:p>
    <w:p>
      <w:pPr>
        <w:spacing w:after="0" w:line="94" w:lineRule="exact"/>
        <w:rPr>
          <w:sz w:val="20"/>
          <w:szCs w:val="20"/>
          <w:color w:val="auto"/>
        </w:rPr>
      </w:pPr>
    </w:p>
    <w:p>
      <w:pPr>
        <w:ind w:left="180" w:right="360" w:firstLine="384"/>
        <w:spacing w:after="0" w:line="259" w:lineRule="auto"/>
        <w:rPr>
          <w:sz w:val="20"/>
          <w:szCs w:val="20"/>
          <w:color w:val="auto"/>
        </w:rPr>
      </w:pPr>
      <w:r>
        <w:rPr>
          <w:rFonts w:ascii="Times New Roman" w:cs="Times New Roman" w:eastAsia="Times New Roman" w:hAnsi="Times New Roman"/>
          <w:sz w:val="16"/>
          <w:szCs w:val="16"/>
          <w:color w:val="auto"/>
        </w:rPr>
        <w:t>The Company operates in one segment: ophthalmology. The Company develops, manufactures and markets medical devices. Our revenues arise from the sale of consoles, delivery devices, consumables, service, and support activities.</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information shown by product group is as follows (in thousands):</w:t>
      </w: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620" w:type="dxa"/>
            <w:vAlign w:val="bottom"/>
            <w:vMerge w:val="restart"/>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Cyclo G6</w:t>
            </w:r>
          </w:p>
        </w:tc>
        <w:tc>
          <w:tcPr>
            <w:tcW w:w="1620" w:type="dxa"/>
            <w:vAlign w:val="bottom"/>
            <w:shd w:val="clear" w:color="auto" w:fill="CFF0FC"/>
          </w:tcPr>
          <w:p>
            <w:pPr>
              <w:jc w:val="right"/>
              <w:ind w:right="14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3,181</w:t>
            </w:r>
          </w:p>
        </w:tc>
        <w:tc>
          <w:tcPr>
            <w:tcW w:w="680" w:type="dxa"/>
            <w:vAlign w:val="bottom"/>
            <w:gridSpan w:val="2"/>
            <w:shd w:val="clear" w:color="auto" w:fill="CFF0FC"/>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Retina</w:t>
            </w:r>
          </w:p>
        </w:tc>
        <w:tc>
          <w:tcPr>
            <w:tcW w:w="162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6,645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6,774</w:t>
            </w:r>
          </w:p>
        </w:tc>
        <w:tc>
          <w:tcPr>
            <w:tcW w:w="0" w:type="dxa"/>
            <w:vAlign w:val="bottom"/>
          </w:tcPr>
          <w:p>
            <w:pPr>
              <w:spacing w:after="0"/>
              <w:rPr>
                <w:sz w:val="1"/>
                <w:szCs w:val="1"/>
                <w:color w:val="auto"/>
              </w:rPr>
            </w:pPr>
          </w:p>
        </w:tc>
      </w:tr>
      <w:tr>
        <w:trPr>
          <w:trHeight w:val="180"/>
        </w:trPr>
        <w:tc>
          <w:tcPr>
            <w:tcW w:w="3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Other(1)</w:t>
            </w:r>
          </w:p>
        </w:tc>
        <w:tc>
          <w:tcPr>
            <w:tcW w:w="16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2,070</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2,034</w:t>
            </w:r>
          </w:p>
        </w:tc>
        <w:tc>
          <w:tcPr>
            <w:tcW w:w="0" w:type="dxa"/>
            <w:vAlign w:val="bottom"/>
          </w:tcPr>
          <w:p>
            <w:pPr>
              <w:spacing w:after="0"/>
              <w:rPr>
                <w:sz w:val="1"/>
                <w:szCs w:val="1"/>
                <w:color w:val="auto"/>
              </w:rPr>
            </w:pPr>
          </w:p>
        </w:tc>
      </w:tr>
      <w:tr>
        <w:trPr>
          <w:trHeight w:val="180"/>
        </w:trPr>
        <w:tc>
          <w:tcPr>
            <w:tcW w:w="3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620" w:type="dxa"/>
            <w:vAlign w:val="bottom"/>
          </w:tcPr>
          <w:p>
            <w:pPr>
              <w:jc w:val="right"/>
              <w:ind w:right="14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11,896</w:t>
            </w:r>
          </w:p>
        </w:tc>
        <w:tc>
          <w:tcPr>
            <w:tcW w:w="160" w:type="dxa"/>
            <w:vAlign w:val="bottom"/>
          </w:tcPr>
          <w:p>
            <w:pPr>
              <w:spacing w:after="0"/>
              <w:rPr>
                <w:sz w:val="15"/>
                <w:szCs w:val="15"/>
                <w:color w:val="auto"/>
              </w:rPr>
            </w:pPr>
          </w:p>
        </w:tc>
        <w:tc>
          <w:tcPr>
            <w:tcW w:w="68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right="180" w:firstLine="390"/>
        <w:spacing w:after="0" w:line="238" w:lineRule="auto"/>
        <w:tabs>
          <w:tab w:leader="none" w:pos="78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service contract revenues of $334 thousand and $328 thousand recognized during the three months ended March 29, 2025 and March 30, 2024, respectively. Includes $364 thousand recognized revenue related to the exclusive distribution rights during both of the three months ended March 29, 2025 and March 30, 2024. Other also includes revenues from paid service, royalty, freight and legacy G probes.</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information shown by geographic region, based on the sales destination, is as follows (in thousands):</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2220" w:type="dxa"/>
            <w:vAlign w:val="bottom"/>
            <w:gridSpan w:val="2"/>
            <w:shd w:val="clear" w:color="auto" w:fill="CFF0FC"/>
          </w:tcPr>
          <w:p>
            <w:pPr>
              <w:jc w:val="right"/>
              <w:ind w:right="12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5,283</w:t>
            </w:r>
          </w:p>
        </w:tc>
        <w:tc>
          <w:tcPr>
            <w:tcW w:w="620" w:type="dxa"/>
            <w:vAlign w:val="bottom"/>
            <w:gridSpan w:val="2"/>
            <w:shd w:val="clear" w:color="auto" w:fill="CFF0FC"/>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5,321</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 Middle East and Africa</w:t>
            </w:r>
          </w:p>
        </w:tc>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2,861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Asia/Pacific Rim</w:t>
            </w:r>
          </w:p>
        </w:tc>
        <w:tc>
          <w:tcPr>
            <w:tcW w:w="7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3,360</w:t>
            </w: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Americas, excluding the U.S.</w:t>
            </w:r>
          </w:p>
        </w:tc>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8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11,896</w:t>
            </w:r>
          </w:p>
        </w:tc>
        <w:tc>
          <w:tcPr>
            <w:tcW w:w="1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Revenues are attributed to countries based on the location of end customers.</w:t>
      </w:r>
    </w:p>
    <w:p>
      <w:pPr>
        <w:spacing w:after="0" w:line="92" w:lineRule="exact"/>
        <w:rPr>
          <w:sz w:val="20"/>
          <w:szCs w:val="20"/>
          <w:color w:val="auto"/>
        </w:rPr>
      </w:pPr>
    </w:p>
    <w:p>
      <w:pPr>
        <w:jc w:val="both"/>
        <w:ind w:left="180" w:right="200" w:firstLine="384"/>
        <w:spacing w:after="0" w:line="243" w:lineRule="auto"/>
        <w:rPr>
          <w:sz w:val="20"/>
          <w:szCs w:val="20"/>
          <w:color w:val="auto"/>
        </w:rPr>
      </w:pPr>
      <w:r>
        <w:rPr>
          <w:rFonts w:ascii="Times New Roman" w:cs="Times New Roman" w:eastAsia="Times New Roman" w:hAnsi="Times New Roman"/>
          <w:sz w:val="16"/>
          <w:szCs w:val="16"/>
          <w:color w:val="auto"/>
        </w:rPr>
        <w:t>Other than the United States, the Netherlands accounted for at least 10% of the Company’s revenues during the three months ended March 29, 2025, representing 13.1%. Other than the United States, the Netherlands accounted for at least 10% of the Company’s revenues during the three months ended March 30, 2024, representing 21%. The United States accounted for 44.4% and 45.2% of revenues for the three months ended March 29, 2025 and March 30, 2024,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92" w:lineRule="exact"/>
        <w:rPr>
          <w:sz w:val="20"/>
          <w:szCs w:val="20"/>
          <w:color w:val="auto"/>
        </w:rPr>
      </w:pPr>
    </w:p>
    <w:p>
      <w:pPr>
        <w:ind w:left="180" w:right="2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180" w:right="680" w:firstLine="384"/>
        <w:spacing w:after="0" w:line="259" w:lineRule="auto"/>
        <w:rPr>
          <w:sz w:val="20"/>
          <w:szCs w:val="20"/>
          <w:color w:val="auto"/>
        </w:rPr>
      </w:pPr>
      <w:r>
        <w:rPr>
          <w:rFonts w:ascii="Times New Roman" w:cs="Times New Roman" w:eastAsia="Times New Roman" w:hAnsi="Times New Roman"/>
          <w:sz w:val="16"/>
          <w:szCs w:val="16"/>
          <w:color w:val="auto"/>
        </w:rPr>
        <w:t>IRIDEX is an ophthalmic medical technology company focused on the development and commercialization of breakthrough products and procedures used to treat sight-threatening eye conditions, including glaucoma and retinal diseases.</w:t>
      </w:r>
    </w:p>
    <w:p>
      <w:pPr>
        <w:spacing w:after="0" w:line="72" w:lineRule="exact"/>
        <w:rPr>
          <w:sz w:val="20"/>
          <w:szCs w:val="20"/>
          <w:color w:val="auto"/>
        </w:rPr>
      </w:pPr>
    </w:p>
    <w:p>
      <w:pPr>
        <w:ind w:left="180" w:right="200" w:firstLine="384"/>
        <w:spacing w:after="0" w:line="231" w:lineRule="auto"/>
        <w:rPr>
          <w:sz w:val="20"/>
          <w:szCs w:val="20"/>
          <w:color w:val="auto"/>
        </w:rPr>
      </w:pPr>
      <w:r>
        <w:rPr>
          <w:rFonts w:ascii="Times New Roman" w:cs="Times New Roman" w:eastAsia="Times New Roman" w:hAnsi="Times New Roman"/>
          <w:sz w:val="16"/>
          <w:szCs w:val="16"/>
          <w:color w:val="auto"/>
        </w:rPr>
        <w:t>Our propriety MicroPulse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 -energy,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products consist of laser consoles, delivery devices and consumable probes.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laser consoles consist of the following product lines:</w:t>
      </w:r>
    </w:p>
    <w:p>
      <w:pPr>
        <w:spacing w:after="0" w:line="107" w:lineRule="exact"/>
        <w:rPr>
          <w:sz w:val="20"/>
          <w:szCs w:val="20"/>
          <w:color w:val="auto"/>
        </w:rPr>
      </w:pPr>
    </w:p>
    <w:p>
      <w:pPr>
        <w:ind w:left="580" w:right="600"/>
        <w:spacing w:after="0" w:line="22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Glaucoma</w:t>
      </w:r>
      <w:r>
        <w:rPr>
          <w:rFonts w:ascii="Times New Roman" w:cs="Times New Roman" w:eastAsia="Times New Roman" w:hAnsi="Times New Roman"/>
          <w:sz w:val="16"/>
          <w:szCs w:val="16"/>
          <w:color w:val="auto"/>
        </w:rPr>
        <w:t xml:space="preserve"> – Our primary glaucoma console line is the Cyclo G6</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laser system with MicroPulse technology. In addition, our medical retina consoles have features supporting glaucoma laser treatments.</w:t>
      </w:r>
    </w:p>
    <w:p>
      <w:pPr>
        <w:spacing w:after="0" w:line="86" w:lineRule="exact"/>
        <w:rPr>
          <w:sz w:val="20"/>
          <w:szCs w:val="20"/>
          <w:color w:val="auto"/>
        </w:rPr>
      </w:pPr>
    </w:p>
    <w:p>
      <w:pPr>
        <w:ind w:left="580" w:right="200"/>
        <w:spacing w:after="0" w:line="23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Medical Retina</w:t>
      </w:r>
      <w:r>
        <w:rPr>
          <w:rFonts w:ascii="Times New Roman" w:cs="Times New Roman" w:eastAsia="Times New Roman" w:hAnsi="Times New Roman"/>
          <w:sz w:val="16"/>
          <w:szCs w:val="16"/>
          <w:color w:val="auto"/>
        </w:rPr>
        <w:t xml:space="preserve"> – Our medical-retina product line includes our portable IQ 532</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IQ 577</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 -spot laser trabeculoplasty using MicroPulse technology, iridotomy, and iridectomy using the IQ lasers; and pattern scanning laser trabeculoplasty (“PSLT”) using the PASCAL laser system.</w:t>
      </w:r>
    </w:p>
    <w:p>
      <w:pPr>
        <w:spacing w:after="0" w:line="87" w:lineRule="exact"/>
        <w:rPr>
          <w:sz w:val="20"/>
          <w:szCs w:val="20"/>
          <w:color w:val="auto"/>
        </w:rPr>
      </w:pPr>
    </w:p>
    <w:p>
      <w:pPr>
        <w:ind w:left="580" w:right="180"/>
        <w:spacing w:after="0" w:line="23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Surgical Retina</w:t>
      </w:r>
      <w:r>
        <w:rPr>
          <w:rFonts w:ascii="Times New Roman" w:cs="Times New Roman" w:eastAsia="Times New Roman" w:hAnsi="Times New Roman"/>
          <w:sz w:val="16"/>
          <w:szCs w:val="16"/>
          <w:color w:val="auto"/>
        </w:rPr>
        <w:t xml:space="preserve"> – Our surgical -retina product line includes our OcuLight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TX and OcuLight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SLx (with MicroPulse technology) laser photocoagulation systems. These systems are often used in vitrectomy procedures, which are used to treat proliferative diabetic retinopathy, macular holes, retinal tears and detachments.</w:t>
      </w:r>
    </w:p>
    <w:p>
      <w:pPr>
        <w:spacing w:after="0" w:line="75" w:lineRule="exact"/>
        <w:rPr>
          <w:sz w:val="20"/>
          <w:szCs w:val="20"/>
          <w:color w:val="auto"/>
        </w:rPr>
      </w:pPr>
    </w:p>
    <w:p>
      <w:pPr>
        <w:ind w:left="180" w:right="260" w:firstLine="384"/>
        <w:spacing w:after="0" w:line="259" w:lineRule="auto"/>
        <w:rPr>
          <w:sz w:val="20"/>
          <w:szCs w:val="20"/>
          <w:color w:val="auto"/>
        </w:rPr>
      </w:pPr>
      <w:r>
        <w:rPr>
          <w:rFonts w:ascii="Times New Roman" w:cs="Times New Roman" w:eastAsia="Times New Roman" w:hAnsi="Times New Roman"/>
          <w:sz w:val="16"/>
          <w:szCs w:val="16"/>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laser probes consist of the following product lines:</w:t>
      </w:r>
    </w:p>
    <w:p>
      <w:pPr>
        <w:spacing w:after="0" w:line="107" w:lineRule="exact"/>
        <w:rPr>
          <w:sz w:val="20"/>
          <w:szCs w:val="20"/>
          <w:color w:val="auto"/>
        </w:rPr>
      </w:pPr>
    </w:p>
    <w:p>
      <w:pPr>
        <w:ind w:left="580" w:right="540"/>
        <w:spacing w:after="0" w:line="29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Glaucoma</w:t>
      </w:r>
      <w:r>
        <w:rPr>
          <w:rFonts w:ascii="Times New Roman" w:cs="Times New Roman" w:eastAsia="Times New Roman" w:hAnsi="Times New Roman"/>
          <w:sz w:val="16"/>
          <w:szCs w:val="16"/>
          <w:color w:val="auto"/>
        </w:rPr>
        <w:t xml:space="preserve"> – Probes used in our glaucoma product line include our patented single-use delivery devices - MicroPulse P3</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G-Probe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G-Probe Illuminate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Surgical Retina</w:t>
      </w:r>
      <w:r>
        <w:rPr>
          <w:rFonts w:ascii="Times New Roman" w:cs="Times New Roman" w:eastAsia="Times New Roman" w:hAnsi="Times New Roman"/>
          <w:sz w:val="16"/>
          <w:szCs w:val="16"/>
          <w:color w:val="auto"/>
        </w:rPr>
        <w:t xml:space="preserve"> – Probes used in our surgical-retina product line include our family of single-use EndoProbe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handpieces.</w:t>
      </w:r>
    </w:p>
    <w:p>
      <w:pPr>
        <w:spacing w:after="0" w:line="58" w:lineRule="exact"/>
        <w:rPr>
          <w:sz w:val="20"/>
          <w:szCs w:val="20"/>
          <w:color w:val="auto"/>
        </w:rPr>
      </w:pPr>
    </w:p>
    <w:p>
      <w:pPr>
        <w:ind w:left="180" w:right="480" w:firstLine="384"/>
        <w:spacing w:after="0" w:line="285" w:lineRule="auto"/>
        <w:rPr>
          <w:sz w:val="20"/>
          <w:szCs w:val="20"/>
          <w:color w:val="auto"/>
        </w:rPr>
      </w:pPr>
      <w:r>
        <w:rPr>
          <w:rFonts w:ascii="Times New Roman" w:cs="Times New Roman" w:eastAsia="Times New Roman" w:hAnsi="Times New Roman"/>
          <w:sz w:val="14"/>
          <w:szCs w:val="14"/>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w:t>
      </w:r>
    </w:p>
    <w:p>
      <w:pPr>
        <w:spacing w:after="0" w:line="1" w:lineRule="exact"/>
        <w:rPr>
          <w:sz w:val="20"/>
          <w:szCs w:val="20"/>
          <w:color w:val="auto"/>
        </w:rPr>
      </w:pPr>
    </w:p>
    <w:p>
      <w:pPr>
        <w:jc w:val="both"/>
        <w:ind w:left="180" w:right="220"/>
        <w:spacing w:after="0" w:line="222" w:lineRule="auto"/>
        <w:rPr>
          <w:sz w:val="20"/>
          <w:szCs w:val="20"/>
          <w:color w:val="auto"/>
        </w:rPr>
      </w:pPr>
      <w:r>
        <w:rPr>
          <w:rFonts w:ascii="Times New Roman" w:cs="Times New Roman" w:eastAsia="Times New Roman" w:hAnsi="Times New Roman"/>
          <w:sz w:val="16"/>
          <w:szCs w:val="16"/>
          <w:color w:val="auto"/>
        </w:rPr>
        <w:t>laser ophthalmoscope or a single-use consumable probe, including MicroPulse P3</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G-Probe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G-Probe Illuminate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delivery devices, and EndoProbe handpieces. In the offices and clinics, ophthalmologists use our laser systems with either an indirect laser ophthalmoscope or a slit-lamp adapter.</w:t>
      </w:r>
    </w:p>
    <w:p>
      <w:pPr>
        <w:spacing w:after="0" w:line="73" w:lineRule="exact"/>
        <w:rPr>
          <w:sz w:val="20"/>
          <w:szCs w:val="20"/>
          <w:color w:val="auto"/>
        </w:rPr>
      </w:pPr>
    </w:p>
    <w:p>
      <w:pPr>
        <w:ind w:left="180" w:right="320" w:firstLine="384"/>
        <w:spacing w:after="0" w:line="247" w:lineRule="auto"/>
        <w:rPr>
          <w:sz w:val="20"/>
          <w:szCs w:val="20"/>
          <w:color w:val="auto"/>
        </w:rPr>
      </w:pPr>
      <w:r>
        <w:rPr>
          <w:rFonts w:ascii="Times New Roman" w:cs="Times New Roman" w:eastAsia="Times New Roman" w:hAnsi="Times New Roman"/>
          <w:sz w:val="16"/>
          <w:szCs w:val="16"/>
          <w:color w:val="auto"/>
        </w:rPr>
        <w:t>Our products are sold in the United States and Germany predominantly through a direct sales force and internationally (aside from Germany, Italy, UK (Glaucoma), India, and other smaller markets) primarily through Topcon Corporation (“Topcon”) and other independent distributors.</w:t>
      </w:r>
    </w:p>
    <w:p>
      <w:pPr>
        <w:spacing w:after="0" w:line="68" w:lineRule="exact"/>
        <w:rPr>
          <w:sz w:val="20"/>
          <w:szCs w:val="20"/>
          <w:color w:val="auto"/>
        </w:rPr>
      </w:pPr>
    </w:p>
    <w:p>
      <w:pPr>
        <w:ind w:left="180" w:right="160" w:firstLine="384"/>
        <w:spacing w:after="0" w:line="241" w:lineRule="auto"/>
        <w:rPr>
          <w:sz w:val="20"/>
          <w:szCs w:val="20"/>
          <w:color w:val="auto"/>
        </w:rPr>
      </w:pPr>
      <w:r>
        <w:rPr>
          <w:rFonts w:ascii="Times New Roman" w:cs="Times New Roman" w:eastAsia="Times New Roman" w:hAnsi="Times New Roman"/>
          <w:sz w:val="16"/>
          <w:szCs w:val="16"/>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22" w:name="page23"/>
    <w:bookmarkEnd w:id="22"/>
    <w:p>
      <w:pPr>
        <w:spacing w:after="0" w:line="17" w:lineRule="exact"/>
        <w:rPr>
          <w:sz w:val="20"/>
          <w:szCs w:val="20"/>
          <w:color w:val="auto"/>
        </w:rPr>
      </w:pPr>
    </w:p>
    <w:p>
      <w:pPr>
        <w:ind w:left="180" w:right="180" w:firstLine="384"/>
        <w:spacing w:after="0" w:line="243" w:lineRule="auto"/>
        <w:rPr>
          <w:sz w:val="20"/>
          <w:szCs w:val="20"/>
          <w:color w:val="auto"/>
        </w:rPr>
      </w:pPr>
      <w:r>
        <w:rPr>
          <w:rFonts w:ascii="Times New Roman" w:cs="Times New Roman" w:eastAsia="Times New Roman" w:hAnsi="Times New Roman"/>
          <w:sz w:val="16"/>
          <w:szCs w:val="16"/>
          <w:color w:val="auto"/>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71" w:lineRule="exact"/>
        <w:rPr>
          <w:sz w:val="20"/>
          <w:szCs w:val="20"/>
          <w:color w:val="auto"/>
        </w:rPr>
      </w:pPr>
    </w:p>
    <w:p>
      <w:pPr>
        <w:ind w:left="180" w:right="560" w:firstLine="384"/>
        <w:spacing w:after="0" w:line="247" w:lineRule="auto"/>
        <w:rPr>
          <w:sz w:val="20"/>
          <w:szCs w:val="20"/>
          <w:color w:val="auto"/>
        </w:rPr>
      </w:pPr>
      <w:r>
        <w:rPr>
          <w:rFonts w:ascii="Times New Roman" w:cs="Times New Roman" w:eastAsia="Times New Roman" w:hAnsi="Times New Roman"/>
          <w:sz w:val="16"/>
          <w:szCs w:val="16"/>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left="180" w:right="860" w:firstLine="384"/>
        <w:spacing w:after="0" w:line="259" w:lineRule="auto"/>
        <w:rPr>
          <w:sz w:val="20"/>
          <w:szCs w:val="20"/>
          <w:color w:val="auto"/>
        </w:rPr>
      </w:pPr>
      <w:r>
        <w:rPr>
          <w:rFonts w:ascii="Times New Roman" w:cs="Times New Roman" w:eastAsia="Times New Roman" w:hAnsi="Times New Roman"/>
          <w:sz w:val="16"/>
          <w:szCs w:val="16"/>
          <w:color w:val="auto"/>
        </w:rPr>
        <w:t>Sales and marketing expenses consist primarily of costs of personnel, sales commissions, travel expenses, advertising and promotional expenses.</w:t>
      </w:r>
    </w:p>
    <w:p>
      <w:pPr>
        <w:spacing w:after="0" w:line="59" w:lineRule="exact"/>
        <w:rPr>
          <w:sz w:val="20"/>
          <w:szCs w:val="20"/>
          <w:color w:val="auto"/>
        </w:rPr>
      </w:pPr>
    </w:p>
    <w:p>
      <w:pPr>
        <w:ind w:left="180" w:right="540" w:firstLine="384"/>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consist primarily of costs of personnel, legal, accounting and other public company costs, insurance and other expenses not allocated to other departments.</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Impact of Macroeconomic Conditions to our Business</w:t>
      </w:r>
    </w:p>
    <w:p>
      <w:pPr>
        <w:spacing w:after="0" w:line="94" w:lineRule="exact"/>
        <w:rPr>
          <w:sz w:val="20"/>
          <w:szCs w:val="20"/>
          <w:color w:val="auto"/>
        </w:rPr>
      </w:pPr>
    </w:p>
    <w:p>
      <w:pPr>
        <w:ind w:left="180" w:right="380" w:firstLine="384"/>
        <w:spacing w:after="0" w:line="239" w:lineRule="auto"/>
        <w:rPr>
          <w:sz w:val="20"/>
          <w:szCs w:val="20"/>
          <w:color w:val="auto"/>
        </w:rPr>
      </w:pPr>
      <w:r>
        <w:rPr>
          <w:rFonts w:ascii="Times New Roman" w:cs="Times New Roman" w:eastAsia="Times New Roman" w:hAnsi="Times New Roman"/>
          <w:sz w:val="16"/>
          <w:szCs w:val="16"/>
          <w:color w:val="auto"/>
        </w:rPr>
        <w:t>Current macroeconomic conditions exhibit challenges that can affect capital equipment purchasing demand and timing, including recessionary fears, inflation concerns, tariffs and retaliatory responses, trade wars, heightened interest rates as a result of government actions to combat inflation, and uncertainty in the global banking and financial services market,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spacing w:after="0" w:line="77" w:lineRule="exact"/>
        <w:rPr>
          <w:sz w:val="20"/>
          <w:szCs w:val="20"/>
          <w:color w:val="auto"/>
        </w:rPr>
      </w:pPr>
    </w:p>
    <w:p>
      <w:pPr>
        <w:ind w:left="180" w:right="260" w:firstLine="384"/>
        <w:spacing w:after="0" w:line="259" w:lineRule="auto"/>
        <w:rPr>
          <w:sz w:val="20"/>
          <w:szCs w:val="20"/>
          <w:color w:val="auto"/>
        </w:rPr>
      </w:pPr>
      <w:r>
        <w:rPr>
          <w:rFonts w:ascii="Times New Roman" w:cs="Times New Roman" w:eastAsia="Times New Roman" w:hAnsi="Times New Roman"/>
          <w:sz w:val="16"/>
          <w:szCs w:val="16"/>
          <w:color w:val="auto"/>
        </w:rPr>
        <w:t>The macroeconomic conditions on our business and operations remain uncertain, and it is not possible for us to predict the duration and extent to which they will affect our business, future results of operations, and financial condition.</w:t>
      </w:r>
    </w:p>
    <w:p>
      <w:pPr>
        <w:spacing w:after="0" w:line="59" w:lineRule="exact"/>
        <w:rPr>
          <w:sz w:val="20"/>
          <w:szCs w:val="20"/>
          <w:color w:val="auto"/>
        </w:rPr>
      </w:pPr>
    </w:p>
    <w:p>
      <w:pPr>
        <w:ind w:left="180" w:right="280" w:firstLine="384"/>
        <w:spacing w:after="0" w:line="259" w:lineRule="auto"/>
        <w:rPr>
          <w:sz w:val="20"/>
          <w:szCs w:val="20"/>
          <w:color w:val="auto"/>
        </w:rPr>
      </w:pPr>
      <w:r>
        <w:rPr>
          <w:rFonts w:ascii="Times New Roman" w:cs="Times New Roman" w:eastAsia="Times New Roman" w:hAnsi="Times New Roman"/>
          <w:sz w:val="16"/>
          <w:szCs w:val="16"/>
          <w:color w:val="auto"/>
        </w:rPr>
        <w:t>For more information on risks associated with the current macroeconomic conditions, see the sections titled “Risk Factors” in Item 1A of Part I of our Annual Report on Form 10-K for the year ended December 28, 2024.</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operating data as a percentage of revenues:</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4940" w:type="dxa"/>
            <w:vAlign w:val="bottom"/>
          </w:tcPr>
          <w:p>
            <w:pPr>
              <w:spacing w:after="0"/>
              <w:rPr>
                <w:sz w:val="13"/>
                <w:szCs w:val="13"/>
                <w:color w:val="auto"/>
              </w:rPr>
            </w:pPr>
          </w:p>
        </w:tc>
        <w:tc>
          <w:tcPr>
            <w:tcW w:w="2840" w:type="dxa"/>
            <w:vAlign w:val="bottom"/>
            <w:gridSpan w:val="4"/>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0"/>
        </w:trPr>
        <w:tc>
          <w:tcPr>
            <w:tcW w:w="494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March 30, 2024</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Revenues</w:t>
            </w: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3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revenues</w:t>
            </w:r>
          </w:p>
        </w:tc>
        <w:tc>
          <w:tcPr>
            <w:tcW w:w="14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13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62.1%</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margin</w:t>
            </w: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13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37.9%</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3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13.1%</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4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13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31.9%</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13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21.0%</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14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44.2%</w:t>
            </w:r>
          </w:p>
        </w:tc>
        <w:tc>
          <w:tcPr>
            <w:tcW w:w="13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66.0%</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14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3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(28.1%)</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net</w:t>
            </w:r>
          </w:p>
        </w:tc>
        <w:tc>
          <w:tcPr>
            <w:tcW w:w="1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13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 before provision for income taxes</w:t>
            </w:r>
          </w:p>
        </w:tc>
        <w:tc>
          <w:tcPr>
            <w:tcW w:w="14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13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4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3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200"/>
        </w:trPr>
        <w:tc>
          <w:tcPr>
            <w:tcW w:w="49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14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(14.1</w:t>
            </w:r>
            <w:r>
              <w:rPr>
                <w:rFonts w:ascii="Times New Roman" w:cs="Times New Roman" w:eastAsia="Times New Roman" w:hAnsi="Times New Roman"/>
                <w:sz w:val="18"/>
                <w:szCs w:val="18"/>
                <w:color w:val="auto"/>
                <w:vertAlign w:val="subscript"/>
              </w:rPr>
              <w:t>%)</w:t>
            </w:r>
          </w:p>
        </w:tc>
        <w:tc>
          <w:tcPr>
            <w:tcW w:w="13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(29.5</w:t>
            </w:r>
            <w:r>
              <w:rPr>
                <w:rFonts w:ascii="Times New Roman" w:cs="Times New Roman" w:eastAsia="Times New Roman" w:hAnsi="Times New Roman"/>
                <w:sz w:val="18"/>
                <w:szCs w:val="18"/>
                <w:color w:val="auto"/>
                <w:vertAlign w:val="subscript"/>
              </w:rPr>
              <w:t>%)</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3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The following comparisons are between the three months ended March 29, 2025 and March 30, 2024 (in thousands):</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1"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6"/>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 in $</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Change in %</w:t>
            </w:r>
          </w:p>
        </w:tc>
      </w:tr>
      <w:tr>
        <w:trPr>
          <w:trHeight w:val="157"/>
        </w:trPr>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29, 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March 30, 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Cyclo G6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2,953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tcPr>
          <w:p>
            <w:pPr>
              <w:spacing w:after="0"/>
              <w:rPr>
                <w:sz w:val="16"/>
                <w:szCs w:val="16"/>
                <w:color w:val="auto"/>
              </w:rPr>
            </w:pPr>
          </w:p>
        </w:tc>
        <w:tc>
          <w:tcPr>
            <w:tcW w:w="1400" w:type="dxa"/>
            <w:vAlign w:val="bottom"/>
          </w:tcPr>
          <w:p>
            <w:pPr>
              <w:jc w:val="center"/>
              <w:ind w:left="924"/>
              <w:spacing w:after="0"/>
              <w:rPr>
                <w:sz w:val="20"/>
                <w:szCs w:val="20"/>
                <w:color w:val="auto"/>
              </w:rPr>
            </w:pPr>
            <w:r>
              <w:rPr>
                <w:rFonts w:ascii="Times New Roman" w:cs="Times New Roman" w:eastAsia="Times New Roman" w:hAnsi="Times New Roman"/>
                <w:sz w:val="16"/>
                <w:szCs w:val="16"/>
                <w:color w:val="auto"/>
                <w:w w:val="95"/>
              </w:rPr>
              <w:t>7.7%</w:t>
            </w:r>
          </w:p>
        </w:tc>
        <w:tc>
          <w:tcPr>
            <w:tcW w:w="20" w:type="dxa"/>
            <w:vAlign w:val="bottom"/>
          </w:tcPr>
          <w:p>
            <w:pPr>
              <w:spacing w:after="0"/>
              <w:rPr>
                <w:sz w:val="16"/>
                <w:szCs w:val="16"/>
                <w:color w:val="auto"/>
              </w:rPr>
            </w:pPr>
          </w:p>
        </w:tc>
      </w:tr>
      <w:tr>
        <w:trPr>
          <w:trHeight w:val="180"/>
        </w:trPr>
        <w:tc>
          <w:tcPr>
            <w:tcW w:w="1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Retina</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6,645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6,774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1400" w:type="dxa"/>
            <w:vAlign w:val="bottom"/>
            <w:shd w:val="clear" w:color="auto" w:fill="CFF0FC"/>
          </w:tcPr>
          <w:p>
            <w:pPr>
              <w:jc w:val="center"/>
              <w:ind w:left="904"/>
              <w:spacing w:after="0" w:line="180" w:lineRule="exact"/>
              <w:rPr>
                <w:sz w:val="20"/>
                <w:szCs w:val="20"/>
                <w:color w:val="auto"/>
              </w:rPr>
            </w:pPr>
            <w:r>
              <w:rPr>
                <w:rFonts w:ascii="Times New Roman" w:cs="Times New Roman" w:eastAsia="Times New Roman" w:hAnsi="Times New Roman"/>
                <w:sz w:val="16"/>
                <w:szCs w:val="16"/>
                <w:color w:val="auto"/>
                <w:w w:val="95"/>
              </w:rPr>
              <w:t>(1.9%)</w:t>
            </w:r>
          </w:p>
        </w:tc>
        <w:tc>
          <w:tcPr>
            <w:tcW w:w="20" w:type="dxa"/>
            <w:vAlign w:val="bottom"/>
          </w:tcPr>
          <w:p>
            <w:pPr>
              <w:spacing w:after="0"/>
              <w:rPr>
                <w:sz w:val="15"/>
                <w:szCs w:val="15"/>
                <w:color w:val="auto"/>
              </w:rPr>
            </w:pPr>
          </w:p>
        </w:tc>
      </w:tr>
      <w:tr>
        <w:trPr>
          <w:trHeight w:val="180"/>
        </w:trPr>
        <w:tc>
          <w:tcPr>
            <w:tcW w:w="1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5"/>
                <w:szCs w:val="15"/>
                <w:color w:val="auto"/>
              </w:rPr>
            </w:pPr>
          </w:p>
        </w:tc>
        <w:tc>
          <w:tcPr>
            <w:tcW w:w="1400" w:type="dxa"/>
            <w:vAlign w:val="bottom"/>
          </w:tcPr>
          <w:p>
            <w:pPr>
              <w:jc w:val="center"/>
              <w:ind w:left="924"/>
              <w:spacing w:after="0" w:line="180" w:lineRule="exact"/>
              <w:rPr>
                <w:sz w:val="20"/>
                <w:szCs w:val="20"/>
                <w:color w:val="auto"/>
              </w:rPr>
            </w:pPr>
            <w:r>
              <w:rPr>
                <w:rFonts w:ascii="Times New Roman" w:cs="Times New Roman" w:eastAsia="Times New Roman" w:hAnsi="Times New Roman"/>
                <w:sz w:val="16"/>
                <w:szCs w:val="16"/>
                <w:color w:val="auto"/>
                <w:w w:val="95"/>
              </w:rPr>
              <w:t>1.8%</w:t>
            </w:r>
          </w:p>
        </w:tc>
        <w:tc>
          <w:tcPr>
            <w:tcW w:w="20" w:type="dxa"/>
            <w:vAlign w:val="bottom"/>
          </w:tcPr>
          <w:p>
            <w:pPr>
              <w:spacing w:after="0"/>
              <w:rPr>
                <w:sz w:val="15"/>
                <w:szCs w:val="15"/>
                <w:color w:val="auto"/>
              </w:rPr>
            </w:pPr>
          </w:p>
        </w:tc>
      </w:tr>
      <w:tr>
        <w:trPr>
          <w:trHeight w:val="200"/>
        </w:trPr>
        <w:tc>
          <w:tcPr>
            <w:tcW w:w="18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Total revenues</w:t>
            </w:r>
          </w:p>
        </w:tc>
        <w:tc>
          <w:tcPr>
            <w:tcW w:w="10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11,896</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11,761</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135</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924"/>
              <w:spacing w:after="0" w:line="160" w:lineRule="exact"/>
              <w:rPr>
                <w:sz w:val="20"/>
                <w:szCs w:val="20"/>
                <w:color w:val="auto"/>
              </w:rPr>
            </w:pPr>
            <w:r>
              <w:rPr>
                <w:rFonts w:ascii="Times New Roman" w:cs="Times New Roman" w:eastAsia="Times New Roman" w:hAnsi="Times New Roman"/>
                <w:sz w:val="16"/>
                <w:szCs w:val="16"/>
                <w:color w:val="auto"/>
                <w:w w:val="95"/>
              </w:rPr>
              <w:t>1.1%</w:t>
            </w:r>
          </w:p>
        </w:tc>
        <w:tc>
          <w:tcPr>
            <w:tcW w:w="20" w:type="dxa"/>
            <w:vAlign w:val="bottom"/>
          </w:tcPr>
          <w:p>
            <w:pPr>
              <w:spacing w:after="0"/>
              <w:rPr>
                <w:sz w:val="17"/>
                <w:szCs w:val="17"/>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right="280" w:firstLine="384"/>
        <w:spacing w:after="0" w:line="259" w:lineRule="auto"/>
        <w:rPr>
          <w:sz w:val="20"/>
          <w:szCs w:val="20"/>
          <w:color w:val="auto"/>
        </w:rPr>
      </w:pPr>
      <w:r>
        <w:rPr>
          <w:rFonts w:ascii="Times New Roman" w:cs="Times New Roman" w:eastAsia="Times New Roman" w:hAnsi="Times New Roman"/>
          <w:sz w:val="16"/>
          <w:szCs w:val="16"/>
          <w:color w:val="auto"/>
        </w:rPr>
        <w:t>Our total revenues increased by $0.1 million, or 1.1%, from $11.8 million to $ 11.9 million. The increase was driven by an increase in our glaucoma product group and in services and other revenue, partially offset by a decrease in our retina products.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 w:name="page24"/>
    <w:bookmarkEnd w:id="23"/>
    <w:p>
      <w:pPr>
        <w:jc w:val="both"/>
        <w:ind w:left="180" w:right="480" w:firstLine="576"/>
        <w:spacing w:after="0" w:line="247" w:lineRule="auto"/>
        <w:rPr>
          <w:sz w:val="20"/>
          <w:szCs w:val="20"/>
          <w:color w:val="auto"/>
        </w:rPr>
      </w:pPr>
      <w:r>
        <w:rPr>
          <w:rFonts w:ascii="Times New Roman" w:cs="Times New Roman" w:eastAsia="Times New Roman" w:hAnsi="Times New Roman"/>
          <w:sz w:val="16"/>
          <w:szCs w:val="16"/>
          <w:color w:val="auto"/>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uncertainty, tariffs and trade wars.</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Gross Profit and Gross Margin</w:t>
      </w:r>
    </w:p>
    <w:p>
      <w:pPr>
        <w:spacing w:after="0" w:line="94" w:lineRule="exact"/>
        <w:rPr>
          <w:sz w:val="20"/>
          <w:szCs w:val="20"/>
          <w:color w:val="auto"/>
        </w:rPr>
      </w:pPr>
    </w:p>
    <w:p>
      <w:pPr>
        <w:jc w:val="both"/>
        <w:ind w:left="180" w:right="460" w:firstLine="384"/>
        <w:spacing w:after="0" w:line="259" w:lineRule="auto"/>
        <w:rPr>
          <w:sz w:val="20"/>
          <w:szCs w:val="20"/>
          <w:color w:val="auto"/>
        </w:rPr>
      </w:pPr>
      <w:r>
        <w:rPr>
          <w:rFonts w:ascii="Times New Roman" w:cs="Times New Roman" w:eastAsia="Times New Roman" w:hAnsi="Times New Roman"/>
          <w:sz w:val="16"/>
          <w:szCs w:val="16"/>
          <w:color w:val="auto"/>
        </w:rPr>
        <w:t>Gross profit increased $0.6 million, or 13.4% from $4.5 million to $5.1 million. Gross margin increased by 4.6% from 37.9% to 42.5%. The increase in gross margin was the result of lower manufacturing expenses and a more favorable product mix.</w:t>
      </w:r>
    </w:p>
    <w:p>
      <w:pPr>
        <w:spacing w:after="0" w:line="59" w:lineRule="exact"/>
        <w:rPr>
          <w:sz w:val="20"/>
          <w:szCs w:val="20"/>
          <w:color w:val="auto"/>
        </w:rPr>
      </w:pPr>
    </w:p>
    <w:p>
      <w:pPr>
        <w:ind w:left="180" w:right="280" w:firstLine="384"/>
        <w:spacing w:after="0" w:line="247" w:lineRule="auto"/>
        <w:rPr>
          <w:sz w:val="20"/>
          <w:szCs w:val="20"/>
          <w:color w:val="auto"/>
        </w:rPr>
      </w:pPr>
      <w:r>
        <w:rPr>
          <w:rFonts w:ascii="Times New Roman" w:cs="Times New Roman" w:eastAsia="Times New Roman" w:hAnsi="Times New Roman"/>
          <w:sz w:val="16"/>
          <w:szCs w:val="16"/>
          <w:color w:val="auto"/>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94" w:lineRule="exact"/>
        <w:rPr>
          <w:sz w:val="20"/>
          <w:szCs w:val="20"/>
          <w:color w:val="auto"/>
        </w:rPr>
      </w:pPr>
    </w:p>
    <w:p>
      <w:pPr>
        <w:ind w:left="180" w:right="580" w:firstLine="384"/>
        <w:spacing w:after="0" w:line="247" w:lineRule="auto"/>
        <w:rPr>
          <w:sz w:val="20"/>
          <w:szCs w:val="20"/>
          <w:color w:val="auto"/>
        </w:rPr>
      </w:pPr>
      <w:r>
        <w:rPr>
          <w:rFonts w:ascii="Times New Roman" w:cs="Times New Roman" w:eastAsia="Times New Roman" w:hAnsi="Times New Roman"/>
          <w:sz w:val="16"/>
          <w:szCs w:val="16"/>
          <w:color w:val="auto"/>
        </w:rPr>
        <w:t>Research and development expenses decreased by $0.7 million, or 43.0% from $1.6 million to $0.9 million. The decrease was related to our cost savings measures we implemented, resulting in lower headcount expenses. Spending on investment in new and expanded products was also curtailed.</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94" w:lineRule="exact"/>
        <w:rPr>
          <w:sz w:val="20"/>
          <w:szCs w:val="20"/>
          <w:color w:val="auto"/>
        </w:rPr>
      </w:pPr>
    </w:p>
    <w:p>
      <w:pPr>
        <w:ind w:left="180" w:right="280" w:firstLine="384"/>
        <w:spacing w:after="0" w:line="247" w:lineRule="auto"/>
        <w:rPr>
          <w:sz w:val="20"/>
          <w:szCs w:val="20"/>
          <w:color w:val="auto"/>
        </w:rPr>
      </w:pPr>
      <w:r>
        <w:rPr>
          <w:rFonts w:ascii="Times New Roman" w:cs="Times New Roman" w:eastAsia="Times New Roman" w:hAnsi="Times New Roman"/>
          <w:sz w:val="16"/>
          <w:szCs w:val="16"/>
          <w:color w:val="auto"/>
        </w:rPr>
        <w:t>Sales and marketing expenses decreased $1.3 million, or 34.5%, from $3.7 million to $2.5 million. The decrease was related to our cost savings measures, including reductions in workforce that resulted in lower headcount expenses, lower consulting expenses, travel expenses, lower tradeshows and public relations expenses, and lower clinical studies expenses.</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94" w:lineRule="exact"/>
        <w:rPr>
          <w:sz w:val="20"/>
          <w:szCs w:val="20"/>
          <w:color w:val="auto"/>
        </w:rPr>
      </w:pPr>
    </w:p>
    <w:p>
      <w:pPr>
        <w:ind w:left="180" w:right="600" w:firstLine="384"/>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decreased by $0.5 million, or 21.8% from $2.5 million to $1.9 million. The decrease is a primarily due to a decrease in consulting costs and deal related legal expenses.</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94" w:lineRule="exact"/>
        <w:rPr>
          <w:sz w:val="20"/>
          <w:szCs w:val="20"/>
          <w:color w:val="auto"/>
        </w:rPr>
      </w:pPr>
    </w:p>
    <w:p>
      <w:pPr>
        <w:jc w:val="both"/>
        <w:ind w:left="180" w:right="320" w:firstLine="384"/>
        <w:spacing w:after="0" w:line="247" w:lineRule="auto"/>
        <w:rPr>
          <w:sz w:val="20"/>
          <w:szCs w:val="20"/>
          <w:color w:val="auto"/>
        </w:rPr>
      </w:pPr>
      <w:r>
        <w:rPr>
          <w:rFonts w:ascii="Times New Roman" w:cs="Times New Roman" w:eastAsia="Times New Roman" w:hAnsi="Times New Roman"/>
          <w:sz w:val="16"/>
          <w:szCs w:val="16"/>
          <w:color w:val="auto"/>
        </w:rPr>
        <w:t>Other expense, net, was $1.5 million for the three months ended March 29, 2025, driven primarily by the costs associated with the Lind Note payable settlement. Other expense, net, was $ 0.1 million for the three months ended March 30, 2024, consisting primarily of interest and amortization of loan expenses related to the Lind Note transaction.</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94" w:lineRule="exact"/>
        <w:rPr>
          <w:sz w:val="20"/>
          <w:szCs w:val="20"/>
          <w:color w:val="auto"/>
        </w:rPr>
      </w:pPr>
    </w:p>
    <w:p>
      <w:pPr>
        <w:ind w:left="180" w:right="240" w:firstLine="384"/>
        <w:spacing w:after="0" w:line="259" w:lineRule="auto"/>
        <w:rPr>
          <w:sz w:val="20"/>
          <w:szCs w:val="20"/>
          <w:color w:val="auto"/>
        </w:rPr>
      </w:pPr>
      <w:r>
        <w:rPr>
          <w:rFonts w:ascii="Times New Roman" w:cs="Times New Roman" w:eastAsia="Times New Roman" w:hAnsi="Times New Roman"/>
          <w:sz w:val="16"/>
          <w:szCs w:val="16"/>
          <w:color w:val="auto"/>
        </w:rPr>
        <w:t>We recorded an income tax provision of $12 thousand and $38 thousand for the three months ended March 29, 2025 and March 30, 2024, respectively.</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Liquidity, Capital Resources and Management Plans</w:t>
      </w:r>
    </w:p>
    <w:p>
      <w:pPr>
        <w:spacing w:after="0" w:line="94" w:lineRule="exact"/>
        <w:rPr>
          <w:sz w:val="20"/>
          <w:szCs w:val="20"/>
          <w:color w:val="auto"/>
        </w:rPr>
      </w:pPr>
    </w:p>
    <w:p>
      <w:pPr>
        <w:ind w:left="180" w:right="580" w:firstLine="384"/>
        <w:spacing w:after="0" w:line="259" w:lineRule="auto"/>
        <w:rPr>
          <w:sz w:val="20"/>
          <w:szCs w:val="20"/>
          <w:color w:val="auto"/>
        </w:rPr>
      </w:pPr>
      <w:r>
        <w:rPr>
          <w:rFonts w:ascii="Times New Roman" w:cs="Times New Roman" w:eastAsia="Times New Roman" w:hAnsi="Times New Roman"/>
          <w:sz w:val="16"/>
          <w:szCs w:val="16"/>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9" w:lineRule="exact"/>
        <w:rPr>
          <w:sz w:val="20"/>
          <w:szCs w:val="20"/>
          <w:color w:val="auto"/>
        </w:rPr>
      </w:pPr>
    </w:p>
    <w:p>
      <w:pPr>
        <w:ind w:left="180" w:right="220" w:firstLine="384"/>
        <w:spacing w:after="0" w:line="259" w:lineRule="auto"/>
        <w:rPr>
          <w:sz w:val="20"/>
          <w:szCs w:val="20"/>
          <w:color w:val="auto"/>
        </w:rPr>
      </w:pPr>
      <w:r>
        <w:rPr>
          <w:rFonts w:ascii="Times New Roman" w:cs="Times New Roman" w:eastAsia="Times New Roman" w:hAnsi="Times New Roman"/>
          <w:sz w:val="16"/>
          <w:szCs w:val="16"/>
          <w:color w:val="auto"/>
        </w:rPr>
        <w:t>As of March 29, 2025, we had cash and cash equivalents of $7.2 million and working capital of $14.3 million compared to cash and cash equivalents of $2.4 million and working capital of $7.0 million as of March 30, 2024.</w:t>
      </w:r>
    </w:p>
    <w:p>
      <w:pPr>
        <w:spacing w:after="0" w:line="59" w:lineRule="exact"/>
        <w:rPr>
          <w:sz w:val="20"/>
          <w:szCs w:val="20"/>
          <w:color w:val="auto"/>
        </w:rPr>
      </w:pPr>
    </w:p>
    <w:p>
      <w:pPr>
        <w:ind w:left="180" w:right="400" w:firstLine="384"/>
        <w:spacing w:after="0" w:line="243" w:lineRule="auto"/>
        <w:rPr>
          <w:sz w:val="20"/>
          <w:szCs w:val="20"/>
          <w:color w:val="auto"/>
        </w:rPr>
      </w:pPr>
      <w:r>
        <w:rPr>
          <w:rFonts w:ascii="Times New Roman" w:cs="Times New Roman" w:eastAsia="Times New Roman" w:hAnsi="Times New Roman"/>
          <w:sz w:val="16"/>
          <w:szCs w:val="16"/>
          <w:color w:val="auto"/>
        </w:rPr>
        <w:t>Net cash used in operating activities was $1.1 million in the three months ended March 29, 2025 compared to net cash used in operating activities of $1.6 million in the three months ended March 30, 2024. The increase in net cash provided by operating activities was primarily due to reduction in net loss and reduction in inventory, offset by decreases in collections of accounts receivable and a paydown of liabilities.</w:t>
      </w:r>
    </w:p>
    <w:p>
      <w:pPr>
        <w:spacing w:after="0" w:line="71" w:lineRule="exact"/>
        <w:rPr>
          <w:sz w:val="20"/>
          <w:szCs w:val="20"/>
          <w:color w:val="auto"/>
        </w:rPr>
      </w:pPr>
    </w:p>
    <w:p>
      <w:pPr>
        <w:jc w:val="both"/>
        <w:ind w:left="180" w:right="580" w:firstLine="384"/>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29, 2025, net cash used in investing activities was $11 thousand, which consisted of capital expenditures. For the three months ended March 30, 2024, net cash used in investing activities was $3 thousand, which consisted of capital expenditures.</w:t>
      </w:r>
    </w:p>
    <w:p>
      <w:pPr>
        <w:spacing w:after="0" w:line="68" w:lineRule="exact"/>
        <w:rPr>
          <w:sz w:val="20"/>
          <w:szCs w:val="20"/>
          <w:color w:val="auto"/>
        </w:rPr>
      </w:pPr>
    </w:p>
    <w:p>
      <w:pPr>
        <w:ind w:left="180" w:right="240" w:firstLine="384"/>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29, 2025, net cash from financing activities was $6.0 million. We received $10 million in issuance of convertible preferred shares and convertible debt, offset by $4.0 million in early prepayment of convertible debt. For the three months ended March 30, 2024, no net cash was used in financing activities.</w:t>
      </w:r>
    </w:p>
    <w:p>
      <w:pPr>
        <w:spacing w:after="0" w:line="68" w:lineRule="exact"/>
        <w:rPr>
          <w:sz w:val="20"/>
          <w:szCs w:val="20"/>
          <w:color w:val="auto"/>
        </w:rPr>
      </w:pPr>
    </w:p>
    <w:p>
      <w:pPr>
        <w:ind w:left="180" w:right="280" w:firstLine="384"/>
        <w:spacing w:after="0" w:line="243" w:lineRule="auto"/>
        <w:rPr>
          <w:sz w:val="20"/>
          <w:szCs w:val="20"/>
          <w:color w:val="auto"/>
        </w:rPr>
      </w:pPr>
      <w:r>
        <w:rPr>
          <w:rFonts w:ascii="Times New Roman" w:cs="Times New Roman" w:eastAsia="Times New Roman" w:hAnsi="Times New Roman"/>
          <w:sz w:val="16"/>
          <w:szCs w:val="16"/>
          <w:color w:val="auto"/>
        </w:rPr>
        <w:t>We have historically funded our operations primarily through sales of our products to customers, sales of our common stock and borrowing arrangements. As of March 29, 2025, our principal sources of liquidity consisted of cash and cash equivalents of $7.2 million. We have incurred net losses over the last several years, and as of March 29, 2025, have an accumulated deficit of approximately $89.6 million.</w:t>
      </w:r>
    </w:p>
    <w:p>
      <w:pPr>
        <w:spacing w:after="0" w:line="71" w:lineRule="exact"/>
        <w:rPr>
          <w:sz w:val="20"/>
          <w:szCs w:val="20"/>
          <w:color w:val="auto"/>
        </w:rPr>
      </w:pPr>
    </w:p>
    <w:p>
      <w:pPr>
        <w:ind w:left="180" w:right="200" w:firstLine="384"/>
        <w:spacing w:after="0" w:line="259" w:lineRule="auto"/>
        <w:rPr>
          <w:sz w:val="20"/>
          <w:szCs w:val="20"/>
          <w:color w:val="auto"/>
        </w:rPr>
      </w:pPr>
      <w:r>
        <w:rPr>
          <w:rFonts w:ascii="Times New Roman" w:cs="Times New Roman" w:eastAsia="Times New Roman" w:hAnsi="Times New Roman"/>
          <w:sz w:val="16"/>
          <w:szCs w:val="16"/>
          <w:color w:val="auto"/>
        </w:rPr>
        <w:t>On March 19, 2025, the Company entered into the Novel Securities Agreement and a Note Purchase Agreement and the Novel Note Purchase Agreement with Novel. Pursuant to the Novel Securities Agreement and the Novel Note Purchase Agreement, Novel</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61" w:right="1440" w:bottom="1440" w:gutter="0" w:footer="0" w:header="0"/>
        </w:sectPr>
      </w:pPr>
    </w:p>
    <w:bookmarkStart w:id="24" w:name="page25"/>
    <w:bookmarkEnd w:id="24"/>
    <w:p>
      <w:pPr>
        <w:spacing w:after="0" w:line="17" w:lineRule="exact"/>
        <w:rPr>
          <w:sz w:val="20"/>
          <w:szCs w:val="20"/>
          <w:color w:val="auto"/>
        </w:rPr>
      </w:pPr>
    </w:p>
    <w:p>
      <w:pPr>
        <w:ind w:left="180" w:right="160"/>
        <w:spacing w:after="0" w:line="275" w:lineRule="auto"/>
        <w:rPr>
          <w:sz w:val="20"/>
          <w:szCs w:val="20"/>
          <w:color w:val="auto"/>
        </w:rPr>
      </w:pPr>
      <w:r>
        <w:rPr>
          <w:rFonts w:ascii="Times New Roman" w:cs="Times New Roman" w:eastAsia="Times New Roman" w:hAnsi="Times New Roman"/>
          <w:sz w:val="14"/>
          <w:szCs w:val="14"/>
          <w:color w:val="auto"/>
        </w:rPr>
        <w:t>has the right to purchase additional convertible promissory notes (the “Growth Notes”) in an aggregate principal amount of $10,000,000. The Growth Notes are issuable in three installments, with one third of the aggregate principal amount issuable upon each yearly anniversary of the March 19, 2025. Notwithstanding any provision in the Transaction Documents (as defined in the Initial Novel Note) to the contrary, in no circumstance shall the Company be required to deliver to Novel any shares of Series B Preferred Stock or common stock pursuant to the terms of the Transaction Documents to the extent that (i) the aggregate of all such shares issued by the Company would exceed 19.99% of either (a) the total number of shares of common stock outstanding as of March 19, 2025 or (b) the total voting power of the Company’s securities outstanding as of March 19, 2025 that are entitled to vote on a matter being voted on by holders of the common stock, or (ii) such delivery would cause the holder to become, directly or indirectly, a “beneficial owner” (as defined in Rule 13d-3 under the Securities Exchange Act of 1934, as amended) of more than 19.99% of either (a) the total number of shares of common stock outstanding as of such date or (b) the total voting power of the Company’s securities outstanding as of such date that are entitled to vote on a matter being voted on by holders of the common stock, in each case, unless shareholder approval has been obtained</w:t>
      </w:r>
    </w:p>
    <w:p>
      <w:pPr>
        <w:spacing w:after="0" w:line="232" w:lineRule="exact"/>
        <w:rPr>
          <w:sz w:val="20"/>
          <w:szCs w:val="20"/>
          <w:color w:val="auto"/>
        </w:rPr>
      </w:pPr>
    </w:p>
    <w:p>
      <w:pPr>
        <w:ind w:left="180" w:right="180" w:firstLine="384"/>
        <w:spacing w:after="0" w:line="238" w:lineRule="auto"/>
        <w:rPr>
          <w:sz w:val="20"/>
          <w:szCs w:val="20"/>
          <w:color w:val="auto"/>
        </w:rPr>
      </w:pPr>
      <w:r>
        <w:rPr>
          <w:rFonts w:ascii="Times New Roman" w:cs="Times New Roman" w:eastAsia="Times New Roman" w:hAnsi="Times New Roman"/>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94" w:lineRule="exact"/>
        <w:rPr>
          <w:sz w:val="20"/>
          <w:szCs w:val="20"/>
          <w:color w:val="auto"/>
        </w:rPr>
      </w:pPr>
    </w:p>
    <w:p>
      <w:pPr>
        <w:ind w:left="180" w:right="300" w:firstLine="384"/>
        <w:spacing w:after="0" w:line="247" w:lineRule="auto"/>
        <w:rPr>
          <w:sz w:val="20"/>
          <w:szCs w:val="20"/>
          <w:color w:val="auto"/>
        </w:rPr>
      </w:pPr>
      <w:r>
        <w:rPr>
          <w:rFonts w:ascii="Times New Roman" w:cs="Times New Roman" w:eastAsia="Times New Roman" w:hAnsi="Times New Roman"/>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 about Market Risk</w:t>
      </w:r>
    </w:p>
    <w:p>
      <w:pPr>
        <w:spacing w:after="0" w:line="94" w:lineRule="exact"/>
        <w:rPr>
          <w:sz w:val="20"/>
          <w:szCs w:val="20"/>
          <w:color w:val="auto"/>
        </w:rPr>
      </w:pPr>
    </w:p>
    <w:p>
      <w:pPr>
        <w:ind w:left="180" w:right="420" w:firstLine="384"/>
        <w:spacing w:after="0" w:line="259" w:lineRule="auto"/>
        <w:rPr>
          <w:sz w:val="20"/>
          <w:szCs w:val="20"/>
          <w:color w:val="auto"/>
        </w:rPr>
      </w:pPr>
      <w:r>
        <w:rPr>
          <w:rFonts w:ascii="Times New Roman" w:cs="Times New Roman" w:eastAsia="Times New Roman" w:hAnsi="Times New Roman"/>
          <w:sz w:val="16"/>
          <w:szCs w:val="16"/>
          <w:color w:val="auto"/>
        </w:rPr>
        <w:t>As a “smaller reporting company,” as defined in Rule 12b-2 of the Exchange Act, we are not required to provide the information called for by this Item.</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94" w:lineRule="exact"/>
        <w:rPr>
          <w:sz w:val="20"/>
          <w:szCs w:val="20"/>
          <w:color w:val="auto"/>
        </w:rPr>
      </w:pPr>
    </w:p>
    <w:p>
      <w:pPr>
        <w:ind w:left="180" w:right="200" w:firstLine="384"/>
        <w:spacing w:after="0" w:line="237" w:lineRule="auto"/>
        <w:rPr>
          <w:sz w:val="20"/>
          <w:szCs w:val="20"/>
          <w:color w:val="auto"/>
        </w:rPr>
      </w:pPr>
      <w:r>
        <w:rPr>
          <w:rFonts w:ascii="Times New Roman" w:cs="Times New Roman" w:eastAsia="Times New Roman" w:hAnsi="Times New Roman"/>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8" w:lineRule="exact"/>
        <w:rPr>
          <w:sz w:val="20"/>
          <w:szCs w:val="20"/>
          <w:color w:val="auto"/>
        </w:rPr>
      </w:pPr>
    </w:p>
    <w:p>
      <w:pPr>
        <w:ind w:left="180" w:right="420" w:firstLine="384"/>
        <w:spacing w:after="0" w:line="289" w:lineRule="auto"/>
        <w:rPr>
          <w:sz w:val="20"/>
          <w:szCs w:val="20"/>
          <w:color w:val="auto"/>
        </w:rPr>
      </w:pPr>
      <w:r>
        <w:rPr>
          <w:rFonts w:ascii="Times New Roman" w:cs="Times New Roman" w:eastAsia="Times New Roman" w:hAnsi="Times New Roman"/>
          <w:sz w:val="14"/>
          <w:szCs w:val="14"/>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March 29, 2025. Based on the foregoing, our Principal Executive Officer and our Principal Financial Officer concluded that our disclosure controls and procedures were effective at the reasonable assurance level.</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94" w:lineRule="exact"/>
        <w:rPr>
          <w:sz w:val="20"/>
          <w:szCs w:val="20"/>
          <w:color w:val="auto"/>
        </w:rPr>
      </w:pPr>
    </w:p>
    <w:p>
      <w:pPr>
        <w:ind w:left="180" w:right="180" w:firstLine="384"/>
        <w:spacing w:after="0" w:line="259"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 w:name="page26"/>
    <w:bookmarkEnd w:id="25"/>
    <w:p>
      <w:pPr>
        <w:ind w:left="18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ind w:left="180" w:right="220" w:firstLine="384"/>
        <w:spacing w:after="0" w:line="289" w:lineRule="auto"/>
        <w:rPr>
          <w:sz w:val="20"/>
          <w:szCs w:val="20"/>
          <w:color w:val="auto"/>
        </w:rPr>
      </w:pPr>
      <w:r>
        <w:rPr>
          <w:rFonts w:ascii="Times New Roman" w:cs="Times New Roman" w:eastAsia="Times New Roman" w:hAnsi="Times New Roman"/>
          <w:sz w:val="14"/>
          <w:szCs w:val="14"/>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2" w:lineRule="exact"/>
        <w:rPr>
          <w:sz w:val="20"/>
          <w:szCs w:val="20"/>
          <w:color w:val="auto"/>
        </w:rPr>
      </w:pPr>
    </w:p>
    <w:p>
      <w:pPr>
        <w:ind w:left="180" w:right="26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in our Annual Report on Form 10-K for the year ended December 28, 2024, which was filed with the SEC on March 27, 2025, a description of certain risks and uncertainties that could affect our business, future performance or financial condition (the “Risk Factors”). There have been no material changes from the disclosure provided in the Form 10-K with respect to the Risk Factors.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Sales of Unregistered Securities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Securities Trading Plans of Directors and Executive Officers.</w:t>
      </w:r>
    </w:p>
    <w:p>
      <w:pPr>
        <w:spacing w:after="0" w:line="94" w:lineRule="exact"/>
        <w:rPr>
          <w:sz w:val="20"/>
          <w:szCs w:val="20"/>
          <w:color w:val="auto"/>
        </w:rPr>
      </w:pPr>
    </w:p>
    <w:p>
      <w:pPr>
        <w:jc w:val="both"/>
        <w:ind w:left="180" w:right="280" w:firstLine="384"/>
        <w:spacing w:after="0" w:line="247" w:lineRule="auto"/>
        <w:rPr>
          <w:sz w:val="20"/>
          <w:szCs w:val="20"/>
          <w:color w:val="auto"/>
        </w:rPr>
      </w:pPr>
      <w:r>
        <w:rPr>
          <w:rFonts w:ascii="Times New Roman" w:cs="Times New Roman" w:eastAsia="Times New Roman" w:hAnsi="Times New Roman"/>
          <w:sz w:val="16"/>
          <w:szCs w:val="16"/>
          <w:color w:val="auto"/>
        </w:rPr>
        <w:t>During the three months ended March 29, 2025, the Company did not adopt or terminate, and no directors or officers, as defined in Rule 16a-1(f), adopted or terminated a “Rule 10b5-1 trading arrangement” or a “non-Rule 10b5-1 trading arrangement,” each as defined in Regulation S-K Item 408.</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38"/>
        </w:trPr>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100" w:type="dxa"/>
            <w:vAlign w:val="bottom"/>
          </w:tcPr>
          <w:p>
            <w:pPr>
              <w:spacing w:after="0"/>
              <w:rPr>
                <w:sz w:val="14"/>
                <w:szCs w:val="14"/>
                <w:color w:val="auto"/>
              </w:rPr>
            </w:pPr>
          </w:p>
        </w:tc>
        <w:tc>
          <w:tcPr>
            <w:tcW w:w="440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Form Filing No.</w:t>
            </w: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Herewith</w:t>
            </w:r>
          </w:p>
        </w:tc>
        <w:tc>
          <w:tcPr>
            <w:tcW w:w="0" w:type="dxa"/>
            <w:vAlign w:val="bottom"/>
          </w:tcPr>
          <w:p>
            <w:pPr>
              <w:spacing w:after="0"/>
              <w:rPr>
                <w:sz w:val="1"/>
                <w:szCs w:val="1"/>
                <w:color w:val="auto"/>
              </w:rPr>
            </w:pPr>
          </w:p>
        </w:tc>
      </w:tr>
      <w:tr>
        <w:trPr>
          <w:trHeight w:val="268"/>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3"/>
                <w:szCs w:val="23"/>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Certificate of Designation, Preferences and Rights of Series B</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w w:val="97"/>
              </w:rPr>
            </w:pPr>
            <w:hyperlink r:id="rId34">
              <w:r>
                <w:rPr>
                  <w:rFonts w:ascii="Times New Roman" w:cs="Times New Roman" w:eastAsia="Times New Roman" w:hAnsi="Times New Roman"/>
                  <w:sz w:val="16"/>
                  <w:szCs w:val="16"/>
                  <w:color w:val="0000FF"/>
                  <w:w w:val="97"/>
                </w:rPr>
                <w:t>Preferred Stock of Registrant, filed with the Secretary of State</w:t>
              </w:r>
            </w:hyperlink>
          </w:p>
        </w:tc>
        <w:tc>
          <w:tcPr>
            <w:tcW w:w="500" w:type="dxa"/>
            <w:vAlign w:val="bottom"/>
            <w:gridSpan w:val="9"/>
          </w:tcPr>
          <w:p>
            <w:pPr>
              <w:ind w:left="20"/>
              <w:spacing w:after="0" w:line="160" w:lineRule="exact"/>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of the</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State of Delaware, March 18, 2025.</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35">
              <w:r>
                <w:rPr>
                  <w:rFonts w:ascii="Times New Roman" w:cs="Times New Roman" w:eastAsia="Times New Roman" w:hAnsi="Times New Roman"/>
                  <w:sz w:val="16"/>
                  <w:szCs w:val="16"/>
                  <w:color w:val="0000FF"/>
                </w:rPr>
                <w:t>Investor Rights Agreement, dated March 19, 2025, by and between</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4.1</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6"/>
              </w:rPr>
            </w:pPr>
            <w:hyperlink r:id="rId35">
              <w:r>
                <w:rPr>
                  <w:rFonts w:ascii="Times New Roman" w:cs="Times New Roman" w:eastAsia="Times New Roman" w:hAnsi="Times New Roman"/>
                  <w:sz w:val="16"/>
                  <w:szCs w:val="16"/>
                  <w:color w:val="0000FF"/>
                  <w:w w:val="96"/>
                </w:rPr>
                <w:t>the Registrant and Novel Inspiration International Co., Ltd.</w:t>
              </w:r>
            </w:hyperlink>
          </w:p>
        </w:tc>
        <w:tc>
          <w:tcPr>
            <w:tcW w:w="520" w:type="dxa"/>
            <w:vAlign w:val="bottom"/>
            <w:tcBorders>
              <w:top w:val="single" w:sz="8" w:color="0000EE"/>
            </w:tcBorders>
            <w:gridSpan w:val="9"/>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Securities Purchase Agreement, dated March 19, 2025 by and</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60" w:type="dxa"/>
            <w:vAlign w:val="bottom"/>
            <w:tcBorders>
              <w:bottom w:val="single" w:sz="8" w:color="0000EE"/>
            </w:tcBorders>
            <w:gridSpan w:val="19"/>
          </w:tcPr>
          <w:p>
            <w:pPr>
              <w:spacing w:after="0" w:line="160" w:lineRule="exact"/>
              <w:rPr>
                <w:rFonts w:ascii="Times New Roman" w:cs="Times New Roman" w:eastAsia="Times New Roman" w:hAnsi="Times New Roman"/>
                <w:sz w:val="16"/>
                <w:szCs w:val="16"/>
                <w:color w:val="0000FF"/>
                <w:w w:val="97"/>
              </w:rPr>
            </w:pPr>
            <w:hyperlink r:id="rId36">
              <w:r>
                <w:rPr>
                  <w:rFonts w:ascii="Times New Roman" w:cs="Times New Roman" w:eastAsia="Times New Roman" w:hAnsi="Times New Roman"/>
                  <w:sz w:val="16"/>
                  <w:szCs w:val="16"/>
                  <w:color w:val="0000FF"/>
                  <w:w w:val="97"/>
                </w:rPr>
                <w:t>between the Registrant and Novel Inspiration International Co., Ltd.</w:t>
              </w:r>
            </w:hyperlink>
          </w:p>
        </w:tc>
        <w:tc>
          <w:tcPr>
            <w:tcW w:w="14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Note Purchase Agreement, dated March 19, 2025, by and</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4"/>
              </w:rPr>
            </w:pPr>
            <w:hyperlink r:id="rId37">
              <w:r>
                <w:rPr>
                  <w:rFonts w:ascii="Times New Roman" w:cs="Times New Roman" w:eastAsia="Times New Roman" w:hAnsi="Times New Roman"/>
                  <w:sz w:val="16"/>
                  <w:szCs w:val="16"/>
                  <w:color w:val="0000FF"/>
                  <w:w w:val="94"/>
                </w:rPr>
                <w:t>between the Registrant and Novel Inspiration International</w:t>
              </w:r>
            </w:hyperlink>
          </w:p>
        </w:tc>
        <w:tc>
          <w:tcPr>
            <w:tcW w:w="680" w:type="dxa"/>
            <w:vAlign w:val="bottom"/>
            <w:tcBorders>
              <w:bottom w:val="single" w:sz="8" w:color="0000EE"/>
            </w:tcBorders>
            <w:gridSpan w:val="11"/>
          </w:tcPr>
          <w:p>
            <w:pPr>
              <w:ind w:left="120"/>
              <w:spacing w:after="0" w:line="160" w:lineRule="exact"/>
              <w:rPr>
                <w:rFonts w:ascii="Times New Roman" w:cs="Times New Roman" w:eastAsia="Times New Roman" w:hAnsi="Times New Roman"/>
                <w:sz w:val="16"/>
                <w:szCs w:val="16"/>
                <w:color w:val="0000FF"/>
                <w:w w:val="94"/>
              </w:rPr>
            </w:pPr>
            <w:hyperlink r:id="rId37">
              <w:r>
                <w:rPr>
                  <w:rFonts w:ascii="Times New Roman" w:cs="Times New Roman" w:eastAsia="Times New Roman" w:hAnsi="Times New Roman"/>
                  <w:sz w:val="16"/>
                  <w:szCs w:val="16"/>
                  <w:color w:val="0000FF"/>
                  <w:w w:val="94"/>
                </w:rPr>
                <w:t>Co., Ltd.</w:t>
              </w:r>
            </w:hyperlink>
          </w:p>
        </w:tc>
        <w:tc>
          <w:tcPr>
            <w:tcW w:w="14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4"/>
                <w:szCs w:val="24"/>
                <w:color w:val="auto"/>
              </w:rPr>
            </w:pPr>
          </w:p>
        </w:tc>
        <w:tc>
          <w:tcPr>
            <w:tcW w:w="386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6"/>
              </w:rPr>
            </w:pPr>
            <w:hyperlink r:id="rId38">
              <w:r>
                <w:rPr>
                  <w:rFonts w:ascii="Times New Roman" w:cs="Times New Roman" w:eastAsia="Times New Roman" w:hAnsi="Times New Roman"/>
                  <w:sz w:val="16"/>
                  <w:szCs w:val="16"/>
                  <w:color w:val="0000FF"/>
                  <w:w w:val="96"/>
                </w:rPr>
                <w:t>Form of Convertible Promissory Note, dated March 19, 2025,</w:t>
              </w:r>
            </w:hyperlink>
          </w:p>
        </w:tc>
        <w:tc>
          <w:tcPr>
            <w:tcW w:w="540" w:type="dxa"/>
            <w:vAlign w:val="bottom"/>
            <w:gridSpan w:val="10"/>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Borders>
              <w:bottom w:val="single" w:sz="8" w:color="0000EE"/>
            </w:tcBorders>
            <w:gridSpan w:val="22"/>
          </w:tcPr>
          <w:p>
            <w:pPr>
              <w:spacing w:after="0" w:line="160" w:lineRule="exact"/>
              <w:rPr>
                <w:rFonts w:ascii="Times New Roman" w:cs="Times New Roman" w:eastAsia="Times New Roman" w:hAnsi="Times New Roman"/>
                <w:sz w:val="16"/>
                <w:szCs w:val="16"/>
                <w:color w:val="0000FF"/>
                <w:w w:val="97"/>
              </w:rPr>
            </w:pPr>
            <w:hyperlink r:id="rId38">
              <w:r>
                <w:rPr>
                  <w:rFonts w:ascii="Times New Roman" w:cs="Times New Roman" w:eastAsia="Times New Roman" w:hAnsi="Times New Roman"/>
                  <w:sz w:val="16"/>
                  <w:szCs w:val="16"/>
                  <w:color w:val="0000FF"/>
                  <w:w w:val="97"/>
                </w:rPr>
                <w:t>by and between the registrant and Novel Inspiration International Co.,</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2"/>
          </w:tcPr>
          <w:p>
            <w:pPr>
              <w:spacing w:after="0" w:line="160"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Ltd.</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Convertible Promissory Note, dated March 19, 2025, by and</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FF"/>
                <w:w w:val="96"/>
              </w:rPr>
            </w:pPr>
            <w:hyperlink r:id="rId39">
              <w:r>
                <w:rPr>
                  <w:rFonts w:ascii="Times New Roman" w:cs="Times New Roman" w:eastAsia="Times New Roman" w:hAnsi="Times New Roman"/>
                  <w:sz w:val="16"/>
                  <w:szCs w:val="16"/>
                  <w:color w:val="0000FF"/>
                  <w:w w:val="96"/>
                </w:rPr>
                <w:t>between the registrant and Novel Inspiration International Co., Ltd.</w:t>
              </w:r>
            </w:hyperlink>
          </w:p>
        </w:tc>
        <w:tc>
          <w:tcPr>
            <w:tcW w:w="200" w:type="dxa"/>
            <w:vAlign w:val="bottom"/>
            <w:gridSpan w:val="5"/>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Offer Letter between the Registrant and Mr. Dizon.</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  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10.5</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Change in Control Severance Agreement between the</w:t>
              </w:r>
            </w:hyperlink>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000-27598</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10.6</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 2025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Registrant and Mr. Dizon.</w:t>
              </w:r>
            </w:hyperlink>
          </w:p>
        </w:tc>
        <w:tc>
          <w:tcPr>
            <w:tcW w:w="74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Principal Executive Officer pursuant to Securities</w:t>
              </w:r>
            </w:hyperlink>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Exchange Act Rules 13a-14(a) and 15d-14(a), as adopted pursuant</w:t>
              </w:r>
            </w:hyperlink>
          </w:p>
        </w:tc>
        <w:tc>
          <w:tcPr>
            <w:tcW w:w="260" w:type="dxa"/>
            <w:vAlign w:val="bottom"/>
            <w:gridSpan w:val="6"/>
          </w:tcPr>
          <w:p>
            <w:pPr>
              <w:ind w:left="40"/>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to</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Section 302 of the Sarbanes-Oxley Act of 2002.</w:t>
              </w:r>
            </w:hyperlink>
          </w:p>
        </w:tc>
        <w:tc>
          <w:tcPr>
            <w:tcW w:w="1340" w:type="dxa"/>
            <w:vAlign w:val="bottom"/>
            <w:tcBorders>
              <w:top w:val="single" w:sz="8" w:color="0000EE"/>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Principal Financial Officer pursuant to Securities</w:t>
              </w:r>
            </w:hyperlink>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Exchange Act Rules 13a-14(a) and 15d-14(a), as adopted pursuant</w:t>
              </w:r>
            </w:hyperlink>
          </w:p>
        </w:tc>
        <w:tc>
          <w:tcPr>
            <w:tcW w:w="40" w:type="dxa"/>
            <w:vAlign w:val="bottom"/>
          </w:tcPr>
          <w:p>
            <w:pPr>
              <w:spacing w:after="0"/>
              <w:rPr>
                <w:sz w:val="13"/>
                <w:szCs w:val="13"/>
                <w:color w:val="auto"/>
              </w:rPr>
            </w:pPr>
          </w:p>
        </w:tc>
        <w:tc>
          <w:tcPr>
            <w:tcW w:w="280" w:type="dxa"/>
            <w:vAlign w:val="bottom"/>
            <w:gridSpan w:val="7"/>
          </w:tcPr>
          <w:p>
            <w:pPr>
              <w:ind w:left="60"/>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to</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Section 302 of the Sarbanes-Oxley Act of 2002.</w:t>
              </w:r>
            </w:hyperlink>
          </w:p>
        </w:tc>
        <w:tc>
          <w:tcPr>
            <w:tcW w:w="1340" w:type="dxa"/>
            <w:vAlign w:val="bottom"/>
            <w:tcBorders>
              <w:top w:val="single" w:sz="8" w:color="0000EE"/>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4400" w:type="dxa"/>
            <w:vAlign w:val="bottom"/>
            <w:gridSpan w:val="2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Principal Executive Officer pursuant to 18 U.S.C.</w:t>
              </w:r>
            </w:hyperlink>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Section 1350, as adopted pursuant to Section 906 of the Sarbanes-</w:t>
              </w:r>
            </w:hyperlink>
          </w:p>
        </w:tc>
        <w:tc>
          <w:tcPr>
            <w:tcW w:w="26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Oxley Act of 2002.</w:t>
              </w:r>
            </w:hyperlink>
          </w:p>
        </w:tc>
        <w:tc>
          <w:tcPr>
            <w:tcW w:w="2920" w:type="dxa"/>
            <w:vAlign w:val="bottom"/>
            <w:tcBorders>
              <w:top w:val="single" w:sz="8" w:color="0000EE"/>
            </w:tcBorders>
            <w:gridSpan w:val="13"/>
          </w:tcPr>
          <w:p>
            <w:pPr>
              <w:spacing w:after="0"/>
              <w:rPr>
                <w:sz w:val="13"/>
                <w:szCs w:val="13"/>
                <w:color w:val="auto"/>
              </w:rPr>
            </w:pPr>
          </w:p>
        </w:tc>
        <w:tc>
          <w:tcPr>
            <w:tcW w:w="280" w:type="dxa"/>
            <w:vAlign w:val="bottom"/>
            <w:gridSpan w:val="7"/>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408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18 U.S.C.</w:t>
              </w:r>
            </w:hyperlink>
          </w:p>
        </w:tc>
        <w:tc>
          <w:tcPr>
            <w:tcW w:w="32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2"/>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Section 1350, as adopted pursuant to Section 906 of the Sarbanes-</w:t>
              </w:r>
            </w:hyperlink>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Oxley Act of 2002.</w:t>
              </w:r>
            </w:hyperlink>
          </w:p>
        </w:tc>
        <w:tc>
          <w:tcPr>
            <w:tcW w:w="2920" w:type="dxa"/>
            <w:vAlign w:val="bottom"/>
            <w:tcBorders>
              <w:top w:val="single" w:sz="8" w:color="0000EE"/>
            </w:tcBorders>
            <w:gridSpan w:val="13"/>
          </w:tcPr>
          <w:p>
            <w:pPr>
              <w:spacing w:after="0"/>
              <w:rPr>
                <w:sz w:val="13"/>
                <w:szCs w:val="13"/>
                <w:color w:val="auto"/>
              </w:rPr>
            </w:pPr>
          </w:p>
        </w:tc>
        <w:tc>
          <w:tcPr>
            <w:tcW w:w="280" w:type="dxa"/>
            <w:vAlign w:val="bottom"/>
            <w:gridSpan w:val="7"/>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gridSpan w:val="22"/>
          </w:tcPr>
          <w:p>
            <w:pPr>
              <w:spacing w:after="0" w:line="180" w:lineRule="exact"/>
              <w:rPr>
                <w:sz w:val="20"/>
                <w:szCs w:val="20"/>
                <w:color w:val="auto"/>
              </w:rPr>
            </w:pPr>
            <w:r>
              <w:rPr>
                <w:rFonts w:ascii="Times New Roman" w:cs="Times New Roman" w:eastAsia="Times New Roman" w:hAnsi="Times New Roman"/>
                <w:sz w:val="16"/>
                <w:szCs w:val="16"/>
                <w:color w:val="auto"/>
              </w:rPr>
              <w:t>appear in the Interactive Data File as its XBRL tags are embedded</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6"/>
                <w:szCs w:val="16"/>
                <w:color w:val="auto"/>
                <w:w w:val="97"/>
              </w:rPr>
              <w:t>Inline XBRL Taxonomy Extension Schema With Embedded Linkbase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Document.</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Indicates a management contract or compensatory plan or arrangement.</w:t>
      </w:r>
    </w:p>
    <w:p>
      <w:pPr>
        <w:spacing w:after="0" w:line="14" w:lineRule="exact"/>
        <w:rPr>
          <w:sz w:val="20"/>
          <w:szCs w:val="20"/>
          <w:color w:val="auto"/>
        </w:rPr>
      </w:pPr>
    </w:p>
    <w:p>
      <w:pPr>
        <w:jc w:val="both"/>
        <w:ind w:left="180" w:right="300" w:firstLine="6"/>
        <w:spacing w:after="0" w:line="236" w:lineRule="auto"/>
        <w:tabs>
          <w:tab w:leader="none" w:pos="37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27" w:name="page28"/>
    <w:bookmarkEnd w:id="27"/>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Trademark Acknowledgments</w:t>
      </w:r>
    </w:p>
    <w:p>
      <w:pPr>
        <w:spacing w:after="0" w:line="94" w:lineRule="exact"/>
        <w:rPr>
          <w:sz w:val="20"/>
          <w:szCs w:val="20"/>
          <w:color w:val="auto"/>
        </w:rPr>
      </w:pPr>
    </w:p>
    <w:p>
      <w:pPr>
        <w:ind w:left="180" w:right="220" w:firstLine="384"/>
        <w:spacing w:after="0" w:line="247" w:lineRule="auto"/>
        <w:rPr>
          <w:sz w:val="20"/>
          <w:szCs w:val="20"/>
          <w:color w:val="auto"/>
        </w:rPr>
      </w:pPr>
      <w:r>
        <w:rPr>
          <w:rFonts w:ascii="Times New Roman" w:cs="Times New Roman" w:eastAsia="Times New Roman" w:hAnsi="Times New Roman"/>
          <w:sz w:val="16"/>
          <w:szCs w:val="16"/>
          <w:color w:val="auto"/>
        </w:rPr>
        <w:t>Iridex, the Iridex logo, IRIS Medical, MicroPulse, OcuLight, EndoProbe, MicroPulse P3, G-Probe, G- Probe Illuminate, TruFocus LIO Premiere, IQ 577, IQ 532, Cyclo G6, and TxCell are our registered trademarks. All other trademarks or trade names appearing in this Quarterly Report on Form 10-Q are the property of their respective owners.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580" w:right="76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IRIDEX Corporation</w:t>
            </w:r>
          </w:p>
        </w:tc>
      </w:tr>
      <w:tr>
        <w:trPr>
          <w:trHeight w:val="397"/>
        </w:trPr>
        <w:tc>
          <w:tcPr>
            <w:tcW w:w="3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Date: May 13, 2025</w:t>
            </w:r>
          </w:p>
        </w:tc>
        <w:tc>
          <w:tcPr>
            <w:tcW w:w="234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 PATRICK MERCER</w:t>
            </w:r>
          </w:p>
        </w:tc>
      </w:tr>
      <w:tr>
        <w:trPr>
          <w:trHeight w:val="180"/>
        </w:trPr>
        <w:tc>
          <w:tcPr>
            <w:tcW w:w="3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Patrick Mercer</w:t>
            </w:r>
          </w:p>
        </w:tc>
      </w:tr>
      <w:tr>
        <w:trPr>
          <w:trHeight w:val="180"/>
        </w:trPr>
        <w:tc>
          <w:tcPr>
            <w:tcW w:w="3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Title:</w:t>
            </w: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3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61"/>
        </w:trPr>
        <w:tc>
          <w:tcPr>
            <w:tcW w:w="3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Date: May 13, 2025</w:t>
            </w:r>
          </w:p>
        </w:tc>
        <w:tc>
          <w:tcPr>
            <w:tcW w:w="234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 ROMEO R. DIZON</w:t>
            </w:r>
          </w:p>
        </w:tc>
      </w:tr>
      <w:tr>
        <w:trPr>
          <w:trHeight w:val="180"/>
        </w:trPr>
        <w:tc>
          <w:tcPr>
            <w:tcW w:w="3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5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Romeo R. Dizon</w:t>
            </w:r>
          </w:p>
        </w:tc>
      </w:tr>
      <w:tr>
        <w:trPr>
          <w:trHeight w:val="180"/>
        </w:trPr>
        <w:tc>
          <w:tcPr>
            <w:tcW w:w="3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Title:</w:t>
            </w:r>
          </w:p>
        </w:tc>
        <w:tc>
          <w:tcPr>
            <w:tcW w:w="35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3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(Principal Financial Officer and Principal</w:t>
            </w:r>
          </w:p>
        </w:tc>
      </w:tr>
      <w:tr>
        <w:trPr>
          <w:trHeight w:val="203"/>
        </w:trPr>
        <w:tc>
          <w:tcPr>
            <w:tcW w:w="3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Accounting Officer)</w:t>
            </w:r>
          </w:p>
        </w:tc>
      </w:tr>
      <w:tr>
        <w:trPr>
          <w:trHeight w:val="552"/>
        </w:trPr>
        <w:tc>
          <w:tcPr>
            <w:tcW w:w="3340" w:type="dxa"/>
            <w:vAlign w:val="bottom"/>
          </w:tcPr>
          <w:p>
            <w:pPr>
              <w:spacing w:after="0"/>
              <w:rPr>
                <w:sz w:val="24"/>
                <w:szCs w:val="24"/>
                <w:color w:val="auto"/>
              </w:rPr>
            </w:pPr>
          </w:p>
        </w:tc>
        <w:tc>
          <w:tcPr>
            <w:tcW w:w="234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674"/>
        </w:trPr>
        <w:tc>
          <w:tcPr>
            <w:tcW w:w="3340" w:type="dxa"/>
            <w:vAlign w:val="bottom"/>
            <w:tcBorders>
              <w:bottom w:val="single" w:sz="8" w:color="EEEEEE"/>
            </w:tcBorders>
          </w:tcPr>
          <w:p>
            <w:pPr>
              <w:spacing w:after="0"/>
              <w:rPr>
                <w:sz w:val="24"/>
                <w:szCs w:val="24"/>
                <w:color w:val="auto"/>
              </w:rPr>
            </w:pPr>
          </w:p>
        </w:tc>
        <w:tc>
          <w:tcPr>
            <w:tcW w:w="23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359" w:right="1040" w:bottom="1440" w:gutter="0" w:footer="0" w:header="0"/>
        </w:sectPr>
      </w:pPr>
    </w:p>
    <w:bookmarkStart w:id="29" w:name="page30"/>
    <w:bookmarkEnd w:id="29"/>
    <w:p>
      <w:pPr>
        <w:ind w:left="84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SECTIONS 13(a)-14(a) AND 15(d)-14(a) OF THE SECURITIES EXCHANGE ACT OF 1934 AS ADOPTED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Patrick Mercer, certify that:</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1.I have reviewed this quarterly report on Form 10-Q of IRIDEX Corporation;</w:t>
      </w:r>
    </w:p>
    <w:p>
      <w:pPr>
        <w:spacing w:after="0" w:line="92" w:lineRule="exact"/>
        <w:rPr>
          <w:sz w:val="20"/>
          <w:szCs w:val="20"/>
          <w:color w:val="auto"/>
        </w:rPr>
      </w:pPr>
    </w:p>
    <w:p>
      <w:pPr>
        <w:ind w:left="980" w:right="680"/>
        <w:spacing w:after="0" w:line="24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sz w:val="20"/>
          <w:szCs w:val="20"/>
          <w:color w:val="auto"/>
        </w:rPr>
      </w:pPr>
    </w:p>
    <w:p>
      <w:pPr>
        <w:ind w:left="980" w:right="600"/>
        <w:spacing w:after="0" w:line="247"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sz w:val="20"/>
          <w:szCs w:val="20"/>
          <w:color w:val="auto"/>
        </w:rPr>
      </w:pPr>
    </w:p>
    <w:p>
      <w:pPr>
        <w:ind w:left="980" w:right="700"/>
        <w:spacing w:after="0" w:line="247" w:lineRule="auto"/>
        <w:rPr>
          <w:sz w:val="20"/>
          <w:szCs w:val="20"/>
          <w:color w:val="auto"/>
        </w:rPr>
      </w:pPr>
      <w:r>
        <w:rPr>
          <w:rFonts w:ascii="Times New Roman" w:cs="Times New Roman" w:eastAsia="Times New Roman" w:hAnsi="Times New Roman"/>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left="1360" w:right="680"/>
        <w:spacing w:after="0" w:line="299" w:lineRule="auto"/>
        <w:rPr>
          <w:sz w:val="20"/>
          <w:szCs w:val="20"/>
          <w:color w:val="auto"/>
        </w:rPr>
      </w:pPr>
      <w:r>
        <w:rPr>
          <w:rFonts w:ascii="Times New Roman" w:cs="Times New Roman" w:eastAsia="Times New Roman" w:hAnsi="Times New Roman"/>
          <w:sz w:val="14"/>
          <w:szCs w:val="14"/>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sz w:val="20"/>
          <w:szCs w:val="20"/>
          <w:color w:val="auto"/>
        </w:rPr>
      </w:pPr>
    </w:p>
    <w:p>
      <w:pPr>
        <w:jc w:val="both"/>
        <w:ind w:left="1360" w:right="1040"/>
        <w:spacing w:after="0" w:line="299" w:lineRule="auto"/>
        <w:rPr>
          <w:sz w:val="20"/>
          <w:szCs w:val="20"/>
          <w:color w:val="auto"/>
        </w:rPr>
      </w:pPr>
      <w:r>
        <w:rPr>
          <w:rFonts w:ascii="Times New Roman" w:cs="Times New Roman" w:eastAsia="Times New Roman" w:hAnsi="Times New Roman"/>
          <w:sz w:val="14"/>
          <w:szCs w:val="14"/>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sz w:val="20"/>
          <w:szCs w:val="20"/>
          <w:color w:val="auto"/>
        </w:rPr>
      </w:pPr>
    </w:p>
    <w:p>
      <w:pPr>
        <w:ind w:left="1360" w:right="960"/>
        <w:spacing w:after="0" w:line="247"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1360" w:right="680"/>
        <w:spacing w:after="0" w:line="299" w:lineRule="auto"/>
        <w:rPr>
          <w:sz w:val="20"/>
          <w:szCs w:val="20"/>
          <w:color w:val="auto"/>
        </w:rPr>
      </w:pPr>
      <w:r>
        <w:rPr>
          <w:rFonts w:ascii="Times New Roman" w:cs="Times New Roman" w:eastAsia="Times New Roman" w:hAnsi="Times New Roman"/>
          <w:sz w:val="14"/>
          <w:szCs w:val="14"/>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sz w:val="20"/>
          <w:szCs w:val="20"/>
          <w:color w:val="auto"/>
        </w:rPr>
      </w:pPr>
    </w:p>
    <w:p>
      <w:pPr>
        <w:ind w:left="980" w:right="680"/>
        <w:spacing w:after="0" w:line="247"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1360" w:right="760"/>
        <w:spacing w:after="0" w:line="24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sz w:val="20"/>
          <w:szCs w:val="20"/>
          <w:color w:val="auto"/>
        </w:rPr>
      </w:pPr>
    </w:p>
    <w:p>
      <w:pPr>
        <w:ind w:left="1360" w:right="10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 May 13,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PATRICK MERCER</w:t>
            </w:r>
          </w:p>
        </w:tc>
      </w:tr>
      <w:tr>
        <w:trPr>
          <w:trHeight w:val="183"/>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Name:</w:t>
            </w: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Patrick Mercer</w:t>
            </w:r>
          </w:p>
        </w:tc>
        <w:tc>
          <w:tcPr>
            <w:tcW w:w="600" w:type="dxa"/>
            <w:vAlign w:val="bottom"/>
          </w:tcPr>
          <w:p>
            <w:pPr>
              <w:spacing w:after="0"/>
              <w:rPr>
                <w:sz w:val="15"/>
                <w:szCs w:val="15"/>
                <w:color w:val="auto"/>
              </w:rPr>
            </w:pPr>
          </w:p>
        </w:tc>
      </w:tr>
      <w:tr>
        <w:trPr>
          <w:trHeight w:val="192"/>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63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1046"/>
        </w:trPr>
        <w:tc>
          <w:tcPr>
            <w:tcW w:w="6320" w:type="dxa"/>
            <w:vAlign w:val="bottom"/>
            <w:tcBorders>
              <w:bottom w:val="single" w:sz="8" w:color="EEEEEE"/>
            </w:tcBorders>
          </w:tcPr>
          <w:p>
            <w:pPr>
              <w:spacing w:after="0"/>
              <w:rPr>
                <w:sz w:val="24"/>
                <w:szCs w:val="24"/>
                <w:color w:val="auto"/>
              </w:rPr>
            </w:pPr>
          </w:p>
        </w:tc>
        <w:tc>
          <w:tcPr>
            <w:tcW w:w="29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131" w:right="1040" w:bottom="1440" w:gutter="0" w:footer="0" w:header="0"/>
        </w:sectPr>
      </w:pPr>
    </w:p>
    <w:bookmarkStart w:id="30" w:name="page31"/>
    <w:bookmarkEnd w:id="30"/>
    <w:p>
      <w:pPr>
        <w:ind w:left="842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SECTIONS 13(a)-14(a) AND 15(d)-14(a) OF THE SECURITIES EXCHANGE ACT OF 1934 AS ADOPTED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Romeo R. Dizon, certify that:</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1.I have reviewed this quarterly report on Form 10-Q of IRIDEX Corporation;</w:t>
      </w:r>
    </w:p>
    <w:p>
      <w:pPr>
        <w:spacing w:after="0" w:line="92" w:lineRule="exact"/>
        <w:rPr>
          <w:sz w:val="20"/>
          <w:szCs w:val="20"/>
          <w:color w:val="auto"/>
        </w:rPr>
      </w:pPr>
    </w:p>
    <w:p>
      <w:pPr>
        <w:ind w:left="980" w:right="680"/>
        <w:spacing w:after="0" w:line="24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sz w:val="20"/>
          <w:szCs w:val="20"/>
          <w:color w:val="auto"/>
        </w:rPr>
      </w:pPr>
    </w:p>
    <w:p>
      <w:pPr>
        <w:ind w:left="980" w:right="600"/>
        <w:spacing w:after="0" w:line="247"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sz w:val="20"/>
          <w:szCs w:val="20"/>
          <w:color w:val="auto"/>
        </w:rPr>
      </w:pPr>
    </w:p>
    <w:p>
      <w:pPr>
        <w:ind w:left="980" w:right="700"/>
        <w:spacing w:after="0" w:line="247" w:lineRule="auto"/>
        <w:rPr>
          <w:sz w:val="20"/>
          <w:szCs w:val="20"/>
          <w:color w:val="auto"/>
        </w:rPr>
      </w:pPr>
      <w:r>
        <w:rPr>
          <w:rFonts w:ascii="Times New Roman" w:cs="Times New Roman" w:eastAsia="Times New Roman" w:hAnsi="Times New Roman"/>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left="1360" w:right="680"/>
        <w:spacing w:after="0" w:line="299" w:lineRule="auto"/>
        <w:rPr>
          <w:sz w:val="20"/>
          <w:szCs w:val="20"/>
          <w:color w:val="auto"/>
        </w:rPr>
      </w:pPr>
      <w:r>
        <w:rPr>
          <w:rFonts w:ascii="Times New Roman" w:cs="Times New Roman" w:eastAsia="Times New Roman" w:hAnsi="Times New Roman"/>
          <w:sz w:val="14"/>
          <w:szCs w:val="14"/>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sz w:val="20"/>
          <w:szCs w:val="20"/>
          <w:color w:val="auto"/>
        </w:rPr>
      </w:pPr>
    </w:p>
    <w:p>
      <w:pPr>
        <w:jc w:val="both"/>
        <w:ind w:left="1360" w:right="1040"/>
        <w:spacing w:after="0" w:line="299" w:lineRule="auto"/>
        <w:rPr>
          <w:sz w:val="20"/>
          <w:szCs w:val="20"/>
          <w:color w:val="auto"/>
        </w:rPr>
      </w:pPr>
      <w:r>
        <w:rPr>
          <w:rFonts w:ascii="Times New Roman" w:cs="Times New Roman" w:eastAsia="Times New Roman" w:hAnsi="Times New Roman"/>
          <w:sz w:val="14"/>
          <w:szCs w:val="14"/>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sz w:val="20"/>
          <w:szCs w:val="20"/>
          <w:color w:val="auto"/>
        </w:rPr>
      </w:pPr>
    </w:p>
    <w:p>
      <w:pPr>
        <w:ind w:left="1360" w:right="960"/>
        <w:spacing w:after="0" w:line="247"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1360" w:right="680"/>
        <w:spacing w:after="0" w:line="299" w:lineRule="auto"/>
        <w:rPr>
          <w:sz w:val="20"/>
          <w:szCs w:val="20"/>
          <w:color w:val="auto"/>
        </w:rPr>
      </w:pPr>
      <w:r>
        <w:rPr>
          <w:rFonts w:ascii="Times New Roman" w:cs="Times New Roman" w:eastAsia="Times New Roman" w:hAnsi="Times New Roman"/>
          <w:sz w:val="14"/>
          <w:szCs w:val="14"/>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sz w:val="20"/>
          <w:szCs w:val="20"/>
          <w:color w:val="auto"/>
        </w:rPr>
      </w:pPr>
    </w:p>
    <w:p>
      <w:pPr>
        <w:ind w:left="980" w:right="680"/>
        <w:spacing w:after="0" w:line="247"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1360" w:right="760"/>
        <w:spacing w:after="0" w:line="24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sz w:val="20"/>
          <w:szCs w:val="20"/>
          <w:color w:val="auto"/>
        </w:rPr>
      </w:pPr>
    </w:p>
    <w:p>
      <w:pPr>
        <w:ind w:left="1360" w:right="10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 May 13,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ROMEO R. DIZON</w:t>
            </w:r>
          </w:p>
        </w:tc>
      </w:tr>
      <w:tr>
        <w:trPr>
          <w:trHeight w:val="183"/>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Name:</w:t>
            </w: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Romeo R. Dizon</w:t>
            </w:r>
          </w:p>
        </w:tc>
        <w:tc>
          <w:tcPr>
            <w:tcW w:w="600" w:type="dxa"/>
            <w:vAlign w:val="bottom"/>
          </w:tcPr>
          <w:p>
            <w:pPr>
              <w:spacing w:after="0"/>
              <w:rPr>
                <w:sz w:val="15"/>
                <w:szCs w:val="15"/>
                <w:color w:val="auto"/>
              </w:rPr>
            </w:pPr>
          </w:p>
        </w:tc>
      </w:tr>
      <w:tr>
        <w:trPr>
          <w:trHeight w:val="192"/>
        </w:trPr>
        <w:tc>
          <w:tcPr>
            <w:tcW w:w="632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6320" w:type="dxa"/>
            <w:vAlign w:val="bottom"/>
          </w:tcPr>
          <w:p>
            <w:pPr>
              <w:spacing w:after="0"/>
              <w:rPr>
                <w:sz w:val="15"/>
                <w:szCs w:val="15"/>
                <w:color w:val="auto"/>
              </w:rPr>
            </w:pPr>
          </w:p>
        </w:tc>
        <w:tc>
          <w:tcPr>
            <w:tcW w:w="35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(Principal Financial Officer and Principal</w:t>
            </w:r>
          </w:p>
        </w:tc>
      </w:tr>
      <w:tr>
        <w:trPr>
          <w:trHeight w:val="203"/>
        </w:trPr>
        <w:tc>
          <w:tcPr>
            <w:tcW w:w="63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Officer)</w:t>
            </w:r>
          </w:p>
        </w:tc>
      </w:tr>
      <w:tr>
        <w:trPr>
          <w:trHeight w:val="1190"/>
        </w:trPr>
        <w:tc>
          <w:tcPr>
            <w:tcW w:w="6320" w:type="dxa"/>
            <w:vAlign w:val="bottom"/>
            <w:tcBorders>
              <w:bottom w:val="single" w:sz="8" w:color="EEEEEE"/>
            </w:tcBorders>
          </w:tcPr>
          <w:p>
            <w:pPr>
              <w:spacing w:after="0"/>
              <w:rPr>
                <w:sz w:val="24"/>
                <w:szCs w:val="24"/>
                <w:color w:val="auto"/>
              </w:rPr>
            </w:pPr>
          </w:p>
        </w:tc>
        <w:tc>
          <w:tcPr>
            <w:tcW w:w="29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131" w:right="1040" w:bottom="1440" w:gutter="0" w:footer="0" w:header="0"/>
        </w:sectPr>
      </w:pPr>
    </w:p>
    <w:bookmarkStart w:id="31" w:name="page32"/>
    <w:bookmarkEnd w:id="31"/>
    <w:p>
      <w:pPr>
        <w:ind w:left="802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left="180" w:right="180" w:firstLine="384"/>
        <w:spacing w:after="0" w:line="289" w:lineRule="auto"/>
        <w:rPr>
          <w:sz w:val="20"/>
          <w:szCs w:val="20"/>
          <w:color w:val="auto"/>
        </w:rPr>
      </w:pPr>
      <w:r>
        <w:rPr>
          <w:rFonts w:ascii="Times New Roman" w:cs="Times New Roman" w:eastAsia="Times New Roman" w:hAnsi="Times New Roman"/>
          <w:sz w:val="14"/>
          <w:szCs w:val="14"/>
          <w:color w:val="auto"/>
        </w:rPr>
        <w:t>I, Patrick Mercer, pursuant to 18 U.S.C. Section 1350, as adopted pursuant to Section 906 of the Sarbanes-Oxley Act of 2002, certify that the Quarterly Report of IRIDEX Corporation on Form 10- Q for the fiscal quarter ended March 29,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Date: May 13, 2025</w:t>
      </w:r>
    </w:p>
    <w:p>
      <w:pPr>
        <w:spacing w:after="0" w:line="200" w:lineRule="exact"/>
        <w:rPr>
          <w:sz w:val="20"/>
          <w:szCs w:val="20"/>
          <w:color w:val="auto"/>
        </w:rPr>
      </w:pPr>
    </w:p>
    <w:p>
      <w:pPr>
        <w:ind w:left="4420"/>
        <w:spacing w:after="0"/>
        <w:tabs>
          <w:tab w:leader="none" w:pos="49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PATRICK MERCER</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 Patrick Mercer</w:t>
      </w:r>
    </w:p>
    <w:p>
      <w:pPr>
        <w:ind w:left="4420"/>
        <w:spacing w:after="0" w:line="234" w:lineRule="auto"/>
        <w:tabs>
          <w:tab w:leader="none" w:pos="49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659765</wp:posOffset>
            </wp:positionV>
            <wp:extent cx="62604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47" w:right="1440" w:bottom="1440" w:gutter="0" w:footer="0" w:header="0"/>
        </w:sectPr>
      </w:pPr>
    </w:p>
    <w:bookmarkStart w:id="32" w:name="page33"/>
    <w:bookmarkEnd w:id="32"/>
    <w:p>
      <w:pPr>
        <w:ind w:left="842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left="580" w:right="580" w:firstLine="384"/>
        <w:spacing w:after="0" w:line="289" w:lineRule="auto"/>
        <w:rPr>
          <w:sz w:val="20"/>
          <w:szCs w:val="20"/>
          <w:color w:val="auto"/>
        </w:rPr>
      </w:pPr>
      <w:r>
        <w:rPr>
          <w:rFonts w:ascii="Times New Roman" w:cs="Times New Roman" w:eastAsia="Times New Roman" w:hAnsi="Times New Roman"/>
          <w:sz w:val="14"/>
          <w:szCs w:val="14"/>
          <w:color w:val="auto"/>
        </w:rPr>
        <w:t>I, Romeo R. Dizon, pursuant to 18 U.S.C. Section 1350, as adopted pursuant to Section 906 of the Sarbanes-Oxley Act of 2002, certify that the Quarterly Report of IRIDEX Corporation on Form 10- Q for the fiscal quarter ended March 29,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 May 13,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ind w:left="4820"/>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ROMEO R. DIZON</w:t>
            </w:r>
          </w:p>
        </w:tc>
      </w:tr>
      <w:tr>
        <w:trPr>
          <w:trHeight w:val="180"/>
        </w:trPr>
        <w:tc>
          <w:tcPr>
            <w:tcW w:w="5280" w:type="dxa"/>
            <w:vAlign w:val="bottom"/>
          </w:tcPr>
          <w:p>
            <w:pPr>
              <w:ind w:left="482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5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Romeo R. Dizon</w:t>
            </w:r>
          </w:p>
        </w:tc>
      </w:tr>
      <w:tr>
        <w:trPr>
          <w:trHeight w:val="180"/>
        </w:trPr>
        <w:tc>
          <w:tcPr>
            <w:tcW w:w="5280" w:type="dxa"/>
            <w:vAlign w:val="bottom"/>
          </w:tcPr>
          <w:p>
            <w:pPr>
              <w:ind w:left="4820"/>
              <w:spacing w:after="0" w:line="180" w:lineRule="exact"/>
              <w:rPr>
                <w:sz w:val="20"/>
                <w:szCs w:val="20"/>
                <w:color w:val="auto"/>
              </w:rPr>
            </w:pPr>
            <w:r>
              <w:rPr>
                <w:rFonts w:ascii="Times New Roman" w:cs="Times New Roman" w:eastAsia="Times New Roman" w:hAnsi="Times New Roman"/>
                <w:sz w:val="16"/>
                <w:szCs w:val="16"/>
                <w:color w:val="auto"/>
              </w:rPr>
              <w:t>Title:</w:t>
            </w:r>
          </w:p>
        </w:tc>
        <w:tc>
          <w:tcPr>
            <w:tcW w:w="45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5280" w:type="dxa"/>
            <w:vAlign w:val="bottom"/>
          </w:tcPr>
          <w:p>
            <w:pPr>
              <w:spacing w:after="0"/>
              <w:rPr>
                <w:sz w:val="15"/>
                <w:szCs w:val="15"/>
                <w:color w:val="auto"/>
              </w:rPr>
            </w:pPr>
          </w:p>
        </w:tc>
        <w:tc>
          <w:tcPr>
            <w:tcW w:w="45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(Principal Financial Officer and Principal Accounting</w:t>
            </w:r>
          </w:p>
        </w:tc>
      </w:tr>
      <w:tr>
        <w:trPr>
          <w:trHeight w:val="203"/>
        </w:trPr>
        <w:tc>
          <w:tcPr>
            <w:tcW w:w="5280" w:type="dxa"/>
            <w:vAlign w:val="bottom"/>
          </w:tcPr>
          <w:p>
            <w:pPr>
              <w:spacing w:after="0"/>
              <w:rPr>
                <w:sz w:val="17"/>
                <w:szCs w:val="17"/>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Officer)</w:t>
            </w:r>
          </w:p>
        </w:tc>
      </w:tr>
      <w:tr>
        <w:trPr>
          <w:trHeight w:val="1070"/>
        </w:trPr>
        <w:tc>
          <w:tcPr>
            <w:tcW w:w="5280" w:type="dxa"/>
            <w:vAlign w:val="bottom"/>
            <w:tcBorders>
              <w:bottom w:val="single" w:sz="8" w:color="EEEEEE"/>
            </w:tcBorders>
          </w:tcPr>
          <w:p>
            <w:pPr>
              <w:spacing w:after="0"/>
              <w:rPr>
                <w:sz w:val="24"/>
                <w:szCs w:val="24"/>
                <w:color w:val="auto"/>
              </w:rPr>
            </w:pPr>
          </w:p>
        </w:tc>
        <w:tc>
          <w:tcPr>
            <w:tcW w:w="4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347" w:right="1040" w:bottom="1440" w:gutter="0" w:footer="0" w:header="0"/>
        </w:sectPr>
      </w:pPr>
    </w:p>
    <w:bookmarkStart w:id="33" w:name="page34"/>
    <w:bookmarkEnd w:id="3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6"/>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34" Type="http://schemas.openxmlformats.org/officeDocument/2006/relationships/hyperlink" Target="https://www.sec.gov/Archives/edgar/data/1006045/000095017025042190/irix-ex3_1.htm" TargetMode="External"/><Relationship Id="rId35" Type="http://schemas.openxmlformats.org/officeDocument/2006/relationships/hyperlink" Target="https://www.sec.gov/Archives/edgar/data/1006045/000095017025042190/irix-ex4_1.htm" TargetMode="External"/><Relationship Id="rId36" Type="http://schemas.openxmlformats.org/officeDocument/2006/relationships/hyperlink" Target="https://www.sec.gov/Archives/edgar/data/1006045/000095017025042190/irix-ex10_1.htm" TargetMode="External"/><Relationship Id="rId37" Type="http://schemas.openxmlformats.org/officeDocument/2006/relationships/hyperlink" Target="https://www.sec.gov/Archives/edgar/data/1006045/000095017025042190/irix-ex10_2.htm" TargetMode="External"/><Relationship Id="rId38" Type="http://schemas.openxmlformats.org/officeDocument/2006/relationships/hyperlink" Target="https://www.sec.gov/Archives/edgar/data/1006045/000095017025042190/irix-ex10_3.htm" TargetMode="External"/><Relationship Id="rId39" Type="http://schemas.openxmlformats.org/officeDocument/2006/relationships/hyperlink" Target="https://www.sec.gov/Archives/edgar/data/1006045/000095017025042190/irix-ex10_4.htm" TargetMode="External"/><Relationship Id="rId40" Type="http://schemas.openxmlformats.org/officeDocument/2006/relationships/hyperlink" Target="https://www.sec.gov/Archives/edgar/data/1006045/000095017025042190/irix-ex10_5.htm" TargetMode="External"/><Relationship Id="rId41" Type="http://schemas.openxmlformats.org/officeDocument/2006/relationships/hyperlink" Target="https://www.sec.gov/Archives/edgar/data/1006045/000095017025042190/irix-ex10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2025-05-13T16:56:42Z</dcterms:created>
  <dcterms:modified xsi:type="dcterms:W3CDTF">2025-05-13T16:56:42Z</dcterms:modified>
</cp:coreProperties>
</file>