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118110</wp:posOffset>
            </wp:positionV>
            <wp:extent cx="14490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400" w:hanging="512"/>
        <w:spacing w:after="0" w:line="237"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July 1, 2017</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0-27598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IRIDEX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4340" w:type="dxa"/>
            <w:vAlign w:val="bottom"/>
          </w:tcPr>
          <w:p>
            <w:pPr>
              <w:jc w:val="center"/>
              <w:ind w:right="1879"/>
              <w:spacing w:after="0"/>
              <w:rPr>
                <w:sz w:val="20"/>
                <w:szCs w:val="20"/>
                <w:color w:val="auto"/>
              </w:rPr>
            </w:pPr>
            <w:r>
              <w:rPr>
                <w:rFonts w:ascii="Arial" w:cs="Arial" w:eastAsia="Arial" w:hAnsi="Arial"/>
                <w:sz w:val="18"/>
                <w:szCs w:val="18"/>
                <w:b w:val="1"/>
                <w:bCs w:val="1"/>
                <w:color w:val="auto"/>
                <w:w w:val="93"/>
              </w:rPr>
              <w:t>Delaware</w:t>
            </w:r>
          </w:p>
        </w:tc>
        <w:tc>
          <w:tcPr>
            <w:tcW w:w="3380" w:type="dxa"/>
            <w:vAlign w:val="bottom"/>
          </w:tcPr>
          <w:p>
            <w:pPr>
              <w:jc w:val="center"/>
              <w:ind w:left="1861"/>
              <w:spacing w:after="0"/>
              <w:rPr>
                <w:sz w:val="20"/>
                <w:szCs w:val="20"/>
                <w:color w:val="auto"/>
              </w:rPr>
            </w:pPr>
            <w:r>
              <w:rPr>
                <w:rFonts w:ascii="Arial" w:cs="Arial" w:eastAsia="Arial" w:hAnsi="Arial"/>
                <w:sz w:val="18"/>
                <w:szCs w:val="18"/>
                <w:b w:val="1"/>
                <w:bCs w:val="1"/>
                <w:color w:val="auto"/>
                <w:w w:val="91"/>
              </w:rPr>
              <w:t>77-0210467</w:t>
            </w:r>
          </w:p>
        </w:tc>
      </w:tr>
      <w:tr>
        <w:trPr>
          <w:trHeight w:val="149"/>
        </w:trPr>
        <w:tc>
          <w:tcPr>
            <w:tcW w:w="4340" w:type="dxa"/>
            <w:vAlign w:val="bottom"/>
          </w:tcPr>
          <w:p>
            <w:pPr>
              <w:jc w:val="center"/>
              <w:ind w:right="1879"/>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3380" w:type="dxa"/>
            <w:vAlign w:val="bottom"/>
          </w:tcPr>
          <w:p>
            <w:pPr>
              <w:jc w:val="center"/>
              <w:ind w:lef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40" w:type="dxa"/>
            <w:vAlign w:val="bottom"/>
          </w:tcPr>
          <w:p>
            <w:pPr>
              <w:jc w:val="center"/>
              <w:ind w:right="1879"/>
              <w:spacing w:after="0"/>
              <w:rPr>
                <w:sz w:val="20"/>
                <w:szCs w:val="20"/>
                <w:color w:val="auto"/>
              </w:rPr>
            </w:pPr>
            <w:r>
              <w:rPr>
                <w:rFonts w:ascii="Arial" w:cs="Arial" w:eastAsia="Arial" w:hAnsi="Arial"/>
                <w:sz w:val="14"/>
                <w:szCs w:val="14"/>
                <w:b w:val="1"/>
                <w:bCs w:val="1"/>
                <w:color w:val="auto"/>
                <w:w w:val="93"/>
              </w:rPr>
              <w:t>incorporation or organization)</w:t>
            </w:r>
          </w:p>
        </w:tc>
        <w:tc>
          <w:tcPr>
            <w:tcW w:w="3380" w:type="dxa"/>
            <w:vAlign w:val="bottom"/>
          </w:tcPr>
          <w:p>
            <w:pPr>
              <w:jc w:val="center"/>
              <w:ind w:left="1881"/>
              <w:spacing w:after="0"/>
              <w:rPr>
                <w:sz w:val="20"/>
                <w:szCs w:val="20"/>
                <w:color w:val="auto"/>
              </w:rPr>
            </w:pPr>
            <w:r>
              <w:rPr>
                <w:rFonts w:ascii="Arial" w:cs="Arial" w:eastAsia="Arial" w:hAnsi="Arial"/>
                <w:sz w:val="14"/>
                <w:szCs w:val="14"/>
                <w:b w:val="1"/>
                <w:bCs w:val="1"/>
                <w:color w:val="auto"/>
                <w:w w:val="95"/>
              </w:rPr>
              <w:t>Identification Number)</w:t>
            </w:r>
          </w:p>
        </w:tc>
      </w:tr>
      <w:tr>
        <w:trPr>
          <w:trHeight w:val="304"/>
        </w:trPr>
        <w:tc>
          <w:tcPr>
            <w:tcW w:w="4340" w:type="dxa"/>
            <w:vAlign w:val="bottom"/>
          </w:tcPr>
          <w:p>
            <w:pPr>
              <w:jc w:val="center"/>
              <w:ind w:right="1879"/>
              <w:spacing w:after="0"/>
              <w:rPr>
                <w:sz w:val="20"/>
                <w:szCs w:val="20"/>
                <w:color w:val="auto"/>
              </w:rPr>
            </w:pPr>
            <w:r>
              <w:rPr>
                <w:rFonts w:ascii="Arial" w:cs="Arial" w:eastAsia="Arial" w:hAnsi="Arial"/>
                <w:sz w:val="18"/>
                <w:szCs w:val="18"/>
                <w:b w:val="1"/>
                <w:bCs w:val="1"/>
                <w:color w:val="auto"/>
                <w:w w:val="91"/>
              </w:rPr>
              <w:t>1212 Terra Bella Avenue</w:t>
            </w:r>
          </w:p>
        </w:tc>
        <w:tc>
          <w:tcPr>
            <w:tcW w:w="3380" w:type="dxa"/>
            <w:vAlign w:val="bottom"/>
          </w:tcPr>
          <w:p>
            <w:pPr>
              <w:spacing w:after="0"/>
              <w:rPr>
                <w:sz w:val="24"/>
                <w:szCs w:val="24"/>
                <w:color w:val="auto"/>
              </w:rPr>
            </w:pPr>
          </w:p>
        </w:tc>
      </w:tr>
      <w:tr>
        <w:trPr>
          <w:trHeight w:val="212"/>
        </w:trPr>
        <w:tc>
          <w:tcPr>
            <w:tcW w:w="4340" w:type="dxa"/>
            <w:vAlign w:val="bottom"/>
          </w:tcPr>
          <w:p>
            <w:pPr>
              <w:jc w:val="center"/>
              <w:ind w:right="1879"/>
              <w:spacing w:after="0"/>
              <w:rPr>
                <w:sz w:val="20"/>
                <w:szCs w:val="20"/>
                <w:color w:val="auto"/>
              </w:rPr>
            </w:pPr>
            <w:r>
              <w:rPr>
                <w:rFonts w:ascii="Arial" w:cs="Arial" w:eastAsia="Arial" w:hAnsi="Arial"/>
                <w:sz w:val="18"/>
                <w:szCs w:val="18"/>
                <w:b w:val="1"/>
                <w:bCs w:val="1"/>
                <w:color w:val="auto"/>
                <w:w w:val="94"/>
              </w:rPr>
              <w:t>Mountain View, California</w:t>
            </w:r>
          </w:p>
        </w:tc>
        <w:tc>
          <w:tcPr>
            <w:tcW w:w="3380" w:type="dxa"/>
            <w:vAlign w:val="bottom"/>
          </w:tcPr>
          <w:p>
            <w:pPr>
              <w:jc w:val="center"/>
              <w:ind w:left="1861"/>
              <w:spacing w:after="0"/>
              <w:rPr>
                <w:sz w:val="20"/>
                <w:szCs w:val="20"/>
                <w:color w:val="auto"/>
              </w:rPr>
            </w:pPr>
            <w:r>
              <w:rPr>
                <w:rFonts w:ascii="Arial" w:cs="Arial" w:eastAsia="Arial" w:hAnsi="Arial"/>
                <w:sz w:val="18"/>
                <w:szCs w:val="18"/>
                <w:b w:val="1"/>
                <w:bCs w:val="1"/>
                <w:color w:val="auto"/>
                <w:w w:val="91"/>
              </w:rPr>
              <w:t>94043-1824</w:t>
            </w:r>
          </w:p>
        </w:tc>
      </w:tr>
      <w:tr>
        <w:trPr>
          <w:trHeight w:val="186"/>
        </w:trPr>
        <w:tc>
          <w:tcPr>
            <w:tcW w:w="4340" w:type="dxa"/>
            <w:vAlign w:val="bottom"/>
          </w:tcPr>
          <w:p>
            <w:pPr>
              <w:jc w:val="center"/>
              <w:ind w:right="18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80" w:type="dxa"/>
            <w:vAlign w:val="bottom"/>
          </w:tcPr>
          <w:p>
            <w:pPr>
              <w:jc w:val="center"/>
              <w:ind w:left="188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(650) 940-4700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7"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4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ind w:left="520"/>
              <w:spacing w:after="0"/>
              <w:rPr>
                <w:sz w:val="20"/>
                <w:szCs w:val="20"/>
                <w:color w:val="auto"/>
              </w:rPr>
            </w:pPr>
            <w:r>
              <w:rPr>
                <w:rFonts w:ascii="Arial" w:cs="Arial" w:eastAsia="Arial" w:hAnsi="Arial"/>
                <w:sz w:val="18"/>
                <w:szCs w:val="18"/>
                <w:color w:val="auto"/>
              </w:rPr>
              <w:t>Accelerated filer</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4420" w:type="dxa"/>
            <w:vAlign w:val="bottom"/>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40" w:type="dxa"/>
            <w:vAlign w:val="bottom"/>
          </w:tcPr>
          <w:p>
            <w:pPr>
              <w:ind w:left="520"/>
              <w:spacing w:after="0"/>
              <w:rPr>
                <w:sz w:val="20"/>
                <w:szCs w:val="20"/>
                <w:color w:val="auto"/>
              </w:rPr>
            </w:pPr>
            <w:r>
              <w:rPr>
                <w:rFonts w:ascii="Arial" w:cs="Arial" w:eastAsia="Arial" w:hAnsi="Arial"/>
                <w:sz w:val="18"/>
                <w:szCs w:val="18"/>
                <w:color w:val="auto"/>
              </w:rPr>
              <w:t>Smaller reporting company</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2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4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8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ind w:right="176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of common stock, $0.01 par value, issued and outstanding as of July 21, 2017 was 11,567,662.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Items</w:t>
            </w: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r>
      <w:tr>
        <w:trPr>
          <w:trHeight w:val="291"/>
        </w:trPr>
        <w:tc>
          <w:tcPr>
            <w:tcW w:w="2900" w:type="dxa"/>
            <w:vAlign w:val="bottom"/>
            <w:tcBorders>
              <w:bottom w:val="single" w:sz="8" w:color="0000EE"/>
            </w:tcBorders>
            <w:gridSpan w:val="12"/>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7800" w:type="dxa"/>
            <w:vAlign w:val="bottom"/>
            <w:gridSpan w:val="11"/>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6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64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18"/>
        </w:trPr>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2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Unaudited Condensed Consolidated Balance Sheets as of July 1, 2017 and December 31, 2016</w:t>
              </w:r>
            </w:hyperlink>
          </w:p>
        </w:tc>
        <w:tc>
          <w:tcPr>
            <w:tcW w:w="2820" w:type="dxa"/>
            <w:vAlign w:val="bottom"/>
            <w:gridSpan w:val="4"/>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940" w:type="dxa"/>
            <w:vAlign w:val="bottom"/>
            <w:tcBorders>
              <w:bottom w:val="single" w:sz="8" w:color="0000EE"/>
            </w:tcBorders>
            <w:gridSpan w:val="18"/>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Unaudited Condensed Consolidated Statements of Operations for the three and six months ended July 1, 2017 and July 2, 2016</w:t>
              </w:r>
            </w:hyperlink>
          </w:p>
        </w:tc>
        <w:tc>
          <w:tcPr>
            <w:tcW w:w="700" w:type="dxa"/>
            <w:vAlign w:val="bottom"/>
            <w:gridSpan w:val="2"/>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Unaudited Condensed Consolidated Statements of Comprehensive Loss for the three and six months ended July 1, 2017 and July 2,</w:t>
              </w:r>
            </w:hyperlink>
          </w:p>
        </w:tc>
        <w:tc>
          <w:tcPr>
            <w:tcW w:w="72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2016</w:t>
              </w:r>
            </w:hyperlink>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318"/>
        </w:trPr>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Condensed Consolidated Statements of Cash Flows for the six months ended July 1, 2017 and July 2, 2016</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Consolidated Financial Statements</w:t>
              </w:r>
            </w:hyperlink>
          </w:p>
        </w:tc>
        <w:tc>
          <w:tcPr>
            <w:tcW w:w="3700" w:type="dxa"/>
            <w:vAlign w:val="bottom"/>
            <w:tcBorders>
              <w:top w:val="single" w:sz="8" w:color="0000EE"/>
            </w:tcBorders>
            <w:gridSpan w:val="3"/>
          </w:tcPr>
          <w:p>
            <w:pPr>
              <w:spacing w:after="0"/>
              <w:rPr>
                <w:sz w:val="24"/>
                <w:szCs w:val="24"/>
                <w:color w:val="auto"/>
              </w:rPr>
            </w:pPr>
          </w:p>
        </w:tc>
        <w:tc>
          <w:tcPr>
            <w:tcW w:w="1140" w:type="dxa"/>
            <w:vAlign w:val="bottom"/>
            <w:gridSpan w:val="3"/>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106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640" w:type="dxa"/>
            <w:vAlign w:val="bottom"/>
            <w:gridSpan w:val="2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8"/>
        </w:trPr>
        <w:tc>
          <w:tcPr>
            <w:tcW w:w="106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3180" w:type="dxa"/>
            <w:vAlign w:val="bottom"/>
            <w:gridSpan w:val="5"/>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106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Controls and Procedures</w:t>
              </w:r>
            </w:hyperlink>
          </w:p>
        </w:tc>
        <w:tc>
          <w:tcPr>
            <w:tcW w:w="7860" w:type="dxa"/>
            <w:vAlign w:val="bottom"/>
            <w:gridSpan w:val="12"/>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99"/>
        </w:trPr>
        <w:tc>
          <w:tcPr>
            <w:tcW w:w="10700" w:type="dxa"/>
            <w:vAlign w:val="bottom"/>
            <w:gridSpan w:val="2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PART II. 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10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Legal Proceedings</w:t>
              </w:r>
            </w:hyperlink>
          </w:p>
        </w:tc>
        <w:tc>
          <w:tcPr>
            <w:tcW w:w="180" w:type="dxa"/>
            <w:vAlign w:val="bottom"/>
            <w:tcBorders>
              <w:top w:val="single" w:sz="8" w:color="0000EE"/>
            </w:tcBorders>
          </w:tcPr>
          <w:p>
            <w:pPr>
              <w:spacing w:after="0"/>
              <w:rPr>
                <w:sz w:val="24"/>
                <w:szCs w:val="24"/>
                <w:color w:val="auto"/>
              </w:rPr>
            </w:pPr>
          </w:p>
        </w:tc>
        <w:tc>
          <w:tcPr>
            <w:tcW w:w="8120" w:type="dxa"/>
            <w:vAlign w:val="bottom"/>
            <w:gridSpan w:val="13"/>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106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640" w:type="dxa"/>
            <w:vAlign w:val="bottom"/>
            <w:gridSpan w:val="2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18"/>
        </w:trPr>
        <w:tc>
          <w:tcPr>
            <w:tcW w:w="106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Unregistered Sales of Equity Securities and Use of Proceeds</w:t>
              </w:r>
            </w:hyperlink>
          </w:p>
        </w:tc>
        <w:tc>
          <w:tcPr>
            <w:tcW w:w="5280" w:type="dxa"/>
            <w:vAlign w:val="bottom"/>
            <w:gridSpan w:val="7"/>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8"/>
        </w:trPr>
        <w:tc>
          <w:tcPr>
            <w:tcW w:w="1060" w:type="dxa"/>
            <w:vAlign w:val="bottom"/>
            <w:gridSpan w:val="3"/>
          </w:tcPr>
          <w:p>
            <w:pPr>
              <w:spacing w:after="0"/>
              <w:rPr>
                <w:sz w:val="20"/>
                <w:szCs w:val="20"/>
                <w:color w:val="auto"/>
              </w:rPr>
            </w:pPr>
            <w:r>
              <w:rPr>
                <w:rFonts w:ascii="Arial" w:cs="Arial" w:eastAsia="Arial" w:hAnsi="Arial"/>
                <w:sz w:val="18"/>
                <w:szCs w:val="18"/>
                <w:color w:val="auto"/>
              </w:rPr>
              <w:t>Item 3.</w:t>
            </w:r>
          </w:p>
        </w:tc>
        <w:tc>
          <w:tcPr>
            <w:tcW w:w="9640" w:type="dxa"/>
            <w:vAlign w:val="bottom"/>
            <w:gridSpan w:val="2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Defaults Upon Senior Securities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8"/>
        </w:trPr>
        <w:tc>
          <w:tcPr>
            <w:tcW w:w="106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24"/>
                <w:szCs w:val="24"/>
                <w:color w:val="auto"/>
              </w:rPr>
            </w:pPr>
          </w:p>
        </w:tc>
        <w:tc>
          <w:tcPr>
            <w:tcW w:w="7320" w:type="dxa"/>
            <w:vAlign w:val="bottom"/>
            <w:gridSpan w:val="10"/>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8"/>
        </w:trPr>
        <w:tc>
          <w:tcPr>
            <w:tcW w:w="106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Other Information</w:t>
              </w:r>
            </w:hyperlink>
          </w:p>
        </w:tc>
        <w:tc>
          <w:tcPr>
            <w:tcW w:w="8320" w:type="dxa"/>
            <w:vAlign w:val="bottom"/>
            <w:gridSpan w:val="15"/>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8"/>
        </w:trPr>
        <w:tc>
          <w:tcPr>
            <w:tcW w:w="1060" w:type="dxa"/>
            <w:vAlign w:val="bottom"/>
            <w:gridSpan w:val="3"/>
          </w:tcPr>
          <w:p>
            <w:pPr>
              <w:spacing w:after="0"/>
              <w:rPr>
                <w:sz w:val="20"/>
                <w:szCs w:val="20"/>
                <w:color w:val="auto"/>
              </w:rPr>
            </w:pPr>
            <w:r>
              <w:rPr>
                <w:rFonts w:ascii="Arial" w:cs="Arial" w:eastAsia="Arial" w:hAnsi="Arial"/>
                <w:sz w:val="18"/>
                <w:szCs w:val="18"/>
                <w:color w:val="auto"/>
              </w:rPr>
              <w:t>Item 6.</w:t>
            </w:r>
          </w:p>
        </w:tc>
        <w:tc>
          <w:tcPr>
            <w:tcW w:w="9640" w:type="dxa"/>
            <w:vAlign w:val="bottom"/>
            <w:gridSpan w:val="2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8"/>
        </w:trPr>
        <w:tc>
          <w:tcPr>
            <w:tcW w:w="700" w:type="dxa"/>
            <w:vAlign w:val="bottom"/>
            <w:tcBorders>
              <w:bottom w:val="single" w:sz="8" w:color="0000EE"/>
            </w:tcBorders>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Signature</w:t>
              </w:r>
            </w:hyperlink>
          </w:p>
        </w:tc>
        <w:tc>
          <w:tcPr>
            <w:tcW w:w="360" w:type="dxa"/>
            <w:vAlign w:val="bottom"/>
            <w:gridSpan w:val="2"/>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100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41">
              <w:r>
                <w:rPr>
                  <w:rFonts w:ascii="Arial" w:cs="Arial" w:eastAsia="Arial" w:hAnsi="Arial"/>
                  <w:sz w:val="18"/>
                  <w:szCs w:val="18"/>
                  <w:color w:val="0000EE"/>
                  <w:w w:val="95"/>
                </w:rPr>
                <w:t>Exhibit Index</w:t>
              </w:r>
            </w:hyperlink>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0" w:type="dxa"/>
            <w:vAlign w:val="bottom"/>
            <w:vMerge w:val="restart"/>
          </w:tcPr>
          <w:p>
            <w:pPr>
              <w:ind w:left="314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July 1, 2017</w:t>
            </w:r>
          </w:p>
        </w:tc>
        <w:tc>
          <w:tcPr>
            <w:tcW w:w="240" w:type="dxa"/>
            <w:vAlign w:val="bottom"/>
          </w:tcPr>
          <w:p>
            <w:pPr>
              <w:spacing w:after="0"/>
              <w:rPr>
                <w:sz w:val="14"/>
                <w:szCs w:val="14"/>
                <w:color w:val="auto"/>
              </w:rPr>
            </w:pPr>
          </w:p>
        </w:tc>
        <w:tc>
          <w:tcPr>
            <w:tcW w:w="20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 2016 (1)</w:t>
            </w:r>
          </w:p>
        </w:tc>
        <w:tc>
          <w:tcPr>
            <w:tcW w:w="0" w:type="dxa"/>
            <w:vAlign w:val="bottom"/>
          </w:tcPr>
          <w:p>
            <w:pPr>
              <w:spacing w:after="0"/>
              <w:rPr>
                <w:sz w:val="1"/>
                <w:szCs w:val="1"/>
                <w:color w:val="auto"/>
              </w:rPr>
            </w:pPr>
          </w:p>
        </w:tc>
      </w:tr>
      <w:tr>
        <w:trPr>
          <w:trHeight w:val="223"/>
        </w:trPr>
        <w:tc>
          <w:tcPr>
            <w:tcW w:w="7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24,594</w:t>
            </w:r>
          </w:p>
        </w:tc>
        <w:tc>
          <w:tcPr>
            <w:tcW w:w="3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23,747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 of allowance for doubtful accounts of</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$240 as of July 1, 2017 and $230 as of December 31, 2016</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7,049</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11,388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11,643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43,519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45,865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1,561</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45,786</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48,144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ind w:left="150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1,781</w:t>
            </w:r>
          </w:p>
        </w:tc>
        <w:tc>
          <w:tcPr>
            <w:tcW w:w="3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1,994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2,158</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1,804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2,135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warranty</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7,754</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Long-term liabilities: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8,196</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w w:val="90"/>
              </w:rPr>
              <w:t>Preferred stock, $0.01 par value, 2,000,000 shares authorized, no shares issued and outstanding</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$0.01 par value:</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Authorized: 30,000,000 shares;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Issued and outstanding 11,559,444 and 11,304,736 shares</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 of July 1, 2017 and December 31, 2016, respectively</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58,202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55,158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(20,738)</w:t>
            </w:r>
          </w:p>
        </w:tc>
        <w:tc>
          <w:tcPr>
            <w:tcW w:w="24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(16,122)</w:t>
            </w: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37,590</w:t>
            </w:r>
          </w:p>
        </w:tc>
        <w:tc>
          <w:tcPr>
            <w:tcW w:w="3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45,786</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48,144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20" w:right="62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Derived from the audited consolidated financial statements included in the Annual Report on Form 10-K filed with the SEC for the year ended December 31, 2016.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42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14"/>
                <w:szCs w:val="14"/>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July 1, 2017</w:t>
            </w:r>
          </w:p>
        </w:tc>
        <w:tc>
          <w:tcPr>
            <w:tcW w:w="18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July 2, 2016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July 1, 2017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July 2, 2016</w:t>
            </w:r>
          </w:p>
        </w:tc>
        <w:tc>
          <w:tcPr>
            <w:tcW w:w="0" w:type="dxa"/>
            <w:vAlign w:val="bottom"/>
          </w:tcPr>
          <w:p>
            <w:pPr>
              <w:spacing w:after="0"/>
              <w:rPr>
                <w:sz w:val="1"/>
                <w:szCs w:val="1"/>
                <w:color w:val="auto"/>
              </w:rPr>
            </w:pPr>
          </w:p>
        </w:tc>
      </w:tr>
      <w:tr>
        <w:trPr>
          <w:trHeight w:val="223"/>
        </w:trPr>
        <w:tc>
          <w:tcPr>
            <w:tcW w:w="5420" w:type="dxa"/>
            <w:vAlign w:val="bottom"/>
            <w:vMerge w:val="continue"/>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10,002</w:t>
            </w:r>
          </w:p>
        </w:tc>
        <w:tc>
          <w:tcPr>
            <w:tcW w:w="2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11,908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20,485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5,507</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4,495</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7,236</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13,559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(2,741)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(4,599)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w w:val="98"/>
              </w:rPr>
              <w:t>Loss from operations before provision for (benefit from) income taxes</w:t>
            </w: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(2,742)</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(benefit from) income taxes</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63"/>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2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(4,616)</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420" w:type="dxa"/>
            <w:vAlign w:val="bottom"/>
          </w:tcPr>
          <w:p>
            <w:pPr>
              <w:ind w:left="26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(0.24)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0"/>
        </w:trPr>
        <w:tc>
          <w:tcPr>
            <w:tcW w:w="54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w w:val="92"/>
              </w:rPr>
              <w:t>Weighted average shares used in computing net loss per common share:</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11,546</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10,085</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11,532</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11,546</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60" w:type="dxa"/>
            <w:vAlign w:val="bottom"/>
            <w:gridSpan w:val="3"/>
          </w:tcPr>
          <w:p>
            <w:pPr>
              <w:jc w:val="right"/>
              <w:ind w:right="576"/>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80" w:type="dxa"/>
            <w:vAlign w:val="bottom"/>
            <w:gridSpan w:val="6"/>
          </w:tcPr>
          <w:p>
            <w:pPr>
              <w:ind w:left="8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20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4"/>
                <w:szCs w:val="14"/>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1, 2017</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July 2, 2016</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1, 2017</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2, 2016</w:t>
            </w:r>
          </w:p>
        </w:tc>
        <w:tc>
          <w:tcPr>
            <w:tcW w:w="0" w:type="dxa"/>
            <w:vAlign w:val="bottom"/>
          </w:tcPr>
          <w:p>
            <w:pPr>
              <w:spacing w:after="0"/>
              <w:rPr>
                <w:sz w:val="1"/>
                <w:szCs w:val="1"/>
                <w:color w:val="auto"/>
              </w:rPr>
            </w:pPr>
          </w:p>
        </w:tc>
      </w:tr>
      <w:tr>
        <w:trPr>
          <w:trHeight w:val="223"/>
        </w:trPr>
        <w:tc>
          <w:tcPr>
            <w:tcW w:w="4200" w:type="dxa"/>
            <w:vAlign w:val="bottom"/>
            <w:vMerge w:val="continue"/>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280" w:type="dxa"/>
            <w:vAlign w:val="bottom"/>
          </w:tcPr>
          <w:p>
            <w:pPr>
              <w:spacing w:after="0"/>
              <w:rPr>
                <w:sz w:val="19"/>
                <w:szCs w:val="19"/>
                <w:color w:val="auto"/>
              </w:rPr>
            </w:pPr>
          </w:p>
        </w:tc>
        <w:tc>
          <w:tcPr>
            <w:tcW w:w="1180" w:type="dxa"/>
            <w:vAlign w:val="bottom"/>
            <w:tcBorders>
              <w:top w:val="single" w:sz="8" w:color="auto"/>
            </w:tcBorders>
          </w:tcPr>
          <w:p>
            <w:pPr>
              <w:jc w:val="right"/>
              <w:ind w:right="99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(328)</w:t>
            </w:r>
          </w:p>
        </w:tc>
        <w:tc>
          <w:tcPr>
            <w:tcW w:w="28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 net of tax</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2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99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(328)</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(4,616)</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July 1, 2017</w:t>
            </w:r>
          </w:p>
        </w:tc>
        <w:tc>
          <w:tcPr>
            <w:tcW w:w="138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Six Months Ended</w:t>
            </w:r>
          </w:p>
        </w:tc>
        <w:tc>
          <w:tcPr>
            <w:tcW w:w="154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July 2, 2016</w:t>
            </w:r>
          </w:p>
        </w:tc>
        <w:tc>
          <w:tcPr>
            <w:tcW w:w="0" w:type="dxa"/>
            <w:vAlign w:val="bottom"/>
          </w:tcPr>
          <w:p>
            <w:pPr>
              <w:spacing w:after="0"/>
              <w:rPr>
                <w:sz w:val="1"/>
                <w:szCs w:val="1"/>
                <w:color w:val="auto"/>
              </w:rPr>
            </w:pPr>
          </w:p>
        </w:tc>
      </w:tr>
      <w:tr>
        <w:trPr>
          <w:trHeight w:val="147"/>
        </w:trPr>
        <w:tc>
          <w:tcPr>
            <w:tcW w:w="6340" w:type="dxa"/>
            <w:vAlign w:val="bottom"/>
            <w:vMerge w:val="restart"/>
          </w:tcPr>
          <w:p>
            <w:pPr>
              <w:spacing w:after="0"/>
              <w:rPr>
                <w:sz w:val="20"/>
                <w:szCs w:val="20"/>
                <w:color w:val="auto"/>
              </w:rPr>
            </w:pPr>
            <w:r>
              <w:rPr>
                <w:rFonts w:ascii="Arial" w:cs="Arial" w:eastAsia="Arial" w:hAnsi="Arial"/>
                <w:sz w:val="18"/>
                <w:szCs w:val="18"/>
                <w:color w:val="auto"/>
              </w:rPr>
              <w:t>Operating activities:</w:t>
            </w:r>
          </w:p>
        </w:tc>
        <w:tc>
          <w:tcPr>
            <w:tcW w:w="8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634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160" w:type="dxa"/>
            <w:vAlign w:val="bottom"/>
            <w:gridSpan w:val="2"/>
            <w:shd w:val="clear" w:color="auto" w:fill="CFF0FC"/>
          </w:tcPr>
          <w:p>
            <w:pPr>
              <w:jc w:val="right"/>
              <w:ind w:right="120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(4,616)</w:t>
            </w:r>
          </w:p>
        </w:tc>
        <w:tc>
          <w:tcPr>
            <w:tcW w:w="64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5"/>
        </w:trPr>
        <w:tc>
          <w:tcPr>
            <w:tcW w:w="634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provided by operating</w:t>
            </w:r>
          </w:p>
        </w:tc>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140"/>
              <w:spacing w:after="0"/>
              <w:rPr>
                <w:sz w:val="20"/>
                <w:szCs w:val="20"/>
                <w:color w:val="auto"/>
              </w:rPr>
            </w:pPr>
            <w:r>
              <w:rPr>
                <w:rFonts w:ascii="Arial" w:cs="Arial" w:eastAsia="Arial" w:hAnsi="Arial"/>
                <w:sz w:val="18"/>
                <w:szCs w:val="18"/>
                <w:color w:val="auto"/>
              </w:rPr>
              <w:t>activities:</w:t>
            </w:r>
          </w:p>
        </w:tc>
        <w:tc>
          <w:tcPr>
            <w:tcW w:w="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8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Change in fair value of earn-out liability</w:t>
            </w:r>
          </w:p>
        </w:tc>
        <w:tc>
          <w:tcPr>
            <w:tcW w:w="8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8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8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8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8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Inventories</w:t>
            </w:r>
          </w:p>
        </w:tc>
        <w:tc>
          <w:tcPr>
            <w:tcW w:w="8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30"/>
        </w:trPr>
        <w:tc>
          <w:tcPr>
            <w:tcW w:w="634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8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long-term assets</w:t>
            </w:r>
          </w:p>
        </w:tc>
        <w:tc>
          <w:tcPr>
            <w:tcW w:w="8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8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compensation</w:t>
            </w:r>
          </w:p>
        </w:tc>
        <w:tc>
          <w:tcPr>
            <w:tcW w:w="8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500"/>
              <w:spacing w:after="0"/>
              <w:rPr>
                <w:sz w:val="20"/>
                <w:szCs w:val="20"/>
                <w:color w:val="auto"/>
              </w:rPr>
            </w:pPr>
            <w:r>
              <w:rPr>
                <w:rFonts w:ascii="Arial" w:cs="Arial" w:eastAsia="Arial" w:hAnsi="Arial"/>
                <w:sz w:val="18"/>
                <w:szCs w:val="18"/>
                <w:color w:val="auto"/>
              </w:rPr>
              <w:t>Accrued expenses</w:t>
            </w:r>
          </w:p>
        </w:tc>
        <w:tc>
          <w:tcPr>
            <w:tcW w:w="8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warranty</w:t>
            </w:r>
          </w:p>
        </w:tc>
        <w:tc>
          <w:tcPr>
            <w:tcW w:w="8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8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long-term liabilities</w:t>
            </w:r>
          </w:p>
        </w:tc>
        <w:tc>
          <w:tcPr>
            <w:tcW w:w="800" w:type="dxa"/>
            <w:vAlign w:val="bottom"/>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provided by operating activities</w:t>
            </w:r>
          </w:p>
        </w:tc>
        <w:tc>
          <w:tcPr>
            <w:tcW w:w="80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8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500"/>
              <w:spacing w:after="0"/>
              <w:rPr>
                <w:sz w:val="20"/>
                <w:szCs w:val="20"/>
                <w:color w:val="auto"/>
              </w:rPr>
            </w:pPr>
            <w:r>
              <w:rPr>
                <w:rFonts w:ascii="Arial" w:cs="Arial" w:eastAsia="Arial" w:hAnsi="Arial"/>
                <w:sz w:val="18"/>
                <w:szCs w:val="18"/>
                <w:color w:val="auto"/>
              </w:rPr>
              <w:t>Acquisition of property and equipment</w:t>
            </w:r>
          </w:p>
        </w:tc>
        <w:tc>
          <w:tcPr>
            <w:tcW w:w="8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(436)</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Payment on earn-out liability</w:t>
            </w:r>
          </w:p>
        </w:tc>
        <w:tc>
          <w:tcPr>
            <w:tcW w:w="8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3"/>
        </w:trPr>
        <w:tc>
          <w:tcPr>
            <w:tcW w:w="6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800" w:type="dxa"/>
            <w:vAlign w:val="bottom"/>
            <w:tcBorders>
              <w:bottom w:val="single" w:sz="8" w:color="CFF0FC"/>
            </w:tcBorders>
          </w:tcPr>
          <w:p>
            <w:pPr>
              <w:spacing w:after="0"/>
              <w:rPr>
                <w:sz w:val="19"/>
                <w:szCs w:val="19"/>
                <w:color w:val="auto"/>
              </w:rPr>
            </w:pPr>
          </w:p>
        </w:tc>
        <w:tc>
          <w:tcPr>
            <w:tcW w:w="13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8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500"/>
              <w:spacing w:after="0"/>
              <w:rPr>
                <w:sz w:val="20"/>
                <w:szCs w:val="20"/>
                <w:color w:val="auto"/>
              </w:rPr>
            </w:pPr>
            <w:r>
              <w:rPr>
                <w:rFonts w:ascii="Arial" w:cs="Arial" w:eastAsia="Arial" w:hAnsi="Arial"/>
                <w:sz w:val="18"/>
                <w:szCs w:val="18"/>
                <w:color w:val="auto"/>
              </w:rPr>
              <w:t>Proceeds from issuance of common stock, net of issuance costs</w:t>
            </w:r>
          </w:p>
        </w:tc>
        <w:tc>
          <w:tcPr>
            <w:tcW w:w="8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2,263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stock option exercises</w:t>
            </w:r>
          </w:p>
        </w:tc>
        <w:tc>
          <w:tcPr>
            <w:tcW w:w="8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500"/>
              <w:spacing w:after="0"/>
              <w:rPr>
                <w:sz w:val="20"/>
                <w:szCs w:val="20"/>
                <w:color w:val="auto"/>
              </w:rPr>
            </w:pPr>
            <w:r>
              <w:rPr>
                <w:rFonts w:ascii="Arial" w:cs="Arial" w:eastAsia="Arial" w:hAnsi="Arial"/>
                <w:sz w:val="18"/>
                <w:szCs w:val="18"/>
                <w:color w:val="auto"/>
              </w:rPr>
              <w:t>Taxes paid related to net share settlements of equity awards</w:t>
            </w:r>
          </w:p>
        </w:tc>
        <w:tc>
          <w:tcPr>
            <w:tcW w:w="8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Repurchase of common stock</w:t>
            </w:r>
          </w:p>
        </w:tc>
        <w:tc>
          <w:tcPr>
            <w:tcW w:w="8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6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800" w:type="dxa"/>
            <w:vAlign w:val="bottom"/>
            <w:tcBorders>
              <w:bottom w:val="single" w:sz="8" w:color="CFF0FC"/>
            </w:tcBorders>
          </w:tcPr>
          <w:p>
            <w:pPr>
              <w:spacing w:after="0"/>
              <w:rPr>
                <w:sz w:val="19"/>
                <w:szCs w:val="19"/>
                <w:color w:val="auto"/>
              </w:rPr>
            </w:pPr>
          </w:p>
        </w:tc>
        <w:tc>
          <w:tcPr>
            <w:tcW w:w="13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2,210</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and cash equivalents</w:t>
            </w:r>
          </w:p>
        </w:tc>
        <w:tc>
          <w:tcPr>
            <w:tcW w:w="8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80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23,747</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80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120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24,594</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8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during the period for:</w:t>
            </w:r>
          </w:p>
        </w:tc>
        <w:tc>
          <w:tcPr>
            <w:tcW w:w="8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500"/>
              <w:spacing w:after="0"/>
              <w:rPr>
                <w:sz w:val="20"/>
                <w:szCs w:val="20"/>
                <w:color w:val="auto"/>
              </w:rPr>
            </w:pPr>
            <w:r>
              <w:rPr>
                <w:rFonts w:ascii="Arial" w:cs="Arial" w:eastAsia="Arial" w:hAnsi="Arial"/>
                <w:sz w:val="18"/>
                <w:szCs w:val="18"/>
                <w:color w:val="auto"/>
              </w:rPr>
              <w:t>Income taxes</w:t>
            </w:r>
          </w:p>
        </w:tc>
        <w:tc>
          <w:tcPr>
            <w:tcW w:w="2160" w:type="dxa"/>
            <w:vAlign w:val="bottom"/>
            <w:gridSpan w:val="2"/>
          </w:tcPr>
          <w:p>
            <w:pPr>
              <w:jc w:val="right"/>
              <w:ind w:right="120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0"/>
                <w:szCs w:val="20"/>
                <w:color w:val="auto"/>
              </w:rPr>
            </w:pPr>
          </w:p>
        </w:tc>
        <w:tc>
          <w:tcPr>
            <w:tcW w:w="64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accompanying unaudited condensed consolidated financial statements of IRIDEX Corporation (“IRIDEX”, the “Company”, “we”, “our”, or “us”) have been prepared in accordance with accounting principles generally accepted in the United States (“U.S. GAAP”) for interim financial information and pursuant to the instructions to Form 10-Q and Article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of the financial statements have been included.</w:t>
      </w:r>
    </w:p>
    <w:p>
      <w:pPr>
        <w:spacing w:after="0" w:line="188"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The accompanying unaudited condensed consolidated financial statements should be read in conjunction with the audited consolidated financial statements and notes thereto, together with management’s discussion and analysis of the Company’s financial condition and results of operations, contained in our Annual Report on Form 10-K for the fiscal year ended December 31, 2016, which was filed with the Securities and Exchange Commission (“SEC”) on March 15, 2017. The results of operations for the three and six months ended July 1, 2017 and July 2, 2016 are not necessarily indicative of the results for the fiscal year ending December 30, 2017 or any future interim period. The three months periods ended July 1, 2017 and July 2, 2016, each had 13 weeks. For purposes of reporting the financial results, the Company’s fiscal years end on the Saturday closest to the end of December. Periodically, the Company includes a 53rd week to a year in order to end that year on the Saturday closest to the end of December.</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Company’s significant accounting policies are disclosed in our Annual Report on Form 10-K for the year ended December 31, 2016, which was filed with the SEC on March 15,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Presentation.</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unaudited condensed consolidated financial statements include the accounts of the Company and our wholly owned subsidiaries. All significant intercompany accounts and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The preparation of unaudited condensed consolidated financial statements in conformity with U.S. GAAP requires us to make estimates and judgments that affect the reported amounts of assets, liabilities, revenues, and expenses and the related disclosure of contingent assets and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our operating results.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 xml:space="preserve">Our revenues arise from the sale of laser consoles, delivery devices, consumables and service and support activities. Revenue from product sales is recognized upon receipt of a purchase order and product shipment provided that no significant obligations remain and collectibility is reasonably assured. Shipments are generally made with Free-On-Board (“FOB”) shipping point terms, whereby title passes upon shipment from our dock. Any shipments with FOB receiving point terms are recorded as revenue when the shipment arrives at the receiving point. Cost is recognized as product sales revenue is recognized. The Company’s sales may include post-sales obligations for training or other deliverables. For revenue arrangements such as these, we recognize revenue in accordance with Accounting Standards Codification (“ASC”) 605, </w:t>
      </w:r>
      <w:r>
        <w:rPr>
          <w:rFonts w:ascii="Arial" w:cs="Arial" w:eastAsia="Arial" w:hAnsi="Arial"/>
          <w:sz w:val="16"/>
          <w:szCs w:val="16"/>
          <w:i w:val="1"/>
          <w:iCs w:val="1"/>
          <w:color w:val="auto"/>
        </w:rPr>
        <w:t>“Revenue Recognition, Multiple-Element Arrangements”</w:t>
      </w:r>
      <w:r>
        <w:rPr>
          <w:rFonts w:ascii="Arial" w:cs="Arial" w:eastAsia="Arial" w:hAnsi="Arial"/>
          <w:sz w:val="16"/>
          <w:szCs w:val="16"/>
          <w:color w:val="auto"/>
        </w:rPr>
        <w:t>. The Company allocates revenue among deliverables in multiple-element arrangements using the relative selling price method. Revenue allocated to each element is recognized when the basic revenue recognition criteria is met for each element. The Company is required to apply a hierarchy to determine the selling price to be used for allocating revenue to deliverables: (i) vendor-specific objective evidence of selling price (“VSOE”), (ii) third-party evidence of selling price (“TPE”) and (iii) best estimate of the selling price (“ESP”). In general, the Company is unable to establish VSOE or TPE for all of the elements in the arrangement; therefore, revenue is allocated to these elements based on the Company’s ESP, which the Company determines after considering multiple factors such as management approved pricing guidelines, geographic differences, market conditions, competitor pricing strategies, internal costs and gross margin objectives. These factors may vary over time depending upon the unique facts and circumstances related to each deliverable. As a result, the Company’s ESP for products and services could change. Revenues for post-sales obligations are recognized as the obligations are fulfilled.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ind w:right="40" w:firstLine="518"/>
        <w:spacing w:after="0" w:line="259" w:lineRule="auto"/>
        <w:rPr>
          <w:sz w:val="20"/>
          <w:szCs w:val="20"/>
          <w:color w:val="auto"/>
        </w:rPr>
      </w:pPr>
      <w:r>
        <w:rPr>
          <w:rFonts w:ascii="Arial" w:cs="Arial" w:eastAsia="Arial" w:hAnsi="Arial"/>
          <w:sz w:val="18"/>
          <w:szCs w:val="18"/>
          <w:color w:val="auto"/>
        </w:rPr>
        <w:t>In international regions, we utilize distributors to market and sell our products. We recognize revenue upon shipment for sales to these independent, third-party distributors as we have no continuing obligations subsequent to shipment. Generally our distributors are responsible for all marketing, sales, installation, training and warranty labor coverage for our products. Our standard terms and conditions do not provide price protection or stock retention rights to any of our distributors.</w:t>
      </w:r>
    </w:p>
    <w:p>
      <w:pPr>
        <w:spacing w:after="0" w:line="18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Royalty revenues are typically based on licensees’ net sales of products that utilize our technology and are recognized as earned in accordance with the contract terms when royalties from licensees can be reliably measured and collectibility is reasonably assured, such as upon the earlier of the receipt of a royalty statement from the licensee or upon payment by the licensee.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Our cash and cash equivalents are deposited in demand and money market accounts. Deposits held with banks may exceed the amount of insurance provided on such deposits. Generally these deposits may be redeemed upon demand and therefore, bear minimal risk.</w:t>
      </w:r>
    </w:p>
    <w:p>
      <w:pPr>
        <w:spacing w:after="0" w:line="170"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market our products to distributors and end-users throughout the world. Sales to international distributors are generally made on open credit terms and letters of credit. Management performs ongoing credit evaluations of our customers and maintains an allowance for potential credit losses. Historically, we have not experienced any significant losses related to individual customers or a group of customers in any particular geographic area. For the three and six months periods ended July 1, 2017 and July 2, 2016 no single customer accounted for more than 10% of total revenues. As of July 1, 2017 and December 31, 2016, no customer accounted for over 10% of our accounts receivable.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Collected from Customers and Remitted to Governmental Authorities.</w:t>
      </w:r>
    </w:p>
    <w:p>
      <w:pPr>
        <w:spacing w:after="0" w:line="11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Taxes collected from customers and remitted to governmental authorities are recognized on a net basis in the accompanying condensed consolidated statements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11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Our shipping and handling costs billed to customers are included in revenues and the associated expense is recorded in cost of revenues for all periods presented.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Revenue related to extended service contracts is deferred and recognized on a straight line basis over the period of the applicable service contract.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Costs associated with these service arrangements are recognized as incurred.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 reconciliation of the changes in the Company’s deferred revenue balance for the six months ended July 1, 2017 and July 2, 2016 is as follows:</w:t>
      </w:r>
    </w:p>
    <w:p>
      <w:pPr>
        <w:spacing w:after="0" w:line="9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w w:val="97"/>
              </w:rPr>
              <w:t>Six Months Ended</w:t>
            </w:r>
          </w:p>
        </w:tc>
        <w:tc>
          <w:tcPr>
            <w:tcW w:w="1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July 1, 2017</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9"/>
              </w:rPr>
              <w:t>July 2, 2016</w:t>
            </w:r>
          </w:p>
        </w:tc>
      </w:tr>
      <w:tr>
        <w:trPr>
          <w:trHeight w:val="223"/>
        </w:trPr>
        <w:tc>
          <w:tcPr>
            <w:tcW w:w="20" w:type="dxa"/>
            <w:vAlign w:val="bottom"/>
          </w:tcPr>
          <w:p>
            <w:pPr>
              <w:spacing w:after="0"/>
              <w:rPr>
                <w:sz w:val="19"/>
                <w:szCs w:val="19"/>
                <w:color w:val="auto"/>
              </w:rPr>
            </w:pPr>
          </w:p>
        </w:tc>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340" w:type="dxa"/>
            <w:vAlign w:val="bottom"/>
            <w:tcBorders>
              <w:top w:val="single" w:sz="8" w:color="auto"/>
            </w:tcBorders>
            <w:shd w:val="clear" w:color="auto" w:fill="CFF0FC"/>
          </w:tcPr>
          <w:p>
            <w:pPr>
              <w:jc w:val="right"/>
              <w:ind w:right="11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1,383</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Additions to deferral</w:t>
            </w:r>
          </w:p>
        </w:tc>
        <w:tc>
          <w:tcPr>
            <w:tcW w:w="13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Revenue recognized</w:t>
            </w:r>
          </w:p>
        </w:tc>
        <w:tc>
          <w:tcPr>
            <w:tcW w:w="13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(628)</w:t>
            </w: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(680)</w:t>
            </w: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Balance, end of period</w:t>
            </w:r>
          </w:p>
        </w:tc>
        <w:tc>
          <w:tcPr>
            <w:tcW w:w="1340" w:type="dxa"/>
            <w:vAlign w:val="bottom"/>
            <w:tcBorders>
              <w:top w:val="single" w:sz="8" w:color="auto"/>
              <w:bottom w:val="single" w:sz="8" w:color="auto"/>
            </w:tcBorders>
          </w:tcPr>
          <w:p>
            <w:pPr>
              <w:jc w:val="right"/>
              <w:ind w:right="11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In March 2017, the Company began offering a 5 year warranty on the laser heads for its IQ 532/577 laser consoles. The Company has previously provided a one to two year warranty on its products, which is accrued for upon shipment of products. Actual warranty costs incurred have not materially differed from those accrued. The Company’s warranty policy is applicable to products which are considered defective in their performance or fail to meet the product specifications. Warranty costs are reflected in the statement of operations as cost of revenues.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8" w:name="page9"/>
    <w:bookmarkEnd w:id="8"/>
    <w:p>
      <w:pPr>
        <w:ind w:left="520"/>
        <w:spacing w:after="0"/>
        <w:rPr>
          <w:sz w:val="20"/>
          <w:szCs w:val="20"/>
          <w:color w:val="auto"/>
        </w:rPr>
      </w:pPr>
      <w:r>
        <w:rPr>
          <w:rFonts w:ascii="Arial" w:cs="Arial" w:eastAsia="Arial" w:hAnsi="Arial"/>
          <w:sz w:val="18"/>
          <w:szCs w:val="18"/>
          <w:color w:val="auto"/>
        </w:rPr>
        <w:t>A reconciliation of the changes in the Company’s warranty liability for the six months ended July 1, 2017 and July 2, 2016 is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w w:val="97"/>
              </w:rPr>
              <w:t>Six Months Ended</w:t>
            </w:r>
          </w:p>
        </w:tc>
        <w:tc>
          <w:tcPr>
            <w:tcW w:w="1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380" w:type="dxa"/>
            <w:vAlign w:val="bottom"/>
          </w:tcPr>
          <w:p>
            <w:pPr>
              <w:jc w:val="right"/>
              <w:ind w:right="6"/>
              <w:spacing w:after="0"/>
              <w:rPr>
                <w:sz w:val="20"/>
                <w:szCs w:val="20"/>
                <w:color w:val="auto"/>
              </w:rPr>
            </w:pPr>
            <w:r>
              <w:rPr>
                <w:rFonts w:ascii="Arial" w:cs="Arial" w:eastAsia="Arial" w:hAnsi="Arial"/>
                <w:sz w:val="14"/>
                <w:szCs w:val="14"/>
                <w:b w:val="1"/>
                <w:bCs w:val="1"/>
                <w:color w:val="auto"/>
              </w:rPr>
              <w:t>July 1, 2017</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9"/>
              </w:rPr>
              <w:t>July 2, 2016</w:t>
            </w:r>
          </w:p>
        </w:tc>
      </w:tr>
      <w:tr>
        <w:trPr>
          <w:trHeight w:val="223"/>
        </w:trPr>
        <w:tc>
          <w:tcPr>
            <w:tcW w:w="20" w:type="dxa"/>
            <w:vAlign w:val="bottom"/>
          </w:tcPr>
          <w:p>
            <w:pPr>
              <w:spacing w:after="0"/>
              <w:rPr>
                <w:sz w:val="19"/>
                <w:szCs w:val="19"/>
                <w:color w:val="auto"/>
              </w:rPr>
            </w:pPr>
          </w:p>
        </w:tc>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380" w:type="dxa"/>
            <w:vAlign w:val="bottom"/>
            <w:tcBorders>
              <w:top w:val="single" w:sz="8" w:color="auto"/>
            </w:tcBorders>
            <w:shd w:val="clear" w:color="auto" w:fill="CFF0FC"/>
          </w:tcPr>
          <w:p>
            <w:pPr>
              <w:jc w:val="right"/>
              <w:ind w:right="122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Accruals for product warranties</w:t>
            </w:r>
          </w:p>
        </w:tc>
        <w:tc>
          <w:tcPr>
            <w:tcW w:w="1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Cost of warranty claims</w:t>
            </w:r>
          </w:p>
        </w:tc>
        <w:tc>
          <w:tcPr>
            <w:tcW w:w="13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(140)</w:t>
            </w: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(225)</w:t>
            </w: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Balance, end of period</w:t>
            </w:r>
          </w:p>
        </w:tc>
        <w:tc>
          <w:tcPr>
            <w:tcW w:w="1380" w:type="dxa"/>
            <w:vAlign w:val="bottom"/>
            <w:tcBorders>
              <w:top w:val="single" w:sz="8" w:color="auto"/>
              <w:bottom w:val="single" w:sz="8" w:color="auto"/>
            </w:tcBorders>
          </w:tcPr>
          <w:p>
            <w:pPr>
              <w:jc w:val="right"/>
              <w:ind w:right="122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and Adopted Accounting Standards.</w:t>
      </w:r>
    </w:p>
    <w:p>
      <w:pPr>
        <w:spacing w:after="0" w:line="225"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In May 2014, as part of its ongoing efforts to assist in the convergence of accounting principles generally accepted in the United States (“U.S. GAAP”) and International Financial Reporting Standards (“IFRS”), the Financial Accounting Standards Board (“FASB”) issued Accounting Standards Update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The new guidance sets forth a new five-step revenue recognition model which replaces the prior revenue recognition guidance in its entirety and is intended to eliminate numerous industry-specific pieces of revenue recognition guidance that have historically existed in U.S. GAAP. The underlying principle of the new standard is that a business or other organization will recognize revenue to depict the transfer of promised goods or services to customers in an amount that reflects what it expects in exchange for the goods or services. The standard also requires more detailed disclosures and provides additional guidance for transactions that were not addressed completely in the prior accounting guidance. The ASU provides alternative methods of initial adoption and is effective for annual and interim periods beginning after December 15, 2017. The FASB has issued several updates to the standard which i) defer the original effective date from January 1, 2017 to January 1, 2018, while allowing for early adoption as of January 1, 2017 (ASU 2015-14); ii) clarify the application of the principal versus agent guidance (ASU 2016-08); iii) clarify the guidance on inconsequential and perfunctory promises and licensing (ASU 2016-10); and (iv) clarify the guidance on certain sections of the guidance providing technical corrections and improvements (ASU 2016-10). In May 2016, the FASB issued ASU 2016-12, “</w:t>
      </w:r>
      <w:r>
        <w:rPr>
          <w:rFonts w:ascii="Arial" w:cs="Arial" w:eastAsia="Arial" w:hAnsi="Arial"/>
          <w:sz w:val="16"/>
          <w:szCs w:val="16"/>
          <w:i w:val="1"/>
          <w:iCs w:val="1"/>
          <w:color w:val="auto"/>
        </w:rPr>
        <w:t>Revenue from Contracts with Customers (Topic 606) Narrow-Scope Improvements and Practical Expedients</w:t>
      </w:r>
      <w:r>
        <w:rPr>
          <w:rFonts w:ascii="Arial" w:cs="Arial" w:eastAsia="Arial" w:hAnsi="Arial"/>
          <w:sz w:val="16"/>
          <w:szCs w:val="16"/>
          <w:color w:val="auto"/>
        </w:rPr>
        <w:t>”, to address certain narrow aspects of the guidance including collectibility criterion, collection of sales taxes</w:t>
      </w:r>
      <w:r>
        <w:rPr>
          <w:rFonts w:ascii="Arial" w:cs="Arial" w:eastAsia="Arial" w:hAnsi="Arial"/>
          <w:sz w:val="16"/>
          <w:szCs w:val="16"/>
          <w:i w:val="1"/>
          <w:iCs w:val="1"/>
          <w:color w:val="auto"/>
        </w:rPr>
        <w:t xml:space="preserve"> </w:t>
      </w:r>
      <w:r>
        <w:rPr>
          <w:rFonts w:ascii="Arial" w:cs="Arial" w:eastAsia="Arial" w:hAnsi="Arial"/>
          <w:sz w:val="16"/>
          <w:szCs w:val="16"/>
          <w:color w:val="auto"/>
        </w:rPr>
        <w:t>from customers, noncash consideration, contract modifications and completed contracts. This issuance does not change the core principle of the guidance in the initial topic issued in May 2014. We currently anticipate adopting the standard using the modified retrospective method. We are currently evaluating the impact of this new standard on our consolidated financial statements.</w:t>
      </w:r>
    </w:p>
    <w:p>
      <w:pPr>
        <w:spacing w:after="0" w:line="385" w:lineRule="exact"/>
        <w:rPr>
          <w:sz w:val="20"/>
          <w:szCs w:val="20"/>
          <w:color w:val="auto"/>
        </w:rPr>
      </w:pPr>
    </w:p>
    <w:p>
      <w:pPr>
        <w:ind w:right="180" w:firstLine="761"/>
        <w:spacing w:after="0" w:line="286" w:lineRule="auto"/>
        <w:rPr>
          <w:sz w:val="20"/>
          <w:szCs w:val="20"/>
          <w:color w:val="auto"/>
        </w:rPr>
      </w:pPr>
      <w:r>
        <w:rPr>
          <w:rFonts w:ascii="Arial" w:cs="Arial" w:eastAsia="Arial" w:hAnsi="Arial"/>
          <w:sz w:val="16"/>
          <w:szCs w:val="16"/>
          <w:color w:val="auto"/>
        </w:rPr>
        <w:t xml:space="preserve">In July 2015, the FASB issued ASU 2015-11, </w:t>
      </w:r>
      <w:r>
        <w:rPr>
          <w:rFonts w:ascii="Arial" w:cs="Arial" w:eastAsia="Arial" w:hAnsi="Arial"/>
          <w:sz w:val="16"/>
          <w:szCs w:val="16"/>
          <w:i w:val="1"/>
          <w:iCs w:val="1"/>
          <w:color w:val="auto"/>
        </w:rPr>
        <w:t>“Simplifying the Measurement of Inventory.”</w:t>
      </w:r>
      <w:r>
        <w:rPr>
          <w:rFonts w:ascii="Arial" w:cs="Arial" w:eastAsia="Arial" w:hAnsi="Arial"/>
          <w:sz w:val="16"/>
          <w:szCs w:val="16"/>
          <w:color w:val="auto"/>
        </w:rPr>
        <w:t xml:space="preserve"> Under this ASU, inventory will be measured at the “lower of cost and net realizable value” and options that currently exist for “market value” will be eliminated. The ASU defines net realizable value as the “estimated selling prices in the ordinary course of business, less reasonably predictable costs of completion, disposal, and transportation.” No other changes were made to the current guidance on inventory measurement. ASU 2015-11 is effective for interim and annual periods beginning after December 15,</w:t>
      </w:r>
    </w:p>
    <w:p>
      <w:pPr>
        <w:spacing w:after="0" w:line="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2016. We adopted this standard in the first quarter of fiscal 2017 and it did not have a material impact on our consolidated financial statements and related disclosures.</w:t>
      </w:r>
    </w:p>
    <w:p>
      <w:pPr>
        <w:spacing w:after="0" w:line="184" w:lineRule="exact"/>
        <w:rPr>
          <w:sz w:val="20"/>
          <w:szCs w:val="20"/>
          <w:color w:val="auto"/>
        </w:rPr>
      </w:pPr>
    </w:p>
    <w:p>
      <w:pPr>
        <w:ind w:right="20" w:firstLine="761"/>
        <w:spacing w:after="0" w:line="29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amending ASC 842. This ASU requires us to recognize on the balance sheet the assets and liabilities for the rights and obligations created by leases with terms of more than twelve months. This ASU also requires disclosures enabling the users of financial statements to understand the amount, timing and uncertainty of cash flows arising from leases. This new standard will become effective for annual periods beginning after December 15, 2018 (including interim reporting periods within those periods). Early adoption is permitted as of the beginning of an interim or annual reporting period. We are currently evaluating the impact of this new standard on our consolidated financial statements.</w:t>
      </w:r>
    </w:p>
    <w:p>
      <w:pPr>
        <w:spacing w:after="0" w:line="158" w:lineRule="exact"/>
        <w:rPr>
          <w:sz w:val="20"/>
          <w:szCs w:val="20"/>
          <w:color w:val="auto"/>
        </w:rPr>
      </w:pPr>
    </w:p>
    <w:p>
      <w:pPr>
        <w:ind w:right="60" w:firstLine="761"/>
        <w:spacing w:after="0" w:line="269"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xml:space="preserve"> This ASU affects entities that issue share-based payment awards to their employees. The ASU is designed to simplify several aspects of accounting for share-based payment award transactions, which include the income tax consequences, classification of awards as either equity or liabilities, classification on the statement of cash flows and forfeiture rate calculations. This ASU will become effective for annual periods beginning after December 15, 2016 (including interim reporting periods within those periods). If an entity early adopts the amendments in an interim period, any adjustments should be reflected as of the beginning of the fiscal year that includes that interim period. An entity that elects early adoption must adopt all of the amendments in the same period. We adopted this ASU 2016-09 in our first quarter of 2017 and it did not have a material impact on our consolidated financial statements. Starting in first quarter of 2017, stock-based compensation (“SBC”) excess tax benefits or deficiencies are reflected in the consolidated statements of income as a component of the provision for income taxes, whereas they previously were recognized in equity. Since the Company maintains a full valuation allowance this is not expected to have an impact on the financial statements. The Company has elected to continue to estimate expected forfeitures. The adoption of additional amendments related to the timing of when excess tax benefits are recognized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 w:name="page10"/>
    <w:bookmarkEnd w:id="9"/>
    <w:p>
      <w:pPr>
        <w:spacing w:after="0" w:line="272" w:lineRule="auto"/>
        <w:rPr>
          <w:sz w:val="20"/>
          <w:szCs w:val="20"/>
          <w:color w:val="auto"/>
        </w:rPr>
      </w:pPr>
      <w:r>
        <w:rPr>
          <w:rFonts w:ascii="Arial" w:cs="Arial" w:eastAsia="Arial" w:hAnsi="Arial"/>
          <w:sz w:val="17"/>
          <w:szCs w:val="17"/>
          <w:color w:val="auto"/>
        </w:rPr>
        <w:t>and the accounting for minimum statutory withholding tax requirements included in this guidance has no impact on our current condensed consolidated financial statements or on any prior period financial statements presented. This guidance also requires changes in the classification of shares withheld to pay employee taxes and excess tax benefits on the consolidated statements of cash flows. The amendments require cash paid by an employer when directly withholding shares for tax withholding purposes be classified as a financing activity, and be applied retrospectively to all prior periods presented. The amendments also require excess tax benefits be classified as an operating activity, consistent with other income tax cash flows, and may be applied either on a retrospective or prospective basis. We have elected to apply this amendment on a prospective basis, as there is no impact to our prior period consolidated statements of cash flows. As such, prior periods have not been adjusted.</w:t>
      </w:r>
    </w:p>
    <w:p>
      <w:pPr>
        <w:spacing w:after="0" w:line="178" w:lineRule="exact"/>
        <w:rPr>
          <w:sz w:val="20"/>
          <w:szCs w:val="20"/>
          <w:color w:val="auto"/>
        </w:rPr>
      </w:pPr>
    </w:p>
    <w:p>
      <w:pPr>
        <w:ind w:right="20" w:firstLine="761"/>
        <w:spacing w:after="0" w:line="255" w:lineRule="auto"/>
        <w:rPr>
          <w:sz w:val="20"/>
          <w:szCs w:val="20"/>
          <w:color w:val="auto"/>
        </w:rPr>
      </w:pPr>
      <w:r>
        <w:rPr>
          <w:rFonts w:ascii="Arial" w:cs="Arial" w:eastAsia="Arial" w:hAnsi="Arial"/>
          <w:sz w:val="18"/>
          <w:szCs w:val="18"/>
          <w:color w:val="auto"/>
        </w:rPr>
        <w:t>In August 2016, the FASB issued ASU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w:t>
      </w:r>
      <w:r>
        <w:rPr>
          <w:rFonts w:ascii="Arial" w:cs="Arial" w:eastAsia="Arial" w:hAnsi="Arial"/>
          <w:sz w:val="18"/>
          <w:szCs w:val="18"/>
          <w:color w:val="auto"/>
        </w:rPr>
        <w:t>The amendment gives guidance and reduces diversity in practice with respect to certain types of cash flows. This ASU is effective for fiscal years</w:t>
      </w:r>
      <w:r>
        <w:rPr>
          <w:rFonts w:ascii="Arial" w:cs="Arial" w:eastAsia="Arial" w:hAnsi="Arial"/>
          <w:sz w:val="18"/>
          <w:szCs w:val="18"/>
          <w:i w:val="1"/>
          <w:iCs w:val="1"/>
          <w:color w:val="auto"/>
        </w:rPr>
        <w:t xml:space="preserve"> </w:t>
      </w:r>
      <w:r>
        <w:rPr>
          <w:rFonts w:ascii="Arial" w:cs="Arial" w:eastAsia="Arial" w:hAnsi="Arial"/>
          <w:sz w:val="18"/>
          <w:szCs w:val="18"/>
          <w:color w:val="auto"/>
        </w:rPr>
        <w:t>beginning after December 15, 2017, and interim periods within those fiscal years. Early adoption is permitted, including adoption in an interim period. If an entity early adopts the amendments in an interim period, any adjustments should be reflected as of the beginning of the fiscal year that includes that interim period. An entity that elects early adoption must adopt all of the amendments in the same period. We are currently evaluating the impact of this guidance on our consolidated financial statements.</w:t>
      </w:r>
    </w:p>
    <w:p>
      <w:pPr>
        <w:spacing w:after="0" w:line="193" w:lineRule="exact"/>
        <w:rPr>
          <w:sz w:val="20"/>
          <w:szCs w:val="20"/>
          <w:color w:val="auto"/>
        </w:rPr>
      </w:pPr>
    </w:p>
    <w:p>
      <w:pPr>
        <w:jc w:val="both"/>
        <w:ind w:right="60" w:firstLine="518"/>
        <w:spacing w:after="0" w:line="276" w:lineRule="auto"/>
        <w:rPr>
          <w:sz w:val="20"/>
          <w:szCs w:val="20"/>
          <w:color w:val="auto"/>
        </w:rPr>
      </w:pPr>
      <w:r>
        <w:rPr>
          <w:rFonts w:ascii="Arial" w:cs="Arial" w:eastAsia="Arial" w:hAnsi="Arial"/>
          <w:sz w:val="17"/>
          <w:szCs w:val="17"/>
          <w:color w:val="auto"/>
        </w:rPr>
        <w:t>In October 2016, the FASB issued ASU 2016-16 to ASC 740 "</w:t>
      </w:r>
      <w:r>
        <w:rPr>
          <w:rFonts w:ascii="Arial" w:cs="Arial" w:eastAsia="Arial" w:hAnsi="Arial"/>
          <w:sz w:val="17"/>
          <w:szCs w:val="17"/>
          <w:i w:val="1"/>
          <w:iCs w:val="1"/>
          <w:color w:val="auto"/>
        </w:rPr>
        <w:t>Income Taxes</w:t>
      </w:r>
      <w:r>
        <w:rPr>
          <w:rFonts w:ascii="Arial" w:cs="Arial" w:eastAsia="Arial" w:hAnsi="Arial"/>
          <w:sz w:val="17"/>
          <w:szCs w:val="17"/>
          <w:color w:val="auto"/>
        </w:rPr>
        <w:t>," which simplifies the recording of an inter-entity transfer of assets other than inventory. The new guidance requires that a company recognize the income tax consequences of an intra-entity transfer of an asset other than inventory when the transfer occurs. The new guidance becomes effective for annual reporting periods beginning after December 15, 2017 and must be applied using a modified retrospective basis through a cumulative-effect adjustment directly to retained earnings as of the beginning of the adoption period. We are currently evaluating the impact of this guidance on our financial statements and the timing of adoption.</w:t>
      </w:r>
    </w:p>
    <w:p>
      <w:pPr>
        <w:spacing w:after="0" w:line="173"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In November 2016, the FASB issued ASU No. 2016-18, “</w:t>
      </w:r>
      <w:r>
        <w:rPr>
          <w:rFonts w:ascii="Arial" w:cs="Arial" w:eastAsia="Arial" w:hAnsi="Arial"/>
          <w:sz w:val="17"/>
          <w:szCs w:val="17"/>
          <w:i w:val="1"/>
          <w:iCs w:val="1"/>
          <w:color w:val="auto"/>
        </w:rPr>
        <w:t>Statement of Cash Flows, Restricted Cash (Topic 230)”</w:t>
      </w:r>
      <w:r>
        <w:rPr>
          <w:rFonts w:ascii="Arial" w:cs="Arial" w:eastAsia="Arial" w:hAnsi="Arial"/>
          <w:sz w:val="17"/>
          <w:szCs w:val="17"/>
          <w:color w:val="auto"/>
        </w:rPr>
        <w:t>. This guidance requires that a statement of cash flows explain the total change during the period of cash, cash equivalents, and amounts generally described as restricted cash or restricted cash equivalents. Amounts described as restricted cash and restricted cash equivalents should be included with cash and cash equivalents when reconciling the beginning of period and end of period to total amounts shown on the statement of cash flows. This guidance is effective for annual reporting periods beginning after December 15, 2017, including interim periods within that reporting period, with early adoption permitted. We are currently evaluating the effect of the adoption of this guidance on our consolidated financial statements.</w:t>
      </w:r>
    </w:p>
    <w:p>
      <w:pPr>
        <w:spacing w:after="0" w:line="178"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In January 2017, the FASB has issued ASU 2017-04, “</w:t>
      </w:r>
      <w:r>
        <w:rPr>
          <w:rFonts w:ascii="Arial" w:cs="Arial" w:eastAsia="Arial" w:hAnsi="Arial"/>
          <w:sz w:val="16"/>
          <w:szCs w:val="16"/>
          <w:i w:val="1"/>
          <w:iCs w:val="1"/>
          <w:color w:val="auto"/>
        </w:rPr>
        <w:t>Intangibles - Goodwill and Other (Topic 350): Simplifying the Test for Goodwill Impairment</w:t>
      </w:r>
      <w:r>
        <w:rPr>
          <w:rFonts w:ascii="Arial" w:cs="Arial" w:eastAsia="Arial" w:hAnsi="Arial"/>
          <w:sz w:val="16"/>
          <w:szCs w:val="16"/>
          <w:color w:val="auto"/>
        </w:rPr>
        <w:t>”. To simplify the subsequent measurement of goodwill, the amendments eliminate Step 2 from the goodwill impairment test. The annual, or interim, goodwill impairment test is performed by comparing 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In addition, income tax effects from any tax deductible goodwill on the carrying amount of the reporting unit should be considered when measuring the goodwill impairment loss, if applicable. The amendments should be applied on a prospective basis. The nature of and reason for the change in accounting principle should be disclosed upon transition. A public business entity that is a U.S. Securities and Exchange Commission (SEC) filer should adopt the amendments for its annual or any interim goodwill impairment tests in fiscal years beginning after December 15, 2019. Early adoption is permitted for interim or annual goodwill impairment tests performed on testing dates after January 1, 2017. We early adopted this standard in the second quarter of fiscal 2017 and it did not have a material impact on our consolidated financial statements and related disclosures.</w:t>
      </w:r>
    </w:p>
    <w:p>
      <w:pPr>
        <w:spacing w:after="0" w:line="169"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In May 2017, the FASB issued ASU 2017-09, “Compensation – Stock Compensation (Topic 718): Scope of Modification Accounting”. The amendments in ASU 2017-09 include guidance on determining which changes to the terms and conditions of share-based payment awards require an entity to apply modification accounting under Topic 718. These amendments require the entity to account for the effects of a modification unless all of the following conditions are met: the fair value (or calculated value or intrinsic value, if such an alternative measurement method is used) of the modified award is the same as the fair value (or value using an alternative measurement method)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 the vesting conditions of the modified award are the same as the vesting conditions of the original award immediately before the original award is modified; and the classification of the modified award as an equity instrument or a liability instrument is the same as the classification of the original award immediately before the original award is modified. This guidance is effective for annual reporting periods beginning after December 15, 2017, including interim periods within that reporting period, with early adoption permitted. We are currently evaluating the effect of the adoption of this guidance on our consolidated financial statements.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3. Inventories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the Company’s inventories as of July 1, 2017 and December 31, 2016 are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July 1, 2017</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 2016</w:t>
            </w: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340" w:type="dxa"/>
            <w:vAlign w:val="bottom"/>
            <w:tcBorders>
              <w:top w:val="single" w:sz="8" w:color="auto"/>
            </w:tcBorders>
            <w:shd w:val="clear" w:color="auto" w:fill="CFF0FC"/>
          </w:tcPr>
          <w:p>
            <w:pPr>
              <w:jc w:val="right"/>
              <w:ind w:right="115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5,104</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5,331</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Work in process</w:t>
            </w:r>
          </w:p>
        </w:tc>
        <w:tc>
          <w:tcPr>
            <w:tcW w:w="13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2,065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2,337</w:t>
            </w:r>
          </w:p>
        </w:tc>
        <w:tc>
          <w:tcPr>
            <w:tcW w:w="6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3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3,975</w:t>
            </w:r>
          </w:p>
        </w:tc>
        <w:tc>
          <w:tcPr>
            <w:tcW w:w="60" w:type="dxa"/>
            <w:vAlign w:val="bottom"/>
            <w:shd w:val="clear" w:color="auto" w:fill="CFF0FC"/>
          </w:tcPr>
          <w:p>
            <w:pPr>
              <w:spacing w:after="0"/>
              <w:rPr>
                <w:sz w:val="19"/>
                <w:szCs w:val="19"/>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Total inventories</w:t>
            </w:r>
          </w:p>
        </w:tc>
        <w:tc>
          <w:tcPr>
            <w:tcW w:w="1340" w:type="dxa"/>
            <w:vAlign w:val="bottom"/>
            <w:tcBorders>
              <w:bottom w:val="single" w:sz="8" w:color="auto"/>
            </w:tcBorders>
          </w:tcPr>
          <w:p>
            <w:pPr>
              <w:jc w:val="right"/>
              <w:ind w:right="115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11,388</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11,643</w:t>
            </w:r>
          </w:p>
        </w:tc>
        <w:tc>
          <w:tcPr>
            <w:tcW w:w="6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carrying value of goodwill was $0.5 million as of July 1, 2017 and December 31, 2016.</w:t>
      </w:r>
    </w:p>
    <w:p>
      <w:pPr>
        <w:spacing w:after="0" w:line="225" w:lineRule="exact"/>
        <w:rPr>
          <w:sz w:val="20"/>
          <w:szCs w:val="20"/>
          <w:color w:val="auto"/>
        </w:rPr>
      </w:pPr>
    </w:p>
    <w:p>
      <w:pPr>
        <w:ind w:right="160" w:firstLine="518"/>
        <w:spacing w:after="0" w:line="287" w:lineRule="auto"/>
        <w:rPr>
          <w:sz w:val="20"/>
          <w:szCs w:val="20"/>
          <w:color w:val="auto"/>
        </w:rPr>
      </w:pPr>
      <w:r>
        <w:rPr>
          <w:rFonts w:ascii="Arial" w:cs="Arial" w:eastAsia="Arial" w:hAnsi="Arial"/>
          <w:sz w:val="16"/>
          <w:szCs w:val="16"/>
          <w:color w:val="auto"/>
        </w:rPr>
        <w:t>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 the reporting unit’s fair value; however, the loss recognized should not exceed the total amount of goodwill allocated to that reporting unit. In addition, income tax effects from any tax 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2017 and determined that its goodwill was not impaired. As of July 1, 2017, the Company had not identified any factors that indicated there was an impairment of its goodwill and determined that no additional impairment analysis was then required.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components of gross and net intangible asset balances: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July 1, 2017</w:t>
            </w:r>
          </w:p>
        </w:tc>
        <w:tc>
          <w:tcPr>
            <w:tcW w:w="10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26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8"/>
              </w:rPr>
              <w:t>Gross</w:t>
            </w: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Net</w:t>
            </w:r>
          </w:p>
        </w:tc>
        <w:tc>
          <w:tcPr>
            <w:tcW w:w="240" w:type="dxa"/>
            <w:vAlign w:val="bottom"/>
          </w:tcPr>
          <w:p>
            <w:pPr>
              <w:spacing w:after="0"/>
              <w:rPr>
                <w:sz w:val="11"/>
                <w:szCs w:val="11"/>
                <w:color w:val="auto"/>
              </w:rPr>
            </w:pPr>
          </w:p>
        </w:tc>
        <w:tc>
          <w:tcPr>
            <w:tcW w:w="15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Remaining</w:t>
            </w: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Carrying</w:t>
            </w:r>
          </w:p>
        </w:tc>
        <w:tc>
          <w:tcPr>
            <w:tcW w:w="1260" w:type="dxa"/>
            <w:vAlign w:val="bottom"/>
            <w:gridSpan w:val="2"/>
            <w:vMerge w:val="continue"/>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54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244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Amortization Life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2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7.75 Years</w:t>
            </w:r>
          </w:p>
        </w:tc>
        <w:tc>
          <w:tcPr>
            <w:tcW w:w="1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six months ended July 1, 2017 and July 2, 2016, amortization expense totaled $8 thousand for each period.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amortization of customer relations was charged to sales and marketing expense and the amortization of patents was charged to cost of revenues.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Future estimated amortization expense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gridSpan w:val="2"/>
          </w:tcPr>
          <w:p>
            <w:pPr>
              <w:ind w:left="1720"/>
              <w:spacing w:after="0"/>
              <w:rPr>
                <w:sz w:val="20"/>
                <w:szCs w:val="20"/>
                <w:color w:val="auto"/>
              </w:rPr>
            </w:pPr>
            <w:r>
              <w:rPr>
                <w:rFonts w:ascii="Arial" w:cs="Arial" w:eastAsia="Arial" w:hAnsi="Arial"/>
                <w:sz w:val="18"/>
                <w:szCs w:val="18"/>
                <w:color w:val="auto"/>
              </w:rPr>
              <w:t>Fiscal Year:</w:t>
            </w:r>
          </w:p>
        </w:tc>
        <w:tc>
          <w:tcPr>
            <w:tcW w:w="3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2017 (six months)</w:t>
            </w:r>
          </w:p>
        </w:tc>
        <w:tc>
          <w:tcPr>
            <w:tcW w:w="4220" w:type="dxa"/>
            <w:vAlign w:val="bottom"/>
            <w:gridSpan w:val="2"/>
            <w:shd w:val="clear" w:color="auto" w:fill="CFF0FC"/>
          </w:tcPr>
          <w:p>
            <w:pPr>
              <w:jc w:val="right"/>
              <w:ind w:right="705"/>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2018</w:t>
            </w:r>
          </w:p>
        </w:tc>
        <w:tc>
          <w:tcPr>
            <w:tcW w:w="3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3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2020</w:t>
            </w:r>
          </w:p>
        </w:tc>
        <w:tc>
          <w:tcPr>
            <w:tcW w:w="3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3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6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336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360" w:type="dxa"/>
            <w:vAlign w:val="bottom"/>
            <w:vMerge w:val="restart"/>
          </w:tcPr>
          <w:p>
            <w:pPr>
              <w:jc w:val="right"/>
              <w:ind w:right="1810"/>
              <w:spacing w:after="0"/>
              <w:rPr>
                <w:sz w:val="20"/>
                <w:szCs w:val="20"/>
                <w:color w:val="auto"/>
              </w:rPr>
            </w:pPr>
            <w:r>
              <w:rPr>
                <w:rFonts w:ascii="Arial" w:cs="Arial" w:eastAsia="Arial" w:hAnsi="Arial"/>
                <w:sz w:val="18"/>
                <w:szCs w:val="18"/>
                <w:color w:val="auto"/>
              </w:rPr>
              <w:t>11</w:t>
            </w:r>
          </w:p>
        </w:tc>
        <w:tc>
          <w:tcPr>
            <w:tcW w:w="8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1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85"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Quoted prices (unadjusted) in active markets that are accessible at the measurement date for assets or liabilities.</w:t>
      </w:r>
    </w:p>
    <w:p>
      <w:pPr>
        <w:spacing w:after="0" w:line="117" w:lineRule="exact"/>
        <w:rPr>
          <w:rFonts w:ascii="Arial" w:cs="Arial" w:eastAsia="Arial" w:hAnsi="Arial"/>
          <w:sz w:val="18"/>
          <w:szCs w:val="18"/>
          <w:color w:val="auto"/>
        </w:rPr>
      </w:pPr>
    </w:p>
    <w:p>
      <w:pPr>
        <w:ind w:left="1040" w:hanging="519"/>
        <w:spacing w:after="0" w:line="25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80" w:lineRule="exact"/>
        <w:rPr>
          <w:rFonts w:ascii="Arial" w:cs="Arial" w:eastAsia="Arial" w:hAnsi="Arial"/>
          <w:sz w:val="18"/>
          <w:szCs w:val="18"/>
          <w:color w:val="auto"/>
        </w:rPr>
      </w:pPr>
    </w:p>
    <w:p>
      <w:pPr>
        <w:ind w:left="1040" w:right="200" w:hanging="519"/>
        <w:spacing w:after="0" w:line="264"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18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70"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The carrying amounts of the Company’s financial assets and liabilities, including cash and cash equivalents, accounts receivable, accounts payable, and accrued expenses as of July 1, 2017 and December 31, 2016, approximate fair value because of the short maturity of these instruments.</w:t>
      </w:r>
    </w:p>
    <w:p>
      <w:pPr>
        <w:spacing w:after="0" w:line="124"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As of July 1, 2017 and December 31, 2016, financial assets and liabilities measured and recognized at fair value on a recurring basis and classified under the appropriate level of the fair value hierarchy as described above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As of July 1, 2017</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As of December 31, 2016</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4"/>
          </w:tcPr>
          <w:p>
            <w:pPr>
              <w:ind w:left="100"/>
              <w:spacing w:after="0" w:line="155" w:lineRule="exact"/>
              <w:rPr>
                <w:sz w:val="20"/>
                <w:szCs w:val="20"/>
                <w:color w:val="auto"/>
              </w:rPr>
            </w:pPr>
            <w:r>
              <w:rPr>
                <w:rFonts w:ascii="Arial" w:cs="Arial" w:eastAsia="Arial" w:hAnsi="Arial"/>
                <w:sz w:val="14"/>
                <w:szCs w:val="14"/>
                <w:b w:val="1"/>
                <w:bCs w:val="1"/>
                <w:color w:val="auto"/>
              </w:rPr>
              <w:t>Fair Value Measurements</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4"/>
          </w:tcPr>
          <w:p>
            <w:pPr>
              <w:jc w:val="right"/>
              <w:ind w:right="196"/>
              <w:spacing w:after="0" w:line="155" w:lineRule="exact"/>
              <w:rPr>
                <w:sz w:val="20"/>
                <w:szCs w:val="20"/>
                <w:color w:val="auto"/>
              </w:rPr>
            </w:pPr>
            <w:r>
              <w:rPr>
                <w:rFonts w:ascii="Arial" w:cs="Arial" w:eastAsia="Arial" w:hAnsi="Arial"/>
                <w:sz w:val="14"/>
                <w:szCs w:val="14"/>
                <w:b w:val="1"/>
                <w:bCs w:val="1"/>
                <w:color w:val="auto"/>
                <w:w w:val="99"/>
              </w:rPr>
              <w:t>Fair Value Measurements</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176"/>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156"/>
              <w:spacing w:after="0" w:line="155" w:lineRule="exact"/>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236"/>
              <w:spacing w:after="0" w:line="155"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102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3"/>
                <w:szCs w:val="13"/>
                <w:color w:val="auto"/>
              </w:rPr>
            </w:pPr>
          </w:p>
        </w:tc>
        <w:tc>
          <w:tcPr>
            <w:tcW w:w="800" w:type="dxa"/>
            <w:vAlign w:val="bottom"/>
          </w:tcPr>
          <w:p>
            <w:pPr>
              <w:jc w:val="right"/>
              <w:ind w:right="176"/>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76"/>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22,826</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22,826</w:t>
            </w:r>
          </w:p>
        </w:tc>
        <w:tc>
          <w:tcPr>
            <w:tcW w:w="24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8,270</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260"/>
              <w:spacing w:after="0"/>
              <w:rPr>
                <w:sz w:val="20"/>
                <w:szCs w:val="20"/>
                <w:color w:val="auto"/>
              </w:rPr>
            </w:pPr>
            <w:r>
              <w:rPr>
                <w:rFonts w:ascii="Arial" w:cs="Arial" w:eastAsia="Arial" w:hAnsi="Arial"/>
                <w:sz w:val="18"/>
                <w:szCs w:val="18"/>
                <w:color w:val="auto"/>
              </w:rPr>
              <w:t>Earn-out liability</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577</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577</w:t>
            </w:r>
          </w:p>
        </w:tc>
        <w:tc>
          <w:tcPr>
            <w:tcW w:w="24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694</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Company’s Level 1 financial assets are money market funds whose fair values are based on quoted market prices. The Company does not have any Level 2 financial assets or liabilities. The fair value of the earn-out liability arising from the acquisition of RetinaLabs, Inc. is classified within Level 3 of the fair value hierarchy since it is based on significant unobservable inputs. The significant unobservable inputs include projected royalties and discount rates to present value the payments. A significant increase (decrease) in the projected royalty payments in isolation could result in a significantly higher (lower) fair value measurement and a significant increase (decrease) in the discount rate in isolation could result in a significantly lower (higher) fair value measurement. The fair value of the earn-out liability is calculated on a quarterly basis by the Company based on a collaborative effort of the Company’s operations, finance and accounting groups as additional information becomes available. Any change in the fair value adjustment is recorded in the statement of operations of that period.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 w:name="page13"/>
    <w:bookmarkEnd w:id="12"/>
    <w:p>
      <w:pPr>
        <w:ind w:right="100" w:firstLine="518"/>
        <w:spacing w:after="0" w:line="277" w:lineRule="auto"/>
        <w:rPr>
          <w:sz w:val="20"/>
          <w:szCs w:val="20"/>
          <w:color w:val="auto"/>
        </w:rPr>
      </w:pPr>
      <w:r>
        <w:rPr>
          <w:rFonts w:ascii="Arial" w:cs="Arial" w:eastAsia="Arial" w:hAnsi="Arial"/>
          <w:sz w:val="18"/>
          <w:szCs w:val="18"/>
          <w:color w:val="auto"/>
        </w:rPr>
        <w:t>The following tables present quantitative information about the inputs and valuation methodologies used for our fair value measurements classified in Level 3 of the fair value hierarchy as of July 1, 2017 and December 31,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8"/>
              </w:rPr>
              <w:t>Fair Value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Valuation</w:t>
            </w:r>
          </w:p>
        </w:tc>
        <w:tc>
          <w:tcPr>
            <w:tcW w:w="1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Significant</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As of July 1, 2017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(in thousands)</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Technique</w:t>
            </w:r>
          </w:p>
        </w:tc>
        <w:tc>
          <w:tcPr>
            <w:tcW w:w="1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Input</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6"/>
              </w:rPr>
              <w:t>(range)</w:t>
            </w:r>
          </w:p>
        </w:tc>
        <w:tc>
          <w:tcPr>
            <w:tcW w:w="0" w:type="dxa"/>
            <w:vAlign w:val="bottom"/>
          </w:tcPr>
          <w:p>
            <w:pPr>
              <w:spacing w:after="0"/>
              <w:rPr>
                <w:sz w:val="1"/>
                <w:szCs w:val="1"/>
                <w:color w:val="auto"/>
              </w:rPr>
            </w:pPr>
          </w:p>
        </w:tc>
      </w:tr>
      <w:tr>
        <w:trPr>
          <w:trHeight w:val="209"/>
        </w:trPr>
        <w:tc>
          <w:tcPr>
            <w:tcW w:w="36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Projected royalties</w:t>
            </w:r>
          </w:p>
        </w:tc>
        <w:tc>
          <w:tcPr>
            <w:tcW w:w="140" w:type="dxa"/>
            <w:vAlign w:val="bottom"/>
            <w:tcBorders>
              <w:top w:val="single" w:sz="8" w:color="CFF0FC"/>
            </w:tcBorders>
            <w:shd w:val="clear" w:color="auto" w:fill="CFF0FC"/>
          </w:tcPr>
          <w:p>
            <w:pPr>
              <w:spacing w:after="0"/>
              <w:rPr>
                <w:sz w:val="18"/>
                <w:szCs w:val="18"/>
                <w:color w:val="auto"/>
              </w:rPr>
            </w:pPr>
          </w:p>
        </w:tc>
        <w:tc>
          <w:tcPr>
            <w:tcW w:w="22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Earn-out liability</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24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Discounted cash flow</w:t>
            </w:r>
          </w:p>
        </w:tc>
        <w:tc>
          <w:tcPr>
            <w:tcW w:w="19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9"/>
              </w:rPr>
              <w:t>(in thousands)</w:t>
            </w:r>
          </w:p>
        </w:tc>
        <w:tc>
          <w:tcPr>
            <w:tcW w:w="2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$1,974</w:t>
            </w:r>
          </w:p>
        </w:tc>
        <w:tc>
          <w:tcPr>
            <w:tcW w:w="0" w:type="dxa"/>
            <w:vAlign w:val="bottom"/>
          </w:tcPr>
          <w:p>
            <w:pPr>
              <w:spacing w:after="0"/>
              <w:rPr>
                <w:sz w:val="1"/>
                <w:szCs w:val="1"/>
                <w:color w:val="auto"/>
              </w:rPr>
            </w:pPr>
          </w:p>
        </w:tc>
      </w:tr>
      <w:tr>
        <w:trPr>
          <w:trHeight w:val="209"/>
        </w:trPr>
        <w:tc>
          <w:tcPr>
            <w:tcW w:w="36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Discount rate</w:t>
            </w:r>
          </w:p>
        </w:tc>
        <w:tc>
          <w:tcPr>
            <w:tcW w:w="140" w:type="dxa"/>
            <w:vAlign w:val="bottom"/>
          </w:tcPr>
          <w:p>
            <w:pPr>
              <w:spacing w:after="0"/>
              <w:rPr>
                <w:sz w:val="18"/>
                <w:szCs w:val="18"/>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11.19%</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(11.19% - 27.00%)</w:t>
            </w:r>
          </w:p>
        </w:tc>
        <w:tc>
          <w:tcPr>
            <w:tcW w:w="0" w:type="dxa"/>
            <w:vAlign w:val="bottom"/>
          </w:tcPr>
          <w:p>
            <w:pPr>
              <w:spacing w:after="0"/>
              <w:rPr>
                <w:sz w:val="1"/>
                <w:szCs w:val="1"/>
                <w:color w:val="auto"/>
              </w:rPr>
            </w:pPr>
          </w:p>
        </w:tc>
      </w:tr>
      <w:tr>
        <w:trPr>
          <w:trHeight w:val="382"/>
        </w:trPr>
        <w:tc>
          <w:tcPr>
            <w:tcW w:w="3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8"/>
              </w:rPr>
              <w:t>Fair Value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Valuation</w:t>
            </w:r>
          </w:p>
        </w:tc>
        <w:tc>
          <w:tcPr>
            <w:tcW w:w="1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Significant</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As of December 31, 2016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(in thousands)</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Technique</w:t>
            </w:r>
          </w:p>
        </w:tc>
        <w:tc>
          <w:tcPr>
            <w:tcW w:w="1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Input</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6"/>
              </w:rPr>
              <w:t>(range)</w:t>
            </w:r>
          </w:p>
        </w:tc>
        <w:tc>
          <w:tcPr>
            <w:tcW w:w="0" w:type="dxa"/>
            <w:vAlign w:val="bottom"/>
          </w:tcPr>
          <w:p>
            <w:pPr>
              <w:spacing w:after="0"/>
              <w:rPr>
                <w:sz w:val="1"/>
                <w:szCs w:val="1"/>
                <w:color w:val="auto"/>
              </w:rPr>
            </w:pPr>
          </w:p>
        </w:tc>
      </w:tr>
      <w:tr>
        <w:trPr>
          <w:trHeight w:val="209"/>
        </w:trPr>
        <w:tc>
          <w:tcPr>
            <w:tcW w:w="36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Projected royalties</w:t>
            </w:r>
          </w:p>
        </w:tc>
        <w:tc>
          <w:tcPr>
            <w:tcW w:w="140" w:type="dxa"/>
            <w:vAlign w:val="bottom"/>
            <w:tcBorders>
              <w:top w:val="single" w:sz="8" w:color="CFF0FC"/>
            </w:tcBorders>
            <w:shd w:val="clear" w:color="auto" w:fill="CFF0FC"/>
          </w:tcPr>
          <w:p>
            <w:pPr>
              <w:spacing w:after="0"/>
              <w:rPr>
                <w:sz w:val="18"/>
                <w:szCs w:val="18"/>
                <w:color w:val="auto"/>
              </w:rPr>
            </w:pPr>
          </w:p>
        </w:tc>
        <w:tc>
          <w:tcPr>
            <w:tcW w:w="22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Earn-out liability</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24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Discounted cash flow</w:t>
            </w:r>
          </w:p>
        </w:tc>
        <w:tc>
          <w:tcPr>
            <w:tcW w:w="19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9"/>
              </w:rPr>
              <w:t>(in thousands)</w:t>
            </w:r>
          </w:p>
        </w:tc>
        <w:tc>
          <w:tcPr>
            <w:tcW w:w="2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$2,154</w:t>
            </w:r>
          </w:p>
        </w:tc>
        <w:tc>
          <w:tcPr>
            <w:tcW w:w="0" w:type="dxa"/>
            <w:vAlign w:val="bottom"/>
          </w:tcPr>
          <w:p>
            <w:pPr>
              <w:spacing w:after="0"/>
              <w:rPr>
                <w:sz w:val="1"/>
                <w:szCs w:val="1"/>
                <w:color w:val="auto"/>
              </w:rPr>
            </w:pPr>
          </w:p>
        </w:tc>
      </w:tr>
      <w:tr>
        <w:trPr>
          <w:trHeight w:val="209"/>
        </w:trPr>
        <w:tc>
          <w:tcPr>
            <w:tcW w:w="36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Discount rate</w:t>
            </w:r>
          </w:p>
        </w:tc>
        <w:tc>
          <w:tcPr>
            <w:tcW w:w="140" w:type="dxa"/>
            <w:vAlign w:val="bottom"/>
          </w:tcPr>
          <w:p>
            <w:pPr>
              <w:spacing w:after="0"/>
              <w:rPr>
                <w:sz w:val="18"/>
                <w:szCs w:val="18"/>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11.22%</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(11.22% - 27.00%)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A reconciliation of the changes in the Company’s earn-out liability (Level 3 liability) for the six months ended July 1, 2017 and July 2, 2016 is as follows:</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2"/>
          </w:tcPr>
          <w:p>
            <w:pPr>
              <w:jc w:val="right"/>
              <w:ind w:right="740"/>
              <w:spacing w:after="0" w:line="155" w:lineRule="exact"/>
              <w:rPr>
                <w:sz w:val="20"/>
                <w:szCs w:val="20"/>
                <w:color w:val="auto"/>
              </w:rPr>
            </w:pPr>
            <w:r>
              <w:rPr>
                <w:rFonts w:ascii="Arial" w:cs="Arial" w:eastAsia="Arial" w:hAnsi="Arial"/>
                <w:sz w:val="14"/>
                <w:szCs w:val="14"/>
                <w:b w:val="1"/>
                <w:bCs w:val="1"/>
                <w:color w:val="auto"/>
              </w:rPr>
              <w:t>July 1, 2017</w:t>
            </w:r>
          </w:p>
        </w:tc>
        <w:tc>
          <w:tcPr>
            <w:tcW w:w="460" w:type="dxa"/>
            <w:vAlign w:val="bottom"/>
          </w:tcPr>
          <w:p>
            <w:pPr>
              <w:spacing w:after="0"/>
              <w:rPr>
                <w:sz w:val="13"/>
                <w:szCs w:val="13"/>
                <w:color w:val="auto"/>
              </w:rPr>
            </w:pPr>
          </w:p>
        </w:tc>
        <w:tc>
          <w:tcPr>
            <w:tcW w:w="1240" w:type="dxa"/>
            <w:vAlign w:val="bottom"/>
          </w:tcPr>
          <w:p>
            <w:pPr>
              <w:jc w:val="right"/>
              <w:ind w:right="394"/>
              <w:spacing w:after="0" w:line="155" w:lineRule="exact"/>
              <w:rPr>
                <w:sz w:val="20"/>
                <w:szCs w:val="20"/>
                <w:color w:val="auto"/>
              </w:rPr>
            </w:pPr>
            <w:r>
              <w:rPr>
                <w:rFonts w:ascii="Arial" w:cs="Arial" w:eastAsia="Arial" w:hAnsi="Arial"/>
                <w:sz w:val="14"/>
                <w:szCs w:val="14"/>
                <w:b w:val="1"/>
                <w:bCs w:val="1"/>
                <w:color w:val="auto"/>
                <w:w w:val="94"/>
              </w:rPr>
              <w:t>July 2, 2016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beginning of the period</w:t>
            </w:r>
          </w:p>
        </w:tc>
        <w:tc>
          <w:tcPr>
            <w:tcW w:w="6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26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Payments against earn-out</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(178)</w:t>
            </w:r>
          </w:p>
        </w:tc>
        <w:tc>
          <w:tcPr>
            <w:tcW w:w="46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earn-out liability</w:t>
            </w:r>
          </w:p>
        </w:tc>
        <w:tc>
          <w:tcPr>
            <w:tcW w:w="6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Balance as of the end of the period</w:t>
            </w:r>
          </w:p>
        </w:tc>
        <w:tc>
          <w:tcPr>
            <w:tcW w:w="6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26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earn-out liability is included in accrued expenses and other long-term liabilities in the condensed consolidated balance sheets. Any change in the fair value adjustment is recorded to other expense in the condensed consolidated statements of operations.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 Based Compensation</w:t>
      </w:r>
    </w:p>
    <w:p>
      <w:pPr>
        <w:spacing w:after="0" w:line="12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Company accounts for stock-based compensation granted to employees and directors, including employees stock option awards, restricted stock and restricted stock units in accordance with ASC 718</w:t>
      </w:r>
      <w:r>
        <w:rPr>
          <w:rFonts w:ascii="Arial" w:cs="Arial" w:eastAsia="Arial" w:hAnsi="Arial"/>
          <w:sz w:val="18"/>
          <w:szCs w:val="18"/>
          <w:i w:val="1"/>
          <w:iCs w:val="1"/>
          <w:color w:val="auto"/>
        </w:rPr>
        <w:t>, “Compensation – Stock Compensation”</w:t>
      </w:r>
      <w:r>
        <w:rPr>
          <w:rFonts w:ascii="Arial" w:cs="Arial" w:eastAsia="Arial" w:hAnsi="Arial"/>
          <w:sz w:val="18"/>
          <w:szCs w:val="18"/>
          <w:color w:val="auto"/>
        </w:rPr>
        <w:t xml:space="preserve"> (“ASC 718”). Accordingly, stock-based compensation cost is measured at grant date, based on the fair value of the award, and is recognized as expense over the employee’s service period. The Company recognizes compensation expense on a ratable basis over the requisite service period of the award.</w:t>
      </w:r>
    </w:p>
    <w:p>
      <w:pPr>
        <w:spacing w:after="0" w:line="187"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The Company values options using the Black-Scholes option pricing model. Restricted stock and time-based restricted stock units are valued at the grant date fair value of the underlying common shares. Performance-based restricted stock units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Equity Incentive Plan.</w:t>
      </w:r>
    </w:p>
    <w:p>
      <w:pPr>
        <w:spacing w:after="0" w:line="11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For the six months ended July 1, 2017, the only active stock-based compensation plan was the 2008 Equity Incentive Plan (the “Incentive Plan”). The terms of awards granted during the six months ended July 1, 2017 were consistent with those described in the consolidated financial statements included in our Annual Report on Form 10-K for the year ended December 31, 2016.</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Summary of Stock Options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information regarding activity under the Incentive Plan during the six months ended July 1, 2017:</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left="367"/>
              <w:spacing w:after="0"/>
              <w:rPr>
                <w:sz w:val="20"/>
                <w:szCs w:val="20"/>
                <w:color w:val="auto"/>
              </w:rPr>
            </w:pPr>
            <w:r>
              <w:rPr>
                <w:rFonts w:ascii="Arial" w:cs="Arial" w:eastAsia="Arial" w:hAnsi="Arial"/>
                <w:sz w:val="14"/>
                <w:szCs w:val="14"/>
                <w:b w:val="1"/>
                <w:bCs w:val="1"/>
                <w:color w:val="auto"/>
                <w:w w:val="95"/>
              </w:rPr>
              <w:t>Weighted</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080" w:type="dxa"/>
            <w:vAlign w:val="bottom"/>
          </w:tcPr>
          <w:p>
            <w:pPr>
              <w:jc w:val="center"/>
              <w:ind w:left="347"/>
              <w:spacing w:after="0" w:line="149" w:lineRule="exact"/>
              <w:rPr>
                <w:sz w:val="20"/>
                <w:szCs w:val="20"/>
                <w:color w:val="auto"/>
              </w:rPr>
            </w:pPr>
            <w:r>
              <w:rPr>
                <w:rFonts w:ascii="Arial" w:cs="Arial" w:eastAsia="Arial" w:hAnsi="Arial"/>
                <w:sz w:val="14"/>
                <w:szCs w:val="14"/>
                <w:b w:val="1"/>
                <w:bCs w:val="1"/>
                <w:color w:val="auto"/>
                <w:w w:val="90"/>
              </w:rPr>
              <w:t>Average</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080" w:type="dxa"/>
            <w:vAlign w:val="bottom"/>
          </w:tcPr>
          <w:p>
            <w:pPr>
              <w:jc w:val="center"/>
              <w:ind w:left="367"/>
              <w:spacing w:after="0"/>
              <w:rPr>
                <w:sz w:val="20"/>
                <w:szCs w:val="20"/>
                <w:color w:val="auto"/>
              </w:rPr>
            </w:pPr>
            <w:r>
              <w:rPr>
                <w:rFonts w:ascii="Arial" w:cs="Arial" w:eastAsia="Arial" w:hAnsi="Arial"/>
                <w:sz w:val="14"/>
                <w:szCs w:val="14"/>
                <w:b w:val="1"/>
                <w:bCs w:val="1"/>
                <w:color w:val="auto"/>
                <w:w w:val="91"/>
              </w:rPr>
              <w:t>Per Share</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2016</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470,985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92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8.69</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65,900</w:t>
            </w:r>
          </w:p>
        </w:tc>
        <w:tc>
          <w:tcPr>
            <w:tcW w:w="140" w:type="dxa"/>
            <w:vAlign w:val="bottom"/>
          </w:tcPr>
          <w:p>
            <w:pPr>
              <w:spacing w:after="0"/>
              <w:rPr>
                <w:sz w:val="19"/>
                <w:szCs w:val="19"/>
                <w:color w:val="auto"/>
              </w:rPr>
            </w:pPr>
          </w:p>
        </w:tc>
        <w:tc>
          <w:tcPr>
            <w:tcW w:w="1180" w:type="dxa"/>
            <w:vAlign w:val="bottom"/>
            <w:gridSpan w:val="2"/>
          </w:tcPr>
          <w:p>
            <w:pPr>
              <w:jc w:val="right"/>
              <w:ind w:right="927"/>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13.15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(40,371)</w:t>
            </w:r>
          </w:p>
        </w:tc>
        <w:tc>
          <w:tcPr>
            <w:tcW w:w="1180" w:type="dxa"/>
            <w:vAlign w:val="bottom"/>
            <w:gridSpan w:val="2"/>
            <w:shd w:val="clear" w:color="auto" w:fill="CFF0FC"/>
          </w:tcPr>
          <w:p>
            <w:pPr>
              <w:jc w:val="right"/>
              <w:ind w:right="927"/>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Canceled or forfeited</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(27,198)</w:t>
            </w:r>
          </w:p>
        </w:tc>
        <w:tc>
          <w:tcPr>
            <w:tcW w:w="1180" w:type="dxa"/>
            <w:vAlign w:val="bottom"/>
            <w:gridSpan w:val="2"/>
          </w:tcPr>
          <w:p>
            <w:pPr>
              <w:jc w:val="right"/>
              <w:ind w:right="927"/>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10.40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July 1, 2017</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469,316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CFF0FC"/>
              <w:bottom w:val="single" w:sz="8" w:color="CFF0FC"/>
            </w:tcBorders>
            <w:gridSpan w:val="2"/>
            <w:shd w:val="clear" w:color="auto" w:fill="CFF0FC"/>
          </w:tcPr>
          <w:p>
            <w:pPr>
              <w:jc w:val="right"/>
              <w:ind w:right="927"/>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9.51</w:t>
            </w:r>
          </w:p>
        </w:tc>
        <w:tc>
          <w:tcPr>
            <w:tcW w:w="480" w:type="dxa"/>
            <w:vAlign w:val="bottom"/>
            <w:tcBorders>
              <w:top w:val="single" w:sz="8" w:color="CFF0FC"/>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weighted average grant date fair value of the options granted under the Incentive Plan as calculated using the Black-Scholes option-pricing model was $4.22 and $4.33 per share for the three months ended July 1, 2017 and July 2, 2016, respectively. The weighted average grant date fair value of the options granted under the Incentive Plan as calculated using the Black-Scholes option-pricing model was $4.92 and $4.21 per share for the six months ended July 1, 2017 and July 2, 2016, respectively.</w:t>
      </w:r>
    </w:p>
    <w:p>
      <w:pPr>
        <w:spacing w:after="0" w:line="18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 uses the Black-Scholes option-pricing model to estimate fair value of stock-based awards (options) with the following weighted average assumptions:</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380" w:type="dxa"/>
            <w:vAlign w:val="bottom"/>
          </w:tcPr>
          <w:p>
            <w:pPr>
              <w:spacing w:after="0"/>
              <w:rPr>
                <w:sz w:val="14"/>
                <w:szCs w:val="14"/>
                <w:color w:val="auto"/>
              </w:rPr>
            </w:pPr>
          </w:p>
        </w:tc>
        <w:tc>
          <w:tcPr>
            <w:tcW w:w="286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274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Six Months Ended</w:t>
            </w:r>
          </w:p>
        </w:tc>
      </w:tr>
      <w:tr>
        <w:trPr>
          <w:trHeight w:val="156"/>
        </w:trPr>
        <w:tc>
          <w:tcPr>
            <w:tcW w:w="238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July 1, 2017</w:t>
            </w:r>
          </w:p>
        </w:tc>
        <w:tc>
          <w:tcPr>
            <w:tcW w:w="300" w:type="dxa"/>
            <w:vAlign w:val="bottom"/>
            <w:tcBorders>
              <w:top w:val="single" w:sz="8" w:color="auto"/>
              <w:bottom w:val="single" w:sz="8" w:color="CFF0FC"/>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July 2, 2016</w:t>
            </w:r>
          </w:p>
        </w:tc>
        <w:tc>
          <w:tcPr>
            <w:tcW w:w="30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July 1, 2017</w:t>
            </w:r>
          </w:p>
        </w:tc>
        <w:tc>
          <w:tcPr>
            <w:tcW w:w="300" w:type="dxa"/>
            <w:vAlign w:val="bottom"/>
            <w:tcBorders>
              <w:top w:val="single" w:sz="8" w:color="auto"/>
              <w:bottom w:val="single" w:sz="8" w:color="CFF0FC"/>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July 2, 2016</w:t>
            </w:r>
          </w:p>
        </w:tc>
        <w:tc>
          <w:tcPr>
            <w:tcW w:w="180" w:type="dxa"/>
            <w:vAlign w:val="bottom"/>
            <w:tcBorders>
              <w:bottom w:val="single" w:sz="8" w:color="CFF0FC"/>
            </w:tcBorders>
          </w:tcPr>
          <w:p>
            <w:pPr>
              <w:spacing w:after="0"/>
              <w:rPr>
                <w:sz w:val="13"/>
                <w:szCs w:val="13"/>
                <w:color w:val="auto"/>
              </w:rPr>
            </w:pPr>
          </w:p>
        </w:tc>
      </w:tr>
      <w:tr>
        <w:trPr>
          <w:trHeight w:val="223"/>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w w:val="99"/>
              </w:rPr>
              <w:t>Average risk free interest rate</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1.70%</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1.10%</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1.75%</w:t>
            </w: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1.16%</w:t>
            </w: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4.55 years</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4.55 years</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4.55 years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4.55 years</w:t>
            </w:r>
          </w:p>
        </w:tc>
      </w:tr>
      <w:tr>
        <w:trPr>
          <w:trHeight w:val="230"/>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4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Average volatility</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bl>
    <w:p>
      <w:pPr>
        <w:spacing w:after="0" w:line="228"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Option-pricing models require the input of various subjective assumptions, including the option’s expected life and the price volatility of the underlying stock. The expected stock price volatility is based on analysis of the Company’s stock price history over a period commensurate with the expected term of the options, trading volume of the Company’s stock, look-back volatilities and Company 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by the Company, the contractual term, the vesting period and the expected remaining term of the outstanding options. The risk-free interest rate is based on the U.S. Treasury interest rates whose term is consistent with the expected life of the stock options. No dividend yield is included as the Company has not issued any dividends and does not anticipate issuing any dividends in the future.</w:t>
      </w:r>
    </w:p>
    <w:p>
      <w:pPr>
        <w:spacing w:after="0" w:line="16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following table shows stock-based compensation expense included in the condensed consolidated statements of operations for the three and six months ended July 1, 2017 and July 2, 2016:</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480" w:type="dxa"/>
            <w:vAlign w:val="bottom"/>
            <w:gridSpan w:val="5"/>
          </w:tcPr>
          <w:p>
            <w:pPr>
              <w:ind w:left="5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155"/>
              <w:spacing w:after="0"/>
              <w:rPr>
                <w:sz w:val="20"/>
                <w:szCs w:val="20"/>
                <w:color w:val="auto"/>
              </w:rPr>
            </w:pPr>
            <w:r>
              <w:rPr>
                <w:rFonts w:ascii="Arial" w:cs="Arial" w:eastAsia="Arial" w:hAnsi="Arial"/>
                <w:sz w:val="14"/>
                <w:szCs w:val="14"/>
                <w:b w:val="1"/>
                <w:bCs w:val="1"/>
                <w:color w:val="auto"/>
                <w:w w:val="99"/>
              </w:rPr>
              <w:t>July 1, 2017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2, 2016</w:t>
            </w: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1, 2017</w:t>
            </w: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2, 2016</w:t>
            </w:r>
          </w:p>
        </w:tc>
      </w:tr>
      <w:tr>
        <w:trPr>
          <w:trHeight w:val="223"/>
        </w:trPr>
        <w:tc>
          <w:tcPr>
            <w:tcW w:w="2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9"/>
                <w:szCs w:val="19"/>
                <w:color w:val="auto"/>
              </w:rPr>
            </w:pPr>
          </w:p>
        </w:tc>
      </w:tr>
      <w:tr>
        <w:trPr>
          <w:trHeight w:val="230"/>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60" w:type="dxa"/>
            <w:vAlign w:val="bottom"/>
            <w:shd w:val="clear" w:color="auto" w:fill="CFF0FC"/>
          </w:tcPr>
          <w:p>
            <w:pPr>
              <w:spacing w:after="0"/>
              <w:rPr>
                <w:sz w:val="19"/>
                <w:szCs w:val="19"/>
                <w:color w:val="auto"/>
              </w:rPr>
            </w:pPr>
          </w:p>
        </w:tc>
      </w:tr>
      <w:tr>
        <w:trPr>
          <w:trHeight w:val="230"/>
        </w:trPr>
        <w:tc>
          <w:tcPr>
            <w:tcW w:w="2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60" w:type="dxa"/>
            <w:vAlign w:val="bottom"/>
            <w:tcBorders>
              <w:bottom w:val="single" w:sz="8" w:color="CFF0FC"/>
            </w:tcBorders>
          </w:tcPr>
          <w:p>
            <w:pPr>
              <w:spacing w:after="0"/>
              <w:rPr>
                <w:sz w:val="19"/>
                <w:szCs w:val="19"/>
                <w:color w:val="auto"/>
              </w:rPr>
            </w:pPr>
          </w:p>
        </w:tc>
      </w:tr>
      <w:tr>
        <w:trPr>
          <w:trHeight w:val="237"/>
        </w:trPr>
        <w:tc>
          <w:tcPr>
            <w:tcW w:w="25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60" w:type="dxa"/>
            <w:vAlign w:val="bottom"/>
            <w:shd w:val="clear" w:color="auto" w:fill="CFF0FC"/>
          </w:tcPr>
          <w:p>
            <w:pPr>
              <w:spacing w:after="0"/>
              <w:rPr>
                <w:sz w:val="20"/>
                <w:szCs w:val="20"/>
                <w:color w:val="auto"/>
              </w:rPr>
            </w:pPr>
          </w:p>
        </w:tc>
      </w:tr>
      <w:tr>
        <w:trPr>
          <w:trHeight w:val="20"/>
        </w:trPr>
        <w:tc>
          <w:tcPr>
            <w:tcW w:w="25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capitalized to inventory was immaterial for the quarters ended July 1, 2017 and July 2, 2016.</w:t>
      </w:r>
    </w:p>
    <w:p>
      <w:pPr>
        <w:spacing w:after="0" w:line="225"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Occasionally, the Company will grant stock-based instruments to non-employees. During the six months ended July 1, 2017 and July 2, 2016, the amount of stock-based compensation related to non-employee options was not material.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Information regarding stock options outstanding, vested and expected to vest and exercisable as of July 1, 2017 is summarized below:</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46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460" w:type="dxa"/>
            <w:vAlign w:val="bottom"/>
          </w:tcPr>
          <w:p>
            <w:pPr>
              <w:jc w:val="right"/>
              <w:ind w:right="457"/>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Exercise Price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469,316</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w:t>
            </w:r>
          </w:p>
        </w:tc>
        <w:tc>
          <w:tcPr>
            <w:tcW w:w="26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Options vested and expected to vest</w:t>
            </w:r>
          </w:p>
        </w:tc>
        <w:tc>
          <w:tcPr>
            <w:tcW w:w="1460" w:type="dxa"/>
            <w:vAlign w:val="bottom"/>
          </w:tcPr>
          <w:p>
            <w:pPr>
              <w:jc w:val="right"/>
              <w:spacing w:after="0"/>
              <w:rPr>
                <w:sz w:val="20"/>
                <w:szCs w:val="20"/>
                <w:color w:val="auto"/>
              </w:rPr>
            </w:pPr>
            <w:r>
              <w:rPr>
                <w:rFonts w:ascii="Arial" w:cs="Arial" w:eastAsia="Arial" w:hAnsi="Arial"/>
                <w:sz w:val="18"/>
                <w:szCs w:val="18"/>
                <w:color w:val="auto"/>
              </w:rPr>
              <w:t>469,316</w:t>
            </w:r>
          </w:p>
        </w:tc>
        <w:tc>
          <w:tcPr>
            <w:tcW w:w="4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9.51</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4.49</w:t>
            </w:r>
          </w:p>
        </w:tc>
        <w:tc>
          <w:tcPr>
            <w:tcW w:w="4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253,475</w:t>
            </w:r>
          </w:p>
        </w:tc>
        <w:tc>
          <w:tcPr>
            <w:tcW w:w="4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4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aggregate intrinsic value in the table above represents the pre-tax intrinsic value, based on the Company’s closing price as of July 1, 2017, that would have been received by option holders had all option holders exercised their stock options as of that date. This amount changes based on the fair market value of the Company’s stock. The total intrinsic value of options exercised for the three months ended July 1, 2017 and July 2, 2016 was approximately $71 thousand and $261 thousand, respectively.</w:t>
      </w:r>
    </w:p>
    <w:p>
      <w:pPr>
        <w:spacing w:after="0" w:line="187" w:lineRule="exact"/>
        <w:rPr>
          <w:sz w:val="20"/>
          <w:szCs w:val="20"/>
          <w:color w:val="auto"/>
        </w:rPr>
      </w:pPr>
    </w:p>
    <w:p>
      <w:pPr>
        <w:ind w:right="380" w:firstLine="518"/>
        <w:spacing w:after="0" w:line="342" w:lineRule="auto"/>
        <w:rPr>
          <w:sz w:val="20"/>
          <w:szCs w:val="20"/>
          <w:color w:val="auto"/>
        </w:rPr>
      </w:pPr>
      <w:r>
        <w:rPr>
          <w:rFonts w:ascii="Arial" w:cs="Arial" w:eastAsia="Arial" w:hAnsi="Arial"/>
          <w:sz w:val="16"/>
          <w:szCs w:val="16"/>
          <w:color w:val="auto"/>
        </w:rPr>
        <w:t>As of July 1, 2017, there was $3.1 million of total unrecognized compensation cost, net of expected forfeitures, related to non-vested stock-based compensation arrangements under the Incentive Plan. The cost is expected to be recognized over a weighted average period of 2.65 years.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Restricted Stock Units and Awards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regarding the restricted stock units (“RSUs”) activity for the six months ended July 1, 2017 is summarized below:</w:t>
      </w:r>
    </w:p>
    <w:p>
      <w:pPr>
        <w:sectPr>
          <w:pgSz w:w="11900" w:h="16838" w:orient="portrait"/>
          <w:cols w:equalWidth="0" w:num="1">
            <w:col w:w="11360"/>
          </w:cols>
          <w:pgMar w:left="240" w:top="584" w:right="29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Outstanding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-124460</wp:posOffset>
            </wp:positionV>
            <wp:extent cx="434784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26"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Restricted stock units granted</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Restricted stock units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Restricted stock units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434784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47845" cy="163195"/>
                    </a:xfrm>
                    <a:prstGeom prst="rect">
                      <a:avLst/>
                    </a:prstGeom>
                    <a:noFill/>
                  </pic:spPr>
                </pic:pic>
              </a:graphicData>
            </a:graphic>
          </wp:anchor>
        </w:drawing>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Outstanding as of July 1, 2017</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Number</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 Shares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335,805</w:t>
      </w:r>
    </w:p>
    <w:p>
      <w:pPr>
        <w:spacing w:after="0" w:line="2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55,891</w:t>
      </w:r>
    </w:p>
    <w:p>
      <w:pPr>
        <w:spacing w:after="0" w:line="23" w:lineRule="exact"/>
        <w:rPr>
          <w:sz w:val="20"/>
          <w:szCs w:val="20"/>
          <w:color w:val="auto"/>
        </w:rPr>
      </w:pPr>
    </w:p>
    <w:p>
      <w:pPr>
        <w:jc w:val="right"/>
        <w:ind w:right="2260"/>
        <w:spacing w:after="0"/>
        <w:rPr>
          <w:sz w:val="20"/>
          <w:szCs w:val="20"/>
          <w:color w:val="auto"/>
        </w:rPr>
      </w:pPr>
      <w:r>
        <w:rPr>
          <w:rFonts w:ascii="Arial" w:cs="Arial" w:eastAsia="Arial" w:hAnsi="Arial"/>
          <w:sz w:val="18"/>
          <w:szCs w:val="18"/>
          <w:color w:val="auto"/>
        </w:rPr>
        <w:t>(59,905)</w:t>
      </w:r>
    </w:p>
    <w:p>
      <w:pPr>
        <w:spacing w:after="0" w:line="23" w:lineRule="exact"/>
        <w:rPr>
          <w:sz w:val="20"/>
          <w:szCs w:val="20"/>
          <w:color w:val="auto"/>
        </w:rPr>
      </w:pPr>
    </w:p>
    <w:p>
      <w:pPr>
        <w:jc w:val="right"/>
        <w:ind w:right="2260"/>
        <w:spacing w:after="0"/>
        <w:rPr>
          <w:sz w:val="20"/>
          <w:szCs w:val="20"/>
          <w:color w:val="auto"/>
        </w:rPr>
      </w:pPr>
      <w:r>
        <w:rPr>
          <w:rFonts w:ascii="Arial" w:cs="Arial" w:eastAsia="Arial" w:hAnsi="Arial"/>
          <w:sz w:val="18"/>
          <w:szCs w:val="18"/>
          <w:color w:val="auto"/>
        </w:rPr>
        <w:t>(27,789)</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304,002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31750</wp:posOffset>
            </wp:positionV>
            <wp:extent cx="12007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80" w:space="720"/>
            <w:col w:w="3560"/>
          </w:cols>
          <w:pgMar w:left="240" w:top="584" w:right="299" w:bottom="1440" w:gutter="0" w:footer="0" w:header="0"/>
          <w:type w:val="continuous"/>
        </w:sectPr>
      </w:pPr>
    </w:p>
    <w:p>
      <w:pPr>
        <w:spacing w:after="0" w:line="93"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During the six months ended July 1, 2017, the Company awarded 55,891 restricted stock units at a weighted-average grant date fair value of $13.04 per share.</w:t>
      </w:r>
    </w:p>
    <w:p>
      <w:pPr>
        <w:spacing w:after="0" w:line="170" w:lineRule="exact"/>
        <w:rPr>
          <w:sz w:val="20"/>
          <w:szCs w:val="20"/>
          <w:color w:val="auto"/>
        </w:rPr>
      </w:pPr>
    </w:p>
    <w:p>
      <w:pPr>
        <w:ind w:right="80" w:firstLine="518"/>
        <w:spacing w:after="0" w:line="342" w:lineRule="auto"/>
        <w:rPr>
          <w:sz w:val="20"/>
          <w:szCs w:val="20"/>
          <w:color w:val="auto"/>
        </w:rPr>
      </w:pPr>
      <w:r>
        <w:rPr>
          <w:rFonts w:ascii="Arial" w:cs="Arial" w:eastAsia="Arial" w:hAnsi="Arial"/>
          <w:sz w:val="16"/>
          <w:szCs w:val="16"/>
          <w:color w:val="auto"/>
        </w:rPr>
        <w:t>RSUs granted with market conditions are valued using the Monte Carlo simulation model and compensation expense is recognized ratably during the service period even if the market condition is not satisfied. To the extent that the market condition is not met, the RSUs will not vest and will be cancelled.</w:t>
      </w:r>
    </w:p>
    <w:p>
      <w:pPr>
        <w:spacing w:after="0" w:line="124"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RSUs granted with performance conditions are valued at the grant date fair value of the underlying common shares. The Company makes a determination regarding the probability of the performance criteria being achieved and compensation expense is recognized ratably over the vesting period, if it is expected that the performance criteria will be met.</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Information regarding the RSUs granted with performance conditions activity for the six months ended July 1, 2017 is summarized below:</w:t>
      </w:r>
    </w:p>
    <w:p>
      <w:pPr>
        <w:sectPr>
          <w:pgSz w:w="11900" w:h="16838" w:orient="portrait"/>
          <w:cols w:equalWidth="0" w:num="1">
            <w:col w:w="11360"/>
          </w:cols>
          <w:pgMar w:left="240" w:top="584" w:right="299"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Outstanding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-124460</wp:posOffset>
            </wp:positionV>
            <wp:extent cx="434784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26"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Restricted stock awards granted</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Restricted stock awards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Outstanding as of July 1, 2017</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Number</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 Shares</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1,289</w:t>
      </w:r>
    </w:p>
    <w:p>
      <w:pPr>
        <w:spacing w:after="0" w:line="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4,301</w:t>
      </w:r>
    </w:p>
    <w:p>
      <w:pPr>
        <w:spacing w:after="0" w:line="23" w:lineRule="exact"/>
        <w:rPr>
          <w:sz w:val="20"/>
          <w:szCs w:val="20"/>
          <w:color w:val="auto"/>
        </w:rPr>
      </w:pPr>
    </w:p>
    <w:p>
      <w:pPr>
        <w:jc w:val="right"/>
        <w:ind w:right="2240"/>
        <w:spacing w:after="0"/>
        <w:rPr>
          <w:sz w:val="20"/>
          <w:szCs w:val="20"/>
          <w:color w:val="auto"/>
        </w:rPr>
      </w:pPr>
      <w:r>
        <w:rPr>
          <w:rFonts w:ascii="Arial" w:cs="Arial" w:eastAsia="Arial" w:hAnsi="Arial"/>
          <w:sz w:val="18"/>
          <w:szCs w:val="18"/>
          <w:color w:val="auto"/>
        </w:rPr>
        <w:t>(1,289)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wp:posOffset>
            </wp:positionH>
            <wp:positionV relativeFrom="paragraph">
              <wp:posOffset>14605</wp:posOffset>
            </wp:positionV>
            <wp:extent cx="11576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4,301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wp:posOffset>
            </wp:positionH>
            <wp:positionV relativeFrom="paragraph">
              <wp:posOffset>14605</wp:posOffset>
            </wp:positionV>
            <wp:extent cx="11576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-397510</wp:posOffset>
            </wp:positionH>
            <wp:positionV relativeFrom="paragraph">
              <wp:posOffset>31750</wp:posOffset>
            </wp:positionV>
            <wp:extent cx="11576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40" w:space="720"/>
            <w:col w:w="3500"/>
          </w:cols>
          <w:pgMar w:left="240" w:top="584" w:right="299" w:bottom="1440" w:gutter="0" w:footer="0" w:header="0"/>
          <w:type w:val="continuous"/>
        </w:sectPr>
      </w:pPr>
    </w:p>
    <w:p>
      <w:pPr>
        <w:spacing w:after="0" w:line="66"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During the six months ended July 1, 2017, the Company awarded 4,301 RSUs granted with performance conditions at a weighted-average grant date fair value of $9.30 per share.</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w:t>
      </w:r>
    </w:p>
    <w:p>
      <w:pPr>
        <w:spacing w:after="0" w:line="117" w:lineRule="exact"/>
        <w:rPr>
          <w:sz w:val="20"/>
          <w:szCs w:val="20"/>
          <w:color w:val="auto"/>
        </w:rPr>
      </w:pPr>
    </w:p>
    <w:p>
      <w:pPr>
        <w:ind w:right="60" w:firstLine="518"/>
        <w:spacing w:after="0" w:line="262" w:lineRule="auto"/>
        <w:rPr>
          <w:sz w:val="20"/>
          <w:szCs w:val="20"/>
          <w:color w:val="auto"/>
        </w:rPr>
      </w:pPr>
      <w:r>
        <w:rPr>
          <w:rFonts w:ascii="Arial" w:cs="Arial" w:eastAsia="Arial" w:hAnsi="Arial"/>
          <w:sz w:val="18"/>
          <w:szCs w:val="18"/>
          <w:color w:val="auto"/>
        </w:rPr>
        <w:t xml:space="preserve">The Company calculates its interim tax provision in accordance with the provisions of ASC 740-270, </w:t>
      </w:r>
      <w:r>
        <w:rPr>
          <w:rFonts w:ascii="Arial" w:cs="Arial" w:eastAsia="Arial" w:hAnsi="Arial"/>
          <w:sz w:val="18"/>
          <w:szCs w:val="18"/>
          <w:i w:val="1"/>
          <w:iCs w:val="1"/>
          <w:color w:val="auto"/>
        </w:rPr>
        <w:t>Income Taxes; Interim Reporting</w:t>
      </w:r>
      <w:r>
        <w:rPr>
          <w:rFonts w:ascii="Arial" w:cs="Arial" w:eastAsia="Arial" w:hAnsi="Arial"/>
          <w:sz w:val="18"/>
          <w:szCs w:val="18"/>
          <w:color w:val="auto"/>
        </w:rPr>
        <w:t>. For interim periods, the Company estimates its annual effective income tax rate and applies the estimated rate to the year-to-date income or loss before income taxes. The Company also computes the tax provision or benefit related to items reported separately and recognizes the items net of their related tax effect in the interim periods in which they occur. The Company also recognizes the effect of changes in enacted tax laws or rates in the interim periods in which the changes occur. The Company recorded a provision for income tax of $14 thousand and an income tax benefit of $47 thousand for the six months ended July 1, 2017 and July 2, 2016,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w:t>
      </w:r>
    </w:p>
    <w:p>
      <w:pPr>
        <w:spacing w:after="0" w:line="7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 xml:space="preserve">The Company accounts for income taxes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which requires that deferred tax assets and liabilities be recognized using enacted tax rates for the effect of temporary differences between the book and tax bases of recorded assets and liabilities. ASC 740 also requires that deferred tax assets be reduced by a valuation allowance if it is more likely than not that some or all of the deferred tax assets will not be realized. As of the fourth quarter of fiscal year 2016, based on the Company’s recent history of earnings and its forecasted losses, management believes on the more likely than not basis that a full valuation allowance is required. Accordingly, in the fourth quarter of fiscal year 2016, the company provided a full valuation allowance on its federal and states deferred tax assets.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17" w:lineRule="exact"/>
        <w:rPr>
          <w:sz w:val="20"/>
          <w:szCs w:val="20"/>
          <w:color w:val="auto"/>
        </w:rPr>
      </w:pPr>
    </w:p>
    <w:p>
      <w:pPr>
        <w:ind w:right="480" w:firstLine="518"/>
        <w:spacing w:after="0" w:line="342" w:lineRule="auto"/>
        <w:rPr>
          <w:sz w:val="20"/>
          <w:szCs w:val="20"/>
          <w:color w:val="auto"/>
        </w:rPr>
      </w:pPr>
      <w:r>
        <w:rPr>
          <w:rFonts w:ascii="Arial" w:cs="Arial" w:eastAsia="Arial" w:hAnsi="Arial"/>
          <w:sz w:val="16"/>
          <w:szCs w:val="16"/>
          <w:color w:val="auto"/>
        </w:rPr>
        <w:t>The Company accounts for its uncertain tax positions in accordance with ASC 740. As of December 31, 2016, the Company had $1.0 million of unrecognized tax benefits none of unrecognized tax benefits would result in a change in the Company’s effective tax rate if recognized in future years.</w:t>
      </w:r>
    </w:p>
    <w:p>
      <w:pPr>
        <w:spacing w:after="0" w:line="124"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The Company is not aware of any other uncertain tax positions that could result in significant additional payments, accruals, or other material deviation in this estimate during the fiscal year.</w:t>
      </w:r>
    </w:p>
    <w:p>
      <w:pPr>
        <w:spacing w:after="0" w:line="170"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The Company files U.S. federal and state returns. The tax years 2010 to 2016 remain open in several jurisdictions, none of which have individual significance.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Computation of Basic and Diluted Net Loss Per Common Share</w:t>
      </w:r>
    </w:p>
    <w:p>
      <w:pPr>
        <w:spacing w:after="0" w:line="229" w:lineRule="exact"/>
        <w:rPr>
          <w:sz w:val="20"/>
          <w:szCs w:val="20"/>
          <w:color w:val="auto"/>
        </w:rPr>
      </w:pPr>
    </w:p>
    <w:p>
      <w:pPr>
        <w:ind w:right="120" w:firstLine="761"/>
        <w:spacing w:after="0" w:line="276" w:lineRule="auto"/>
        <w:rPr>
          <w:sz w:val="20"/>
          <w:szCs w:val="20"/>
          <w:color w:val="auto"/>
        </w:rPr>
      </w:pPr>
      <w:r>
        <w:rPr>
          <w:rFonts w:ascii="Arial" w:cs="Arial" w:eastAsia="Arial" w:hAnsi="Arial"/>
          <w:sz w:val="17"/>
          <w:szCs w:val="17"/>
          <w:color w:val="auto"/>
        </w:rPr>
        <w:t>Basic and diluted net loss per share is based upon the weighted average number of common shares outstanding during the period. Common stock equivalents consist of incremental common shares issuable upon the exercise of stock options, and the release (vesting) of restricted stock units and awards and are calculated under the treasury stock method. Common stock equivalent shares from unexercised stock options, and unvested restricted stock units and awards are excluded from the computation for periods in which we incur a net loss or if the exercise price of such options is greater than the average market price of our common stock for the period as their effect would be anti-dilutive.</w:t>
      </w:r>
    </w:p>
    <w:p>
      <w:pPr>
        <w:spacing w:after="0" w:line="173" w:lineRule="exact"/>
        <w:rPr>
          <w:sz w:val="20"/>
          <w:szCs w:val="20"/>
          <w:color w:val="auto"/>
        </w:rPr>
      </w:pPr>
    </w:p>
    <w:p>
      <w:pPr>
        <w:ind w:right="540" w:firstLine="761"/>
        <w:spacing w:after="0" w:line="277" w:lineRule="auto"/>
        <w:rPr>
          <w:sz w:val="20"/>
          <w:szCs w:val="20"/>
          <w:color w:val="auto"/>
        </w:rPr>
      </w:pPr>
      <w:r>
        <w:rPr>
          <w:rFonts w:ascii="Arial" w:cs="Arial" w:eastAsia="Arial" w:hAnsi="Arial"/>
          <w:sz w:val="18"/>
          <w:szCs w:val="18"/>
          <w:color w:val="auto"/>
        </w:rPr>
        <w:t>For the six months ended July 1, 2017 and July 2, 2016, stock options and RSUs to purchase 773,318 and 719,647 shares, respectively, were excluded from the computation of diluted weighted average shares outstanding.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color w:val="auto"/>
        </w:rPr>
        <w:t>A reconciliation of the numerator and denominator of basic and diluted net loss per common share is provided as follows:</w:t>
      </w:r>
    </w:p>
    <w:p>
      <w:pPr>
        <w:spacing w:after="0" w:line="200" w:lineRule="exact"/>
        <w:rPr>
          <w:sz w:val="20"/>
          <w:szCs w:val="20"/>
          <w:color w:val="auto"/>
        </w:rPr>
      </w:pPr>
    </w:p>
    <w:p>
      <w:pPr>
        <w:spacing w:after="0" w:line="26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1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3180" w:type="dxa"/>
            <w:vAlign w:val="bottom"/>
            <w:vMerge w:val="restart"/>
          </w:tcPr>
          <w:p>
            <w:pPr>
              <w:spacing w:after="0"/>
              <w:rPr>
                <w:sz w:val="20"/>
                <w:szCs w:val="20"/>
                <w:color w:val="auto"/>
              </w:rPr>
            </w:pPr>
            <w:r>
              <w:rPr>
                <w:rFonts w:ascii="Arial" w:cs="Arial" w:eastAsia="Arial" w:hAnsi="Arial"/>
                <w:sz w:val="18"/>
                <w:szCs w:val="18"/>
                <w:b w:val="1"/>
                <w:bCs w:val="1"/>
                <w:color w:val="auto"/>
              </w:rPr>
              <w:t>Numerator:</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July 1, 2017</w:t>
            </w:r>
          </w:p>
        </w:tc>
        <w:tc>
          <w:tcPr>
            <w:tcW w:w="22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July 2, 2016</w:t>
            </w:r>
          </w:p>
        </w:tc>
        <w:tc>
          <w:tcPr>
            <w:tcW w:w="12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July 1, 2017</w:t>
            </w:r>
          </w:p>
        </w:tc>
        <w:tc>
          <w:tcPr>
            <w:tcW w:w="22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July 2, 2016</w:t>
            </w:r>
          </w:p>
        </w:tc>
        <w:tc>
          <w:tcPr>
            <w:tcW w:w="0" w:type="dxa"/>
            <w:vAlign w:val="bottom"/>
          </w:tcPr>
          <w:p>
            <w:pPr>
              <w:spacing w:after="0"/>
              <w:rPr>
                <w:sz w:val="1"/>
                <w:szCs w:val="1"/>
                <w:color w:val="auto"/>
              </w:rPr>
            </w:pPr>
          </w:p>
        </w:tc>
      </w:tr>
      <w:tr>
        <w:trPr>
          <w:trHeight w:val="223"/>
        </w:trPr>
        <w:tc>
          <w:tcPr>
            <w:tcW w:w="31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loss</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(2,750)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(4,616)</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31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Denominator:</w:t>
            </w: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7"/>
              </w:rPr>
              <w:t>Weighted average shares of common</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(basic)</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11,546</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10,085</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11,532</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Effect of dilutive preferred shares</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180" w:type="dxa"/>
            <w:vAlign w:val="bottom"/>
            <w:shd w:val="clear" w:color="auto" w:fill="CFF0FC"/>
          </w:tcPr>
          <w:p>
            <w:pPr>
              <w:ind w:left="740"/>
              <w:spacing w:after="0" w:line="195" w:lineRule="exact"/>
              <w:rPr>
                <w:sz w:val="20"/>
                <w:szCs w:val="20"/>
                <w:color w:val="auto"/>
              </w:rPr>
            </w:pPr>
            <w:r>
              <w:rPr>
                <w:rFonts w:ascii="Arial" w:cs="Arial" w:eastAsia="Arial" w:hAnsi="Arial"/>
                <w:sz w:val="18"/>
                <w:szCs w:val="18"/>
                <w:color w:val="auto"/>
              </w:rPr>
              <w:t>Weighted average shares of</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8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common stock (diluted)</w:t>
            </w:r>
          </w:p>
        </w:tc>
        <w:tc>
          <w:tcPr>
            <w:tcW w:w="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11,546</w:t>
            </w:r>
          </w:p>
        </w:tc>
        <w:tc>
          <w:tcPr>
            <w:tcW w:w="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10,085</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11,532</w:t>
            </w:r>
          </w:p>
        </w:tc>
        <w:tc>
          <w:tcPr>
            <w:tcW w:w="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10,060</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rPr>
                <w:sz w:val="20"/>
                <w:szCs w:val="20"/>
                <w:color w:val="auto"/>
              </w:rPr>
            </w:pPr>
            <w:r>
              <w:rPr>
                <w:rFonts w:ascii="Arial" w:cs="Arial" w:eastAsia="Arial" w:hAnsi="Arial"/>
                <w:sz w:val="18"/>
                <w:szCs w:val="18"/>
                <w:b w:val="1"/>
                <w:bCs w:val="1"/>
                <w:color w:val="auto"/>
              </w:rPr>
              <w:t>Per share data:</w:t>
            </w: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 net loss per share</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(0.24)</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3180" w:type="dxa"/>
            <w:vAlign w:val="bottom"/>
            <w:tcBorders>
              <w:top w:val="single" w:sz="8" w:color="CFF0FC"/>
              <w:bottom w:val="single" w:sz="8" w:color="CFF0FC"/>
            </w:tcBorders>
            <w:vMerge w:val="restart"/>
          </w:tcPr>
          <w:p>
            <w:pPr>
              <w:ind w:left="500"/>
              <w:spacing w:after="0"/>
              <w:rPr>
                <w:sz w:val="20"/>
                <w:szCs w:val="20"/>
                <w:color w:val="auto"/>
              </w:rPr>
            </w:pPr>
            <w:r>
              <w:rPr>
                <w:rFonts w:ascii="Arial" w:cs="Arial" w:eastAsia="Arial" w:hAnsi="Arial"/>
                <w:sz w:val="18"/>
                <w:szCs w:val="18"/>
                <w:color w:val="auto"/>
              </w:rPr>
              <w:t>Diluted net loss per share</w:t>
            </w: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Segments</w:t>
      </w:r>
    </w:p>
    <w:p>
      <w:pPr>
        <w:spacing w:after="0" w:line="12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Company operates in one segment, ophthalmology. The Company develops, manufactures and markets medical devices. Our revenues arise from the sale of consoles, delivery devices, consumables, service and support activities.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information shown by geographic region, based on the sales destination, is as follows:</w:t>
      </w:r>
    </w:p>
    <w:p>
      <w:pPr>
        <w:spacing w:after="0" w:line="200" w:lineRule="exact"/>
        <w:rPr>
          <w:sz w:val="20"/>
          <w:szCs w:val="20"/>
          <w:color w:val="auto"/>
        </w:rPr>
      </w:pPr>
    </w:p>
    <w:p>
      <w:pPr>
        <w:spacing w:after="0" w:line="26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gridSpan w:val="6"/>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600" w:type="dxa"/>
            <w:vAlign w:val="bottom"/>
            <w:gridSpan w:val="7"/>
          </w:tcPr>
          <w:p>
            <w:pPr>
              <w:ind w:lef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280" w:type="dxa"/>
            <w:vAlign w:val="bottom"/>
            <w:vMerge w:val="restart"/>
          </w:tcPr>
          <w:p>
            <w:pPr>
              <w:spacing w:after="0"/>
              <w:rPr>
                <w:sz w:val="20"/>
                <w:szCs w:val="20"/>
                <w:color w:val="auto"/>
              </w:rPr>
            </w:pPr>
            <w:r>
              <w:rPr>
                <w:rFonts w:ascii="Arial" w:cs="Arial" w:eastAsia="Arial" w:hAnsi="Arial"/>
                <w:sz w:val="18"/>
                <w:szCs w:val="18"/>
                <w:color w:val="auto"/>
              </w:rPr>
              <w:t>United States</w:t>
            </w:r>
          </w:p>
        </w:tc>
        <w:tc>
          <w:tcPr>
            <w:tcW w:w="180" w:type="dxa"/>
            <w:vAlign w:val="bottom"/>
          </w:tcPr>
          <w:p>
            <w:pPr>
              <w:spacing w:after="0"/>
              <w:rPr>
                <w:sz w:val="14"/>
                <w:szCs w:val="14"/>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July 1, 2017</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2, 2016</w:t>
            </w:r>
          </w:p>
        </w:tc>
        <w:tc>
          <w:tcPr>
            <w:tcW w:w="180" w:type="dxa"/>
            <w:vAlign w:val="bottom"/>
          </w:tcPr>
          <w:p>
            <w:pPr>
              <w:spacing w:after="0"/>
              <w:rPr>
                <w:sz w:val="14"/>
                <w:szCs w:val="14"/>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July 1, 2017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2, 2016</w:t>
            </w:r>
          </w:p>
        </w:tc>
        <w:tc>
          <w:tcPr>
            <w:tcW w:w="0" w:type="dxa"/>
            <w:vAlign w:val="bottom"/>
          </w:tcPr>
          <w:p>
            <w:pPr>
              <w:spacing w:after="0"/>
              <w:rPr>
                <w:sz w:val="1"/>
                <w:szCs w:val="1"/>
                <w:color w:val="auto"/>
              </w:rPr>
            </w:pPr>
          </w:p>
        </w:tc>
      </w:tr>
      <w:tr>
        <w:trPr>
          <w:trHeight w:val="223"/>
        </w:trPr>
        <w:tc>
          <w:tcPr>
            <w:tcW w:w="2280" w:type="dxa"/>
            <w:vAlign w:val="bottom"/>
            <w:vMerge w:val="continue"/>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5,882</w:t>
            </w: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6,923</w:t>
            </w:r>
          </w:p>
        </w:tc>
        <w:tc>
          <w:tcPr>
            <w:tcW w:w="2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11,586</w:t>
            </w: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3,775</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Rest of Americas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Asia/Pacific Rim</w:t>
            </w: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1,926</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11,908</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Revenues are attributed to countries based on location of end customers. No individual country accounted for more than 10% of the Company’s revenues, other than the United States. United States accounted for 58.8% and 58.1% of revenues for the three month periods ended July 1, 2017 and July 2, 2016, respectively. For the six month period ended July 1, 2017 and July 2, 2016, the United States accounted for 56.6% and 53.6% of sales, respectively. International sales, other than the United States, accounted for 41.2% and 41.9% of revenues for the three month periods ended July 1, 2017 and July 2, 2016, respectively. For six month period ended July 1, 2017 and July 2, 2016, International sales, other than the United States, accounted for 43.4% and 46.4% of sales, respectively.</w:t>
      </w:r>
    </w:p>
    <w:p>
      <w:pPr>
        <w:spacing w:after="0" w:line="2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customer accounted for more than 10% of total revenues for the three month periods ended July 1, 2017 and July 2, 2016</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customer accounted for more than 10% of account receivable balance as of July 1, 2017 and July 2, 2016.</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Company has evaluated subsequent events and has concluded that no subsequent events that require disclosure in the financial statements have occurred since the quarter ended July 1, 2017.</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29"/>
        <w:spacing w:after="0" w:line="218" w:lineRule="exact"/>
        <w:rPr>
          <w:sz w:val="20"/>
          <w:szCs w:val="20"/>
          <w:color w:val="auto"/>
        </w:rPr>
      </w:pPr>
      <w:r>
        <w:rPr>
          <w:rFonts w:ascii="Arial" w:cs="Arial" w:eastAsia="Arial" w:hAnsi="Arial"/>
          <w:sz w:val="17"/>
          <w:szCs w:val="17"/>
          <w:i w:val="1"/>
          <w:iCs w:val="1"/>
          <w:color w:val="auto"/>
        </w:rPr>
        <w:t>This Quarterly Report on Form 10-Q contains certain forward-looking statements within the meaning of Section 27A of the Securities Act of 1933, as amended, and Section 21E of the Securities Exchange Act of 1934, as amended. These statements are based on management’s beliefs and assumptions and on information currently available to management. These statements include statements concerning future demand and order levels for the Company's products, future operating expenses, changes in personnel, product development and intellectual property related matters, the adoption and effect of Company products on its results, the markets in which the Company operates, usage and efficacy of the Company's products, the Company’s future financial results, the impact of the Company’s adoption of new or revised accounting standards, and the Company's strategic plans and objectives. In some cases, forward-looking statements can be identified by terminology, such as “may,” “will,” “should,” “expects,” “plans,” “anticipates,” “believes,” “estimates,” “predicts,” “intends,” “potential,” “continue,” or the negative of such terms or other comparable terminology, although not all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contain these words.</w:t>
      </w:r>
    </w:p>
    <w:p>
      <w:pPr>
        <w:spacing w:after="0" w:line="204" w:lineRule="exact"/>
        <w:rPr>
          <w:sz w:val="20"/>
          <w:szCs w:val="20"/>
          <w:color w:val="auto"/>
        </w:rPr>
      </w:pPr>
    </w:p>
    <w:p>
      <w:pPr>
        <w:ind w:right="20" w:firstLine="629"/>
        <w:spacing w:after="0" w:line="255" w:lineRule="auto"/>
        <w:rPr>
          <w:sz w:val="20"/>
          <w:szCs w:val="20"/>
          <w:color w:val="auto"/>
        </w:rPr>
      </w:pPr>
      <w:r>
        <w:rPr>
          <w:rFonts w:ascii="Arial" w:cs="Arial" w:eastAsia="Arial" w:hAnsi="Arial"/>
          <w:sz w:val="18"/>
          <w:szCs w:val="18"/>
          <w:i w:val="1"/>
          <w:iCs w:val="1"/>
          <w:color w:val="auto"/>
        </w:rPr>
        <w:t>These statements involve known and unknown risks, uncertainties and other factors which may cause our actual results, performance or achievements to differ materially from those expressed or implied by such forward-looking statements. The reader is strongly urged to read the information contained under Item 1A of Part II of this Quarterly Report on Form 10-Q for a more detailed description of these significant risks and uncertainties. The reader is cautioned not to place undue reliance on these forward-looking statements, which reflect management’s analysis only as of the date of this Quarterly Report on Form 10-Q. We undertake no obligation to update such forward-looking statements to reflect events or circumstances occurring after the date of this report.</w:t>
      </w:r>
    </w:p>
    <w:p>
      <w:pPr>
        <w:spacing w:after="0" w:line="193" w:lineRule="exact"/>
        <w:rPr>
          <w:sz w:val="20"/>
          <w:szCs w:val="20"/>
          <w:color w:val="auto"/>
        </w:rPr>
      </w:pPr>
    </w:p>
    <w:p>
      <w:pPr>
        <w:ind w:right="340" w:firstLine="629"/>
        <w:spacing w:after="0" w:line="277" w:lineRule="auto"/>
        <w:rPr>
          <w:sz w:val="20"/>
          <w:szCs w:val="20"/>
          <w:color w:val="auto"/>
        </w:rPr>
      </w:pPr>
      <w:r>
        <w:rPr>
          <w:rFonts w:ascii="Arial" w:cs="Arial" w:eastAsia="Arial" w:hAnsi="Arial"/>
          <w:sz w:val="18"/>
          <w:szCs w:val="18"/>
          <w:i w:val="1"/>
          <w:iCs w:val="1"/>
          <w:color w:val="auto"/>
        </w:rPr>
        <w:t>As used in this Quarterly Report on Form 10-Q, the terms “Company,” “IRIDEX,” “we,” “us” and “our” refer to IRIDEX Corporation, and its consolidated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IRIDEX Corporation is an ophthalmic medical technology company focused on the development and commercialization of breakthrough products and procedures used to treat sight-threatening eye conditions, including glaucoma and retinal diseases. Certain of our products are powered by our proprietary MicroPulse technology, which is a method of delivering laser energy using a mode which chops the continuous wave laser beam into short, microsecond-long laser pulses. Our products consist of laser consoles, delivery devices and consumable instrumentation, including laser probes.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laser consoles consist of the following product lines:</w:t>
      </w:r>
    </w:p>
    <w:p>
      <w:pPr>
        <w:spacing w:after="0" w:line="329"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This product line includes our recently introduced Cyclo G6 laser system used for the treatment of glaucoma;</w:t>
      </w:r>
    </w:p>
    <w:p>
      <w:pPr>
        <w:spacing w:after="0" w:line="225" w:lineRule="exact"/>
        <w:rPr>
          <w:rFonts w:ascii="Arial" w:cs="Arial" w:eastAsia="Arial" w:hAnsi="Arial"/>
          <w:sz w:val="18"/>
          <w:szCs w:val="18"/>
          <w:color w:val="auto"/>
        </w:rPr>
      </w:pPr>
    </w:p>
    <w:p>
      <w:pPr>
        <w:ind w:left="900" w:right="580" w:hanging="325"/>
        <w:spacing w:after="0" w:line="282"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Medical Retina </w:t>
      </w:r>
      <w:r>
        <w:rPr>
          <w:rFonts w:ascii="Arial" w:cs="Arial" w:eastAsia="Arial" w:hAnsi="Arial"/>
          <w:sz w:val="18"/>
          <w:szCs w:val="18"/>
          <w:color w:val="auto"/>
        </w:rPr>
        <w:t>– Our medical retina product line includes our IQ 532 and IQ 577 laser photocoagulation systems, which are used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diabetic macular edema and other retinal diseases; and</w:t>
      </w:r>
    </w:p>
    <w:p>
      <w:pPr>
        <w:spacing w:after="0" w:line="161" w:lineRule="exact"/>
        <w:rPr>
          <w:rFonts w:ascii="Arial" w:cs="Arial" w:eastAsia="Arial" w:hAnsi="Arial"/>
          <w:sz w:val="18"/>
          <w:szCs w:val="18"/>
          <w:color w:val="auto"/>
        </w:rPr>
      </w:pPr>
    </w:p>
    <w:p>
      <w:pPr>
        <w:jc w:val="both"/>
        <w:ind w:left="900" w:right="40" w:hanging="325"/>
        <w:spacing w:after="0" w:line="26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line of products includes our OcuLight TX, OcuLight SL, OcuLight SLx, OcuLight GL and OcuLight GLx</w:t>
      </w:r>
      <w:r>
        <w:rPr>
          <w:rFonts w:ascii="Arial" w:cs="Arial" w:eastAsia="Arial" w:hAnsi="Arial"/>
          <w:sz w:val="18"/>
          <w:szCs w:val="18"/>
          <w:b w:val="1"/>
          <w:bCs w:val="1"/>
          <w:color w:val="auto"/>
        </w:rPr>
        <w:t xml:space="preserve"> </w:t>
      </w:r>
      <w:r>
        <w:rPr>
          <w:rFonts w:ascii="Arial" w:cs="Arial" w:eastAsia="Arial" w:hAnsi="Arial"/>
          <w:sz w:val="18"/>
          <w:szCs w:val="18"/>
          <w:color w:val="auto"/>
        </w:rPr>
        <w:t>laser photocoagulation systems. These systems are often used in vitrectomy procedures, which are used to treat proliferative diabetic retinopathy, macular holes, retinal tears and detachments.</w:t>
      </w:r>
    </w:p>
    <w:p>
      <w:pPr>
        <w:spacing w:after="0" w:line="180" w:lineRule="exact"/>
        <w:rPr>
          <w:sz w:val="20"/>
          <w:szCs w:val="20"/>
          <w:color w:val="auto"/>
        </w:rPr>
      </w:pPr>
    </w:p>
    <w:p>
      <w:pPr>
        <w:ind w:right="440" w:firstLine="518"/>
        <w:spacing w:after="0" w:line="342" w:lineRule="auto"/>
        <w:rPr>
          <w:sz w:val="20"/>
          <w:szCs w:val="20"/>
          <w:color w:val="auto"/>
        </w:rPr>
      </w:pPr>
      <w:r>
        <w:rPr>
          <w:rFonts w:ascii="Arial" w:cs="Arial" w:eastAsia="Arial" w:hAnsi="Arial"/>
          <w:sz w:val="16"/>
          <w:szCs w:val="16"/>
          <w:color w:val="auto"/>
        </w:rPr>
        <w:t>Our business generates recurring revenues through sales of consumable products, predominantly single-use laser probe devices and other instrumentation, as well as repair, servicing and extended service contracts for our laser systems. Our laser probes consist of the following product lines:</w:t>
      </w:r>
    </w:p>
    <w:p>
      <w:pPr>
        <w:spacing w:after="0" w:line="12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Glaucoma </w:t>
      </w:r>
      <w:r>
        <w:rPr>
          <w:rFonts w:ascii="Arial" w:cs="Arial" w:eastAsia="Arial" w:hAnsi="Arial"/>
          <w:sz w:val="17"/>
          <w:szCs w:val="17"/>
          <w:color w:val="auto"/>
        </w:rPr>
        <w:t>– Probes used in our glaucoma product line include our recently patented MicroPulse P3 (“MP3”) probe and G-Probe; and</w:t>
      </w:r>
    </w:p>
    <w:p>
      <w:pPr>
        <w:spacing w:after="0" w:line="236" w:lineRule="exact"/>
        <w:rPr>
          <w:rFonts w:ascii="Arial" w:cs="Arial" w:eastAsia="Arial" w:hAnsi="Arial"/>
          <w:sz w:val="17"/>
          <w:szCs w:val="17"/>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probes include our EndoProbe family of products used in vitrectomy procedures.</w:t>
      </w:r>
    </w:p>
    <w:p>
      <w:pPr>
        <w:spacing w:after="0" w:line="121"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Ophthalmologists typically use our laser systems in hospital OR and ambulatory surgical centers (“ASCs”), as well as their offices and clinics. In the ORs and ASCs, ophthalmologists use our laser systems with either an indirect laser ophthalmoscope or a consumable, single use MP3 probe, G-Probe or EndoProbe.</w:t>
      </w:r>
    </w:p>
    <w:p>
      <w:pPr>
        <w:spacing w:after="0" w:line="18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Our products are sold in the United States predominantly through a direct sales force and internationally through independent distributors. We are in the process of establishing direct sales capabilities in Germany.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8" w:name="page19"/>
    <w:bookmarkEnd w:id="18"/>
    <w:p>
      <w:pPr>
        <w:ind w:right="140" w:firstLine="518"/>
        <w:spacing w:after="0" w:line="259" w:lineRule="auto"/>
        <w:rPr>
          <w:sz w:val="20"/>
          <w:szCs w:val="20"/>
          <w:color w:val="auto"/>
        </w:rPr>
      </w:pPr>
      <w:r>
        <w:rPr>
          <w:rFonts w:ascii="Arial" w:cs="Arial" w:eastAsia="Arial" w:hAnsi="Arial"/>
          <w:sz w:val="18"/>
          <w:szCs w:val="18"/>
          <w:color w:val="auto"/>
        </w:rPr>
        <w:t>Sales to international distributors are made on open credit terms or letters of credit and are currently denominated in U.S. dollars and accordingly, are not subject to risks associated with currency fluctuations. However, increases in the value of the US dollar against any local currencies could cause our products to become relatively more expensive to customers in a particular country or region, leading to reduced revenue or profitability in that country or region.</w:t>
      </w:r>
    </w:p>
    <w:p>
      <w:pPr>
        <w:spacing w:after="0" w:line="187" w:lineRule="exact"/>
        <w:rPr>
          <w:sz w:val="20"/>
          <w:szCs w:val="20"/>
          <w:color w:val="auto"/>
        </w:rPr>
      </w:pPr>
    </w:p>
    <w:p>
      <w:pPr>
        <w:ind w:right="580" w:firstLine="518"/>
        <w:spacing w:after="0" w:line="308" w:lineRule="auto"/>
        <w:rPr>
          <w:sz w:val="20"/>
          <w:szCs w:val="20"/>
          <w:color w:val="auto"/>
        </w:rPr>
      </w:pPr>
      <w:r>
        <w:rPr>
          <w:rFonts w:ascii="Arial" w:cs="Arial" w:eastAsia="Arial" w:hAnsi="Arial"/>
          <w:sz w:val="17"/>
          <w:szCs w:val="17"/>
          <w:color w:val="auto"/>
        </w:rPr>
        <w:t>Cost of revenues consists primarily of the cost of components and sub-systems, assembling, packaging, shipping and testing components at our facility, direct labor and associated overhead; warranty, royalty and amortization of intangible assets and depot service costs.</w:t>
      </w:r>
    </w:p>
    <w:p>
      <w:pPr>
        <w:spacing w:after="0" w:line="14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Sales and marketing expenses consist primarily of costs of personnel, sales commissions, travel expenses, advertising and promotional expenses.</w:t>
      </w:r>
    </w:p>
    <w:p>
      <w:pPr>
        <w:spacing w:after="0" w:line="248"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General and administrative expenses consist primarily of costs of personnel, legal, accounting and other public company costs, insurance and other expenses not allocated to other departments.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operating data as a percentage of revenues: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24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3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32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9"/>
              </w:rPr>
              <w:t>July 1, 2017</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July 2, 2016</w:t>
            </w:r>
          </w:p>
        </w:tc>
        <w:tc>
          <w:tcPr>
            <w:tcW w:w="34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July 1, 2017</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9"/>
              </w:rPr>
              <w:t>July 2, 2016</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100.0%</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Cost of revenues</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51.8%</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
        </w:trPr>
        <w:tc>
          <w:tcPr>
            <w:tcW w:w="32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margin</w:t>
            </w: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0" w:type="dxa"/>
            <w:vAlign w:val="bottom"/>
            <w:vMerge w:val="continue"/>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48.2%</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8"/>
                <w:szCs w:val="18"/>
                <w:color w:val="auto"/>
              </w:rPr>
              <w:t>Operating expenses:</w:t>
            </w:r>
          </w:p>
        </w:tc>
        <w:tc>
          <w:tcPr>
            <w:tcW w:w="8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11.7%</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Sales and marketing</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20.2%</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19.6%</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0" w:type="dxa"/>
            <w:vAlign w:val="bottom"/>
            <w:vMerge w:val="continue"/>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51.5%</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0"/>
        </w:trPr>
        <w:tc>
          <w:tcPr>
            <w:tcW w:w="32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0" w:type="dxa"/>
            <w:vAlign w:val="bottom"/>
            <w:vMerge w:val="continue"/>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Other expense, net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9"/>
        </w:trPr>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7"/>
              </w:rPr>
              <w:t>Loss from operations before provision for</w:t>
            </w: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(benefit from) income taxes</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w w:val="98"/>
              </w:rPr>
              <w:t>Provision for (benefit from) income taxes</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32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0" w:type="dxa"/>
            <w:vAlign w:val="bottom"/>
            <w:vMerge w:val="continue"/>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2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The following comparisons are between the three month periods ended July 1, 2017 and July 2, 2016: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82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4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60" w:type="dxa"/>
            <w:vAlign w:val="bottom"/>
            <w:vMerge w:val="restart"/>
          </w:tcPr>
          <w:p>
            <w:pPr>
              <w:spacing w:after="0"/>
              <w:rPr>
                <w:sz w:val="20"/>
                <w:szCs w:val="20"/>
                <w:color w:val="auto"/>
              </w:rPr>
            </w:pPr>
            <w:r>
              <w:rPr>
                <w:rFonts w:ascii="Arial" w:cs="Arial" w:eastAsia="Arial" w:hAnsi="Arial"/>
                <w:sz w:val="18"/>
                <w:szCs w:val="18"/>
                <w:color w:val="auto"/>
              </w:rPr>
              <w:t>Systems – domestic</w:t>
            </w: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July 1, 2017</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July 2, 2016</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 in $</w:t>
            </w:r>
          </w:p>
        </w:tc>
        <w:tc>
          <w:tcPr>
            <w:tcW w:w="280" w:type="dxa"/>
            <w:vAlign w:val="bottom"/>
          </w:tcPr>
          <w:p>
            <w:pPr>
              <w:spacing w:after="0"/>
              <w:rPr>
                <w:sz w:val="14"/>
                <w:szCs w:val="14"/>
                <w:color w:val="auto"/>
              </w:rPr>
            </w:pPr>
          </w:p>
        </w:tc>
        <w:tc>
          <w:tcPr>
            <w:tcW w:w="16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Change in %</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1,833</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2,976</w:t>
            </w:r>
          </w:p>
        </w:tc>
        <w:tc>
          <w:tcPr>
            <w:tcW w:w="30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(1,143)</w:t>
            </w:r>
          </w:p>
        </w:tc>
        <w:tc>
          <w:tcPr>
            <w:tcW w:w="280" w:type="dxa"/>
            <w:vAlign w:val="bottom"/>
          </w:tcPr>
          <w:p>
            <w:pPr>
              <w:spacing w:after="0"/>
              <w:rPr>
                <w:sz w:val="19"/>
                <w:szCs w:val="19"/>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Systems – international</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2,464</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(446)</w:t>
            </w:r>
          </w:p>
        </w:tc>
        <w:tc>
          <w:tcPr>
            <w:tcW w:w="1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Recurring revenues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5,705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6,022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(317)</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90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Our total revenues decreased $1.9 million, or 16.0%, from $11.9 million to $10.0 million for the first quarter of fiscal year 2017. The decrease is due mainly to the decrease in our domestic system sales, which decreased by $1.1 million or 38.4%, from $3.0 million to $1.8 million. Our international system sales decreased by $0.4 million, or 15.3%, from $2.9 million to $2.5 million. The decrease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ind w:right="40"/>
        <w:spacing w:after="0" w:line="277" w:lineRule="auto"/>
        <w:rPr>
          <w:sz w:val="20"/>
          <w:szCs w:val="20"/>
          <w:color w:val="auto"/>
        </w:rPr>
      </w:pPr>
      <w:r>
        <w:rPr>
          <w:rFonts w:ascii="Arial" w:cs="Arial" w:eastAsia="Arial" w:hAnsi="Arial"/>
          <w:sz w:val="18"/>
          <w:szCs w:val="18"/>
          <w:color w:val="auto"/>
        </w:rPr>
        <w:t>our system sales was realized across all of our product lines, particularly our medical retina products. Our recurring revenues decreased $0.3 million, or 5.3%, from $6.0 million to $5.7 million which was driven by a decrease in sales of our Endoprobes and G6 related probes.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Margin.</w:t>
      </w:r>
    </w:p>
    <w:p>
      <w:pPr>
        <w:spacing w:after="0" w:line="225" w:lineRule="exact"/>
        <w:rPr>
          <w:sz w:val="20"/>
          <w:szCs w:val="20"/>
          <w:color w:val="auto"/>
        </w:rPr>
      </w:pPr>
    </w:p>
    <w:p>
      <w:pPr>
        <w:jc w:val="both"/>
        <w:ind w:right="160" w:firstLine="518"/>
        <w:spacing w:after="0" w:line="279" w:lineRule="auto"/>
        <w:rPr>
          <w:sz w:val="20"/>
          <w:szCs w:val="20"/>
          <w:color w:val="auto"/>
        </w:rPr>
      </w:pPr>
      <w:r>
        <w:rPr>
          <w:rFonts w:ascii="Arial" w:cs="Arial" w:eastAsia="Arial" w:hAnsi="Arial"/>
          <w:sz w:val="17"/>
          <w:szCs w:val="17"/>
          <w:color w:val="auto"/>
        </w:rPr>
        <w:t>Gross profit was $4.5 million compared with $5.7 million, a decrease of $1.2 million. Gross margin was 44.9% compared with 48.2%, a decrease of 3.3 percentage points. The decrease in gross margin was attributable primarily to lower manufacturing overhead absorption due to the decrease in revenues, and an increase in manufacturing variances which includes adjustments for inventory reserves and warranty reserves, partially offset by an increase in direct margins primarily as a result of a favorable shift to higher margin products due to product and geographic mix.</w:t>
      </w:r>
    </w:p>
    <w:p>
      <w:pPr>
        <w:spacing w:after="0" w:line="171"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Gross margins as a percentage of revenues are expected to continue to fluctuate due to changes in the relative proportions of domestic and international sales, the product mix of sales, introduction of new products, manufacturing variances, total unit volume changes that lead to greater or lesser production efficiencies and other factors.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80" w:firstLine="761"/>
        <w:spacing w:after="0" w:line="277" w:lineRule="auto"/>
        <w:rPr>
          <w:sz w:val="20"/>
          <w:szCs w:val="20"/>
          <w:color w:val="auto"/>
        </w:rPr>
      </w:pPr>
      <w:r>
        <w:rPr>
          <w:rFonts w:ascii="Arial" w:cs="Arial" w:eastAsia="Arial" w:hAnsi="Arial"/>
          <w:sz w:val="18"/>
          <w:szCs w:val="18"/>
          <w:color w:val="auto"/>
        </w:rPr>
        <w:t>Research and development (“R&amp;D”) expenses increased by $0.1 million, or 9.8%, from $1.4 million to $1.5 million. The increase in spending was mainly attributable to an increase in headcount, and associated costs, including recruiting fees.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100" w:firstLine="518"/>
        <w:spacing w:after="0" w:line="342" w:lineRule="auto"/>
        <w:rPr>
          <w:sz w:val="20"/>
          <w:szCs w:val="20"/>
          <w:color w:val="auto"/>
        </w:rPr>
      </w:pPr>
      <w:r>
        <w:rPr>
          <w:rFonts w:ascii="Arial" w:cs="Arial" w:eastAsia="Arial" w:hAnsi="Arial"/>
          <w:sz w:val="16"/>
          <w:szCs w:val="16"/>
          <w:color w:val="auto"/>
        </w:rPr>
        <w:t>Sales and marketing expenses increased $1.2 million, or 51.9%, from $2.4 million to $3.6 million. The increase in spending was attributable to an increase in salaries and related costs due to an increase in headcount, commission expense, recruiting fees, and other general selling and marketing expenses.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General and administrative expenses decreased $0.3 million, or 11.9%, from $2.3 million to $2.1 million. The decrease in spending was attributable to a decrease in termination and severance costs, bonus accrual, and bad debt expense partially offset by an increase in salaries and related costs due to an increase in headcount, and an increase in accounting, tax, and legal expenses.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11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Other expense, net amounted to $1 thousand and $21 thousand, respectively and consisted primarily of the change in expense associated with the re-measurement of the contingent liabilities.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recorded an income tax provision of $8 thousand and benefit of $87 thousand, respectively.</w:t>
      </w:r>
    </w:p>
    <w:p>
      <w:pPr>
        <w:spacing w:after="0" w:line="35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The following comparisons are between the six month periods ended July 1, 2017 and July 2, 2016: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ind w:left="12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1580" w:type="dxa"/>
            <w:vAlign w:val="bottom"/>
          </w:tcPr>
          <w:p>
            <w:pPr>
              <w:jc w:val="right"/>
              <w:ind w:right="236"/>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60" w:type="dxa"/>
            <w:vAlign w:val="bottom"/>
            <w:vMerge w:val="restart"/>
          </w:tcPr>
          <w:p>
            <w:pPr>
              <w:spacing w:after="0"/>
              <w:rPr>
                <w:sz w:val="20"/>
                <w:szCs w:val="20"/>
                <w:color w:val="auto"/>
              </w:rPr>
            </w:pPr>
            <w:r>
              <w:rPr>
                <w:rFonts w:ascii="Arial" w:cs="Arial" w:eastAsia="Arial" w:hAnsi="Arial"/>
                <w:sz w:val="18"/>
                <w:szCs w:val="18"/>
                <w:color w:val="auto"/>
              </w:rPr>
              <w:t>Systems – domestic</w:t>
            </w:r>
          </w:p>
        </w:tc>
        <w:tc>
          <w:tcPr>
            <w:tcW w:w="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July 1, 2017</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July 2, 2016</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Change in $</w:t>
            </w:r>
          </w:p>
        </w:tc>
        <w:tc>
          <w:tcPr>
            <w:tcW w:w="300" w:type="dxa"/>
            <w:vAlign w:val="bottom"/>
          </w:tcPr>
          <w:p>
            <w:pPr>
              <w:spacing w:after="0"/>
              <w:rPr>
                <w:sz w:val="14"/>
                <w:szCs w:val="14"/>
                <w:color w:val="auto"/>
              </w:rPr>
            </w:pPr>
          </w:p>
        </w:tc>
        <w:tc>
          <w:tcPr>
            <w:tcW w:w="17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Change in %</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46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3,966</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5,188</w:t>
            </w:r>
          </w:p>
        </w:tc>
        <w:tc>
          <w:tcPr>
            <w:tcW w:w="30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(1,222)</w:t>
            </w:r>
          </w:p>
        </w:tc>
        <w:tc>
          <w:tcPr>
            <w:tcW w:w="300" w:type="dxa"/>
            <w:vAlign w:val="bottom"/>
          </w:tcPr>
          <w:p>
            <w:pPr>
              <w:spacing w:after="0"/>
              <w:rPr>
                <w:sz w:val="19"/>
                <w:szCs w:val="19"/>
                <w:color w:val="auto"/>
              </w:rPr>
            </w:pP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0"/>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Systems – international</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7,456</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(2,020)</w:t>
            </w:r>
          </w:p>
        </w:tc>
        <w:tc>
          <w:tcPr>
            <w:tcW w:w="2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Recurring revenues</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11,083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11,195</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(112)</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20,485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23,839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0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Our total revenues decreased $3.4 million, or 14.1%, from $23.8 million to $20.5 million for the first six months of fiscal year 2017. The decrease is due to a decrease in our international system sales, which decreased by $2.0 million or 27.1%, from $7.5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0" w:name="page21"/>
    <w:bookmarkEnd w:id="20"/>
    <w:p>
      <w:pPr>
        <w:spacing w:after="0" w:line="259" w:lineRule="auto"/>
        <w:rPr>
          <w:sz w:val="20"/>
          <w:szCs w:val="20"/>
          <w:color w:val="auto"/>
        </w:rPr>
      </w:pPr>
      <w:r>
        <w:rPr>
          <w:rFonts w:ascii="Arial" w:cs="Arial" w:eastAsia="Arial" w:hAnsi="Arial"/>
          <w:sz w:val="18"/>
          <w:szCs w:val="18"/>
          <w:color w:val="auto"/>
        </w:rPr>
        <w:t>to $5.4 million and to a decrease in our domestic system sales, which decreased by $1.2 million, or 23.6%, from $5.2 million to $4.0 million. The decrease in our system sales was realized across all of our products and was primarily a result of a decrease in sales of our medical retina and surgical retina products. Our recurring revenues decreased $0.1 million, or 1.0%, from $11.2 million to $11.1 million which was driven by a decrease in our EndoProbe revenues and was partially offset by an increase in our G6 related probes revenues.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Margin.</w:t>
      </w:r>
    </w:p>
    <w:p>
      <w:pPr>
        <w:spacing w:after="0" w:line="225" w:lineRule="exact"/>
        <w:rPr>
          <w:sz w:val="20"/>
          <w:szCs w:val="20"/>
          <w:color w:val="auto"/>
        </w:rPr>
      </w:pPr>
    </w:p>
    <w:p>
      <w:pPr>
        <w:jc w:val="both"/>
        <w:ind w:right="60" w:firstLine="518"/>
        <w:spacing w:after="0" w:line="312" w:lineRule="auto"/>
        <w:rPr>
          <w:sz w:val="20"/>
          <w:szCs w:val="20"/>
          <w:color w:val="auto"/>
        </w:rPr>
      </w:pPr>
      <w:r>
        <w:rPr>
          <w:rFonts w:ascii="Arial" w:cs="Arial" w:eastAsia="Arial" w:hAnsi="Arial"/>
          <w:sz w:val="16"/>
          <w:szCs w:val="16"/>
          <w:color w:val="auto"/>
        </w:rPr>
        <w:t>Gross profit was $9.0 million compared with $11.0 million, a decrease of $2.1 million. Gross margin was 43.7% compared with 46.3%, a decrease of 2.5 percentage points. The decrease in gross margin was attributable primarily to lower manufacturing overhead absorption due to the decrease in revenues, partially offset by an increase in direct margins primarily as a result of a favorable shift to higher margin products due to product and geographic mix.</w:t>
      </w:r>
    </w:p>
    <w:p>
      <w:pPr>
        <w:spacing w:after="0" w:line="14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Gross margins as a percentage of revenues are expected to continue to fluctuate due to changes in the relative proportions of domestic and international sales, the product mix of sales, introduction of new products, manufacturing variances, total unit volume changes that lead to greater or lesser production efficiencies and a variety of other factors.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firstLine="761"/>
        <w:spacing w:after="0" w:line="277" w:lineRule="auto"/>
        <w:rPr>
          <w:sz w:val="20"/>
          <w:szCs w:val="20"/>
          <w:color w:val="auto"/>
        </w:rPr>
      </w:pPr>
      <w:r>
        <w:rPr>
          <w:rFonts w:ascii="Arial" w:cs="Arial" w:eastAsia="Arial" w:hAnsi="Arial"/>
          <w:sz w:val="18"/>
          <w:szCs w:val="18"/>
          <w:color w:val="auto"/>
        </w:rPr>
        <w:t>Research and development (“R&amp;D”) expenses increased by $0.3 million, or 9.9%, from $2.8 million to $3.0 million. The increase in spending was mainly attributable to an increase in headcount and associated costs and including recruiting fees.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20" w:firstLine="518"/>
        <w:spacing w:after="0" w:line="342" w:lineRule="auto"/>
        <w:rPr>
          <w:sz w:val="20"/>
          <w:szCs w:val="20"/>
          <w:color w:val="auto"/>
        </w:rPr>
      </w:pPr>
      <w:r>
        <w:rPr>
          <w:rFonts w:ascii="Arial" w:cs="Arial" w:eastAsia="Arial" w:hAnsi="Arial"/>
          <w:sz w:val="16"/>
          <w:szCs w:val="16"/>
          <w:color w:val="auto"/>
        </w:rPr>
        <w:t>Sales and marketing expenses increased $1.7 million, or 36.1%, from $4.8 million to $6.6 million. The increase in spending was attributable to an increase in salaries and related costs due to an increase in headcount, commission expense, recruiting fees, and other general selling and marketing expenses.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General and administrative expenses increased $0.3 million, or 7.3%, from $3.7 million to $4.0 million. The increase in spending was attributable to an increase in salaries and related costs due to an increase in headcount, an increase in stock compensation charges, an increase in bonus accrual, and an increase in accounting, tax, and legal expenses offset by the decrease in termination and severance costs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11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Other expense, net amounted to $3 thousand and $32 thousand, respectively and consisted primarily of the change in expense associated with the re-measurement of contingent liabilities.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recorded an income tax provision of $14 thousand and benefit of $47 thousand,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Capital Resources.</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Liquidity is our ability to generate sufficient cash flows from operating activities to meet our obligations and commitments. In addition, liquidity includes the ability to obtain appropriate financing or to raise capital.</w:t>
      </w:r>
    </w:p>
    <w:p>
      <w:pPr>
        <w:spacing w:after="0" w:line="170"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As of July 1, 2017, we had cash and cash equivalents of $24.6 million and working capital of $35.8 million compared to cash and cash equivalents of $23.7 million and working capital of $37.4 million as of December 31, 2016.</w:t>
      </w:r>
    </w:p>
    <w:p>
      <w:pPr>
        <w:spacing w:after="0" w:line="170"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For the six months ended July 1, 2017, net cash of $0.7 million was used by operating activities, which was generated by net loss of $4.6 million and the add back of non-cash items of $1.3 million, and changes in operating assets and liabilities by $2.5 million, which included net collections of $3.0 million in accounts receivable. We used $0.6 million net cash in investing activities, $0.4 million on capital expenditures and $0.2 million for payment of the contingent earn-out liability. Financing activities provided $2.2 million of net cash, which consisted of $2.3 million net proceeds arising from the issuance of common stock and $0.2 million from</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09" w:right="31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exercises of stock options, partially offset by $0.3 million to pay for the net share settlement of equity awards and the related payroll taxes.</w:t>
      </w:r>
    </w:p>
    <w:p>
      <w:pPr>
        <w:spacing w:after="0" w:line="225"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On January 3, 2017, we issued an additional 172,500 new common shares in connection with the underwriters exercising their overallotment option at $14.00 per share, before underwriting discount and commissions. The new stock issuance generated net proceeds to us of approximately $2.3 million, after deducting underwriting commissions of $0.1 million.</w:t>
      </w:r>
    </w:p>
    <w:p>
      <w:pPr>
        <w:spacing w:after="0" w:line="181" w:lineRule="exact"/>
        <w:rPr>
          <w:sz w:val="20"/>
          <w:szCs w:val="20"/>
          <w:color w:val="auto"/>
        </w:rPr>
      </w:pPr>
    </w:p>
    <w:p>
      <w:pPr>
        <w:ind w:right="2300" w:firstLine="518"/>
        <w:spacing w:after="0" w:line="277" w:lineRule="auto"/>
        <w:rPr>
          <w:sz w:val="20"/>
          <w:szCs w:val="20"/>
          <w:color w:val="auto"/>
        </w:rPr>
      </w:pPr>
      <w:r>
        <w:rPr>
          <w:rFonts w:ascii="Arial" w:cs="Arial" w:eastAsia="Arial" w:hAnsi="Arial"/>
          <w:sz w:val="18"/>
          <w:szCs w:val="18"/>
          <w:color w:val="auto"/>
        </w:rPr>
        <w:t>We believe our existing cash and cash equivalents will be sufficient to meet our anticipated cash needs over the next 12 months.</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contractual obligations and commitments as of July 1, 2017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240" w:type="dxa"/>
            <w:vAlign w:val="bottom"/>
          </w:tcPr>
          <w:p>
            <w:pPr>
              <w:jc w:val="right"/>
              <w:ind w:right="94"/>
              <w:spacing w:after="0"/>
              <w:rPr>
                <w:sz w:val="20"/>
                <w:szCs w:val="20"/>
                <w:color w:val="auto"/>
              </w:rPr>
            </w:pPr>
            <w:r>
              <w:rPr>
                <w:rFonts w:ascii="Arial" w:cs="Arial" w:eastAsia="Arial" w:hAnsi="Arial"/>
                <w:sz w:val="14"/>
                <w:szCs w:val="14"/>
                <w:b w:val="1"/>
                <w:bCs w:val="1"/>
                <w:color w:val="auto"/>
                <w:w w:val="93"/>
              </w:rPr>
              <w:t>Less than 1 Year</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1-3 years</w:t>
            </w:r>
          </w:p>
        </w:tc>
        <w:tc>
          <w:tcPr>
            <w:tcW w:w="24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More than 5 years</w:t>
            </w: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leases payments</w:t>
            </w: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5,907</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3,740</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1,625</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ind w:left="10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Purchase commitments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7,408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4,262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3,146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gridSpan w:val="2"/>
          </w:tcPr>
          <w:p>
            <w:pPr>
              <w:ind w:left="1080"/>
              <w:spacing w:after="0"/>
              <w:rPr>
                <w:sz w:val="20"/>
                <w:szCs w:val="20"/>
                <w:color w:val="auto"/>
              </w:rPr>
            </w:pPr>
            <w:r>
              <w:rPr>
                <w:rFonts w:ascii="Arial" w:cs="Arial" w:eastAsia="Arial" w:hAnsi="Arial"/>
                <w:sz w:val="18"/>
                <w:szCs w:val="18"/>
                <w:color w:val="auto"/>
              </w:rPr>
              <w:t>—</w:t>
            </w:r>
          </w:p>
        </w:tc>
      </w:tr>
      <w:tr>
        <w:trPr>
          <w:trHeight w:val="223"/>
        </w:trPr>
        <w:tc>
          <w:tcPr>
            <w:tcW w:w="3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obligations</w:t>
            </w: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13,315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operating lease commitments consist primarily of our facility lease and various office and computer equipment leases.</w:t>
      </w:r>
    </w:p>
    <w:p>
      <w:pPr>
        <w:spacing w:after="0" w:line="225"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Our purchase commitments consist primarily of non-cancellable purchase commitments with vendors to manufacture certain components and ophthalmic instrumentation.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ind w:right="540" w:firstLine="518"/>
        <w:spacing w:after="0" w:line="342" w:lineRule="auto"/>
        <w:rPr>
          <w:sz w:val="20"/>
          <w:szCs w:val="20"/>
          <w:color w:val="auto"/>
        </w:rPr>
      </w:pPr>
      <w:r>
        <w:rPr>
          <w:rFonts w:ascii="Arial" w:cs="Arial" w:eastAsia="Arial" w:hAnsi="Arial"/>
          <w:sz w:val="16"/>
          <w:szCs w:val="16"/>
          <w:color w:val="auto"/>
        </w:rPr>
        <w:t>We do not have any off-balance sheet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IRIDEX Corporation was incorporated in California in February 1989 as IRIS Medical Instruments, Inc. In November 1995, we changed our name to IRIDEX Corporation and reincorporated in Delaware. Our executive offices are located at 1212 Terra Bella Avenue, Mountain View, California 94043-1824, and our telephone number is (650) 940-4700. We can also be reached at our website at www.IRIDEX.com. Investors and others should note that we announce material financial information to our investors using SEC filings, press releases, our investor relations website, public conference calls and webcasts. We use these channels as well as social media to communicate with investors, customers and the public about our company, our products and other issues. It is possible that the information we post on social media channels could be deemed to be material information. We encourage investors, our customers, and others interested in our company to review the information we post on our Facebook page (www.facebook.com/IRIDEX) and Twitter feed (https://twitter.com/IRIDEX). Any information on, or that can be accessed through, our website and social media channels is not part of this report.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9" w:lineRule="exact"/>
        <w:rPr>
          <w:sz w:val="20"/>
          <w:szCs w:val="20"/>
          <w:color w:val="auto"/>
        </w:rPr>
      </w:pPr>
    </w:p>
    <w:p>
      <w:pPr>
        <w:ind w:right="20" w:firstLine="761"/>
        <w:spacing w:after="0" w:line="272" w:lineRule="auto"/>
        <w:rPr>
          <w:sz w:val="20"/>
          <w:szCs w:val="20"/>
          <w:color w:val="auto"/>
        </w:rPr>
      </w:pPr>
      <w:r>
        <w:rPr>
          <w:rFonts w:ascii="Arial" w:cs="Arial" w:eastAsia="Arial" w:hAnsi="Arial"/>
          <w:sz w:val="17"/>
          <w:szCs w:val="17"/>
          <w:color w:val="auto"/>
        </w:rPr>
        <w:t>Market risk represents the risk of loss that may impact the financial position, results of operations or cash flows due to adverse changes in financial and commodity market prices and rates. None of our international revenues and costs for the six months ended July 1, 2017 were denominated in foreign currencies and therefore changes in foreign currency rates will not have an impact on our income statement or cash flows. However, increases in the value of the U.S. dollar against any local currencies could cause our products to become relatively more expensive to customers in a particular country or region, leading to reduced revenue or profitability in that country or region. As we continue to expand our international sales, our non-U.S. dollar denominated revenue and our exposure to gains and losses on international currency transactions may increase. We currently do not engage in transactions to hedge against the risk of the currency fluctuation, but we may do so in the future.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Our exposure to interest rate risk as of July 1, 2017 is related to our cash equivalent holdings, which is nominal given the nature of our cash equivalent holdings. Since we have no fixed or variable interest rate debt outstanding, our interest expense is not affected by changes in interest rates. In the event we issue any new variable-rate debt in the future, increases in interest rates would increase the interest expense associated with the debt.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We maintain “disclosure controls and procedures,” as such term is defined in Rules 13a-15(e) or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6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As required by SEC Rule 13a-15(b), we carried out an evaluation, under the supervision and with the participation of our management, including our Chief Executive Officer and our Chief Financial Officer, of the effectiveness of the design and operation of our disclosure controls and procedures as of July 1, 2017. Based on the foregoing, our Chief Executive Officer and our Chief Financial Officer concluded that our disclosure controls and procedures were effective at the reasonable assurance level.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period covered by this Form 10-Q that have materially affected, or are reasonably likely to materially affect, our internal control over financial reporting.</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w:t>
      </w:r>
    </w:p>
    <w:p>
      <w:pPr>
        <w:spacing w:after="0" w:line="121"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In addition to the other information contained in this Quarterly Report Form 10-Q, we have identified the following risks and uncertainties that may have a material adverse effect on our business, common stock price, financial condition or results of operations. You should carefully consider the risks described below before making an investment decision.</w:t>
      </w:r>
    </w:p>
    <w:p>
      <w:pPr>
        <w:spacing w:after="0" w:line="181" w:lineRule="exact"/>
        <w:rPr>
          <w:sz w:val="20"/>
          <w:szCs w:val="20"/>
          <w:color w:val="auto"/>
        </w:rPr>
      </w:pPr>
    </w:p>
    <w:p>
      <w:pPr>
        <w:ind w:right="300" w:firstLine="518"/>
        <w:spacing w:after="0" w:line="308" w:lineRule="auto"/>
        <w:rPr>
          <w:sz w:val="20"/>
          <w:szCs w:val="20"/>
          <w:color w:val="auto"/>
        </w:rPr>
      </w:pPr>
      <w:r>
        <w:rPr>
          <w:rFonts w:ascii="Arial" w:cs="Arial" w:eastAsia="Arial" w:hAnsi="Arial"/>
          <w:sz w:val="17"/>
          <w:szCs w:val="17"/>
          <w:i w:val="1"/>
          <w:iCs w:val="1"/>
          <w:color w:val="auto"/>
        </w:rPr>
        <w:t>If applicable, we have marked with an asterisk (*) those risk factors below that reflect substantive changes to the text of the risk factors included in our Annual Report on Form 10-K for the year ended December 31, 2016, which was filed with the SEC on March 15, 2017.</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337" w:lineRule="exact"/>
        <w:rPr>
          <w:sz w:val="20"/>
          <w:szCs w:val="20"/>
          <w:color w:val="auto"/>
        </w:rPr>
      </w:pPr>
    </w:p>
    <w:p>
      <w:pPr>
        <w:jc w:val="both"/>
        <w:ind w:right="180" w:firstLine="488"/>
        <w:spacing w:after="0" w:line="277" w:lineRule="auto"/>
        <w:rPr>
          <w:sz w:val="20"/>
          <w:szCs w:val="20"/>
          <w:color w:val="auto"/>
        </w:rPr>
      </w:pPr>
      <w:r>
        <w:rPr>
          <w:rFonts w:ascii="Arial" w:cs="Arial" w:eastAsia="Arial" w:hAnsi="Arial"/>
          <w:sz w:val="18"/>
          <w:szCs w:val="18"/>
          <w:b w:val="1"/>
          <w:bCs w:val="1"/>
          <w:i w:val="1"/>
          <w:iCs w:val="1"/>
          <w:color w:val="auto"/>
        </w:rPr>
        <w:t>We face quality control and other production issues that could materially and adversely impact our sales and financial results and the acceptance of our products.</w:t>
      </w:r>
    </w:p>
    <w:p>
      <w:pPr>
        <w:spacing w:after="0" w:line="62" w:lineRule="exact"/>
        <w:rPr>
          <w:sz w:val="20"/>
          <w:szCs w:val="20"/>
          <w:color w:val="auto"/>
        </w:rPr>
      </w:pPr>
    </w:p>
    <w:p>
      <w:pPr>
        <w:jc w:val="both"/>
        <w:ind w:right="180" w:firstLine="488"/>
        <w:spacing w:after="0" w:line="264" w:lineRule="auto"/>
        <w:rPr>
          <w:sz w:val="20"/>
          <w:szCs w:val="20"/>
          <w:color w:val="auto"/>
        </w:rPr>
      </w:pPr>
      <w:r>
        <w:rPr>
          <w:rFonts w:ascii="Arial" w:cs="Arial" w:eastAsia="Arial" w:hAnsi="Arial"/>
          <w:sz w:val="18"/>
          <w:szCs w:val="18"/>
          <w:color w:val="auto"/>
        </w:rPr>
        <w:t>The manufacture of our infrared and visible laser consoles and related delivery devices is a highly complex and precise process. We assemble critical subassemblies and substantially all of our final products at our facility in Mountain View, California. We may experience manufacturing difficulties, quality control issues or assembly constraints, particularly with regard to new products that we may introduce.</w:t>
      </w:r>
    </w:p>
    <w:p>
      <w:pPr>
        <w:spacing w:after="0" w:line="208" w:lineRule="exact"/>
        <w:rPr>
          <w:sz w:val="20"/>
          <w:szCs w:val="20"/>
          <w:color w:val="auto"/>
        </w:rPr>
      </w:pPr>
    </w:p>
    <w:p>
      <w:pPr>
        <w:ind w:right="120" w:firstLine="488"/>
        <w:spacing w:after="0" w:line="286" w:lineRule="auto"/>
        <w:rPr>
          <w:sz w:val="20"/>
          <w:szCs w:val="20"/>
          <w:color w:val="auto"/>
        </w:rPr>
      </w:pPr>
      <w:r>
        <w:rPr>
          <w:rFonts w:ascii="Arial" w:cs="Arial" w:eastAsia="Arial" w:hAnsi="Arial"/>
          <w:sz w:val="17"/>
          <w:szCs w:val="17"/>
          <w:color w:val="auto"/>
        </w:rPr>
        <w:t>If our sales increase substantially, we may need to increase our production capacity and may not be able to do so in a timely, effective or cost-efficient manner. We may not be able to manufacture sufficient quantities of our products, which may require that we qualify other manufacturers for our products. Furthermore, we may experience delays, disruptions, capacity constraints or quality control problems in our manufacturing operations.</w:t>
      </w:r>
    </w:p>
    <w:p>
      <w:pPr>
        <w:spacing w:after="0" w:line="179" w:lineRule="exact"/>
        <w:rPr>
          <w:sz w:val="20"/>
          <w:szCs w:val="20"/>
          <w:color w:val="auto"/>
        </w:rPr>
      </w:pPr>
    </w:p>
    <w:p>
      <w:pPr>
        <w:ind w:right="60" w:firstLine="488"/>
        <w:spacing w:after="0" w:line="259" w:lineRule="auto"/>
        <w:rPr>
          <w:sz w:val="20"/>
          <w:szCs w:val="20"/>
          <w:color w:val="auto"/>
        </w:rPr>
      </w:pPr>
      <w:r>
        <w:rPr>
          <w:rFonts w:ascii="Arial" w:cs="Arial" w:eastAsia="Arial" w:hAnsi="Arial"/>
          <w:sz w:val="18"/>
          <w:szCs w:val="18"/>
          <w:color w:val="auto"/>
        </w:rPr>
        <w:t>In the recent past, we have experienced supply chain, production and training issues as we have expanded our product lines and sales volumes. For example, in our third quarter of fiscal 2016, we experienced certain supply chain and sales force training issues in certain of our medical retina products. As a result of these issues, we reduced the shipment of these products in that fiscal quarter. In fiscal 2015, we experienced product issues with certain of our products, which caused us to reduce shipments, particularly to international distributors.</w:t>
      </w:r>
    </w:p>
    <w:p>
      <w:pPr>
        <w:spacing w:after="0" w:line="200" w:lineRule="exact"/>
        <w:rPr>
          <w:sz w:val="20"/>
          <w:szCs w:val="20"/>
          <w:color w:val="auto"/>
        </w:rPr>
      </w:pPr>
    </w:p>
    <w:p>
      <w:pPr>
        <w:ind w:firstLine="488"/>
        <w:spacing w:after="0" w:line="259" w:lineRule="auto"/>
        <w:rPr>
          <w:sz w:val="20"/>
          <w:szCs w:val="20"/>
          <w:color w:val="auto"/>
        </w:rPr>
      </w:pPr>
      <w:r>
        <w:rPr>
          <w:rFonts w:ascii="Arial" w:cs="Arial" w:eastAsia="Arial" w:hAnsi="Arial"/>
          <w:sz w:val="18"/>
          <w:szCs w:val="18"/>
          <w:color w:val="auto"/>
        </w:rPr>
        <w:t>While we have taken steps to address these issues, there is no assurance that these steps will be effective in rectifying or preventing similar issues in the future. If we are unable to address these supply chain, production and training issues in a timely and cost-effective manner, product shipments to our customers could be delayed, our sales levels may suffer and manufacturing and operational costs may increase, any of which would negatively impact our net revenues.</w:t>
      </w:r>
    </w:p>
    <w:p>
      <w:pPr>
        <w:spacing w:after="0" w:line="187" w:lineRule="exact"/>
        <w:rPr>
          <w:sz w:val="20"/>
          <w:szCs w:val="20"/>
          <w:color w:val="auto"/>
        </w:rPr>
      </w:pPr>
    </w:p>
    <w:p>
      <w:pPr>
        <w:ind w:right="540" w:firstLine="488"/>
        <w:spacing w:after="0" w:line="277" w:lineRule="auto"/>
        <w:rPr>
          <w:sz w:val="20"/>
          <w:szCs w:val="20"/>
          <w:color w:val="auto"/>
        </w:rPr>
      </w:pPr>
      <w:r>
        <w:rPr>
          <w:rFonts w:ascii="Arial" w:cs="Arial" w:eastAsia="Arial" w:hAnsi="Arial"/>
          <w:sz w:val="18"/>
          <w:szCs w:val="18"/>
          <w:b w:val="1"/>
          <w:bCs w:val="1"/>
          <w:i w:val="1"/>
          <w:iCs w:val="1"/>
          <w:color w:val="auto"/>
        </w:rPr>
        <w:t>Some of our laser systems are complex in design and may contain defects that are not detected until deployed by our customers, which could increase our costs and reduce our revenues.</w:t>
      </w:r>
    </w:p>
    <w:p>
      <w:pPr>
        <w:spacing w:after="0" w:line="62" w:lineRule="exact"/>
        <w:rPr>
          <w:sz w:val="20"/>
          <w:szCs w:val="20"/>
          <w:color w:val="auto"/>
        </w:rPr>
      </w:pPr>
    </w:p>
    <w:p>
      <w:pPr>
        <w:ind w:right="140" w:firstLine="518"/>
        <w:spacing w:after="0" w:line="290" w:lineRule="auto"/>
        <w:rPr>
          <w:sz w:val="20"/>
          <w:szCs w:val="20"/>
          <w:color w:val="auto"/>
        </w:rPr>
      </w:pPr>
      <w:r>
        <w:rPr>
          <w:rFonts w:ascii="Arial" w:cs="Arial" w:eastAsia="Arial" w:hAnsi="Arial"/>
          <w:sz w:val="16"/>
          <w:szCs w:val="16"/>
          <w:color w:val="auto"/>
        </w:rPr>
        <w:t>Laser systems are inherently complex in design and require ongoing regular maintenance. The manufacture of our lasers, laser products and systems involves a highly complex and precise process. As a result of the technical complexity of our products, changes in our or our suppliers’ manufacturing processes or the inadvertent use of defective materials by us or our suppliers could result in a material adverse effect on our ability to achieve acceptable manufacturing yields and product reliability. To the extent that we do not achieve such yields or product reliability, our business, operating results, financial condition and customer relationships would be adversely affected. We provide warranties on certain of our product sales, and allowances for estimated warranty costs are recorded during the period of sale. The determination of such allowances requires us to make estimates of failure rates and expected costs to repair or replace the products under warranty. We currently establish warranty reserves based on historical warranty costs. If actual return rates and/or repair and replacement costs differ significantly from our estimates, adjustments to recognize additional cost of revenues may be required in future periods.</w:t>
      </w:r>
    </w:p>
    <w:p>
      <w:pPr>
        <w:spacing w:after="0" w:line="166"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Our customers may discover defects in our products after the products have been fully deployed and operated under peak stress conditions. In addition, some of our products are combined with products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57"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customers;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costs of product returns and warranty expenses;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4" w:name="page25"/>
    <w:bookmarkEnd w:id="24"/>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attract new customers or achieve market acceptance;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diversion of development and engineering resources;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legal actions by our customers.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occurrence of any one or more of the foregoing factors could seriously harm our business, financial condition and results of operations.</w:t>
      </w:r>
    </w:p>
    <w:p>
      <w:pPr>
        <w:spacing w:after="0" w:line="358" w:lineRule="exact"/>
        <w:rPr>
          <w:sz w:val="20"/>
          <w:szCs w:val="20"/>
          <w:color w:val="auto"/>
        </w:rPr>
      </w:pPr>
    </w:p>
    <w:p>
      <w:pPr>
        <w:ind w:right="240" w:firstLine="488"/>
        <w:spacing w:after="0" w:line="277" w:lineRule="auto"/>
        <w:rPr>
          <w:sz w:val="20"/>
          <w:szCs w:val="20"/>
          <w:color w:val="auto"/>
        </w:rPr>
      </w:pPr>
      <w:r>
        <w:rPr>
          <w:rFonts w:ascii="Arial" w:cs="Arial" w:eastAsia="Arial" w:hAnsi="Arial"/>
          <w:sz w:val="18"/>
          <w:szCs w:val="18"/>
          <w:b w:val="1"/>
          <w:bCs w:val="1"/>
          <w:i w:val="1"/>
          <w:iCs w:val="1"/>
          <w:color w:val="auto"/>
        </w:rPr>
        <w:t>We rely on our direct and independent sales forces and network of international distributors to sell our products and any failure to maintain our sales force and distributor relationships could harm our business.</w:t>
      </w:r>
    </w:p>
    <w:p>
      <w:pPr>
        <w:spacing w:after="0" w:line="62" w:lineRule="exact"/>
        <w:rPr>
          <w:sz w:val="20"/>
          <w:szCs w:val="20"/>
          <w:color w:val="auto"/>
        </w:rPr>
      </w:pPr>
    </w:p>
    <w:p>
      <w:pPr>
        <w:ind w:firstLine="488"/>
        <w:spacing w:after="0" w:line="291" w:lineRule="auto"/>
        <w:rPr>
          <w:sz w:val="20"/>
          <w:szCs w:val="20"/>
          <w:color w:val="auto"/>
        </w:rPr>
      </w:pPr>
      <w:r>
        <w:rPr>
          <w:rFonts w:ascii="Arial" w:cs="Arial" w:eastAsia="Arial" w:hAnsi="Arial"/>
          <w:sz w:val="16"/>
          <w:szCs w:val="16"/>
          <w:color w:val="auto"/>
        </w:rPr>
        <w:t>Our ability to sell our products and generate revenues depends upon our direct and independent sales forces within the United States, relationships with independent distributors outside the United States, and the establishment of our direct sales capabilities in Germany. Currently our direct and independent sales forces within the United States consist of approximately 21 employees and 8 independent representatives, respectively. Our international independent distributors are managed by a team of five people. We generally grant our distributors exclusive territories for the sale of our products in specified countries. The amount and timing of resources dedicated by our distributors to the sales of our products is not within our control. Our international sales are entirely dependent on the efforts of these third parties. If any distributor breaches the terms of its distribution agreement with us or fails to generate sales of our products, we may be forced to replace the distributor and our ability to sell our products into that exclusive sales territory would be adversely affected.</w:t>
      </w:r>
    </w:p>
    <w:p>
      <w:pPr>
        <w:spacing w:after="0" w:line="194" w:lineRule="exact"/>
        <w:rPr>
          <w:sz w:val="20"/>
          <w:szCs w:val="20"/>
          <w:color w:val="auto"/>
        </w:rPr>
      </w:pPr>
    </w:p>
    <w:p>
      <w:pPr>
        <w:ind w:right="200" w:firstLine="488"/>
        <w:spacing w:after="0" w:line="257" w:lineRule="auto"/>
        <w:rPr>
          <w:sz w:val="20"/>
          <w:szCs w:val="20"/>
          <w:color w:val="auto"/>
        </w:rPr>
      </w:pPr>
      <w:r>
        <w:rPr>
          <w:rFonts w:ascii="Arial" w:cs="Arial" w:eastAsia="Arial" w:hAnsi="Arial"/>
          <w:sz w:val="18"/>
          <w:szCs w:val="18"/>
          <w:color w:val="auto"/>
        </w:rPr>
        <w:t>We do not have any long-term employment contracts with the members of our direct sales force. We may be unable to replace our direct sales force personnel with individuals of equivalent technical expertise and qualifications, which may harm our revenues and our ability to maintain market share. Similarly, our independent and distributor agreements are generally terminable at will by either party and independents and distributors may terminate their relationships with us, which would affect our sales and results of operations. As we establish our direct sales capabilities in Germany, we may be unable to recruit and retain qualified personnel in this region.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 Growth in our sales and marketing organization may create operational challenges without immediately offsetting benefits.</w:t>
      </w:r>
    </w:p>
    <w:p>
      <w:pPr>
        <w:spacing w:after="0" w:line="225" w:lineRule="exact"/>
        <w:rPr>
          <w:sz w:val="20"/>
          <w:szCs w:val="20"/>
          <w:color w:val="auto"/>
        </w:rPr>
      </w:pPr>
    </w:p>
    <w:p>
      <w:pPr>
        <w:ind w:right="200" w:firstLine="518"/>
        <w:spacing w:after="0" w:line="293" w:lineRule="auto"/>
        <w:rPr>
          <w:sz w:val="20"/>
          <w:szCs w:val="20"/>
          <w:color w:val="auto"/>
        </w:rPr>
      </w:pPr>
      <w:r>
        <w:rPr>
          <w:rFonts w:ascii="Arial" w:cs="Arial" w:eastAsia="Arial" w:hAnsi="Arial"/>
          <w:sz w:val="16"/>
          <w:szCs w:val="16"/>
          <w:color w:val="auto"/>
        </w:rPr>
        <w:t>We have and anticipate continuing to increase our internal sales and marketing functions. This growth may place a significant strain on our management, operating and financial systems and our sales, marketing, training and administrative resources. As a result of our growth, our operating costs may escalate even faster than planned, and some of our internal systems may need to be enhanced or replaced. For example, if we are unable to provide adequate training for our expanding sales force, our ability to fully utilize new sales and marketing resources may be adversely impacted, we could suffer reputational harm and our ability to maintain our installed base of customers may be negatively impacted. If we cannot effectively manage our expanding operations and our costs, we may not be able to grow effectively or we may grow at a slower pace, and our business could be adversely affected.</w:t>
      </w:r>
    </w:p>
    <w:p>
      <w:pPr>
        <w:spacing w:after="0" w:line="165"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It can take six months or longer before our internal sales representatives are fully trained and productive in selling our solution to prospective clients. This ramp period presents a number of operational challenges as the cost of recruiting, hiring and carrying new sales representatives cannot be offset by the revenue such new sales representatives produce until after they complete their ramp periods. If we cannot reliably develop our sales representatives to a productive level, or if we lose productive representatives in whom we have heavily invested, our future growth rates and revenue will suffer.</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depend on international sales for a significant portion of our operating results.</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derive, and expect to continue to derive, a large portion of our revenues from international sales. For the second quarter of fiscal 2017, our international sales were $4.1 million, or 41.2% of total revenues. We anticipate that international sales will continue to account for a significant portion of our revenues in the foreseeable future. None of our international revenues and costs for the quarter ended July 1, 2017 have been denominated in foreign currencies. As a result, an increase in the value of the U.S. dollar relative to foreign currencies makes our products more expensive and thus less competitive in foreign markets and may negatively affect our reported revenue in any particular reporting period. Our international operations and sales are subject to a number of risks and potential costs, including:</w:t>
      </w:r>
    </w:p>
    <w:p>
      <w:pPr>
        <w:spacing w:after="0" w:line="85"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and production issues;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25" w:name="page26"/>
    <w:bookmarkEnd w:id="25"/>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performance of our international channel of distributors;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longer accounts receivable collection periods;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impact of recessions in global economies and availability of credit;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 sanctions and embargoes;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impact of international conflicts, terrorist and military activity, civil unrest;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foreign certification requirements, including continued ability to use the “CE” mark in Europe, and other local regulatory requirements;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differing local product preferences and product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cultural differences;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foreign medical reimbursement and coverage policies and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or limited protections of intellectual property rights in jurisdictions outside the United States;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protectionist, adverse and changing foreign governmental laws and regulations;</w:t>
      </w:r>
    </w:p>
    <w:p>
      <w:pPr>
        <w:spacing w:after="0" w:line="117" w:lineRule="exact"/>
        <w:rPr>
          <w:rFonts w:ascii="Arial" w:cs="Arial" w:eastAsia="Arial" w:hAnsi="Arial"/>
          <w:sz w:val="18"/>
          <w:szCs w:val="18"/>
          <w:color w:val="auto"/>
        </w:rPr>
      </w:pPr>
    </w:p>
    <w:p>
      <w:pPr>
        <w:ind w:left="1040" w:right="400" w:hanging="519"/>
        <w:spacing w:after="0" w:line="308"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greater risk of our employees failing to comply with both U.S. and foreign laws, including anti-trust regulations, the U.S. Foreign Corrupt Practices Act, the U.K. Bribery Act of 2010 and any trade regulations designed to ensure fair trade practices; and</w:t>
      </w:r>
    </w:p>
    <w:p>
      <w:pPr>
        <w:spacing w:after="0" w:line="38" w:lineRule="exact"/>
        <w:rPr>
          <w:rFonts w:ascii="Arial" w:cs="Arial" w:eastAsia="Arial" w:hAnsi="Arial"/>
          <w:sz w:val="17"/>
          <w:szCs w:val="17"/>
          <w:color w:val="auto"/>
        </w:rPr>
      </w:pPr>
    </w:p>
    <w:p>
      <w:pPr>
        <w:ind w:left="1040" w:right="46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costs and risks of non-compliance with multiple regulatory regimes governing the production, marketing, sale and use of our products.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Any one or more of these factors stated above could have a material adverse effect on our business, financial condition or results of operations.</w:t>
      </w:r>
    </w:p>
    <w:p>
      <w:pPr>
        <w:spacing w:after="0" w:line="25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As we expand our existing international operations we may encounter new risks in addition to the above factors. For example, as we focus on building our international sales and distribution networks in new geographic regions, we must continue to develop relationships with qualified local distributors and trading companies. If we are not successful in developing these relationships, we may not be able to grow sales in these geographic regions. These or other similar risks could adversely affect our revenues, profitability and the price of our common stock.</w:t>
      </w:r>
    </w:p>
    <w:p>
      <w:pPr>
        <w:spacing w:after="0" w:line="32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If we fail to develop and successfully introduce new products and applications, our business prospects and operating results may suffer.</w:t>
      </w:r>
    </w:p>
    <w:p>
      <w:pPr>
        <w:spacing w:after="0" w:line="140" w:lineRule="exact"/>
        <w:rPr>
          <w:sz w:val="20"/>
          <w:szCs w:val="20"/>
          <w:color w:val="auto"/>
        </w:rPr>
      </w:pPr>
    </w:p>
    <w:p>
      <w:pPr>
        <w:ind w:right="40" w:firstLine="487"/>
        <w:spacing w:after="0" w:line="257" w:lineRule="auto"/>
        <w:rPr>
          <w:sz w:val="20"/>
          <w:szCs w:val="20"/>
          <w:color w:val="auto"/>
        </w:rPr>
      </w:pPr>
      <w:r>
        <w:rPr>
          <w:rFonts w:ascii="Arial" w:cs="Arial" w:eastAsia="Arial" w:hAnsi="Arial"/>
          <w:sz w:val="18"/>
          <w:szCs w:val="18"/>
          <w:color w:val="auto"/>
        </w:rPr>
        <w:t>Our ability to generate incremental revenue growth will depend, in part, on the successful outcome of research and development activities, which may include clinical trials that lead to the development of new products and new applications using our products. Our research and development process is expensive, prolonged, and entails considerable uncertainty. Due to the complexities and uncertainties associated with ophthalmic research and development, products we are currently developing may not complete the development process or obtain the regulatory approvals required to market such products successfully.</w:t>
      </w:r>
    </w:p>
    <w:p>
      <w:pPr>
        <w:spacing w:after="0" w:line="202" w:lineRule="exact"/>
        <w:rPr>
          <w:sz w:val="20"/>
          <w:szCs w:val="20"/>
          <w:color w:val="auto"/>
        </w:rPr>
      </w:pPr>
    </w:p>
    <w:p>
      <w:pPr>
        <w:ind w:right="180" w:firstLine="488"/>
        <w:spacing w:after="0" w:line="273" w:lineRule="auto"/>
        <w:rPr>
          <w:sz w:val="20"/>
          <w:szCs w:val="20"/>
          <w:color w:val="auto"/>
        </w:rPr>
      </w:pPr>
      <w:r>
        <w:rPr>
          <w:rFonts w:ascii="Arial" w:cs="Arial" w:eastAsia="Arial" w:hAnsi="Arial"/>
          <w:sz w:val="17"/>
          <w:szCs w:val="17"/>
          <w:color w:val="auto"/>
        </w:rPr>
        <w:t>Successful commercialization of new products and new applications will require that we effectively transfer production processes from research and development to manufacturing and effectively coordinate with our suppliers. In addition, we must successfully sell and achieve market acceptance of new products and applications and enhanced versions of existing products. The extent of, and rate at which, market acceptance and penetration are achieved by future products is a function of many variables, which include, among other things, price, safety, efficacy, reliability, marketing and sales efforts, the development of new applications for these products, the availability of third-party reimbursement of procedures using our new products, the existence of competing products and general economic conditions affecting purchasing patterns.</w:t>
      </w:r>
    </w:p>
    <w:p>
      <w:pPr>
        <w:spacing w:after="0" w:line="192" w:lineRule="exact"/>
        <w:rPr>
          <w:sz w:val="20"/>
          <w:szCs w:val="20"/>
          <w:color w:val="auto"/>
        </w:rPr>
      </w:pPr>
    </w:p>
    <w:p>
      <w:pPr>
        <w:ind w:right="120" w:firstLine="488"/>
        <w:spacing w:after="0" w:line="312" w:lineRule="auto"/>
        <w:rPr>
          <w:sz w:val="20"/>
          <w:szCs w:val="20"/>
          <w:color w:val="auto"/>
        </w:rPr>
      </w:pPr>
      <w:r>
        <w:rPr>
          <w:rFonts w:ascii="Arial" w:cs="Arial" w:eastAsia="Arial" w:hAnsi="Arial"/>
          <w:sz w:val="16"/>
          <w:szCs w:val="16"/>
          <w:color w:val="auto"/>
        </w:rPr>
        <w:t>Our ability to market and sell new products is subject to government regulation, including approval or clearance by the FDA and foreign government agencies. Any failure in our ability to successfully develop and introduce new products or enhanced versions of existing products and achieve market acceptance of new products and new applications could have a material adverse effect on our operating results and would cause our net revenues to decline.</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76" w:right="299" w:bottom="1440" w:gutter="0" w:footer="0" w:header="0"/>
        </w:sectPr>
      </w:pPr>
    </w:p>
    <w:bookmarkStart w:id="26" w:name="page27"/>
    <w:bookmarkEnd w:id="26"/>
    <w:p>
      <w:pPr>
        <w:ind w:left="520"/>
        <w:spacing w:after="0"/>
        <w:rPr>
          <w:sz w:val="20"/>
          <w:szCs w:val="20"/>
          <w:color w:val="auto"/>
        </w:rPr>
      </w:pPr>
      <w:r>
        <w:rPr>
          <w:rFonts w:ascii="Arial" w:cs="Arial" w:eastAsia="Arial" w:hAnsi="Arial"/>
          <w:sz w:val="18"/>
          <w:szCs w:val="18"/>
          <w:b w:val="1"/>
          <w:bCs w:val="1"/>
          <w:i w:val="1"/>
          <w:iCs w:val="1"/>
          <w:color w:val="auto"/>
        </w:rPr>
        <w:t>We are exposed to risks associated with worldwide economic slowdowns and related uncertainties.</w:t>
      </w:r>
    </w:p>
    <w:p>
      <w:pPr>
        <w:spacing w:after="0" w:line="117" w:lineRule="exact"/>
        <w:rPr>
          <w:sz w:val="20"/>
          <w:szCs w:val="20"/>
          <w:color w:val="auto"/>
        </w:rPr>
      </w:pPr>
    </w:p>
    <w:p>
      <w:pPr>
        <w:ind w:right="140" w:firstLine="488"/>
        <w:spacing w:after="0" w:line="259" w:lineRule="auto"/>
        <w:rPr>
          <w:sz w:val="20"/>
          <w:szCs w:val="20"/>
          <w:color w:val="auto"/>
        </w:rPr>
      </w:pPr>
      <w:r>
        <w:rPr>
          <w:rFonts w:ascii="Arial" w:cs="Arial" w:eastAsia="Arial" w:hAnsi="Arial"/>
          <w:sz w:val="18"/>
          <w:szCs w:val="18"/>
          <w:color w:val="auto"/>
        </w:rPr>
        <w:t>We are subject to macro-economic fluctuations in the U.S. and worldwide economy. Concerns about consumer and investor confidence, volatile corporate profits and reduced capital spending, international conflicts, terrorist and military activity, civil unrest and pandemic illness could reduce customer orders or cause customer order cancellations. In addition, political and social turmoil related to international conflicts and terrorist acts may put further pressure on economic conditions in the United States and abroad.</w:t>
      </w:r>
    </w:p>
    <w:p>
      <w:pPr>
        <w:spacing w:after="0" w:line="200" w:lineRule="exact"/>
        <w:rPr>
          <w:sz w:val="20"/>
          <w:szCs w:val="20"/>
          <w:color w:val="auto"/>
        </w:rPr>
      </w:pPr>
    </w:p>
    <w:p>
      <w:pPr>
        <w:ind w:right="40" w:firstLine="488"/>
        <w:spacing w:after="0" w:line="255" w:lineRule="auto"/>
        <w:rPr>
          <w:sz w:val="20"/>
          <w:szCs w:val="20"/>
          <w:color w:val="auto"/>
        </w:rPr>
      </w:pPr>
      <w:r>
        <w:rPr>
          <w:rFonts w:ascii="Arial" w:cs="Arial" w:eastAsia="Arial" w:hAnsi="Arial"/>
          <w:sz w:val="18"/>
          <w:szCs w:val="18"/>
          <w:color w:val="auto"/>
        </w:rPr>
        <w:t>Weak economic conditions and declines in consumer spending and consumption may harm our operating results. Purchases of our products are often discretionary. During uncertain economic times, customers or potential customers may delay, reduce or forego their purchases of our products and services, which may impact our business in a number of ways, including lower prices for our products and services and reducing or delaying sales. There could be a number of follow-on effects from economic uncertainty on our business, including insolvency of key suppliers resulting in product delays, delays in customer payments of outstanding accounts receivable and/or customer insolvencies, counterparty failures negatively impacting our operations, and increasing expense or inability to obtain future financing.</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If economic uncertainty persisted, or if the economy entered a prolonged period of decelerating growth, our results of operations may be harmed.</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operating results may fluctuate from quarter to quarter and year to year.</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Our sales and operating results may vary significantly from quarter to quarter and from year to year in the future. Our operating results are affected by a number of factors, many of which are beyond our control. Factors contributing to these fluctuations include the following:</w:t>
      </w:r>
    </w:p>
    <w:p>
      <w:pPr>
        <w:spacing w:after="0" w:line="62"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prices at which we can sell our products, including the impact of changes in exchange rates;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uncertainties and political concerns;</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introduction of new products, product enhancements and new applications by our competitors, including new drugs, entry of new competitors into our markets, pricing pressures and other competitive factors;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the introduction and market acceptance of new products, product enhancements and new applications;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demand for our existing line of ophthalmology products;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and availability of components and subassemblies, including the willingness and ability of our sole or limited source suppliers to timely deliver components at the times and prices that we have planned;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sales volumes at a level sufficient to cover fixed manufacturing and operating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our product mix within ophthalmology products and foreign and domestic sales;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regulatory approvals and changes in domestic and foreign regulatory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long and highly variable sales cycle;</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customers’ or potential customers’ budgets as a result of, among other things, reimbursement policies of government programs and private insurers for treatments that use our products;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variances in shipment volumes as a result of product, supply chain and training issues;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product innovation costs.</w:t>
      </w:r>
    </w:p>
    <w:p>
      <w:pPr>
        <w:spacing w:after="0" w:line="239" w:lineRule="exact"/>
        <w:rPr>
          <w:sz w:val="20"/>
          <w:szCs w:val="20"/>
          <w:color w:val="auto"/>
        </w:rPr>
      </w:pPr>
    </w:p>
    <w:p>
      <w:pPr>
        <w:ind w:right="720" w:firstLine="518"/>
        <w:spacing w:after="0" w:line="342" w:lineRule="auto"/>
        <w:rPr>
          <w:sz w:val="20"/>
          <w:szCs w:val="20"/>
          <w:color w:val="auto"/>
        </w:rPr>
      </w:pPr>
      <w:r>
        <w:rPr>
          <w:rFonts w:ascii="Arial" w:cs="Arial" w:eastAsia="Arial" w:hAnsi="Arial"/>
          <w:sz w:val="16"/>
          <w:szCs w:val="16"/>
          <w:color w:val="auto"/>
        </w:rPr>
        <w:t>In addition to these factors, our quarterly results have been, and are expected to continue to be, affected by seasonal factors. For example, our European sales during the third quarter are generally lower due to many businesses being closed for the summer vacation season.</w:t>
      </w:r>
    </w:p>
    <w:p>
      <w:pPr>
        <w:spacing w:after="0" w:line="13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Our expense levels are based, in part, on expected future sales. If sales levels in a particular quarter do not meet expectations, we may be unable to adjust operating expenses quickly enough to compensate for the shortfall of sales, and our results of operations may be adversely affected. In addition, we have historically made a significant portion of each quarter’s product shipments near the end of the quarter. If that pattern continues, any delays in shipment of products could have a material adverse effect on results of operations for such quarter. Due to these and other factors, we believe that quarter to quarter and year to year comparisons of our past operating results may not be meaningful. You should not rely on our results for any quarter or year as an indication of our future performance.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Our operating results in future quarters and years may be below expectations, which would likely cause the price of our common stock to fall.</w:t>
      </w:r>
    </w:p>
    <w:p>
      <w:pPr>
        <w:spacing w:after="0" w:line="225"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b w:val="1"/>
          <w:bCs w:val="1"/>
          <w:i w:val="1"/>
          <w:iCs w:val="1"/>
          <w:color w:val="auto"/>
        </w:rPr>
        <w:t>We rely on continued market acceptance of our existing products and any decline in sales of our existing products would adversely affect our business and results of operations.</w:t>
      </w:r>
    </w:p>
    <w:p>
      <w:pPr>
        <w:spacing w:after="0" w:line="62"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We currently market visible and infrared medical laser systems and delivery devices to the ophthalmology market. We believe that continued and increased sales, if any, of these medical laser systems is dependent upon a number of factors including the following:</w:t>
      </w:r>
    </w:p>
    <w:p>
      <w:pPr>
        <w:spacing w:after="0" w:line="62" w:lineRule="exact"/>
        <w:rPr>
          <w:sz w:val="20"/>
          <w:szCs w:val="20"/>
          <w:color w:val="auto"/>
        </w:rPr>
      </w:pPr>
    </w:p>
    <w:p>
      <w:pPr>
        <w:ind w:left="1040" w:right="100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acceptance of product performance, features, ease of use, scalability and durability, including with respect to our MicroPulse laser photocoagulation systems;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recommendations and opinions by ophthalmologists, other clinicians, and their associated opinion leaders;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marketing study outcomes;</w:t>
      </w:r>
    </w:p>
    <w:p>
      <w:pPr>
        <w:spacing w:after="0" w:line="117" w:lineRule="exact"/>
        <w:rPr>
          <w:rFonts w:ascii="Arial" w:cs="Arial" w:eastAsia="Arial" w:hAnsi="Arial"/>
          <w:sz w:val="18"/>
          <w:szCs w:val="18"/>
          <w:color w:val="auto"/>
        </w:rPr>
      </w:pPr>
    </w:p>
    <w:p>
      <w:pPr>
        <w:ind w:left="1040" w:right="46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 of our products and prices of competing products and technologies, particularly in light of the current macro-economic environment where healthcare systems and healthcare operators are becoming increasingly price sensitive;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of competing products, technologies and alternative treatments;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of reimbursement for treatments administered with our products.</w:t>
      </w:r>
    </w:p>
    <w:p>
      <w:pPr>
        <w:spacing w:after="0" w:line="252" w:lineRule="exact"/>
        <w:rPr>
          <w:sz w:val="20"/>
          <w:szCs w:val="20"/>
          <w:color w:val="auto"/>
        </w:rPr>
      </w:pPr>
    </w:p>
    <w:p>
      <w:pPr>
        <w:ind w:right="240" w:firstLine="518"/>
        <w:spacing w:after="0" w:line="255" w:lineRule="auto"/>
        <w:rPr>
          <w:sz w:val="20"/>
          <w:szCs w:val="20"/>
          <w:color w:val="auto"/>
        </w:rPr>
      </w:pPr>
      <w:r>
        <w:rPr>
          <w:rFonts w:ascii="Arial" w:cs="Arial" w:eastAsia="Arial" w:hAnsi="Arial"/>
          <w:sz w:val="18"/>
          <w:szCs w:val="18"/>
          <w:color w:val="auto"/>
        </w:rPr>
        <w:t>In addition, we derive a meaningful portion of our sales in the form of recurring revenues from selling consumable instrumentation, including our EndoProbe devices and service. Our ability to increase recurring revenues from the sale of consumable products will depend primarily upon the features of our current products and product innovation, the quality of our products, ease of use and prices of our products, including the relationship to prices of competing products. The level of our service revenues will depend on the quality of service we provide and the responsiveness and the willingness of our customers to request our services rather than purchase competing products or services. Any significant decline in market acceptance of our products or our revenues derived from the sales of laser consoles, delivery devices, consumables or services may have a material adverse effect on our business, results of operations and financial condition.</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face strong competition in our markets and expect the level of competition to grow in the foreseeable future.</w:t>
      </w:r>
    </w:p>
    <w:p>
      <w:pPr>
        <w:spacing w:after="0" w:line="117"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Competition in the market for laser systems and delivery devices used for ophthalmic treatment procedures is intense and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w:t>
      </w:r>
    </w:p>
    <w:p>
      <w:pPr>
        <w:spacing w:after="0" w:line="14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Our principal ophthalmic laser competitors are Alcon Inc. (Novartis AG), Bausch and Lomb (Valeant), Carl Zeiss Meditec AG, Ellex Medical Lasers, Ltd., Lumenis Ltd., Nidek Co. Ltd., Quantel Medical SA, and Topcon Corporation. We also compete with alternative glaucoma surgical device companies such as Alcon, Allergan, and Glaukos. Pharmaceuticals represent alternative treatments to our laser procedures. Some of our principal pharmaceutical competitors are Alcon, Allergan, OSI Pharmaceuticals, Pfizer, Regeneron, Roche (Genentech), and Valeant Pharmaceuticals. Some of our competitors have substantially greater financial, engineering, product development, manufacturing, marketing and technical resources than we do. Some companies also have greater name recognition than us and long-standing customer relationships. In addition, other medical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spacing w:after="0" w:line="178"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b w:val="1"/>
          <w:bCs w:val="1"/>
          <w:i w:val="1"/>
          <w:iCs w:val="1"/>
          <w:color w:val="auto"/>
        </w:rPr>
        <w:t>Our operating results may be adversely affected by uncertainty regarding healthcare reform measures and changes in third- party coverage and reimbursement policies.</w:t>
      </w:r>
    </w:p>
    <w:p>
      <w:pPr>
        <w:spacing w:after="0" w:line="62" w:lineRule="exact"/>
        <w:rPr>
          <w:sz w:val="20"/>
          <w:szCs w:val="20"/>
          <w:color w:val="auto"/>
        </w:rPr>
      </w:pPr>
    </w:p>
    <w:p>
      <w:pPr>
        <w:ind w:right="140" w:firstLine="488"/>
        <w:spacing w:after="0" w:line="255" w:lineRule="auto"/>
        <w:rPr>
          <w:sz w:val="20"/>
          <w:szCs w:val="20"/>
          <w:color w:val="auto"/>
        </w:rPr>
      </w:pPr>
      <w:r>
        <w:rPr>
          <w:rFonts w:ascii="Arial" w:cs="Arial" w:eastAsia="Arial" w:hAnsi="Arial"/>
          <w:sz w:val="18"/>
          <w:szCs w:val="18"/>
          <w:color w:val="auto"/>
        </w:rPr>
        <w:t>Our products are typically purchased by doctors, clinics, hospitals and other users, which bill various third-party payers, such as governmental programs and private insurance plans, for the health care services provided to their patients. Changes in government legislation or regulation or in private third-party payers’ policies toward reimbursement for procedures employing our products may prohibit adequate reimbursement. There have been a number of legislative and regulatory proposals to change the healthcare system, reduce the costs of healthcare and change medical reimbursement policies. Doctors, clinics, hospitals and other users of our products may decline to purchase our products to the extent there is uncertainty regarding reimbursement of medical procedures using our</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28" w:name="page29"/>
    <w:bookmarkEnd w:id="28"/>
    <w:p>
      <w:pPr>
        <w:ind w:right="100"/>
        <w:spacing w:after="0" w:line="257" w:lineRule="auto"/>
        <w:rPr>
          <w:sz w:val="20"/>
          <w:szCs w:val="20"/>
          <w:color w:val="auto"/>
        </w:rPr>
      </w:pPr>
      <w:r>
        <w:rPr>
          <w:rFonts w:ascii="Arial" w:cs="Arial" w:eastAsia="Arial" w:hAnsi="Arial"/>
          <w:sz w:val="18"/>
          <w:szCs w:val="18"/>
          <w:color w:val="auto"/>
        </w:rPr>
        <w:t>products and any healthcare reform measures. Further proposed legislation, regulation and policy changes affecting third-party reimbursement are likely. Among other things, Congress has in the past proposed changes to and the repeal of the Patient Protection and Affordable Care and Health Care and Education Affordability Reconciliation Act of 2010 (collectively, the “Affordable Care Act”). At this time, it remains unclear whether there will be any changes made to or any repeal of the Affordable Care Act, with respect to certain of its provisions or in its entirety. Various healthcare reform proposals have also emerged at the state level.</w:t>
      </w:r>
    </w:p>
    <w:p>
      <w:pPr>
        <w:spacing w:after="0" w:line="202" w:lineRule="exact"/>
        <w:rPr>
          <w:sz w:val="20"/>
          <w:szCs w:val="20"/>
          <w:color w:val="auto"/>
        </w:rPr>
      </w:pPr>
    </w:p>
    <w:p>
      <w:pPr>
        <w:ind w:right="40" w:firstLine="488"/>
        <w:spacing w:after="0" w:line="297" w:lineRule="auto"/>
        <w:rPr>
          <w:sz w:val="20"/>
          <w:szCs w:val="20"/>
          <w:color w:val="auto"/>
        </w:rPr>
      </w:pPr>
      <w:r>
        <w:rPr>
          <w:rFonts w:ascii="Arial" w:cs="Arial" w:eastAsia="Arial" w:hAnsi="Arial"/>
          <w:sz w:val="16"/>
          <w:szCs w:val="16"/>
          <w:color w:val="auto"/>
        </w:rPr>
        <w:t>We are unable to predict what legislation or regulation, if any, relating to the health care industry or third-party coverage and reimbursement may be enacted in the future at the state or federal level, or what effect such legislation or regulation may have on us. Furthermore, existing legislation and regulation related to the health care industry and third-party coverage reimbursement, including the Affordable Care Act, has been subject to judicial challenge, and may be subject to similar challenges from time to time in the future. Denial of coverage and reimbursement of our products, or the revocation or changes to coverage and reimbursement policies, could have a material adverse effect on our business, results of operations and financial condition.</w:t>
      </w:r>
    </w:p>
    <w:p>
      <w:pPr>
        <w:spacing w:after="0" w:line="185" w:lineRule="exact"/>
        <w:rPr>
          <w:sz w:val="20"/>
          <w:szCs w:val="20"/>
          <w:color w:val="auto"/>
        </w:rPr>
      </w:pPr>
    </w:p>
    <w:p>
      <w:pPr>
        <w:ind w:right="180" w:firstLine="488"/>
        <w:spacing w:after="0" w:line="302" w:lineRule="auto"/>
        <w:rPr>
          <w:sz w:val="20"/>
          <w:szCs w:val="20"/>
          <w:color w:val="auto"/>
        </w:rPr>
      </w:pPr>
      <w:r>
        <w:rPr>
          <w:rFonts w:ascii="Arial" w:cs="Arial" w:eastAsia="Arial" w:hAnsi="Arial"/>
          <w:sz w:val="16"/>
          <w:szCs w:val="16"/>
          <w:color w:val="auto"/>
        </w:rPr>
        <w:t>Third-party payers are increasingly scrutinizing and continue to challenge the coverage of new products and the level of reimbursement for covered products. 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spacing w:after="0" w:line="276" w:lineRule="exact"/>
        <w:rPr>
          <w:sz w:val="20"/>
          <w:szCs w:val="20"/>
          <w:color w:val="auto"/>
        </w:rPr>
      </w:pPr>
    </w:p>
    <w:p>
      <w:pPr>
        <w:ind w:right="240" w:firstLine="488"/>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financial exposure, and our business, operations and financial condition could be adversely affected.</w:t>
      </w:r>
    </w:p>
    <w:p>
      <w:pPr>
        <w:spacing w:after="0" w:line="184" w:lineRule="exact"/>
        <w:rPr>
          <w:sz w:val="20"/>
          <w:szCs w:val="20"/>
          <w:color w:val="auto"/>
        </w:rPr>
      </w:pPr>
    </w:p>
    <w:p>
      <w:pPr>
        <w:ind w:firstLine="488"/>
        <w:spacing w:after="0" w:line="268" w:lineRule="auto"/>
        <w:rPr>
          <w:sz w:val="20"/>
          <w:szCs w:val="20"/>
          <w:color w:val="auto"/>
        </w:rPr>
      </w:pPr>
      <w:r>
        <w:rPr>
          <w:rFonts w:ascii="Arial" w:cs="Arial" w:eastAsia="Arial" w:hAnsi="Arial"/>
          <w:sz w:val="17"/>
          <w:szCs w:val="17"/>
          <w:color w:val="auto"/>
        </w:rPr>
        <w:t>While we do not bill directly to Medicare, Medicaid or other third-party payors, because payment is in many cases available for our products from such payors, many healthcare laws place limitations and requirements on the manner in which we conduct our business (including our sales and promotional activities and interactions with healthcare professionals and facilities) and could result in liability and exposure to us. The laws that may affect our ability to operate include, among others: (i) the federal healthcare programs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payors that are false or fraudulent, and which may apply to entities like us if we provide coding and billing advice to customers, or under theories of “implied certification” where the government and qui tam relators may allege that device companies are liable where a product that was paid for by the government in whole or in part was promoted “off-label,” lacked necessary clearance or approval, or failed to comply with good manufacturing practices or other laws; (iii) transparency laws and related reporting and disclosures requirements such as the federal Sunshine Act, now known as Open Payments; and/or (iv) state law equivalents of each of the above federal laws, including, without limitation anti-kickback and false claims laws which may apply to items or services reimbursed by any third-party payor, including commercial insurers, many of which differ from their federal counterparts in significant ways, thus complicating compliance efforts.</w:t>
      </w:r>
    </w:p>
    <w:p>
      <w:pPr>
        <w:spacing w:after="0" w:line="212" w:lineRule="exact"/>
        <w:rPr>
          <w:sz w:val="20"/>
          <w:szCs w:val="20"/>
          <w:color w:val="auto"/>
        </w:rPr>
      </w:pPr>
    </w:p>
    <w:p>
      <w:pPr>
        <w:ind w:firstLine="488"/>
        <w:spacing w:after="0" w:line="286" w:lineRule="auto"/>
        <w:rPr>
          <w:sz w:val="20"/>
          <w:szCs w:val="20"/>
          <w:color w:val="auto"/>
        </w:rPr>
      </w:pPr>
      <w:r>
        <w:rPr>
          <w:rFonts w:ascii="Arial" w:cs="Arial" w:eastAsia="Arial" w:hAnsi="Arial"/>
          <w:sz w:val="16"/>
          <w:szCs w:val="16"/>
          <w:color w:val="auto"/>
        </w:rPr>
        <w:t>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being found in violation of these laws is increased by the fact that their provisions are open to a variety of evolving interpretations and enforcement discretion. Open Payments, commonly known as the Sunshine Act, is a relatively new law, and compliance with this law has presented a number of challenges to companies such as ours, in terms of interpretation of the law and its implementation. Under the Sunshine Act, Centers for Medicare &amp; Medicaid Services (“CMS”) has the potential to impose penalties of up to $1.15 million per year for violations, depending on the circumstances, although enforcement has been negligible to date. Payments reported under the Sunshine Act also have the potential to draw scrutiny on payments to and relationships with physicians, which may have implications under the Anti-Kickback Statute and other healthcare laws. The risk that we are our being found in violation of these laws may be increased by the fact that we do not have a formal healthcare compliance program in place. Further, while safe harbors may in some instances be available and utilized by companies to reduce risks associated with the Anti-Kickback Statute and certain other healthcare laws, we have not necessarily utilized such safe harbors nor fully followed all elements required to claim the benefit of such safe harbors in all possible instances. Any action against us for violation of these laws, even if we successfully defend against it, could cause us to incur significant legal expenses and divert our management’s attention from the operation of our business.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9" w:name="page30"/>
    <w:bookmarkEnd w:id="29"/>
    <w:p>
      <w:pPr>
        <w:ind w:left="500"/>
        <w:spacing w:after="0"/>
        <w:rPr>
          <w:sz w:val="20"/>
          <w:szCs w:val="20"/>
          <w:color w:val="auto"/>
        </w:rPr>
      </w:pPr>
      <w:r>
        <w:rPr>
          <w:rFonts w:ascii="Arial" w:cs="Arial" w:eastAsia="Arial" w:hAnsi="Arial"/>
          <w:sz w:val="16"/>
          <w:szCs w:val="16"/>
          <w:b w:val="1"/>
          <w:bCs w:val="1"/>
          <w:i w:val="1"/>
          <w:iCs w:val="1"/>
          <w:color w:val="auto"/>
        </w:rPr>
        <w:t>We depend on collaborative relationships to develop, introduce and market new products, product enhancements and new applications.</w:t>
      </w:r>
    </w:p>
    <w:p>
      <w:pPr>
        <w:spacing w:after="0" w:line="140" w:lineRule="exact"/>
        <w:rPr>
          <w:sz w:val="20"/>
          <w:szCs w:val="20"/>
          <w:color w:val="auto"/>
        </w:rPr>
      </w:pPr>
    </w:p>
    <w:p>
      <w:pPr>
        <w:ind w:right="40" w:firstLine="488"/>
        <w:spacing w:after="0" w:line="255" w:lineRule="auto"/>
        <w:rPr>
          <w:sz w:val="20"/>
          <w:szCs w:val="20"/>
          <w:color w:val="auto"/>
        </w:rPr>
      </w:pPr>
      <w:r>
        <w:rPr>
          <w:rFonts w:ascii="Arial" w:cs="Arial" w:eastAsia="Arial" w:hAnsi="Arial"/>
          <w:sz w:val="18"/>
          <w:szCs w:val="18"/>
          <w:color w:val="auto"/>
        </w:rPr>
        <w:t>We depend on both clinical and commercial collaborative relationships. We have entered into collaborative relationships with academic medical centers and physicians in connection with the research and innovation and clinical testing of our products. Commercially, we currently have a distribution and licensing agreement with Alcon for our GreenTip SoftTip Cannula. Sales of and royalties from the GreenTip Soft Tip Cannula are dependent upon the sales performance of Alcon, which depends on their efforts and is beyond our control. The failure to obtain any additional future clinical or commercial collaborations and the resulting failure or success of such arrangements of any current or future clinical or commercial collaboration relationships could have a material adverse effect on our ability to introduce new products or applications and therefore could have a material adverse effect on our business, results of operations and financial condition.</w:t>
      </w:r>
    </w:p>
    <w:p>
      <w:pPr>
        <w:spacing w:after="0" w:line="324" w:lineRule="exact"/>
        <w:rPr>
          <w:sz w:val="20"/>
          <w:szCs w:val="20"/>
          <w:color w:val="auto"/>
        </w:rPr>
      </w:pPr>
    </w:p>
    <w:p>
      <w:pPr>
        <w:ind w:right="140" w:firstLine="488"/>
        <w:spacing w:after="0" w:line="277" w:lineRule="auto"/>
        <w:rPr>
          <w:sz w:val="20"/>
          <w:szCs w:val="20"/>
          <w:color w:val="auto"/>
        </w:rPr>
      </w:pPr>
      <w:r>
        <w:rPr>
          <w:rFonts w:ascii="Arial" w:cs="Arial" w:eastAsia="Arial" w:hAnsi="Arial"/>
          <w:sz w:val="18"/>
          <w:szCs w:val="18"/>
          <w:b w:val="1"/>
          <w:bCs w:val="1"/>
          <w:i w:val="1"/>
          <w:iCs w:val="1"/>
          <w:color w:val="auto"/>
        </w:rPr>
        <w:t>If we cannot increase our sales volumes, reduce our costs or introduce higher margin products to offset anticipated reductions in the average unit price of our products, our operating results may suffer.</w:t>
      </w:r>
    </w:p>
    <w:p>
      <w:pPr>
        <w:spacing w:after="0" w:line="170" w:lineRule="exact"/>
        <w:rPr>
          <w:sz w:val="20"/>
          <w:szCs w:val="20"/>
          <w:color w:val="auto"/>
        </w:rPr>
      </w:pPr>
    </w:p>
    <w:p>
      <w:pPr>
        <w:ind w:right="140" w:firstLine="488"/>
        <w:spacing w:after="0" w:line="257" w:lineRule="auto"/>
        <w:rPr>
          <w:sz w:val="20"/>
          <w:szCs w:val="20"/>
          <w:color w:val="auto"/>
        </w:rPr>
      </w:pPr>
      <w:r>
        <w:rPr>
          <w:rFonts w:ascii="Arial" w:cs="Arial" w:eastAsia="Arial" w:hAnsi="Arial"/>
          <w:sz w:val="18"/>
          <w:szCs w:val="18"/>
          <w:color w:val="auto"/>
        </w:rPr>
        <w:t>The average unit price of our products may decrease in the future in response to changes in product mix, competitive pricing pressures, new product introductions by our competitors or other factors. If we are unable to offset the anticipated decrease in our average selling prices by increasing our sales volumes or through new product introductions, our net revenues will decline. In addition, to maintain our gross margins we must continue to reduce the manufacturing cost of our products. If we cannot maintain our gross margins our business could be seriously harmed, particularly if the average selling price of our products decreases significantly without a corresponding increase in sales.</w:t>
      </w:r>
    </w:p>
    <w:p>
      <w:pPr>
        <w:spacing w:after="0" w:line="202" w:lineRule="exact"/>
        <w:rPr>
          <w:sz w:val="20"/>
          <w:szCs w:val="20"/>
          <w:color w:val="auto"/>
        </w:rPr>
      </w:pPr>
    </w:p>
    <w:p>
      <w:pPr>
        <w:ind w:right="920" w:firstLine="488"/>
        <w:spacing w:after="0" w:line="342" w:lineRule="auto"/>
        <w:rPr>
          <w:sz w:val="20"/>
          <w:szCs w:val="20"/>
          <w:color w:val="auto"/>
        </w:rPr>
      </w:pPr>
      <w:r>
        <w:rPr>
          <w:rFonts w:ascii="Arial" w:cs="Arial" w:eastAsia="Arial" w:hAnsi="Arial"/>
          <w:sz w:val="16"/>
          <w:szCs w:val="16"/>
          <w:b w:val="1"/>
          <w:bCs w:val="1"/>
          <w:i w:val="1"/>
          <w:iCs w:val="1"/>
          <w:color w:val="auto"/>
        </w:rPr>
        <w:t>Our promotional practices are subject to extensive government scrutiny. We may be subject to governmental, regulatory and other legal proceedings relative to advertising, promotion, and marketing that have a significant negative effect on our business.</w:t>
      </w:r>
    </w:p>
    <w:p>
      <w:pPr>
        <w:spacing w:after="0" w:line="16" w:lineRule="exact"/>
        <w:rPr>
          <w:sz w:val="20"/>
          <w:szCs w:val="20"/>
          <w:color w:val="auto"/>
        </w:rPr>
      </w:pPr>
    </w:p>
    <w:p>
      <w:pPr>
        <w:ind w:right="20" w:firstLine="488"/>
        <w:spacing w:after="0" w:line="273" w:lineRule="auto"/>
        <w:rPr>
          <w:sz w:val="20"/>
          <w:szCs w:val="20"/>
          <w:color w:val="auto"/>
        </w:rPr>
      </w:pPr>
      <w:r>
        <w:rPr>
          <w:rFonts w:ascii="Arial" w:cs="Arial" w:eastAsia="Arial" w:hAnsi="Arial"/>
          <w:sz w:val="17"/>
          <w:szCs w:val="17"/>
          <w:color w:val="auto"/>
        </w:rPr>
        <w:t>We are subject to governmental oversight and associated civil and criminal enforcement relating to drug and medical device advertising, promotion, and marketing, and such enforcement is evolving and intensifying. In the United States, we are subject to potential enforcement from the FDA, the U.S. Federal Trade Commission, the Department of Justice, the CMS, other divisions of the Department of Health and Human Services and state and local governments. Other parties, including private plaintiffs, also are commonly bringing suit against pharmaceutical and medical device companies, alleging off-label marketing and other violations. We may be subject to liability based on the actions of individual employees and contractors carrying out activities on our behalf, including sales representatives who may interact with healthcare professionals.</w:t>
      </w:r>
    </w:p>
    <w:p>
      <w:pPr>
        <w:spacing w:after="0" w:line="30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If we fail to manage growth effectively, our business could be disrupted which could harm our operating results.</w:t>
      </w:r>
    </w:p>
    <w:p>
      <w:pPr>
        <w:spacing w:after="0" w:line="117" w:lineRule="exact"/>
        <w:rPr>
          <w:sz w:val="20"/>
          <w:szCs w:val="20"/>
          <w:color w:val="auto"/>
        </w:rPr>
      </w:pPr>
    </w:p>
    <w:p>
      <w:pPr>
        <w:ind w:right="20" w:firstLine="488"/>
        <w:spacing w:after="0" w:line="297" w:lineRule="auto"/>
        <w:rPr>
          <w:sz w:val="20"/>
          <w:szCs w:val="20"/>
          <w:color w:val="auto"/>
        </w:rPr>
      </w:pPr>
      <w:r>
        <w:rPr>
          <w:rFonts w:ascii="Arial" w:cs="Arial" w:eastAsia="Arial" w:hAnsi="Arial"/>
          <w:sz w:val="16"/>
          <w:szCs w:val="16"/>
          <w:color w:val="auto"/>
        </w:rPr>
        <w:t>We have experienced and may in the future experience growth in our business, both organically and through the acquisition of businesses and products. We have made and expect to continue to make significant investments to enable our future growth through, among other things, new product innovation and clinical trials for new applications and products. We must also be prepared to expand our work force and to train, motivate and manage additional employees as the need for additional personnel arises. Our personnel, systems, procedures and controls may not be adequate to support our future operations. Any failure to effectively manage future growth could have a material adverse effect on our business, results of operations and financial condition.</w:t>
      </w:r>
    </w:p>
    <w:p>
      <w:pPr>
        <w:spacing w:after="0" w:line="2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rely on patents and proprietary rights to protect our intellectual property and business.</w:t>
      </w:r>
    </w:p>
    <w:p>
      <w:pPr>
        <w:spacing w:after="0" w:line="225" w:lineRule="exact"/>
        <w:rPr>
          <w:sz w:val="20"/>
          <w:szCs w:val="20"/>
          <w:color w:val="auto"/>
        </w:rPr>
      </w:pPr>
    </w:p>
    <w:p>
      <w:pPr>
        <w:ind w:firstLine="488"/>
        <w:spacing w:after="0" w:line="270" w:lineRule="auto"/>
        <w:rPr>
          <w:sz w:val="20"/>
          <w:szCs w:val="20"/>
          <w:color w:val="auto"/>
        </w:rPr>
      </w:pPr>
      <w:r>
        <w:rPr>
          <w:rFonts w:ascii="Arial" w:cs="Arial" w:eastAsia="Arial" w:hAnsi="Arial"/>
          <w:sz w:val="17"/>
          <w:szCs w:val="17"/>
          <w:color w:val="auto"/>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We file patent applications to protect technology, inventions and improvements that are significant to the development of our business. Our active patent portfolio includes 26 United States patents and 16 foreign patents on the technologies related to our products and processes. We have 11 pending patent applications in the United States and 25 foreign pending patent applications that have been filed. Our patent applications may not be approved. Any patents granted now or in the future may offer only limited protection against potential infringement and development by our competitors of competing products. Moreover, our competitors, many of which have substantial resources and have made substantial investments in competing technologies, may seek to apply for and obtain patents that will prevent, limit or interfere with our ability to make, use or sell our products either in the United States or in international markets. Patents have a limited lifetime and once a patent expires competition may increase.</w:t>
      </w:r>
    </w:p>
    <w:p>
      <w:pPr>
        <w:spacing w:after="0" w:line="182" w:lineRule="exact"/>
        <w:rPr>
          <w:sz w:val="20"/>
          <w:szCs w:val="20"/>
          <w:color w:val="auto"/>
        </w:rPr>
      </w:pPr>
    </w:p>
    <w:p>
      <w:pPr>
        <w:ind w:firstLine="488"/>
        <w:spacing w:after="0" w:line="264" w:lineRule="auto"/>
        <w:rPr>
          <w:sz w:val="20"/>
          <w:szCs w:val="20"/>
          <w:color w:val="auto"/>
        </w:rPr>
      </w:pPr>
      <w:r>
        <w:rPr>
          <w:rFonts w:ascii="Arial" w:cs="Arial" w:eastAsia="Arial" w:hAnsi="Arial"/>
          <w:sz w:val="18"/>
          <w:szCs w:val="18"/>
          <w:color w:val="auto"/>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industry standard provisions requiring such individuals to assign to us without additional consideration 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30" w:name="page31"/>
    <w:bookmarkEnd w:id="30"/>
    <w:p>
      <w:pPr>
        <w:ind w:right="40"/>
        <w:spacing w:after="0" w:line="264" w:lineRule="auto"/>
        <w:rPr>
          <w:sz w:val="20"/>
          <w:szCs w:val="20"/>
          <w:color w:val="auto"/>
        </w:rPr>
      </w:pPr>
      <w:r>
        <w:rPr>
          <w:rFonts w:ascii="Arial" w:cs="Arial" w:eastAsia="Arial" w:hAnsi="Arial"/>
          <w:sz w:val="18"/>
          <w:szCs w:val="18"/>
          <w:color w:val="auto"/>
        </w:rPr>
        <w:t>inventions conceived or reduced to practice by them while employed or retained by us, subject to customary exceptions. Proprietary information agreements with employees, consultants and others may be breached, and we may not have adequate remedies for any breach. Also, our trade secrets may become known to or independently developed by competitors.</w:t>
      </w:r>
    </w:p>
    <w:p>
      <w:pPr>
        <w:spacing w:after="0" w:line="181" w:lineRule="exact"/>
        <w:rPr>
          <w:sz w:val="20"/>
          <w:szCs w:val="20"/>
          <w:color w:val="auto"/>
        </w:rPr>
      </w:pPr>
    </w:p>
    <w:p>
      <w:pPr>
        <w:ind w:right="220" w:firstLine="488"/>
        <w:spacing w:after="0" w:line="277" w:lineRule="auto"/>
        <w:rPr>
          <w:sz w:val="20"/>
          <w:szCs w:val="20"/>
          <w:color w:val="auto"/>
        </w:rPr>
      </w:pPr>
      <w:r>
        <w:rPr>
          <w:rFonts w:ascii="Arial" w:cs="Arial" w:eastAsia="Arial" w:hAnsi="Arial"/>
          <w:sz w:val="18"/>
          <w:szCs w:val="18"/>
          <w:color w:val="auto"/>
        </w:rPr>
        <w:t>The laser and medical device industry is characterized by frequent litigation regarding patent and other intellectual property rights. Companies in the medical device industry have employed intellectual property litigation to gain a competitive advantage.</w:t>
      </w:r>
    </w:p>
    <w:p>
      <w:pPr>
        <w:spacing w:after="0" w:line="170" w:lineRule="exact"/>
        <w:rPr>
          <w:sz w:val="20"/>
          <w:szCs w:val="20"/>
          <w:color w:val="auto"/>
        </w:rPr>
      </w:pPr>
    </w:p>
    <w:p>
      <w:pPr>
        <w:ind w:right="60" w:firstLine="488"/>
        <w:spacing w:after="0" w:line="272" w:lineRule="auto"/>
        <w:rPr>
          <w:sz w:val="20"/>
          <w:szCs w:val="20"/>
          <w:color w:val="auto"/>
        </w:rPr>
      </w:pPr>
      <w:r>
        <w:rPr>
          <w:rFonts w:ascii="Arial" w:cs="Arial" w:eastAsia="Arial" w:hAnsi="Arial"/>
          <w:sz w:val="17"/>
          <w:szCs w:val="17"/>
          <w:color w:val="auto"/>
        </w:rPr>
        <w:t>Numerous patents are held by others, including academic institutions and our competitors. Patent applications filed in the United States after November 2000 generally will be published eighteen months after the filing date. However, since patent applications continue to be maintained in secrecy for at least some period of time, both within the United States and with regards to international patent applications, we cannot assure you that our technology does not infringe any patents or patent applications held by third parties. We have, from time to time, been notified of, or have otherwise been made aware of, claims that we may be infringing upon patents or other proprietary intellectual property owned by others. If it appears necessary or desirable, we may seek licenses under such patents or proprietary intellectual property. Although patent holders commonly offer such licenses, licenses under such patents or intellectual property may not be offered or the terms of any offered licenses may not be reasonable.</w:t>
      </w:r>
    </w:p>
    <w:p>
      <w:pPr>
        <w:spacing w:after="0" w:line="191" w:lineRule="exact"/>
        <w:rPr>
          <w:sz w:val="20"/>
          <w:szCs w:val="20"/>
          <w:color w:val="auto"/>
        </w:rPr>
      </w:pPr>
    </w:p>
    <w:p>
      <w:pPr>
        <w:ind w:right="60" w:firstLine="488"/>
        <w:spacing w:after="0" w:line="257" w:lineRule="auto"/>
        <w:rPr>
          <w:sz w:val="20"/>
          <w:szCs w:val="20"/>
          <w:color w:val="auto"/>
        </w:rPr>
      </w:pPr>
      <w:r>
        <w:rPr>
          <w:rFonts w:ascii="Arial" w:cs="Arial" w:eastAsia="Arial" w:hAnsi="Arial"/>
          <w:sz w:val="18"/>
          <w:szCs w:val="18"/>
          <w:color w:val="auto"/>
        </w:rPr>
        <w:t>Any claims, with or without merit, and regardless of whether we are successful on the merits, would be time-consuming, result in costly litigation and diversion of technical and management personnel, cause shipment delays or require us to develop non-infringing technology or to enter into royalty or licensing agreements. An adverse determination in a judicial or administrative proceeding and failure to obtain necessary licenses or develop alternate technologies could prevent us from manufacturing and selling our products, which would have a material adverse effect on our business, results of operations and financial condition.</w:t>
      </w:r>
    </w:p>
    <w:p>
      <w:pPr>
        <w:spacing w:after="0" w:line="323"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If we lose key personnel or fail to integrate replacement personnel successfully, our ability to manage our business could be impaired.</w:t>
      </w:r>
    </w:p>
    <w:p>
      <w:pPr>
        <w:spacing w:after="0" w:line="237" w:lineRule="exact"/>
        <w:rPr>
          <w:sz w:val="20"/>
          <w:szCs w:val="20"/>
          <w:color w:val="auto"/>
        </w:rPr>
      </w:pPr>
    </w:p>
    <w:p>
      <w:pPr>
        <w:ind w:firstLine="488"/>
        <w:spacing w:after="0" w:line="290" w:lineRule="auto"/>
        <w:rPr>
          <w:sz w:val="20"/>
          <w:szCs w:val="20"/>
          <w:color w:val="auto"/>
        </w:rPr>
      </w:pPr>
      <w:r>
        <w:rPr>
          <w:rFonts w:ascii="Arial" w:cs="Arial" w:eastAsia="Arial" w:hAnsi="Arial"/>
          <w:sz w:val="16"/>
          <w:szCs w:val="16"/>
          <w:color w:val="auto"/>
        </w:rPr>
        <w:t>Our future success depends upon the continued service of our key management, technical, sales, and other critical personnel. Our officers and other key personnel are employees-at-will, and we cannot assure you that we will be able to retain them. Key personnel have left our company in the past, and there likely will be additional departures of key personnel from time to time in the future. The loss of any key employee could result in significant disruptions to our operations, including adversely affecting the timeliness of product releases, the successful implementation and completion of company initiatives, and the results of our operations. Competition for these individuals is intense, and we may not be able to attract, assimilate or retain highly qualified personnel. Competition for qualified personnel in our industry and the San Francisco Bay Area, as well as other geographic markets in which we recruit, is intense and characterized by increasing salaries, which may increase our operating expenses or hinder our ability to recruit qualified candidates. In addition, the integration of replacement personnel could be time consuming, may cause additional disruptions to our operations, and may be unsuccessful.</w:t>
      </w:r>
    </w:p>
    <w:p>
      <w:pPr>
        <w:spacing w:after="0" w:line="288" w:lineRule="exact"/>
        <w:rPr>
          <w:sz w:val="20"/>
          <w:szCs w:val="20"/>
          <w:color w:val="auto"/>
        </w:rPr>
      </w:pPr>
    </w:p>
    <w:p>
      <w:pPr>
        <w:ind w:right="740" w:firstLine="488"/>
        <w:spacing w:after="0" w:line="342" w:lineRule="auto"/>
        <w:rPr>
          <w:sz w:val="20"/>
          <w:szCs w:val="20"/>
          <w:color w:val="auto"/>
        </w:rPr>
      </w:pPr>
      <w:r>
        <w:rPr>
          <w:rFonts w:ascii="Arial" w:cs="Arial" w:eastAsia="Arial" w:hAnsi="Arial"/>
          <w:sz w:val="16"/>
          <w:szCs w:val="16"/>
          <w:b w:val="1"/>
          <w:bCs w:val="1"/>
          <w:i w:val="1"/>
          <w:iCs w:val="1"/>
          <w:color w:val="auto"/>
        </w:rPr>
        <w:t>If we fail to accurately forecast demand for our product and component requirements for the manufacture of our product, we could incur additional costs or experience manufacturing delays and may experience lost sales or significant inventory carrying costs.</w:t>
      </w:r>
    </w:p>
    <w:p>
      <w:pPr>
        <w:spacing w:after="0" w:line="16" w:lineRule="exact"/>
        <w:rPr>
          <w:sz w:val="20"/>
          <w:szCs w:val="20"/>
          <w:color w:val="auto"/>
        </w:rPr>
      </w:pPr>
    </w:p>
    <w:p>
      <w:pPr>
        <w:ind w:right="40" w:firstLine="488"/>
        <w:spacing w:after="0" w:line="272" w:lineRule="auto"/>
        <w:rPr>
          <w:sz w:val="20"/>
          <w:szCs w:val="20"/>
          <w:color w:val="auto"/>
        </w:rPr>
      </w:pPr>
      <w:r>
        <w:rPr>
          <w:rFonts w:ascii="Arial" w:cs="Arial" w:eastAsia="Arial" w:hAnsi="Arial"/>
          <w:sz w:val="17"/>
          <w:szCs w:val="17"/>
          <w:color w:val="auto"/>
        </w:rPr>
        <w:t>We use quarterly and annual forecasts based primarily on our anticipated product orders to plan our manufacturing efforts and determine our requirements for components and materials. It is very important that we accurately predict both the demand for our product and the lead times required to obtain the necessary components and materials. Lead times for components vary significantly and depend on numerous factors, including the specific supplier, the size of the order, contract terms and current market demand for such components. If we overestimate the demand for our product, we may have excess inventory, which would increase our costs. If we underestimate demand for our product and consequently, our component and materials requirements, we may have inadequate inventory, which could interrupt our manufacturing, delay delivery of our product to our customers and result in the loss of customer sales. Any of these occurrences would negatively impact our business and operating results.</w:t>
      </w:r>
    </w:p>
    <w:p>
      <w:pPr>
        <w:spacing w:after="0" w:line="29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depend on sole source or limited source suppliers.</w:t>
      </w:r>
    </w:p>
    <w:p>
      <w:pPr>
        <w:spacing w:after="0" w:line="117" w:lineRule="exact"/>
        <w:rPr>
          <w:sz w:val="20"/>
          <w:szCs w:val="20"/>
          <w:color w:val="auto"/>
        </w:rPr>
      </w:pPr>
    </w:p>
    <w:p>
      <w:pPr>
        <w:ind w:right="120" w:firstLine="488"/>
        <w:spacing w:after="0" w:line="302" w:lineRule="auto"/>
        <w:rPr>
          <w:sz w:val="20"/>
          <w:szCs w:val="20"/>
          <w:color w:val="auto"/>
        </w:rPr>
      </w:pPr>
      <w:r>
        <w:rPr>
          <w:rFonts w:ascii="Arial" w:cs="Arial" w:eastAsia="Arial" w:hAnsi="Arial"/>
          <w:sz w:val="16"/>
          <w:szCs w:val="16"/>
          <w:color w:val="auto"/>
        </w:rPr>
        <w:t>We rely on third parties to manufacture substantially all of the components used in our products, including optics, laser diodes and crystals. We have some long term or volume purchase agreements with our suppliers and currently purchase components and fully-assembled products on a purchase order basis. Some of our suppliers and manufacturers are sole or limited sources. In addition, some of these suppliers are relatively small private companies whose operations may be disrupted or discontinued at any time. There are risks associated with the use of independent manufacturers, including the following:</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1" w:name="page32"/>
    <w:bookmarkEnd w:id="31"/>
    <w:p>
      <w:pPr>
        <w:ind w:left="1180" w:right="2480" w:hanging="686"/>
        <w:spacing w:after="0" w:line="277"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unavailability of shortages or limitations on the ability to obtain supplies of components and products in the quantities that we require;</w:t>
      </w:r>
    </w:p>
    <w:p>
      <w:pPr>
        <w:spacing w:after="0" w:line="183" w:lineRule="exact"/>
        <w:rPr>
          <w:rFonts w:ascii="Arial" w:cs="Arial" w:eastAsia="Arial" w:hAnsi="Arial"/>
          <w:sz w:val="18"/>
          <w:szCs w:val="18"/>
          <w:color w:val="auto"/>
        </w:rPr>
      </w:pPr>
    </w:p>
    <w:p>
      <w:pPr>
        <w:ind w:left="1180" w:right="3040" w:hanging="686"/>
        <w:spacing w:after="0" w:line="277"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delivery or failure of suppliers to deliver critical components and products on the dates we require;</w:t>
      </w:r>
    </w:p>
    <w:p>
      <w:pPr>
        <w:spacing w:after="0" w:line="170" w:lineRule="exact"/>
        <w:rPr>
          <w:rFonts w:ascii="Arial" w:cs="Arial" w:eastAsia="Arial" w:hAnsi="Arial"/>
          <w:sz w:val="18"/>
          <w:szCs w:val="18"/>
          <w:color w:val="auto"/>
        </w:rPr>
      </w:pPr>
    </w:p>
    <w:p>
      <w:pPr>
        <w:ind w:left="1180" w:right="3000" w:hanging="686"/>
        <w:spacing w:after="0" w:line="277"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of suppliers to manufacture and assemble components and products to our specifications, and potentially reduced quality; and</w:t>
      </w:r>
    </w:p>
    <w:p>
      <w:pPr>
        <w:spacing w:after="0" w:line="170" w:lineRule="exact"/>
        <w:rPr>
          <w:rFonts w:ascii="Arial" w:cs="Arial" w:eastAsia="Arial" w:hAnsi="Arial"/>
          <w:sz w:val="18"/>
          <w:szCs w:val="18"/>
          <w:color w:val="auto"/>
        </w:rPr>
      </w:pPr>
    </w:p>
    <w:p>
      <w:pPr>
        <w:ind w:left="1180" w:hanging="68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obtain components and products at acceptable prices.</w:t>
      </w:r>
    </w:p>
    <w:p>
      <w:pPr>
        <w:spacing w:after="0" w:line="252"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Our business and operating results may suffer from the lack of alternative sources of supply for critical sole and limited source components and fully-assembled products. The process of qualifying suppliers is complex, requires extensive testing with our products, and may be lengthy, particularly as new products are introduced. New suppliers would have to be educated in our production processes. In addition, the use of alternate components may require design alterations to our products and additional product testing under FDA and relevant foreign regulatory agency guidelines, which may delay sales and increase product costs. Any failures by our vendors to adequately supply limited and sole source components or products may impair our ability to offer our existing products, delay the submission of new products for regulatory approval and market introduction, materially harm our business and financial condition and cause our stock price to decline. Establishing our own capabilities to manufacture these components or products would be expensive and could significantly decrease our profit margins. Our business, results of operations and financial condition would be adversely affected if we are unable to continue to obtain components or fully-assembled products in the quantity and quality desired and at the prices we have budgeted.</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our facilities were to experience catastrophic loss, our operations would be seriously harmed.</w:t>
      </w:r>
    </w:p>
    <w:p>
      <w:pPr>
        <w:spacing w:after="0" w:line="117" w:lineRule="exact"/>
        <w:rPr>
          <w:sz w:val="20"/>
          <w:szCs w:val="20"/>
          <w:color w:val="auto"/>
        </w:rPr>
      </w:pPr>
    </w:p>
    <w:p>
      <w:pPr>
        <w:ind w:right="80" w:firstLine="488"/>
        <w:spacing w:after="0" w:line="312" w:lineRule="auto"/>
        <w:rPr>
          <w:sz w:val="20"/>
          <w:szCs w:val="20"/>
          <w:color w:val="auto"/>
        </w:rPr>
      </w:pPr>
      <w:r>
        <w:rPr>
          <w:rFonts w:ascii="Arial" w:cs="Arial" w:eastAsia="Arial" w:hAnsi="Arial"/>
          <w:sz w:val="16"/>
          <w:szCs w:val="16"/>
          <w:color w:val="auto"/>
        </w:rPr>
        <w:t>Our facilities could be subject to catastrophic loss such as fire, flood or earthquake. All of our research and development activities, manufacturing, our corporate headquarters and other critical business operations are located near major earthquake faults in Mountain View, California. Any such loss at any of our facilities could disrupt our operations, delay production, shipments and revenue and result in large expense to repair and replace our facilities.</w:t>
      </w:r>
    </w:p>
    <w:p>
      <w:pPr>
        <w:spacing w:after="0" w:line="268" w:lineRule="exact"/>
        <w:rPr>
          <w:sz w:val="20"/>
          <w:szCs w:val="20"/>
          <w:color w:val="auto"/>
        </w:rPr>
      </w:pPr>
    </w:p>
    <w:p>
      <w:pPr>
        <w:ind w:right="420" w:firstLine="488"/>
        <w:spacing w:after="0" w:line="264" w:lineRule="auto"/>
        <w:rPr>
          <w:sz w:val="20"/>
          <w:szCs w:val="20"/>
          <w:color w:val="auto"/>
        </w:rPr>
      </w:pPr>
      <w:r>
        <w:rPr>
          <w:rFonts w:ascii="Arial" w:cs="Arial" w:eastAsia="Arial" w:hAnsi="Arial"/>
          <w:sz w:val="18"/>
          <w:szCs w:val="18"/>
          <w:b w:val="1"/>
          <w:bCs w:val="1"/>
          <w:i w:val="1"/>
          <w:iCs w:val="1"/>
          <w:color w:val="auto"/>
        </w:rPr>
        <w:t>If we fail to maintain our relationships with health care providers, customers may not buy our products and our revenue and profitability may decline. At the same time, relationships with these individuals and entities are the subject of heightened scrutiny and may present the potential for healthcare compliance risks.</w:t>
      </w:r>
    </w:p>
    <w:p>
      <w:pPr>
        <w:spacing w:after="0" w:line="73" w:lineRule="exact"/>
        <w:rPr>
          <w:sz w:val="20"/>
          <w:szCs w:val="20"/>
          <w:color w:val="auto"/>
        </w:rPr>
      </w:pPr>
    </w:p>
    <w:p>
      <w:pPr>
        <w:ind w:right="60" w:firstLine="488"/>
        <w:spacing w:after="0" w:line="273" w:lineRule="auto"/>
        <w:rPr>
          <w:sz w:val="20"/>
          <w:szCs w:val="20"/>
          <w:color w:val="auto"/>
        </w:rPr>
      </w:pPr>
      <w:r>
        <w:rPr>
          <w:rFonts w:ascii="Arial" w:cs="Arial" w:eastAsia="Arial" w:hAnsi="Arial"/>
          <w:sz w:val="17"/>
          <w:szCs w:val="17"/>
          <w:color w:val="auto"/>
        </w:rPr>
        <w:t>We market our products to numerous health care providers, including physicians, hospitals, ASC’s, government affiliated groups and group purchasing organizations. We have developed and strive to maintain close relationships with members of each of these groups who assist in product research and development and advise us on how to satisfy the full range of surgeon and patient needs. We rely on these groups to recommend our products to their patients and to other members of their organizations. The failure of our existing products and any new products we may introduce to retain the support of these various groups could have a material adverse effect on our business, financial condition and results of operations. In addition, our interactions, communications, and financial relationships with these individuals and entities present potential healthcare compliance risks.</w:t>
      </w:r>
    </w:p>
    <w:p>
      <w:pPr>
        <w:spacing w:after="0" w:line="300" w:lineRule="exact"/>
        <w:rPr>
          <w:sz w:val="20"/>
          <w:szCs w:val="20"/>
          <w:color w:val="auto"/>
        </w:rPr>
      </w:pPr>
    </w:p>
    <w:p>
      <w:pPr>
        <w:ind w:right="240" w:firstLine="488"/>
        <w:spacing w:after="0" w:line="277" w:lineRule="auto"/>
        <w:rPr>
          <w:sz w:val="20"/>
          <w:szCs w:val="20"/>
          <w:color w:val="auto"/>
        </w:rPr>
      </w:pPr>
      <w:r>
        <w:rPr>
          <w:rFonts w:ascii="Arial" w:cs="Arial" w:eastAsia="Arial" w:hAnsi="Arial"/>
          <w:sz w:val="18"/>
          <w:szCs w:val="18"/>
          <w:b w:val="1"/>
          <w:bCs w:val="1"/>
          <w:i w:val="1"/>
          <w:iCs w:val="1"/>
          <w:color w:val="auto"/>
        </w:rPr>
        <w:t>We are subject to government regulations which may cause us to delay or withdraw the introduction of new products or new applications for our products.</w:t>
      </w:r>
    </w:p>
    <w:p>
      <w:pPr>
        <w:spacing w:after="0" w:line="62" w:lineRule="exact"/>
        <w:rPr>
          <w:sz w:val="20"/>
          <w:szCs w:val="20"/>
          <w:color w:val="auto"/>
        </w:rPr>
      </w:pPr>
    </w:p>
    <w:p>
      <w:pPr>
        <w:ind w:right="60" w:firstLine="488"/>
        <w:spacing w:after="0" w:line="269" w:lineRule="auto"/>
        <w:rPr>
          <w:sz w:val="20"/>
          <w:szCs w:val="20"/>
          <w:color w:val="auto"/>
        </w:rPr>
      </w:pPr>
      <w:r>
        <w:rPr>
          <w:rFonts w:ascii="Arial" w:cs="Arial" w:eastAsia="Arial" w:hAnsi="Arial"/>
          <w:sz w:val="17"/>
          <w:szCs w:val="17"/>
          <w:color w:val="auto"/>
        </w:rPr>
        <w:t>The medical devices that we market and manufacture are subject to extensive regulation by the FDA and by foreign and state governments. Under the Food, Drug and Cosmetic Act (“FDCA”) and the related regulations, the FDA regulates the design, development, clinical testing, manufacture, labeling, sale, distribution and promotion of medical devices. Before a new device can be introduced into the market, the product must be shown to meet regulatory requirements established by the FDCA and implemented by the FDA. Unless otherwise exempt, a device manufacturer must obtain marketing “clearance” through the 510(k) premarket notification process, or “approval” through the lengthier premarket approval application (“PMA”) process. Not all devices are eligible for the 510(k) clearance process. Depending upon the type, complexity and novelty of the device and the nature of the disease or disorder to be treated, the FDA process can take several years, require extensive clinical testing and result in significant expenditures. Even if regulatory clearance or approval is obtained, later discovery of previously unknown safety issues may result in restrictions on the product, including withdrawal of the product from the market. Other countries also have extensive regulations regarding clinical trials and testing prior to new product introductions. Our failure to obtain government approvals or any delays in receipt of such approvals would have a material adverse effect on our business, results of operations and financial condition.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2" w:name="page33"/>
    <w:bookmarkEnd w:id="32"/>
    <w:p>
      <w:pPr>
        <w:ind w:firstLine="488"/>
        <w:spacing w:after="0" w:line="271" w:lineRule="auto"/>
        <w:rPr>
          <w:sz w:val="20"/>
          <w:szCs w:val="20"/>
          <w:color w:val="auto"/>
        </w:rPr>
      </w:pPr>
      <w:r>
        <w:rPr>
          <w:rFonts w:ascii="Arial" w:cs="Arial" w:eastAsia="Arial" w:hAnsi="Arial"/>
          <w:sz w:val="17"/>
          <w:szCs w:val="17"/>
          <w:color w:val="auto"/>
        </w:rPr>
        <w:t>The FDA imposes a broad range of additional requirements on medical device companies. Our products must be produced in compliance with the Quality System Regulation (“QSR”) and our manufacturing facilities are subject to establishment registration and device listing requirements from the FDA, and similar requirements from certain state authorities, and ongoing periodic inspections by the FDA, including unannounced inspections for compliance with applicable requirements. We are subject to monitoring, recordkeeping, and reporting obligations for medical device adverse events and malfunctions; notification of our products’ defects or failure to comply with the FDA’s laser regulations; and reporting of recalls, corrections, or removals of our products. The FDA also imposes requirements for the labeling of our products, and places limitations on claims we are permitted to make about our products in promotional labeling. The Federal Trade Commission has jurisdiction over the advertising of all of our products, which are non-restricted devices, and exercises oversight in coordination with the FDA.</w:t>
      </w:r>
    </w:p>
    <w:p>
      <w:pPr>
        <w:spacing w:after="0" w:line="206" w:lineRule="exact"/>
        <w:rPr>
          <w:sz w:val="20"/>
          <w:szCs w:val="20"/>
          <w:color w:val="auto"/>
        </w:rPr>
      </w:pPr>
    </w:p>
    <w:p>
      <w:pPr>
        <w:ind w:right="140" w:firstLine="488"/>
        <w:spacing w:after="0" w:line="257" w:lineRule="auto"/>
        <w:rPr>
          <w:sz w:val="20"/>
          <w:szCs w:val="20"/>
          <w:color w:val="auto"/>
        </w:rPr>
      </w:pPr>
      <w:r>
        <w:rPr>
          <w:rFonts w:ascii="Arial" w:cs="Arial" w:eastAsia="Arial" w:hAnsi="Arial"/>
          <w:sz w:val="18"/>
          <w:szCs w:val="18"/>
          <w:color w:val="auto"/>
        </w:rPr>
        <w:t>Noncompliance with the applicable requirements can result in, among other things, regulatory citations (including “483 Observations”) and Warning Letters, fines, injunctions, civil penalties, recall or seizure of products, total or partial suspension of production, withdrawal of marketing approvals, and criminal prosecution. The FDA also has the authority to request repair, replacement or refund of the cost of any device we manufacture or distribute. Any of these actions by the FDA would materially and adversely affect our ability to continue operating our business and the results of our operations. Such enforcement action can also result in negative publicity.</w:t>
      </w:r>
    </w:p>
    <w:p>
      <w:pPr>
        <w:spacing w:after="0" w:line="202" w:lineRule="exact"/>
        <w:rPr>
          <w:sz w:val="20"/>
          <w:szCs w:val="20"/>
          <w:color w:val="auto"/>
        </w:rPr>
      </w:pPr>
    </w:p>
    <w:p>
      <w:pPr>
        <w:ind w:right="100" w:firstLine="488"/>
        <w:spacing w:after="0" w:line="269" w:lineRule="auto"/>
        <w:rPr>
          <w:sz w:val="20"/>
          <w:szCs w:val="20"/>
          <w:color w:val="auto"/>
        </w:rPr>
      </w:pPr>
      <w:r>
        <w:rPr>
          <w:rFonts w:ascii="Arial" w:cs="Arial" w:eastAsia="Arial" w:hAnsi="Arial"/>
          <w:sz w:val="17"/>
          <w:szCs w:val="17"/>
          <w:color w:val="auto"/>
        </w:rPr>
        <w:t>In addition, we are also subject to varying product standards, packaging requirements, labeling requirements, tariff regulations, duties and tax requirements. As a result of our sales in Europe, we are required to have all products “CE” marked, an international symbol affixed to all products demonstrating compliance with the European Medical Device Directive and all applicable standards. While currently all of our released products are CE marked, continued certification is based on the successful review of our quality system by our European Registrar during their annual audit. Any loss of certification would have a material adverse effect on our business, results of operations and financial condition. There are a number of major regulatory changes occurring in the regulation of medical devices in the EU. A new revision of the quality system regulation (ISO 13485:2016) has been released that substantially increases the requirements for a medical device quality system. The Medical Device Regulation (MDR) will replace the current medical device directive (93/42/EEC), and it substantially changes the way that medical devices are brought to market in the EU and how they maintain compliance throughout the product’s life cycle. Additionally, the new revision 4 of the clinical evaluation report guidance document (MEDDEV 2.7.1) severely restricts the use of substantial equivalence for new products, resulting in the need for formal clinical trial data for most new products. These changes will increase the cost for compliance and for product development, and they lengthen product introduction cycles. Failure to comply with these changes can have an adverse effect on our ability to release new products in a timely manner.</w:t>
      </w:r>
    </w:p>
    <w:p>
      <w:pPr>
        <w:spacing w:after="0" w:line="302" w:lineRule="exact"/>
        <w:rPr>
          <w:sz w:val="20"/>
          <w:szCs w:val="20"/>
          <w:color w:val="auto"/>
        </w:rPr>
      </w:pPr>
    </w:p>
    <w:p>
      <w:pPr>
        <w:ind w:right="20" w:firstLine="488"/>
        <w:spacing w:after="0" w:line="277" w:lineRule="auto"/>
        <w:rPr>
          <w:sz w:val="20"/>
          <w:szCs w:val="20"/>
          <w:color w:val="auto"/>
        </w:rPr>
      </w:pPr>
      <w:r>
        <w:rPr>
          <w:rFonts w:ascii="Arial" w:cs="Arial" w:eastAsia="Arial" w:hAnsi="Arial"/>
          <w:sz w:val="18"/>
          <w:szCs w:val="18"/>
          <w:b w:val="1"/>
          <w:bCs w:val="1"/>
          <w:i w:val="1"/>
          <w:iCs w:val="1"/>
          <w:color w:val="auto"/>
        </w:rPr>
        <w:t>Any clinical trials that we may undertake for regulatory approval or marketing reasons will be an expensive, lengthy, costly, and uncertain process, and could result in delays in new product introductions or even an inability to release a product.</w:t>
      </w:r>
    </w:p>
    <w:p>
      <w:pPr>
        <w:spacing w:after="0" w:line="62" w:lineRule="exact"/>
        <w:rPr>
          <w:sz w:val="20"/>
          <w:szCs w:val="20"/>
          <w:color w:val="auto"/>
        </w:rPr>
      </w:pPr>
    </w:p>
    <w:p>
      <w:pPr>
        <w:ind w:firstLine="488"/>
        <w:spacing w:after="0" w:line="272" w:lineRule="auto"/>
        <w:rPr>
          <w:sz w:val="20"/>
          <w:szCs w:val="20"/>
          <w:color w:val="auto"/>
        </w:rPr>
      </w:pPr>
      <w:r>
        <w:rPr>
          <w:rFonts w:ascii="Arial" w:cs="Arial" w:eastAsia="Arial" w:hAnsi="Arial"/>
          <w:sz w:val="17"/>
          <w:szCs w:val="17"/>
          <w:color w:val="auto"/>
        </w:rPr>
        <w:t>We may be required to undertake clinical trials to obtain regulatory approvals or may choose to undertake such trials for marketing or other reasons. Clinical trials for products such as ours are complex and expensive and their outcomes are uncertain. Any clinical trials that we may undertake would require the investment of significant financial and administrative resources. Moreover, the results of clinical trials are uncertain, and inconclusive or negative results may not support, or may impair, the sale and adoption of our products. We may suffer significant setbacks in clinical trials, even after earlier clinical trials showed promising results. Any of our products could produce undesirable side effects that could cause us or regulatory authorities to interrupt, delay or halt clinical trials of a product candidate. We, the FDA, or another regulatory authority could suspend or terminate clinical trials at any time if they or we believed the trial participants faced unacceptable health risks.</w:t>
      </w:r>
    </w:p>
    <w:p>
      <w:pPr>
        <w:spacing w:after="0" w:line="313" w:lineRule="exact"/>
        <w:rPr>
          <w:sz w:val="20"/>
          <w:szCs w:val="20"/>
          <w:color w:val="auto"/>
        </w:rPr>
      </w:pPr>
    </w:p>
    <w:p>
      <w:pPr>
        <w:ind w:right="40" w:firstLine="488"/>
        <w:spacing w:after="0" w:line="277" w:lineRule="auto"/>
        <w:rPr>
          <w:sz w:val="20"/>
          <w:szCs w:val="20"/>
          <w:color w:val="auto"/>
        </w:rPr>
      </w:pPr>
      <w:r>
        <w:rPr>
          <w:rFonts w:ascii="Arial" w:cs="Arial" w:eastAsia="Arial" w:hAnsi="Arial"/>
          <w:sz w:val="18"/>
          <w:szCs w:val="18"/>
          <w:b w:val="1"/>
          <w:bCs w:val="1"/>
          <w:i w:val="1"/>
          <w:iCs w:val="1"/>
          <w:color w:val="auto"/>
        </w:rPr>
        <w:t>If we fail to comply with the FDA’s quality system regulation and laser performance standards, our manufacturing operations could be halted, and our business would suffer.</w:t>
      </w:r>
    </w:p>
    <w:p>
      <w:pPr>
        <w:spacing w:after="0" w:line="62" w:lineRule="exact"/>
        <w:rPr>
          <w:sz w:val="20"/>
          <w:szCs w:val="20"/>
          <w:color w:val="auto"/>
        </w:rPr>
      </w:pPr>
    </w:p>
    <w:p>
      <w:pPr>
        <w:ind w:right="20" w:firstLine="488"/>
        <w:spacing w:after="0" w:line="270" w:lineRule="auto"/>
        <w:rPr>
          <w:sz w:val="20"/>
          <w:szCs w:val="20"/>
          <w:color w:val="auto"/>
        </w:rPr>
      </w:pPr>
      <w:r>
        <w:rPr>
          <w:rFonts w:ascii="Arial" w:cs="Arial" w:eastAsia="Arial" w:hAnsi="Arial"/>
          <w:sz w:val="17"/>
          <w:szCs w:val="17"/>
          <w:color w:val="auto"/>
        </w:rPr>
        <w:t>We are currently required to demonstrate and maintain compliance with the FDA’s QSR. The QSR is a complex regulatory scheme that covers the methods and documentation of the design, testing, control, manufacturing, labeling, quality assurance, packaging, storage and shipping of our products. Because our products involve the use of lasers, our products also are covered by a performance standard for lasers set forth in FDA regulations. The laser performance standard imposes specific record-keeping, reporting, product testing and product labeling requirements. These requirements include affixing warning labels to laser products, as well as incorporating certain safety features in the design of laser products. The FDA enforces the QSR and laser performance standards through periodic unannounced inspections. We have been, and anticipate in the future being, subject to such inspections. Our failure to take satisfactory corrective action in response to an adverse QSR inspection or our failure to comply with applicable laser performance standards could result in enforcement actions, including a public warning letter, a shutdown of our manufacturing operations, a recall of our products, civil or criminal penalties, or other sanctions, which would cause our sales and business to suffer.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33" w:name="page34"/>
    <w:bookmarkEnd w:id="33"/>
    <w:p>
      <w:pPr>
        <w:ind w:right="340" w:firstLine="488"/>
        <w:spacing w:after="0" w:line="277" w:lineRule="auto"/>
        <w:rPr>
          <w:sz w:val="20"/>
          <w:szCs w:val="20"/>
          <w:color w:val="auto"/>
        </w:rPr>
      </w:pPr>
      <w:r>
        <w:rPr>
          <w:rFonts w:ascii="Arial" w:cs="Arial" w:eastAsia="Arial" w:hAnsi="Arial"/>
          <w:sz w:val="18"/>
          <w:szCs w:val="18"/>
          <w:b w:val="1"/>
          <w:bCs w:val="1"/>
          <w:i w:val="1"/>
          <w:iCs w:val="1"/>
          <w:color w:val="auto"/>
        </w:rPr>
        <w:t>If we modify one of our FDA approved devices, we may need to submit a new 510(k), or potentially a PMA, and if clearance or approval is not obtained, it would prevent us from selling our modified products or cause us to redesign our products.</w:t>
      </w:r>
    </w:p>
    <w:p>
      <w:pPr>
        <w:spacing w:after="0" w:line="170" w:lineRule="exact"/>
        <w:rPr>
          <w:sz w:val="20"/>
          <w:szCs w:val="20"/>
          <w:color w:val="auto"/>
        </w:rPr>
      </w:pPr>
    </w:p>
    <w:p>
      <w:pPr>
        <w:ind w:right="40" w:firstLine="488"/>
        <w:spacing w:after="0" w:line="272" w:lineRule="auto"/>
        <w:rPr>
          <w:sz w:val="20"/>
          <w:szCs w:val="20"/>
          <w:color w:val="auto"/>
        </w:rPr>
      </w:pPr>
      <w:r>
        <w:rPr>
          <w:rFonts w:ascii="Arial" w:cs="Arial" w:eastAsia="Arial" w:hAnsi="Arial"/>
          <w:sz w:val="17"/>
          <w:szCs w:val="17"/>
          <w:color w:val="auto"/>
        </w:rPr>
        <w:t>Any modifications to an FDA-cleared device that would significantly affect its safety or effectiveness or that would constitute a major change in its intended use would require a new 510(k) clearance or possibly a PMA. We may not be able to obtain additional 510(k) clearances or premarket approvals for new products or for modifications to, or additional indications for, our existing products in a timely fashion, or at all. Delays in obtaining future clearances would adversely affect our ability to introduce new or enhanced products in a timely manner, which in turn would harm our revenues and future profitability.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 which could harm our operating results and require us to redesign our products.</w:t>
      </w:r>
    </w:p>
    <w:p>
      <w:pPr>
        <w:spacing w:after="0" w:line="31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products may be misused, which could harm our reputation and our business.</w:t>
      </w:r>
    </w:p>
    <w:p>
      <w:pPr>
        <w:spacing w:after="0" w:line="117" w:lineRule="exact"/>
        <w:rPr>
          <w:sz w:val="20"/>
          <w:szCs w:val="20"/>
          <w:color w:val="auto"/>
        </w:rPr>
      </w:pPr>
    </w:p>
    <w:p>
      <w:pPr>
        <w:ind w:firstLine="488"/>
        <w:spacing w:after="0" w:line="290" w:lineRule="auto"/>
        <w:rPr>
          <w:sz w:val="20"/>
          <w:szCs w:val="20"/>
          <w:color w:val="auto"/>
        </w:rPr>
      </w:pPr>
      <w:r>
        <w:rPr>
          <w:rFonts w:ascii="Arial" w:cs="Arial" w:eastAsia="Arial" w:hAnsi="Arial"/>
          <w:sz w:val="16"/>
          <w:szCs w:val="16"/>
          <w:color w:val="auto"/>
        </w:rPr>
        <w:t>We market and sell our products for use by highly skilled physicians with specialized training and experience in the treatment of eye-related disorders. We, and our distributors, generally offer but do not require purchasers or operators of our products to attend training sessions, nor do we supervise the procedures performed with our products. The physicians who operate our products are responsible for their use and the treatment regime for each individual patient. In addition, non-physicians, particularly in countries outside of the United States, or poorly trained or inexperienced physicians, may make use of our products. Our efforts to market our MicroPulse systems as a Fovea-friendly alternative to traditional continuous wavelength systems or alternative treatment methods may result in users failing to implement adequate safety precautions and thereby increase the risks associated with the misuse of our product. The lack of training and the purchase and use of our products by non-physicians or poorly trained or inexperienced physicians may result in product misuse and adverse treatment outcomes, which could harm our reputation and expose us to costly product liability litigation, or otherwise cause our business to suffer.</w:t>
      </w:r>
    </w:p>
    <w:p>
      <w:pPr>
        <w:spacing w:after="0" w:line="2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Inability of customers to obtain credit or material increases in interest rates may harm our sales.</w:t>
      </w:r>
    </w:p>
    <w:p>
      <w:pPr>
        <w:spacing w:after="0" w:line="117" w:lineRule="exact"/>
        <w:rPr>
          <w:sz w:val="20"/>
          <w:szCs w:val="20"/>
          <w:color w:val="auto"/>
        </w:rPr>
      </w:pPr>
    </w:p>
    <w:p>
      <w:pPr>
        <w:jc w:val="both"/>
        <w:ind w:right="120" w:firstLine="488"/>
        <w:spacing w:after="0" w:line="302" w:lineRule="auto"/>
        <w:rPr>
          <w:sz w:val="20"/>
          <w:szCs w:val="20"/>
          <w:color w:val="auto"/>
        </w:rPr>
      </w:pPr>
      <w:r>
        <w:rPr>
          <w:rFonts w:ascii="Arial" w:cs="Arial" w:eastAsia="Arial" w:hAnsi="Arial"/>
          <w:sz w:val="16"/>
          <w:szCs w:val="16"/>
          <w:color w:val="auto"/>
        </w:rPr>
        <w:t>Some of our products are sold to health care providers in general practice. Many of these health care providers purchase our products with funds they secure through various financing arrangements with third-party financial institutions, including credit facilities and short-term loans. If availability of credit becomes more limited, or interest rates increase, these financing arrangements may be harder to obtain or become more expensive for our customers, which may decrease demand for our products. Any reduction in the sales of our products would cause our business to suffer.</w:t>
      </w:r>
    </w:p>
    <w:p>
      <w:pPr>
        <w:spacing w:after="0" w:line="276" w:lineRule="exact"/>
        <w:rPr>
          <w:sz w:val="20"/>
          <w:szCs w:val="20"/>
          <w:color w:val="auto"/>
        </w:rPr>
      </w:pPr>
    </w:p>
    <w:p>
      <w:pPr>
        <w:ind w:right="80" w:firstLine="488"/>
        <w:spacing w:after="0" w:line="277" w:lineRule="auto"/>
        <w:rPr>
          <w:sz w:val="20"/>
          <w:szCs w:val="20"/>
          <w:color w:val="auto"/>
        </w:rPr>
      </w:pPr>
      <w:r>
        <w:rPr>
          <w:rFonts w:ascii="Arial" w:cs="Arial" w:eastAsia="Arial" w:hAnsi="Arial"/>
          <w:sz w:val="18"/>
          <w:szCs w:val="18"/>
          <w:b w:val="1"/>
          <w:bCs w:val="1"/>
          <w:i w:val="1"/>
          <w:iCs w:val="1"/>
          <w:color w:val="auto"/>
        </w:rPr>
        <w:t>Our products could be subject to recalls even after receiving FDA approval or clearance. A recall would harm our reputation and adversely affect our operating results.</w:t>
      </w:r>
    </w:p>
    <w:p>
      <w:pPr>
        <w:spacing w:after="0" w:line="62" w:lineRule="exact"/>
        <w:rPr>
          <w:sz w:val="20"/>
          <w:szCs w:val="20"/>
          <w:color w:val="auto"/>
        </w:rPr>
      </w:pPr>
    </w:p>
    <w:p>
      <w:pPr>
        <w:ind w:right="140" w:firstLine="488"/>
        <w:spacing w:after="0" w:line="255" w:lineRule="auto"/>
        <w:rPr>
          <w:sz w:val="20"/>
          <w:szCs w:val="20"/>
          <w:color w:val="auto"/>
        </w:rPr>
      </w:pPr>
      <w:r>
        <w:rPr>
          <w:rFonts w:ascii="Arial" w:cs="Arial" w:eastAsia="Arial" w:hAnsi="Arial"/>
          <w:sz w:val="18"/>
          <w:szCs w:val="18"/>
          <w:color w:val="auto"/>
        </w:rPr>
        <w:t>The FDA and similar governmental authorities in other countries in which we market and sell our products have the authority to require the recall of our products in the event of material deficiencies or defects in the design or manufacture of our products, or in other cases we may determine that we will recall a product because we have determined that the product is violative, in order to avoid further enforcement action and protect the public health. A government mandated recall, or a voluntary recall by us, could occur as a result of component failures, manufacturing errors or design defects, including defects in labeling. A recall could divert management’s attention, cause us to incur significant expenses, harm our reputation with customers and negatively affect our future sales.</w:t>
      </w:r>
    </w:p>
    <w:p>
      <w:pPr>
        <w:spacing w:after="0" w:line="328" w:lineRule="exact"/>
        <w:rPr>
          <w:sz w:val="20"/>
          <w:szCs w:val="20"/>
          <w:color w:val="auto"/>
        </w:rPr>
      </w:pPr>
    </w:p>
    <w:p>
      <w:pPr>
        <w:ind w:right="40" w:firstLine="488"/>
        <w:spacing w:after="0" w:line="277" w:lineRule="auto"/>
        <w:rPr>
          <w:sz w:val="20"/>
          <w:szCs w:val="20"/>
          <w:color w:val="auto"/>
        </w:rPr>
      </w:pPr>
      <w:r>
        <w:rPr>
          <w:rFonts w:ascii="Arial" w:cs="Arial" w:eastAsia="Arial" w:hAnsi="Arial"/>
          <w:sz w:val="18"/>
          <w:szCs w:val="18"/>
          <w:b w:val="1"/>
          <w:bCs w:val="1"/>
          <w:i w:val="1"/>
          <w:iCs w:val="1"/>
          <w:color w:val="auto"/>
        </w:rPr>
        <w:t>If product liability claims are successfully asserted against us, we may incur substantial liabilities that may adversely affect our business or results of operations.</w:t>
      </w:r>
    </w:p>
    <w:p>
      <w:pPr>
        <w:spacing w:after="0" w:line="62" w:lineRule="exact"/>
        <w:rPr>
          <w:sz w:val="20"/>
          <w:szCs w:val="20"/>
          <w:color w:val="auto"/>
        </w:rPr>
      </w:pPr>
    </w:p>
    <w:p>
      <w:pPr>
        <w:ind w:right="140" w:firstLine="488"/>
        <w:spacing w:after="0" w:line="279" w:lineRule="auto"/>
        <w:rPr>
          <w:sz w:val="20"/>
          <w:szCs w:val="20"/>
          <w:color w:val="auto"/>
        </w:rPr>
      </w:pPr>
      <w:r>
        <w:rPr>
          <w:rFonts w:ascii="Arial" w:cs="Arial" w:eastAsia="Arial" w:hAnsi="Arial"/>
          <w:sz w:val="17"/>
          <w:szCs w:val="17"/>
          <w:color w:val="auto"/>
        </w:rPr>
        <w:t>We may be subject to product liability claims from time to time. Our products are highly complex and some are used to treat extremely delicate eye tissue. We believe we maintain adequate levels of product liability insurance. However, product liability insurance is expensive and we might not be able to obtain product liability insurance in the future on acceptable terms or in sufficient amounts to protect us, if at all. A successful claim brought against us in excess of our insurance coverage could have a material adverse effect on our business, results of operations and financial condition.</w:t>
      </w:r>
    </w:p>
    <w:p>
      <w:pPr>
        <w:spacing w:after="0" w:line="104" w:lineRule="exact"/>
        <w:rPr>
          <w:sz w:val="20"/>
          <w:szCs w:val="20"/>
          <w:color w:val="auto"/>
        </w:rPr>
      </w:pPr>
    </w:p>
    <w:p>
      <w:pPr>
        <w:ind w:right="540" w:firstLine="488"/>
        <w:spacing w:after="0" w:line="342" w:lineRule="auto"/>
        <w:rPr>
          <w:sz w:val="20"/>
          <w:szCs w:val="20"/>
          <w:color w:val="auto"/>
        </w:rPr>
      </w:pPr>
      <w:r>
        <w:rPr>
          <w:rFonts w:ascii="Arial" w:cs="Arial" w:eastAsia="Arial" w:hAnsi="Arial"/>
          <w:sz w:val="16"/>
          <w:szCs w:val="16"/>
          <w:b w:val="1"/>
          <w:bCs w:val="1"/>
          <w:i w:val="1"/>
          <w:iCs w:val="1"/>
          <w:color w:val="auto"/>
        </w:rPr>
        <w:t>Efforts to acquire additional companies or product lines may divert our managerial resources away from our business operations, and if we complete additional acquisitions, we may incur or assume additional liabilities or experience integration problems.</w:t>
      </w:r>
    </w:p>
    <w:p>
      <w:pPr>
        <w:spacing w:after="0" w:line="16" w:lineRule="exact"/>
        <w:rPr>
          <w:sz w:val="20"/>
          <w:szCs w:val="20"/>
          <w:color w:val="auto"/>
        </w:rPr>
      </w:pPr>
    </w:p>
    <w:p>
      <w:pPr>
        <w:ind w:right="340" w:firstLine="488"/>
        <w:spacing w:after="0" w:line="277" w:lineRule="auto"/>
        <w:rPr>
          <w:sz w:val="20"/>
          <w:szCs w:val="20"/>
          <w:color w:val="auto"/>
        </w:rPr>
      </w:pPr>
      <w:r>
        <w:rPr>
          <w:rFonts w:ascii="Arial" w:cs="Arial" w:eastAsia="Arial" w:hAnsi="Arial"/>
          <w:sz w:val="18"/>
          <w:szCs w:val="18"/>
          <w:color w:val="auto"/>
        </w:rPr>
        <w:t>Since 1989, we have completed six acquisitions. As part of our growth strategy we seek to acquire businesses or product lines for various reasons, including adding new products, adding new customers, increasing penetration with existing customers, adding</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706" w:right="299" w:bottom="1440" w:gutter="0" w:footer="0" w:header="0"/>
        </w:sectPr>
      </w:pPr>
    </w:p>
    <w:bookmarkStart w:id="34" w:name="page35"/>
    <w:bookmarkEnd w:id="34"/>
    <w:p>
      <w:pPr>
        <w:ind w:right="80"/>
        <w:spacing w:after="0" w:line="286" w:lineRule="auto"/>
        <w:rPr>
          <w:sz w:val="20"/>
          <w:szCs w:val="20"/>
          <w:color w:val="auto"/>
        </w:rPr>
      </w:pPr>
      <w:r>
        <w:rPr>
          <w:rFonts w:ascii="Arial" w:cs="Arial" w:eastAsia="Arial" w:hAnsi="Arial"/>
          <w:sz w:val="17"/>
          <w:szCs w:val="17"/>
          <w:color w:val="auto"/>
        </w:rPr>
        <w:t>new manufacturing capabilities or expanding into new geographic markets. Our ability to successfully grow through acquisitions depends upon our ability to identify, negotiate, complete and integrate suitable acquisitions and to obtain any necessary financings. These efforts could divert the attention of our management and key personnel from our business operations. If we complete future acquisitions, we may also experience:</w:t>
      </w:r>
    </w:p>
    <w:p>
      <w:pPr>
        <w:spacing w:after="0" w:line="57" w:lineRule="exact"/>
        <w:rPr>
          <w:sz w:val="20"/>
          <w:szCs w:val="20"/>
          <w:color w:val="auto"/>
        </w:rPr>
      </w:pPr>
    </w:p>
    <w:p>
      <w:pPr>
        <w:ind w:left="1480" w:hanging="711"/>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integrating any acquired products into our existing business;</w:t>
      </w:r>
    </w:p>
    <w:p>
      <w:pPr>
        <w:sectPr>
          <w:pgSz w:w="11900" w:h="16838" w:orient="portrait"/>
          <w:cols w:equalWidth="0" w:num="1">
            <w:col w:w="11400"/>
          </w:cols>
          <w:pgMar w:left="240" w:top="476" w:right="259" w:bottom="1440" w:gutter="0" w:footer="0" w:header="0"/>
        </w:sectPr>
      </w:pPr>
    </w:p>
    <w:p>
      <w:pPr>
        <w:spacing w:after="0" w:line="117" w:lineRule="exact"/>
        <w:rPr>
          <w:sz w:val="20"/>
          <w:szCs w:val="20"/>
          <w:color w:val="auto"/>
        </w:rPr>
      </w:pPr>
    </w:p>
    <w:p>
      <w:pPr>
        <w:jc w:val="center"/>
        <w:ind w:left="7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difficulties in integrating an acquired company’s technologies, services, employees, customers, partners, business administrative and software management systems with ours;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operations and</w:t>
      </w:r>
    </w:p>
    <w:p>
      <w:pPr>
        <w:spacing w:after="0" w:line="355" w:lineRule="exact"/>
        <w:rPr>
          <w:sz w:val="20"/>
          <w:szCs w:val="20"/>
          <w:color w:val="auto"/>
        </w:rPr>
      </w:pPr>
    </w:p>
    <w:p>
      <w:pPr>
        <w:sectPr>
          <w:pgSz w:w="11900" w:h="16838" w:orient="portrait"/>
          <w:cols w:equalWidth="0" w:num="3">
            <w:col w:w="800" w:space="720"/>
            <w:col w:w="8160" w:space="320"/>
            <w:col w:w="1400"/>
          </w:cols>
          <w:pgMar w:left="240" w:top="476" w:right="259" w:bottom="1440" w:gutter="0" w:footer="0" w:header="0"/>
          <w:type w:val="continuous"/>
        </w:sectPr>
      </w:pPr>
    </w:p>
    <w:p>
      <w:pPr>
        <w:ind w:left="1140"/>
        <w:spacing w:after="0"/>
        <w:rPr>
          <w:sz w:val="20"/>
          <w:szCs w:val="20"/>
          <w:color w:val="auto"/>
        </w:rPr>
      </w:pPr>
      <w:r>
        <w:rPr>
          <w:rFonts w:ascii="Arial" w:cs="Arial" w:eastAsia="Arial" w:hAnsi="Arial"/>
          <w:sz w:val="18"/>
          <w:szCs w:val="18"/>
          <w:color w:val="auto"/>
        </w:rPr>
        <w:t>•delays in realizing the benefits of the acquired products;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•diversion of our management’s time and attention from other business concerns;</w:t>
      </w:r>
    </w:p>
    <w:p>
      <w:pPr>
        <w:spacing w:after="0" w:line="14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•adverse customer reaction to the product acquisition; and</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•increases in expenses.</w:t>
      </w:r>
    </w:p>
    <w:p>
      <w:pPr>
        <w:sectPr>
          <w:pgSz w:w="11900" w:h="16838" w:orient="portrait"/>
          <w:cols w:equalWidth="0" w:num="1">
            <w:col w:w="11400"/>
          </w:cols>
          <w:pgMar w:left="240" w:top="476" w:right="259" w:bottom="1440" w:gutter="0" w:footer="0" w:header="0"/>
          <w:type w:val="continuous"/>
        </w:sectPr>
      </w:pPr>
    </w:p>
    <w:p>
      <w:pPr>
        <w:spacing w:after="0" w:line="239" w:lineRule="exact"/>
        <w:rPr>
          <w:sz w:val="20"/>
          <w:szCs w:val="20"/>
          <w:color w:val="auto"/>
        </w:rPr>
      </w:pPr>
    </w:p>
    <w:p>
      <w:pPr>
        <w:ind w:right="60" w:firstLine="488"/>
        <w:spacing w:after="0" w:line="297" w:lineRule="auto"/>
        <w:rPr>
          <w:sz w:val="20"/>
          <w:szCs w:val="20"/>
          <w:color w:val="auto"/>
        </w:rPr>
      </w:pPr>
      <w:r>
        <w:rPr>
          <w:rFonts w:ascii="Arial" w:cs="Arial" w:eastAsia="Arial" w:hAnsi="Arial"/>
          <w:sz w:val="16"/>
          <w:szCs w:val="16"/>
          <w:color w:val="auto"/>
        </w:rPr>
        <w:t>Moreover, we cannot assure you that the anticipated benefits of any acquisition or investment would be realized or that we would not be exposed to unknown liabilities. In connection with these types of transactions, we may issue additional equity securities that would dilute our stockholders, use cash that we may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These challenges related to acquisitions or investments could adversely affect our business, operating results and financial condition.</w:t>
      </w:r>
    </w:p>
    <w:p>
      <w:pPr>
        <w:spacing w:after="0" w:line="29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 are subject to federal, state and foreign laws governing our business practices which, if violated, could result in substantial penalties.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Additionally, challenges to or investigation into our practices could cause adverse publicity and be costly to respond to and thus could harm our business.</w:t>
      </w:r>
    </w:p>
    <w:p>
      <w:pPr>
        <w:spacing w:after="0" w:line="137" w:lineRule="exact"/>
        <w:rPr>
          <w:sz w:val="20"/>
          <w:szCs w:val="20"/>
          <w:color w:val="auto"/>
        </w:rPr>
      </w:pPr>
    </w:p>
    <w:p>
      <w:pPr>
        <w:ind w:firstLine="488"/>
        <w:spacing w:after="0" w:line="287" w:lineRule="auto"/>
        <w:rPr>
          <w:sz w:val="20"/>
          <w:szCs w:val="20"/>
          <w:color w:val="auto"/>
        </w:rPr>
      </w:pPr>
      <w:r>
        <w:rPr>
          <w:rFonts w:ascii="Arial" w:cs="Arial" w:eastAsia="Arial" w:hAnsi="Arial"/>
          <w:sz w:val="16"/>
          <w:szCs w:val="16"/>
          <w:color w:val="auto"/>
        </w:rPr>
        <w:t>The Dodd-Frank Wall Street Reform and Consumer Protection Act requires us to track and disclose the source of certain metals used in manufacturing which may stem from minerals (so called “conflict minerals”) which originate in the Democratic Republic of the Congo or adjoining regions. These metals include tantalum, tin, gold and tungsten. These metals are central to the technology industry and are present in some of our products as component parts. In most cases no acceptable alternative material exists which has the necessary properties. It is not possible to determine the source of the metals by analysis but instead a good faith description of the source of the intermediate components and raw materials must be obtained. The components which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and components and assemblies which we buy may have a mix of sources as their origin. We are required to carry out a diligent effort to determine and disclose the source of these materials. There can be no assurance we can obtain this information from intermediate producers who are unwilling or unable to provide this information or further identify their sources of supply or to notify us if these sources change. These metals are subject to price fluctuations and shortages which can affect our ability to obtain the manufactured materials we rely on at favorable terms or from consistent sources. These changes could have an adverse impact on our ability to manufacture and market our devices and products.</w:t>
      </w:r>
    </w:p>
    <w:p>
      <w:pPr>
        <w:spacing w:after="0" w:line="290" w:lineRule="exact"/>
        <w:rPr>
          <w:sz w:val="20"/>
          <w:szCs w:val="20"/>
          <w:color w:val="auto"/>
        </w:rPr>
      </w:pPr>
    </w:p>
    <w:p>
      <w:pPr>
        <w:ind w:right="540" w:firstLine="488"/>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requirements, our business, financial condition, operating results and reputation could be adversely affected.</w:t>
      </w:r>
    </w:p>
    <w:p>
      <w:pPr>
        <w:spacing w:after="0" w:line="170" w:lineRule="exact"/>
        <w:rPr>
          <w:sz w:val="20"/>
          <w:szCs w:val="20"/>
          <w:color w:val="auto"/>
        </w:rPr>
      </w:pPr>
    </w:p>
    <w:p>
      <w:pPr>
        <w:ind w:firstLine="488"/>
        <w:spacing w:after="0" w:line="289" w:lineRule="auto"/>
        <w:rPr>
          <w:sz w:val="20"/>
          <w:szCs w:val="20"/>
          <w:color w:val="auto"/>
        </w:rPr>
      </w:pPr>
      <w:r>
        <w:rPr>
          <w:rFonts w:ascii="Arial" w:cs="Arial" w:eastAsia="Arial" w:hAnsi="Arial"/>
          <w:sz w:val="16"/>
          <w:szCs w:val="16"/>
          <w:color w:val="auto"/>
        </w:rPr>
        <w:t>Our products and operations are subject to various federal, state, local and foreign environmental laws and regulations, including those governing the use, storage, handling, exposure to, and disposal of hazardous materials and a large and growing body of international standards which govern the design, manufacture, materials content and sourcing, testing, certification, packaging, installation, use and disposal of our products. We must continually keep abreast of these standards and requirements and integrate compliance to these with the development and regulatory documentation for our products. Failure to meet these standards could limit the ability to market our products in those regions which require compliance to such standards or subject us to fines and penalties. Examples of such standards include laws governing the hazardous material content of our devices and products, such as the European Union (“EU”) Directive 2011/65/EU relating to Restrictions on the Use of Certain Hazardous Substances “RoHS Directive, and the EU Directive 2012/19/EU on Waste Electrical and Electronic Equipment or “WEEE Directive”. Similar laws and regulations have been passed or are pending in several other jurisdictions and may be enacted in other regions, including in the United States, and we are, or may in the future be, subject to these laws and regulations.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type w:val="continuous"/>
        </w:sectPr>
      </w:pPr>
    </w:p>
    <w:bookmarkStart w:id="35" w:name="page36"/>
    <w:bookmarkEnd w:id="35"/>
    <w:p>
      <w:pPr>
        <w:ind w:right="480" w:firstLine="488"/>
        <w:spacing w:after="0" w:line="276" w:lineRule="auto"/>
        <w:rPr>
          <w:sz w:val="20"/>
          <w:szCs w:val="20"/>
          <w:color w:val="auto"/>
        </w:rPr>
      </w:pPr>
      <w:r>
        <w:rPr>
          <w:rFonts w:ascii="Arial" w:cs="Arial" w:eastAsia="Arial" w:hAnsi="Arial"/>
          <w:sz w:val="17"/>
          <w:szCs w:val="17"/>
          <w:color w:val="auto"/>
        </w:rPr>
        <w:t>Our failure to comply with past, present and future similar laws could result in reduced sales of our devices and products, inventory write-offs, reputational damage, penalties and other sanctions, any of which could harm our business and financial condition. We also expect that our devices and products will be affected by new environmental laws and regulations on an ongoing basis. New environmental laws and regulations will likely result in additional costs and may increase penalties associated with violations or require us to change the content of our devices and products or how they are manufactured, which could have a material adverse effect on our business, operating results and financial condition.</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Ownership of Our Common Stock</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Our stock price has been and may continue to be volatile and an investment in our common stock could suffer a decline in value.</w:t>
      </w:r>
    </w:p>
    <w:p>
      <w:pPr>
        <w:spacing w:after="0" w:line="129" w:lineRule="exact"/>
        <w:rPr>
          <w:sz w:val="20"/>
          <w:szCs w:val="20"/>
          <w:color w:val="auto"/>
        </w:rPr>
      </w:pPr>
    </w:p>
    <w:p>
      <w:pPr>
        <w:ind w:firstLine="488"/>
        <w:spacing w:after="0" w:line="255" w:lineRule="auto"/>
        <w:rPr>
          <w:sz w:val="20"/>
          <w:szCs w:val="20"/>
          <w:color w:val="auto"/>
        </w:rPr>
      </w:pPr>
      <w:r>
        <w:rPr>
          <w:rFonts w:ascii="Arial" w:cs="Arial" w:eastAsia="Arial" w:hAnsi="Arial"/>
          <w:sz w:val="18"/>
          <w:szCs w:val="18"/>
          <w:color w:val="auto"/>
        </w:rPr>
        <w:t>The trading price of our common stock has been subject to wide fluctuations in response to a variety of factors, some of which are beyond our control, including changes in foreign currency exchange rates, quarterly variations in our operating results, announcements by us or our competitors of new products or of significant clinical achievements, changes in market valuations of other similar companies in our industry and general market conditions. For the second quarter of 2017, the trading price of our common stock fluctuated from a low of $8.95 per share to a high of $11.52 per share. There can be no assurance that our common stock trading price will not suffer declines. Our common stock may experience an imbalance between supply and demand resulting from low trading volumes and therefore broad market fluctuations could have a significant impact on the market price of our common stock regardless of our performance.</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Future sales and issuances of securities could negatively affect our stock price and dilute the ownership interest of our existing investors.</w:t>
      </w:r>
    </w:p>
    <w:p>
      <w:pPr>
        <w:spacing w:after="0" w:line="140" w:lineRule="exact"/>
        <w:rPr>
          <w:sz w:val="20"/>
          <w:szCs w:val="20"/>
          <w:color w:val="auto"/>
        </w:rPr>
      </w:pPr>
    </w:p>
    <w:p>
      <w:pPr>
        <w:ind w:firstLine="488"/>
        <w:spacing w:after="0" w:line="297" w:lineRule="auto"/>
        <w:rPr>
          <w:sz w:val="20"/>
          <w:szCs w:val="20"/>
          <w:color w:val="auto"/>
        </w:rPr>
      </w:pPr>
      <w:r>
        <w:rPr>
          <w:rFonts w:ascii="Arial" w:cs="Arial" w:eastAsia="Arial" w:hAnsi="Arial"/>
          <w:sz w:val="16"/>
          <w:szCs w:val="16"/>
          <w:color w:val="auto"/>
        </w:rPr>
        <w:t>Future sales or issuances of securities by us could decrease the value of our common stock, dilute stockholders’ voting power and reduce future potential earnings per share. To raise capital, we may sell common stock, convertible securities or other equity-linked securities in one or more transactions at prices and in a manner we determine from time to time. If we sell additional equity securities, our existing stockholders may be materially diluted. Additionally, new investors could gain rights, preferences and privileges senior to those of existing holders of our common stock. We may also issue debt securities, which may impose restrictive covenants on our operations or otherwise adversely affect the holdings or the rights of our stockholders.</w:t>
      </w:r>
    </w:p>
    <w:p>
      <w:pPr>
        <w:spacing w:after="0" w:line="50" w:lineRule="exact"/>
        <w:rPr>
          <w:sz w:val="20"/>
          <w:szCs w:val="20"/>
          <w:color w:val="auto"/>
        </w:rPr>
      </w:pPr>
    </w:p>
    <w:p>
      <w:pPr>
        <w:ind w:right="20" w:firstLine="488"/>
        <w:spacing w:after="0" w:line="302" w:lineRule="auto"/>
        <w:rPr>
          <w:sz w:val="20"/>
          <w:szCs w:val="20"/>
          <w:color w:val="auto"/>
        </w:rPr>
      </w:pPr>
      <w:r>
        <w:rPr>
          <w:rFonts w:ascii="Arial" w:cs="Arial" w:eastAsia="Arial" w:hAnsi="Arial"/>
          <w:sz w:val="16"/>
          <w:szCs w:val="16"/>
          <w:color w:val="auto"/>
        </w:rPr>
        <w:t>Sales or issuances of a substantial amount of securities, or the perception that such sales could occur, may adversely affect prevailing market prices for our common stock. As of July 1, 2017, we had 11,559,444 shares of common stock outstanding, all of which shares were, and continue to be, eligible for sale in the public market, subject in some cases to compliance with the requirements of Rule 144, including the volume limitations and manner of sale requirements. Future resales of our common stock by our existing stockholders could cause the market price of our common stock to decline.</w:t>
      </w:r>
    </w:p>
    <w:p>
      <w:pPr>
        <w:spacing w:after="0" w:line="46" w:lineRule="exact"/>
        <w:rPr>
          <w:sz w:val="20"/>
          <w:szCs w:val="20"/>
          <w:color w:val="auto"/>
        </w:rPr>
      </w:pPr>
    </w:p>
    <w:p>
      <w:pPr>
        <w:ind w:right="180" w:firstLine="488"/>
        <w:spacing w:after="0" w:line="302" w:lineRule="auto"/>
        <w:rPr>
          <w:sz w:val="20"/>
          <w:szCs w:val="20"/>
          <w:color w:val="auto"/>
        </w:rPr>
      </w:pPr>
      <w:r>
        <w:rPr>
          <w:rFonts w:ascii="Arial" w:cs="Arial" w:eastAsia="Arial" w:hAnsi="Arial"/>
          <w:sz w:val="16"/>
          <w:szCs w:val="16"/>
          <w:color w:val="auto"/>
        </w:rPr>
        <w:t>As of July 1, 2017, holders of an aggregate of 1,460,688 shares of our common stock have rights, subject to some conditions, to require us to file registration statements covering their shares or to include their shares in registration statements that we may file for ourselves or our other stockholders. In addition, the shares of common stock subject to outstanding options and restricted stock units under our 2008 Equity Incentive Plan and the shares reserved for future issuance under the Incentive Plan will become eligible for sale in the public markets in the future, subject to certain legal and control limitations.</w:t>
      </w:r>
    </w:p>
    <w:p>
      <w:pPr>
        <w:spacing w:after="0" w:line="46" w:lineRule="exact"/>
        <w:rPr>
          <w:sz w:val="20"/>
          <w:szCs w:val="20"/>
          <w:color w:val="auto"/>
        </w:rPr>
      </w:pPr>
    </w:p>
    <w:p>
      <w:pPr>
        <w:ind w:right="20" w:firstLine="488"/>
        <w:spacing w:after="0" w:line="259" w:lineRule="auto"/>
        <w:rPr>
          <w:sz w:val="20"/>
          <w:szCs w:val="20"/>
          <w:color w:val="auto"/>
        </w:rPr>
      </w:pPr>
      <w:r>
        <w:rPr>
          <w:rFonts w:ascii="Arial" w:cs="Arial" w:eastAsia="Arial" w:hAnsi="Arial"/>
          <w:sz w:val="18"/>
          <w:szCs w:val="18"/>
          <w:color w:val="auto"/>
        </w:rPr>
        <w:t>We may sell shares or other securities in any offering at a price per share that is less than the price per share paid by existing investors,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existing investors.</w:t>
      </w:r>
    </w:p>
    <w:p>
      <w:pPr>
        <w:spacing w:after="0" w:line="30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Because we do not intend to pay dividends, stockholders will benefit from an investment in our common stock only if it appreciates in value.</w:t>
      </w:r>
    </w:p>
    <w:p>
      <w:pPr>
        <w:spacing w:after="0" w:line="140" w:lineRule="exact"/>
        <w:rPr>
          <w:sz w:val="20"/>
          <w:szCs w:val="20"/>
          <w:color w:val="auto"/>
        </w:rPr>
      </w:pPr>
    </w:p>
    <w:p>
      <w:pPr>
        <w:ind w:right="140" w:firstLine="488"/>
        <w:spacing w:after="0" w:line="273" w:lineRule="auto"/>
        <w:rPr>
          <w:sz w:val="20"/>
          <w:szCs w:val="20"/>
          <w:color w:val="auto"/>
        </w:rPr>
      </w:pPr>
      <w:r>
        <w:rPr>
          <w:rFonts w:ascii="Arial" w:cs="Arial" w:eastAsia="Arial" w:hAnsi="Arial"/>
          <w:sz w:val="17"/>
          <w:szCs w:val="17"/>
          <w:color w:val="auto"/>
        </w:rPr>
        <w:t>We expect to retain any earnings for use to further develop our business, and do not expect to declare cash dividends on our common stock in the foreseeable future. The declaration and payment of any such dividends in the future depends upon our earnings, financial condition, capital needs and other factors deemed relevant by the board of directors, and may be restricted by future agreements with lenders. In addition, our loan facility with Silicon Valley Bank restricts us from paying any dividends or making any other distribution or payment on account of our common stock. As a result, the success of an investment in our common stock will depend entirely upon any future appreciation. There is no guarantee that our common stock will appreciate in value or even maintain the price at which stockholders have purchased their shares.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98" w:right="279" w:bottom="1440" w:gutter="0" w:footer="0" w:header="0"/>
        </w:sectPr>
      </w:pPr>
    </w:p>
    <w:bookmarkStart w:id="36" w:name="page37"/>
    <w:bookmarkEnd w:id="36"/>
    <w:p>
      <w:pPr>
        <w:ind w:right="260" w:firstLine="488"/>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incorrect or unfavorable research about our business, our stock price and trading volume could decline.</w:t>
      </w:r>
    </w:p>
    <w:p>
      <w:pPr>
        <w:spacing w:after="0" w:line="184" w:lineRule="exact"/>
        <w:rPr>
          <w:sz w:val="20"/>
          <w:szCs w:val="20"/>
          <w:color w:val="auto"/>
        </w:rPr>
      </w:pPr>
    </w:p>
    <w:p>
      <w:pPr>
        <w:ind w:right="100" w:firstLine="488"/>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our market and our competitors. If no or few securities or industry analysts cover our Company, the trading price for our stock could be negatively impacted. If one or more of the analysts who covers us downgrades our stock or publishes incorrect or unfavorable research about our business, our stock price could decline. If one or more of these analysts ceases coverage of our Company or fails to publish reports on us regularly, demand for our stock could decrease, which could cause our stock price or trading volume to decline.</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Ownership of our common stock is concentrated among a few investors, which may affect the ability of a third party to acquire control of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sales by such investors could cause our stock price to decline.</w:t>
      </w:r>
    </w:p>
    <w:p>
      <w:pPr>
        <w:spacing w:after="0" w:line="103" w:lineRule="exact"/>
        <w:rPr>
          <w:sz w:val="20"/>
          <w:szCs w:val="20"/>
          <w:color w:val="auto"/>
        </w:rPr>
      </w:pPr>
    </w:p>
    <w:p>
      <w:pPr>
        <w:ind w:firstLine="488"/>
        <w:spacing w:after="0" w:line="259" w:lineRule="auto"/>
        <w:rPr>
          <w:sz w:val="20"/>
          <w:szCs w:val="20"/>
          <w:color w:val="auto"/>
        </w:rPr>
      </w:pPr>
      <w:r>
        <w:rPr>
          <w:rFonts w:ascii="Arial" w:cs="Arial" w:eastAsia="Arial" w:hAnsi="Arial"/>
          <w:sz w:val="18"/>
          <w:szCs w:val="18"/>
          <w:color w:val="auto"/>
        </w:rPr>
        <w:t>Our directors, executive officers, current five percent or greater stockholders and affiliated entities together beneficially own a significant portion of our common stock outstanding as of July 1, 2017. Having such a concentration of ownership may have the effect of making it more difficult for a third party to acquire, or of discouraging a third party from seeking to acquire, a majority of our outstanding common stock or control of our board of directors through a proxy solicitation.</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Our ability to raise capital in the future may be limited, and our failure to raise capital when needed could prevent us from growing.</w:t>
      </w:r>
    </w:p>
    <w:p>
      <w:pPr>
        <w:spacing w:after="0" w:line="129" w:lineRule="exact"/>
        <w:rPr>
          <w:sz w:val="20"/>
          <w:szCs w:val="20"/>
          <w:color w:val="auto"/>
        </w:rPr>
      </w:pPr>
    </w:p>
    <w:p>
      <w:pPr>
        <w:ind w:right="40" w:firstLine="488"/>
        <w:spacing w:after="0" w:line="286" w:lineRule="auto"/>
        <w:rPr>
          <w:sz w:val="20"/>
          <w:szCs w:val="20"/>
          <w:color w:val="auto"/>
        </w:rPr>
      </w:pPr>
      <w:r>
        <w:rPr>
          <w:rFonts w:ascii="Arial" w:cs="Arial" w:eastAsia="Arial" w:hAnsi="Arial"/>
          <w:sz w:val="17"/>
          <w:szCs w:val="17"/>
          <w:color w:val="auto"/>
        </w:rPr>
        <w:t>Our business and operations may consume resources faster than we anticipate. In the future, we may need to raise additional funds to invest in future growth opportunities. Additional financing may not be available on favorable terms, if at all. If adequate funds are not available on acceptable terms, we may be unable to invest in future growth opportunities, which could seriously harm our business and operating results.</w:t>
      </w:r>
    </w:p>
    <w:p>
      <w:pPr>
        <w:spacing w:after="0" w:line="166" w:lineRule="exact"/>
        <w:rPr>
          <w:sz w:val="20"/>
          <w:szCs w:val="20"/>
          <w:color w:val="auto"/>
        </w:rPr>
      </w:pPr>
    </w:p>
    <w:p>
      <w:pPr>
        <w:ind w:firstLine="488"/>
        <w:spacing w:after="0" w:line="286" w:lineRule="auto"/>
        <w:rPr>
          <w:sz w:val="20"/>
          <w:szCs w:val="20"/>
          <w:color w:val="auto"/>
        </w:rPr>
      </w:pPr>
      <w:r>
        <w:rPr>
          <w:rFonts w:ascii="Arial" w:cs="Arial" w:eastAsia="Arial" w:hAnsi="Arial"/>
          <w:sz w:val="17"/>
          <w:szCs w:val="17"/>
          <w:b w:val="1"/>
          <w:bCs w:val="1"/>
          <w:i w:val="1"/>
          <w:iCs w:val="1"/>
          <w:color w:val="auto"/>
        </w:rPr>
        <w:t>As a public company, we are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spacing w:after="0" w:line="57" w:lineRule="exact"/>
        <w:rPr>
          <w:sz w:val="20"/>
          <w:szCs w:val="20"/>
          <w:color w:val="auto"/>
        </w:rPr>
      </w:pPr>
    </w:p>
    <w:p>
      <w:pPr>
        <w:ind w:right="220" w:firstLine="488"/>
        <w:spacing w:after="0" w:line="290" w:lineRule="auto"/>
        <w:rPr>
          <w:sz w:val="20"/>
          <w:szCs w:val="20"/>
          <w:color w:val="auto"/>
        </w:rPr>
      </w:pPr>
      <w:r>
        <w:rPr>
          <w:rFonts w:ascii="Arial" w:cs="Arial" w:eastAsia="Arial" w:hAnsi="Arial"/>
          <w:sz w:val="16"/>
          <w:szCs w:val="16"/>
          <w:color w:val="auto"/>
        </w:rPr>
        <w:t>We are required, pursuant to Section 404 of the Sarbanes-Oxley Act, to furnish a report by management on, among other things, the effectiveness of our internal control over financial reporting. This assessment must include disclosure of any material weaknesses identified by our management in our internal control over financial reporting. We may experience difficulty in meeting these reporting requirements in a timely manner, particularly if material weaknesses or significant deficiencies persist. As of July 2, 2016, we became an accelerated filer and effective with our Annual Report covering our fiscal year 2016, our independent registered public accounting firm will be required to formally attest to the effectiveness of our internal control over financial reporting pursuant to Section 404 as defined in the Exchange Act. If we are unable to comply with the requirements of Section 404 in a timely manner, the market price of our stock could decline and we could be subject to sanctions or investigations by the NASDAQ Stock Market, the SEC or other regulatory authorities, which could require additional financial and management resources.</w:t>
      </w:r>
    </w:p>
    <w:p>
      <w:pPr>
        <w:spacing w:after="0" w:line="193" w:lineRule="exact"/>
        <w:rPr>
          <w:sz w:val="20"/>
          <w:szCs w:val="20"/>
          <w:color w:val="auto"/>
        </w:rPr>
      </w:pPr>
    </w:p>
    <w:p>
      <w:pPr>
        <w:ind w:right="140" w:firstLine="488"/>
        <w:spacing w:after="0" w:line="257" w:lineRule="auto"/>
        <w:rPr>
          <w:sz w:val="20"/>
          <w:szCs w:val="20"/>
          <w:color w:val="auto"/>
        </w:rPr>
      </w:pPr>
      <w:r>
        <w:rPr>
          <w:rFonts w:ascii="Arial" w:cs="Arial" w:eastAsia="Arial" w:hAnsi="Arial"/>
          <w:sz w:val="18"/>
          <w:szCs w:val="18"/>
          <w:color w:val="auto"/>
        </w:rPr>
        <w:t>Any failure to develop or maintain effective controls, or any difficulties encountered in their implementation or improvement, could harm our operating results or cause us to fail to meet our reporting obligations. Any failure to implement and maintain effective internal controls also could adversely affect the results of periodic management evaluations regarding the effectiveness of our internal control over financial reporting. Ineffective disclosure controls and procedures or internal control over financial reporting could also cause investors to lose confidence in our reported financial and other information, which could likely have a negative effect on the trading price of our common stock.</w:t>
      </w:r>
    </w:p>
    <w:p>
      <w:pPr>
        <w:spacing w:after="0" w:line="202" w:lineRule="exact"/>
        <w:rPr>
          <w:sz w:val="20"/>
          <w:szCs w:val="20"/>
          <w:color w:val="auto"/>
        </w:rPr>
      </w:pPr>
    </w:p>
    <w:p>
      <w:pPr>
        <w:ind w:firstLine="488"/>
        <w:spacing w:after="0" w:line="293" w:lineRule="auto"/>
        <w:rPr>
          <w:sz w:val="20"/>
          <w:szCs w:val="20"/>
          <w:color w:val="auto"/>
        </w:rPr>
      </w:pPr>
      <w:r>
        <w:rPr>
          <w:rFonts w:ascii="Arial" w:cs="Arial" w:eastAsia="Arial" w:hAnsi="Arial"/>
          <w:sz w:val="16"/>
          <w:szCs w:val="16"/>
          <w:color w:val="auto"/>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that our internal controls are perceived as inadequate or that we are unable to produce timely or accurate financial statements, investors may lose confidence in our operating results and our stock price could decline.</w:t>
      </w:r>
    </w:p>
    <w:p>
      <w:pPr>
        <w:spacing w:after="0" w:line="165" w:lineRule="exact"/>
        <w:rPr>
          <w:sz w:val="20"/>
          <w:szCs w:val="20"/>
          <w:color w:val="auto"/>
        </w:rPr>
      </w:pPr>
    </w:p>
    <w:p>
      <w:pPr>
        <w:ind w:right="120" w:firstLine="488"/>
        <w:spacing w:after="0" w:line="277" w:lineRule="auto"/>
        <w:rPr>
          <w:sz w:val="20"/>
          <w:szCs w:val="20"/>
          <w:color w:val="auto"/>
        </w:rPr>
      </w:pPr>
      <w:r>
        <w:rPr>
          <w:rFonts w:ascii="Arial" w:cs="Arial" w:eastAsia="Arial" w:hAnsi="Arial"/>
          <w:sz w:val="18"/>
          <w:szCs w:val="18"/>
          <w:b w:val="1"/>
          <w:bCs w:val="1"/>
          <w:i w:val="1"/>
          <w:iCs w:val="1"/>
          <w:color w:val="auto"/>
        </w:rPr>
        <w:t>Our charter documents, anti-takeover provisions of Delaware law, and contractual provisions could delay or prevent an acquisition or sale of our company.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7" w:name="page38"/>
    <w:bookmarkEnd w:id="37"/>
    <w:p>
      <w:pPr>
        <w:ind w:firstLine="488"/>
        <w:spacing w:after="0" w:line="276" w:lineRule="auto"/>
        <w:rPr>
          <w:sz w:val="20"/>
          <w:szCs w:val="20"/>
          <w:color w:val="auto"/>
        </w:rPr>
      </w:pPr>
      <w:r>
        <w:rPr>
          <w:rFonts w:ascii="Arial" w:cs="Arial" w:eastAsia="Arial" w:hAnsi="Arial"/>
          <w:sz w:val="17"/>
          <w:szCs w:val="17"/>
          <w:color w:val="auto"/>
        </w:rPr>
        <w:t>Our Certificate of Incorporation empowers the board of directors to establish and issue a class of preferred stock, and to determine the rights, preferences and privileges of the preferred stock. These provisions give the board of directors the ability to deter, discourage or make more difficult a change in control of our company, even if such a change in control could be deemed in the interest of our stockholders or if such a change in control would provide our stockholders with a substantial premium for their shares over the then-prevailing market price for the common stock. Our certificate of incorporation and bylaws contain other provisions that could have an anti-takeover effect, including the following:</w:t>
      </w:r>
    </w:p>
    <w:p>
      <w:pPr>
        <w:spacing w:after="0" w:line="173" w:lineRule="exact"/>
        <w:rPr>
          <w:sz w:val="20"/>
          <w:szCs w:val="20"/>
          <w:color w:val="auto"/>
        </w:rPr>
      </w:pPr>
    </w:p>
    <w:p>
      <w:pPr>
        <w:ind w:left="1520" w:hanging="751"/>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allow the authorized number of directors to be changed only by resolution of our board of directors;</w:t>
      </w:r>
    </w:p>
    <w:p>
      <w:pPr>
        <w:spacing w:after="0" w:line="225" w:lineRule="exact"/>
        <w:rPr>
          <w:rFonts w:ascii="Arial" w:cs="Arial" w:eastAsia="Arial" w:hAnsi="Arial"/>
          <w:sz w:val="18"/>
          <w:szCs w:val="18"/>
          <w:color w:val="auto"/>
        </w:rPr>
      </w:pPr>
    </w:p>
    <w:p>
      <w:pPr>
        <w:ind w:left="1260" w:hanging="115"/>
        <w:spacing w:after="0"/>
        <w:tabs>
          <w:tab w:leader="none" w:pos="12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only our board of directors is authorized to fill vacant directorships, including newly created seats;</w:t>
      </w:r>
    </w:p>
    <w:p>
      <w:pPr>
        <w:spacing w:after="0" w:line="225" w:lineRule="exact"/>
        <w:rPr>
          <w:rFonts w:ascii="Arial" w:cs="Arial" w:eastAsia="Arial" w:hAnsi="Arial"/>
          <w:sz w:val="18"/>
          <w:szCs w:val="18"/>
          <w:color w:val="auto"/>
        </w:rPr>
      </w:pPr>
    </w:p>
    <w:p>
      <w:pPr>
        <w:ind w:right="660" w:firstLine="1145"/>
        <w:spacing w:after="0" w:line="277" w:lineRule="auto"/>
        <w:tabs>
          <w:tab w:leader="none" w:pos="1244" w:val="left"/>
        </w:tabs>
        <w:numPr>
          <w:ilvl w:val="1"/>
          <w:numId w:val="15"/>
        </w:numPr>
        <w:rPr>
          <w:rFonts w:ascii="Arial" w:cs="Arial" w:eastAsia="Arial" w:hAnsi="Arial"/>
          <w:sz w:val="18"/>
          <w:szCs w:val="18"/>
          <w:color w:val="auto"/>
        </w:rPr>
      </w:pPr>
      <w:r>
        <w:rPr>
          <w:rFonts w:ascii="Arial" w:cs="Arial" w:eastAsia="Arial" w:hAnsi="Arial"/>
          <w:sz w:val="18"/>
          <w:szCs w:val="18"/>
          <w:color w:val="auto"/>
        </w:rPr>
        <w:t>special meetings of our stockholders may be called only by our board of directors or by a committee of our board of directors, thus prohibiting a stockholder from calling a special meeting;</w:t>
      </w:r>
    </w:p>
    <w:p>
      <w:pPr>
        <w:spacing w:after="0" w:line="170" w:lineRule="exact"/>
        <w:rPr>
          <w:rFonts w:ascii="Arial" w:cs="Arial" w:eastAsia="Arial" w:hAnsi="Arial"/>
          <w:sz w:val="18"/>
          <w:szCs w:val="18"/>
          <w:color w:val="auto"/>
        </w:rPr>
      </w:pPr>
    </w:p>
    <w:p>
      <w:pPr>
        <w:ind w:left="1260" w:hanging="115"/>
        <w:spacing w:after="0"/>
        <w:tabs>
          <w:tab w:leader="none" w:pos="12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stockholders must give advance notice to nominate directors or propose other business; and</w:t>
      </w:r>
    </w:p>
    <w:p>
      <w:pPr>
        <w:spacing w:after="0" w:line="225" w:lineRule="exact"/>
        <w:rPr>
          <w:rFonts w:ascii="Arial" w:cs="Arial" w:eastAsia="Arial" w:hAnsi="Arial"/>
          <w:sz w:val="18"/>
          <w:szCs w:val="18"/>
          <w:color w:val="auto"/>
        </w:rPr>
      </w:pPr>
    </w:p>
    <w:p>
      <w:pPr>
        <w:ind w:left="1260" w:hanging="115"/>
        <w:spacing w:after="0"/>
        <w:tabs>
          <w:tab w:leader="none" w:pos="12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stockholders are not permitted to cumulate votes in the election of directors.</w:t>
      </w:r>
    </w:p>
    <w:p>
      <w:pPr>
        <w:spacing w:after="0" w:line="117" w:lineRule="exact"/>
        <w:rPr>
          <w:sz w:val="20"/>
          <w:szCs w:val="20"/>
          <w:color w:val="auto"/>
        </w:rPr>
      </w:pPr>
    </w:p>
    <w:p>
      <w:pPr>
        <w:ind w:right="220" w:firstLine="488"/>
        <w:spacing w:after="0" w:line="312" w:lineRule="auto"/>
        <w:rPr>
          <w:sz w:val="20"/>
          <w:szCs w:val="20"/>
          <w:color w:val="auto"/>
        </w:rPr>
      </w:pPr>
      <w:r>
        <w:rPr>
          <w:rFonts w:ascii="Arial" w:cs="Arial" w:eastAsia="Arial" w:hAnsi="Arial"/>
          <w:sz w:val="16"/>
          <w:szCs w:val="16"/>
          <w:color w:val="auto"/>
        </w:rPr>
        <w:t>In addition, we are generally subject to the anti-takeover provisions of Section 203 of the Delaware General Corporation Law, which regulates corporate acquisitions. These provisions could discourage potential acquisition proposals and could delay or prevent a change in control transaction. They could also have the effect of discouraging others from making tender offers for our common stock or prevent changes in our management.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76"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60" w:type="dxa"/>
            <w:vAlign w:val="bottom"/>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10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 (1)</w:t>
            </w:r>
          </w:p>
        </w:tc>
        <w:tc>
          <w:tcPr>
            <w:tcW w:w="12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Amended and Restated Certificate of Incorporation of Registrant.</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3.2 (2)</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Amended and Restated Bylaws of Registrant.</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Principal Executive Officer pursuant to Securities Exchange Act Rules 13a-14(a) and 15d-14(a).</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Principal Financial Officer pursuant to Securities Exchange Act Rules 13a-14(a) and 15d-14(a).</w:t>
            </w:r>
          </w:p>
        </w:tc>
        <w:tc>
          <w:tcPr>
            <w:tcW w:w="0" w:type="dxa"/>
            <w:vAlign w:val="bottom"/>
          </w:tcPr>
          <w:p>
            <w:pPr>
              <w:spacing w:after="0"/>
              <w:rPr>
                <w:sz w:val="1"/>
                <w:szCs w:val="1"/>
                <w:color w:val="auto"/>
              </w:rPr>
            </w:pPr>
          </w:p>
        </w:tc>
      </w:tr>
      <w:tr>
        <w:trPr>
          <w:trHeight w:val="323"/>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Act of 2002.</w:t>
            </w:r>
          </w:p>
        </w:tc>
        <w:tc>
          <w:tcPr>
            <w:tcW w:w="0" w:type="dxa"/>
            <w:vAlign w:val="bottom"/>
          </w:tcPr>
          <w:p>
            <w:pPr>
              <w:spacing w:after="0"/>
              <w:rPr>
                <w:sz w:val="1"/>
                <w:szCs w:val="1"/>
                <w:color w:val="auto"/>
              </w:rPr>
            </w:pPr>
          </w:p>
        </w:tc>
      </w:tr>
      <w:tr>
        <w:trPr>
          <w:trHeight w:val="323"/>
        </w:trPr>
        <w:tc>
          <w:tcPr>
            <w:tcW w:w="104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Certification of Principal Financial Officer pursuant to 18 U.S.C. Section 1350, as adopted pursuant to Section 906 of the Sarbanes-Oxley Act</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of 2002.</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60" w:type="dxa"/>
            <w:vAlign w:val="bottom"/>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-1594485</wp:posOffset>
            </wp:positionV>
            <wp:extent cx="171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-1594485</wp:posOffset>
            </wp:positionV>
            <wp:extent cx="171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0" w:right="120" w:hanging="512"/>
        <w:spacing w:after="0" w:line="288" w:lineRule="auto"/>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certification furnished in Exhibit 32.1 and 32.2 hereto is deemed to accompany this Quarterly Report on Form 10-Q and will not be deemed “filed” for purposes of Section 18 of the Securities Exchange Act of 1934, as amended. Such certification will not be deemed to be incorporated by reference into any filings under the Securities Act of 1933, as amended, or the Securities Exchange Act of 1934, as amended, except to the extent that</w:t>
      </w:r>
    </w:p>
    <w:p>
      <w:pPr>
        <w:ind w:left="520"/>
        <w:spacing w:after="0"/>
        <w:rPr>
          <w:sz w:val="20"/>
          <w:szCs w:val="20"/>
          <w:color w:val="auto"/>
        </w:rPr>
      </w:pPr>
      <w:r>
        <w:rPr>
          <w:rFonts w:ascii="Arial" w:cs="Arial" w:eastAsia="Arial" w:hAnsi="Arial"/>
          <w:sz w:val="18"/>
          <w:szCs w:val="18"/>
          <w:color w:val="auto"/>
        </w:rPr>
        <w:t>the registrant specifically incorporates it by reference.</w:t>
      </w:r>
    </w:p>
    <w:p>
      <w:pPr>
        <w:spacing w:after="0" w:line="9" w:lineRule="exact"/>
        <w:rPr>
          <w:sz w:val="20"/>
          <w:szCs w:val="20"/>
          <w:color w:val="auto"/>
        </w:rPr>
      </w:pPr>
    </w:p>
    <w:p>
      <w:pPr>
        <w:ind w:left="520" w:right="260" w:hanging="512"/>
        <w:spacing w:after="0" w:line="250"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Registration Statement on Form SB-2 (No. 333-00320-LA) which was declared effective on February 15, 1996.</w:t>
      </w: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Registrant’s Report on Form 8-K on November 21, 2007.</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Acknowledgments</w:t>
      </w:r>
    </w:p>
    <w:p>
      <w:pPr>
        <w:spacing w:after="0" w:line="121" w:lineRule="exact"/>
        <w:rPr>
          <w:sz w:val="20"/>
          <w:szCs w:val="20"/>
          <w:color w:val="auto"/>
        </w:rPr>
      </w:pPr>
    </w:p>
    <w:p>
      <w:pPr>
        <w:ind w:right="340" w:firstLine="518"/>
        <w:spacing w:after="0" w:line="312" w:lineRule="auto"/>
        <w:rPr>
          <w:sz w:val="20"/>
          <w:szCs w:val="20"/>
          <w:color w:val="auto"/>
        </w:rPr>
      </w:pPr>
      <w:r>
        <w:rPr>
          <w:rFonts w:ascii="Arial" w:cs="Arial" w:eastAsia="Arial" w:hAnsi="Arial"/>
          <w:sz w:val="16"/>
          <w:szCs w:val="16"/>
          <w:color w:val="auto"/>
        </w:rPr>
        <w:t>IRIDEX, the IRIDEX logo, IRIS Medical, MicroPulse, OcuLight, SmartKey, and EndoProbe, are our registered trademarks. G-Probe, DioPexy, DioVet, TruFocus, TrueCW, IQ 577, IQ 532, Cyclo G6, TxCell, OtoProbe, Symphony, EasyFit, Endoview, MoistAir and GreenTip product names are our trademarks. All other trademarks or trade names appearing in this Quarterly Report on Form 10-Q are the property of their respective owners.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9" w:name="page40"/>
    <w:bookmarkEnd w:id="39"/>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IRIDEX Corporation (Registrant)</w:t>
            </w:r>
          </w:p>
        </w:tc>
        <w:tc>
          <w:tcPr>
            <w:tcW w:w="20" w:type="dxa"/>
            <w:vAlign w:val="bottom"/>
          </w:tcPr>
          <w:p>
            <w:pPr>
              <w:spacing w:after="0"/>
              <w:rPr>
                <w:sz w:val="20"/>
                <w:szCs w:val="20"/>
                <w:color w:val="auto"/>
              </w:rPr>
            </w:pPr>
          </w:p>
        </w:tc>
      </w:tr>
      <w:tr>
        <w:trPr>
          <w:trHeight w:val="459"/>
        </w:trPr>
        <w:tc>
          <w:tcPr>
            <w:tcW w:w="3580" w:type="dxa"/>
            <w:vAlign w:val="bottom"/>
          </w:tcPr>
          <w:p>
            <w:pPr>
              <w:spacing w:after="0"/>
              <w:rPr>
                <w:sz w:val="20"/>
                <w:szCs w:val="20"/>
                <w:color w:val="auto"/>
              </w:rPr>
            </w:pPr>
            <w:r>
              <w:rPr>
                <w:rFonts w:ascii="Arial" w:cs="Arial" w:eastAsia="Arial" w:hAnsi="Arial"/>
                <w:sz w:val="18"/>
                <w:szCs w:val="18"/>
                <w:color w:val="auto"/>
              </w:rPr>
              <w:t>Date: August 8, 2017</w:t>
            </w:r>
          </w:p>
        </w:tc>
        <w:tc>
          <w:tcPr>
            <w:tcW w:w="3380" w:type="dxa"/>
            <w:vAlign w:val="bottom"/>
          </w:tcPr>
          <w:p>
            <w:pPr>
              <w:ind w:left="298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M. MOORE</w:t>
            </w:r>
          </w:p>
        </w:tc>
        <w:tc>
          <w:tcPr>
            <w:tcW w:w="20" w:type="dxa"/>
            <w:vAlign w:val="bottom"/>
          </w:tcPr>
          <w:p>
            <w:pPr>
              <w:spacing w:after="0"/>
              <w:rPr>
                <w:sz w:val="24"/>
                <w:szCs w:val="24"/>
                <w:color w:val="auto"/>
              </w:rPr>
            </w:pPr>
          </w:p>
        </w:tc>
      </w:tr>
      <w:tr>
        <w:trPr>
          <w:trHeight w:val="195"/>
        </w:trPr>
        <w:tc>
          <w:tcPr>
            <w:tcW w:w="3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00" w:type="dxa"/>
            <w:vAlign w:val="bottom"/>
          </w:tcPr>
          <w:p>
            <w:pPr>
              <w:ind w:left="100"/>
              <w:spacing w:after="0" w:line="195" w:lineRule="exact"/>
              <w:rPr>
                <w:sz w:val="20"/>
                <w:szCs w:val="20"/>
                <w:color w:val="auto"/>
              </w:rPr>
            </w:pPr>
            <w:r>
              <w:rPr>
                <w:rFonts w:ascii="Arial" w:cs="Arial" w:eastAsia="Arial" w:hAnsi="Arial"/>
                <w:sz w:val="18"/>
                <w:szCs w:val="18"/>
                <w:color w:val="auto"/>
              </w:rPr>
              <w:t>William M. Moore</w:t>
            </w:r>
          </w:p>
        </w:tc>
        <w:tc>
          <w:tcPr>
            <w:tcW w:w="2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c>
          <w:tcPr>
            <w:tcW w:w="20" w:type="dxa"/>
            <w:vAlign w:val="bottom"/>
          </w:tcPr>
          <w:p>
            <w:pPr>
              <w:spacing w:after="0"/>
              <w:rPr>
                <w:sz w:val="18"/>
                <w:szCs w:val="18"/>
                <w:color w:val="auto"/>
              </w:rPr>
            </w:pPr>
          </w:p>
        </w:tc>
      </w:tr>
      <w:tr>
        <w:trPr>
          <w:trHeight w:val="230"/>
        </w:trPr>
        <w:tc>
          <w:tcPr>
            <w:tcW w:w="35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c>
          <w:tcPr>
            <w:tcW w:w="20" w:type="dxa"/>
            <w:vAlign w:val="bottom"/>
          </w:tcPr>
          <w:p>
            <w:pPr>
              <w:spacing w:after="0"/>
              <w:rPr>
                <w:sz w:val="20"/>
                <w:szCs w:val="20"/>
                <w:color w:val="auto"/>
              </w:rPr>
            </w:pP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August 8, 2017</w:t>
            </w:r>
          </w:p>
        </w:tc>
        <w:tc>
          <w:tcPr>
            <w:tcW w:w="3380" w:type="dxa"/>
            <w:vAlign w:val="bottom"/>
          </w:tcPr>
          <w:p>
            <w:pPr>
              <w:ind w:left="298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ATABAK MOKARI</w:t>
            </w:r>
          </w:p>
        </w:tc>
        <w:tc>
          <w:tcPr>
            <w:tcW w:w="20" w:type="dxa"/>
            <w:vAlign w:val="bottom"/>
          </w:tcPr>
          <w:p>
            <w:pPr>
              <w:spacing w:after="0"/>
              <w:rPr>
                <w:sz w:val="24"/>
                <w:szCs w:val="24"/>
                <w:color w:val="auto"/>
              </w:rPr>
            </w:pPr>
          </w:p>
        </w:tc>
      </w:tr>
      <w:tr>
        <w:trPr>
          <w:trHeight w:val="195"/>
        </w:trPr>
        <w:tc>
          <w:tcPr>
            <w:tcW w:w="3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00" w:type="dxa"/>
            <w:vAlign w:val="bottom"/>
          </w:tcPr>
          <w:p>
            <w:pPr>
              <w:ind w:left="100"/>
              <w:spacing w:after="0" w:line="195" w:lineRule="exact"/>
              <w:rPr>
                <w:sz w:val="20"/>
                <w:szCs w:val="20"/>
                <w:color w:val="auto"/>
              </w:rPr>
            </w:pPr>
            <w:r>
              <w:rPr>
                <w:rFonts w:ascii="Arial" w:cs="Arial" w:eastAsia="Arial" w:hAnsi="Arial"/>
                <w:sz w:val="18"/>
                <w:szCs w:val="18"/>
                <w:color w:val="auto"/>
              </w:rPr>
              <w:t>Atabak Mokari</w:t>
            </w:r>
          </w:p>
        </w:tc>
        <w:tc>
          <w:tcPr>
            <w:tcW w:w="2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100"/>
              <w:spacing w:after="0"/>
              <w:rPr>
                <w:sz w:val="20"/>
                <w:szCs w:val="20"/>
                <w:color w:val="auto"/>
              </w:rPr>
            </w:pPr>
            <w:r>
              <w:rPr>
                <w:rFonts w:ascii="Arial" w:cs="Arial" w:eastAsia="Arial" w:hAnsi="Arial"/>
                <w:sz w:val="18"/>
                <w:szCs w:val="18"/>
                <w:color w:val="auto"/>
              </w:rPr>
              <w:t>Chief Financial Officer and Vice President of</w:t>
            </w:r>
          </w:p>
        </w:tc>
        <w:tc>
          <w:tcPr>
            <w:tcW w:w="2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Corporate Development</w:t>
            </w:r>
          </w:p>
        </w:tc>
        <w:tc>
          <w:tcPr>
            <w:tcW w:w="20" w:type="dxa"/>
            <w:vAlign w:val="bottom"/>
          </w:tcPr>
          <w:p>
            <w:pPr>
              <w:spacing w:after="0"/>
              <w:rPr>
                <w:sz w:val="18"/>
                <w:szCs w:val="18"/>
                <w:color w:val="auto"/>
              </w:rPr>
            </w:pPr>
          </w:p>
        </w:tc>
      </w:tr>
      <w:tr>
        <w:trPr>
          <w:trHeight w:val="230"/>
        </w:trPr>
        <w:tc>
          <w:tcPr>
            <w:tcW w:w="35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c>
          <w:tcPr>
            <w:tcW w:w="20" w:type="dxa"/>
            <w:vAlign w:val="bottom"/>
          </w:tcPr>
          <w:p>
            <w:pPr>
              <w:spacing w:after="0"/>
              <w:rPr>
                <w:sz w:val="20"/>
                <w:szCs w:val="20"/>
                <w:color w:val="auto"/>
              </w:rPr>
            </w:pP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August 8, 2017</w:t>
            </w:r>
          </w:p>
        </w:tc>
        <w:tc>
          <w:tcPr>
            <w:tcW w:w="3380" w:type="dxa"/>
            <w:vAlign w:val="bottom"/>
          </w:tcPr>
          <w:p>
            <w:pPr>
              <w:ind w:left="298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ROMEO R. DIZON</w:t>
            </w:r>
          </w:p>
        </w:tc>
        <w:tc>
          <w:tcPr>
            <w:tcW w:w="20" w:type="dxa"/>
            <w:vAlign w:val="bottom"/>
          </w:tcPr>
          <w:p>
            <w:pPr>
              <w:spacing w:after="0"/>
              <w:rPr>
                <w:sz w:val="24"/>
                <w:szCs w:val="24"/>
                <w:color w:val="auto"/>
              </w:rPr>
            </w:pPr>
          </w:p>
        </w:tc>
      </w:tr>
      <w:tr>
        <w:trPr>
          <w:trHeight w:val="195"/>
        </w:trPr>
        <w:tc>
          <w:tcPr>
            <w:tcW w:w="3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00" w:type="dxa"/>
            <w:vAlign w:val="bottom"/>
          </w:tcPr>
          <w:p>
            <w:pPr>
              <w:ind w:left="100"/>
              <w:spacing w:after="0" w:line="195" w:lineRule="exact"/>
              <w:rPr>
                <w:sz w:val="20"/>
                <w:szCs w:val="20"/>
                <w:color w:val="auto"/>
              </w:rPr>
            </w:pPr>
            <w:r>
              <w:rPr>
                <w:rFonts w:ascii="Arial" w:cs="Arial" w:eastAsia="Arial" w:hAnsi="Arial"/>
                <w:sz w:val="18"/>
                <w:szCs w:val="18"/>
                <w:color w:val="auto"/>
              </w:rPr>
              <w:t>Romeo R. Dizon</w:t>
            </w:r>
          </w:p>
        </w:tc>
        <w:tc>
          <w:tcPr>
            <w:tcW w:w="2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100"/>
              <w:spacing w:after="0"/>
              <w:rPr>
                <w:sz w:val="20"/>
                <w:szCs w:val="20"/>
                <w:color w:val="auto"/>
              </w:rPr>
            </w:pPr>
            <w:r>
              <w:rPr>
                <w:rFonts w:ascii="Arial" w:cs="Arial" w:eastAsia="Arial" w:hAnsi="Arial"/>
                <w:sz w:val="18"/>
                <w:szCs w:val="18"/>
                <w:color w:val="auto"/>
              </w:rPr>
              <w:t>Vice President and Controller</w:t>
            </w:r>
          </w:p>
        </w:tc>
        <w:tc>
          <w:tcPr>
            <w:tcW w:w="20" w:type="dxa"/>
            <w:vAlign w:val="bottom"/>
          </w:tcPr>
          <w:p>
            <w:pPr>
              <w:spacing w:after="0"/>
              <w:rPr>
                <w:sz w:val="18"/>
                <w:szCs w:val="18"/>
                <w:color w:val="auto"/>
              </w:rPr>
            </w:pPr>
          </w:p>
        </w:tc>
      </w:tr>
      <w:tr>
        <w:trPr>
          <w:trHeight w:val="230"/>
        </w:trPr>
        <w:tc>
          <w:tcPr>
            <w:tcW w:w="35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c>
          <w:tcPr>
            <w:tcW w:w="20" w:type="dxa"/>
            <w:vAlign w:val="bottom"/>
          </w:tcPr>
          <w:p>
            <w:pPr>
              <w:spacing w:after="0"/>
              <w:rPr>
                <w:sz w:val="20"/>
                <w:szCs w:val="20"/>
                <w:color w:val="auto"/>
              </w:rPr>
            </w:pPr>
          </w:p>
        </w:tc>
      </w:tr>
      <w:tr>
        <w:trPr>
          <w:trHeight w:val="851"/>
        </w:trPr>
        <w:tc>
          <w:tcPr>
            <w:tcW w:w="3580" w:type="dxa"/>
            <w:vAlign w:val="bottom"/>
          </w:tcPr>
          <w:p>
            <w:pPr>
              <w:spacing w:after="0"/>
              <w:rPr>
                <w:sz w:val="24"/>
                <w:szCs w:val="24"/>
                <w:color w:val="auto"/>
              </w:rPr>
            </w:pPr>
          </w:p>
        </w:tc>
        <w:tc>
          <w:tcPr>
            <w:tcW w:w="3380" w:type="dxa"/>
            <w:vAlign w:val="bottom"/>
          </w:tcPr>
          <w:p>
            <w:pPr>
              <w:jc w:val="right"/>
              <w:ind w:right="1070"/>
              <w:spacing w:after="0"/>
              <w:rPr>
                <w:sz w:val="20"/>
                <w:szCs w:val="20"/>
                <w:color w:val="auto"/>
              </w:rPr>
            </w:pPr>
            <w:r>
              <w:rPr>
                <w:rFonts w:ascii="Arial" w:cs="Arial" w:eastAsia="Arial" w:hAnsi="Arial"/>
                <w:sz w:val="18"/>
                <w:szCs w:val="18"/>
                <w:color w:val="auto"/>
              </w:rPr>
              <w:t>40</w:t>
            </w:r>
          </w:p>
        </w:tc>
        <w:tc>
          <w:tcPr>
            <w:tcW w:w="5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40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60" w:type="dxa"/>
            <w:vAlign w:val="bottom"/>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10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 (1)</w:t>
            </w:r>
          </w:p>
        </w:tc>
        <w:tc>
          <w:tcPr>
            <w:tcW w:w="12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Amended and Restated Certificate of Incorporation of Registrant.</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3.2 (2)</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Amended and Restated Bylaws of Registrant.</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Principal Executive Officer pursuant to Securities Exchange Act Rules 13a-14(a) and 15d-14(a).</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Principal Financial Officer pursuant to Securities Exchange Act Rules 13a-14(a) and 15d-14(a).</w:t>
            </w:r>
          </w:p>
        </w:tc>
        <w:tc>
          <w:tcPr>
            <w:tcW w:w="0" w:type="dxa"/>
            <w:vAlign w:val="bottom"/>
          </w:tcPr>
          <w:p>
            <w:pPr>
              <w:spacing w:after="0"/>
              <w:rPr>
                <w:sz w:val="1"/>
                <w:szCs w:val="1"/>
                <w:color w:val="auto"/>
              </w:rPr>
            </w:pPr>
          </w:p>
        </w:tc>
      </w:tr>
      <w:tr>
        <w:trPr>
          <w:trHeight w:val="323"/>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Act of 2002.</w:t>
            </w:r>
          </w:p>
        </w:tc>
        <w:tc>
          <w:tcPr>
            <w:tcW w:w="0" w:type="dxa"/>
            <w:vAlign w:val="bottom"/>
          </w:tcPr>
          <w:p>
            <w:pPr>
              <w:spacing w:after="0"/>
              <w:rPr>
                <w:sz w:val="1"/>
                <w:szCs w:val="1"/>
                <w:color w:val="auto"/>
              </w:rPr>
            </w:pPr>
          </w:p>
        </w:tc>
      </w:tr>
      <w:tr>
        <w:trPr>
          <w:trHeight w:val="323"/>
        </w:trPr>
        <w:tc>
          <w:tcPr>
            <w:tcW w:w="104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Certification of Principal Financial Officer pursuant to 18 U.S.C. Section 1350, as adopted pursuant to Section 906 of the Sarbanes-Oxley Act</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of 2002.</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60" w:type="dxa"/>
            <w:vAlign w:val="bottom"/>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0" w:right="300" w:hanging="512"/>
        <w:spacing w:after="0" w:line="291" w:lineRule="auto"/>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certification furnished in Exhibit 32.1 and 32.2 hereto is deemed to accompany this Quarterly Report on Form 10-Q and will not be deemed “filed” for purposes of Section 18 of the Securities Exchange Act of 1934, as amended. Such certification will not be deemed to be incorporated by</w:t>
      </w:r>
    </w:p>
    <w:p>
      <w:pPr>
        <w:ind w:left="520" w:right="120"/>
        <w:spacing w:after="0" w:line="250" w:lineRule="auto"/>
        <w:rPr>
          <w:sz w:val="20"/>
          <w:szCs w:val="20"/>
          <w:color w:val="auto"/>
        </w:rPr>
      </w:pPr>
      <w:r>
        <w:rPr>
          <w:rFonts w:ascii="Arial" w:cs="Arial" w:eastAsia="Arial" w:hAnsi="Arial"/>
          <w:sz w:val="18"/>
          <w:szCs w:val="18"/>
          <w:color w:val="auto"/>
        </w:rPr>
        <w:t>reference into any filings under the Securities Act of 1933, as amended, or the Securities Exchange Act of 1934, as amended, except to the extent that the registrant specifically incorporates it by reference.</w:t>
      </w:r>
    </w:p>
    <w:p>
      <w:pPr>
        <w:spacing w:after="0" w:line="1" w:lineRule="exact"/>
        <w:rPr>
          <w:sz w:val="20"/>
          <w:szCs w:val="20"/>
          <w:color w:val="auto"/>
        </w:rPr>
      </w:pPr>
    </w:p>
    <w:p>
      <w:pPr>
        <w:ind w:left="520" w:right="260" w:hanging="512"/>
        <w:spacing w:after="0" w:line="250"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Registration Statement on Form SB-2 (No. 333-00320-LA) which was declared effective on February 15, 1996.</w:t>
      </w: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Registrant’s Report on Form 8-K on November 21, 2007.</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64"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13(a) or 15(d)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M. Moore, certify that:</w:t>
      </w:r>
    </w:p>
    <w:p>
      <w:pPr>
        <w:spacing w:after="0" w:line="117"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IRIDEX Corporation;</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right="100" w:hanging="519"/>
        <w:spacing w:after="0" w:line="291" w:lineRule="auto"/>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540" w:right="60" w:hanging="506"/>
        <w:spacing w:after="0" w:line="286" w:lineRule="auto"/>
        <w:tabs>
          <w:tab w:leader="none" w:pos="15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7" w:lineRule="exact"/>
        <w:rPr>
          <w:rFonts w:ascii="Arial" w:cs="Arial" w:eastAsia="Arial" w:hAnsi="Arial"/>
          <w:sz w:val="17"/>
          <w:szCs w:val="17"/>
          <w:color w:val="auto"/>
        </w:rPr>
      </w:pPr>
    </w:p>
    <w:p>
      <w:pPr>
        <w:ind w:left="1540" w:right="60" w:hanging="506"/>
        <w:spacing w:after="0" w:line="264" w:lineRule="auto"/>
        <w:tabs>
          <w:tab w:leader="none" w:pos="15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2017</w:t>
      </w:r>
    </w:p>
    <w:p>
      <w:pPr>
        <w:spacing w:after="0" w:line="252" w:lineRule="exact"/>
        <w:rPr>
          <w:sz w:val="20"/>
          <w:szCs w:val="20"/>
          <w:color w:val="auto"/>
        </w:rPr>
      </w:pPr>
    </w:p>
    <w:tbl>
      <w:tblPr>
        <w:tblLayout w:type="fixed"/>
        <w:tblInd w:w="6860" w:type="dxa"/>
        <w:tblCellMar>
          <w:top w:w="0" w:type="dxa"/>
          <w:left w:w="0" w:type="dxa"/>
          <w:bottom w:w="0" w:type="dxa"/>
          <w:right w:w="0" w:type="dxa"/>
        </w:tblCellMar>
      </w:tblP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M. MOORE</w:t>
            </w:r>
          </w:p>
        </w:tc>
      </w:tr>
      <w:tr>
        <w:trPr>
          <w:trHeight w:val="215"/>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William M. Moore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13(a) or 15(d)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Atabak Mokari, certify that:</w:t>
      </w:r>
    </w:p>
    <w:p>
      <w:pPr>
        <w:spacing w:after="0" w:line="117"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IRIDEX Corporation;</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right="100" w:hanging="519"/>
        <w:spacing w:after="0" w:line="291" w:lineRule="auto"/>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540" w:right="60" w:hanging="506"/>
        <w:spacing w:after="0" w:line="286" w:lineRule="auto"/>
        <w:tabs>
          <w:tab w:leader="none" w:pos="15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7" w:lineRule="exact"/>
        <w:rPr>
          <w:rFonts w:ascii="Arial" w:cs="Arial" w:eastAsia="Arial" w:hAnsi="Arial"/>
          <w:sz w:val="17"/>
          <w:szCs w:val="17"/>
          <w:color w:val="auto"/>
        </w:rPr>
      </w:pPr>
    </w:p>
    <w:p>
      <w:pPr>
        <w:ind w:left="1540" w:right="60" w:hanging="506"/>
        <w:spacing w:after="0" w:line="264" w:lineRule="auto"/>
        <w:tabs>
          <w:tab w:leader="none" w:pos="1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2017</w:t>
      </w:r>
    </w:p>
    <w:p>
      <w:pPr>
        <w:spacing w:after="0" w:line="252" w:lineRule="exact"/>
        <w:rPr>
          <w:sz w:val="20"/>
          <w:szCs w:val="20"/>
          <w:color w:val="auto"/>
        </w:rPr>
      </w:pPr>
    </w:p>
    <w:tbl>
      <w:tblPr>
        <w:tblLayout w:type="fixed"/>
        <w:tblInd w:w="6860" w:type="dxa"/>
        <w:tblCellMar>
          <w:top w:w="0" w:type="dxa"/>
          <w:left w:w="0" w:type="dxa"/>
          <w:bottom w:w="0" w:type="dxa"/>
          <w:right w:w="0" w:type="dxa"/>
        </w:tblCellMar>
      </w:tblPr>
      <w:tr>
        <w:trPr>
          <w:trHeight w:val="237"/>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ATABAK MOKARI</w:t>
            </w:r>
          </w:p>
        </w:tc>
      </w:tr>
      <w:tr>
        <w:trPr>
          <w:trHeight w:val="215"/>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700" w:type="dxa"/>
            <w:vAlign w:val="bottom"/>
          </w:tcPr>
          <w:p>
            <w:pPr>
              <w:spacing w:after="0"/>
              <w:rPr>
                <w:sz w:val="20"/>
                <w:szCs w:val="20"/>
                <w:color w:val="auto"/>
              </w:rPr>
            </w:pPr>
            <w:r>
              <w:rPr>
                <w:rFonts w:ascii="Arial" w:cs="Arial" w:eastAsia="Arial" w:hAnsi="Arial"/>
                <w:sz w:val="18"/>
                <w:szCs w:val="18"/>
                <w:color w:val="auto"/>
              </w:rPr>
              <w:t>Atabak Mokari</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rPr>
              <w:t>Chief Financial Officer and Vice President of</w:t>
            </w:r>
          </w:p>
        </w:tc>
      </w:tr>
      <w:tr>
        <w:trPr>
          <w:trHeight w:val="216"/>
        </w:trPr>
        <w:tc>
          <w:tcPr>
            <w:tcW w:w="8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Corporate Development</w:t>
            </w:r>
          </w:p>
        </w:tc>
      </w:tr>
      <w:tr>
        <w:trPr>
          <w:trHeight w:val="230"/>
        </w:trPr>
        <w:tc>
          <w:tcPr>
            <w:tcW w:w="86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 William M. Moore, pursuant to 18 U.S.C. Section 1350, as adopted pursuant to Section 906 of the Sarbanes-Oxley Act of 2002, certify that the Quarterly Report of IRIDEX Corporation on Form 10-Q for the fiscal quarter ended July 1, 2017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2017</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M. MOORE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William M.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President and 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5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 Atabak Mokari, pursuant to 18 U.S.C. Section 1350, as adopted pursuant to Section 906 of the Sarbanes-Oxley Act of 2002, certify that the Quarterly Report of IRIDEX Corporation on Form 10-Q for the fiscal quarter ended July 1, 2017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2017</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ATABAK MOKARI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Atabak Mokari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6"/>
          <w:szCs w:val="16"/>
          <w:color w:val="auto"/>
        </w:rPr>
        <w:t>Title:</w:t>
        <w:tab/>
        <w:t>Chief Financial Officer and Vice President of Corporate Development</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lvl w:ilvl="1">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2019-12-29T04:44:58Z</dcterms:created>
  <dcterms:modified xsi:type="dcterms:W3CDTF">2019-12-29T04:44:58Z</dcterms:modified>
</cp:coreProperties>
</file>