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64770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80645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52"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(Mark One)</w:t>
      </w:r>
    </w:p>
    <w:p>
      <w:pPr>
        <w:ind w:left="540" w:hanging="532"/>
        <w:spacing w:after="0" w:line="182" w:lineRule="auto"/>
        <w:tabs>
          <w:tab w:leader="none" w:pos="540" w:val="left"/>
        </w:tabs>
        <w:numPr>
          <w:ilvl w:val="0"/>
          <w:numId w:val="1"/>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ANNUAL REPORT PURSUANT TO SECTION 13 OR 15(d) OF THE SECURITY EXCHANGE ACT OF 1934</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fiscal year ended December 28, 2019</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540" w:hanging="532"/>
        <w:spacing w:after="0" w:line="182" w:lineRule="auto"/>
        <w:tabs>
          <w:tab w:leader="none" w:pos="540" w:val="left"/>
        </w:tabs>
        <w:numPr>
          <w:ilvl w:val="0"/>
          <w:numId w:val="2"/>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TRANSITION REPORT PURSUANT TO SECTION 13 OR 15(d) OF THE SECURITY EXCHANGE ACT OF 1934</w:t>
      </w:r>
    </w:p>
    <w:p>
      <w:pPr>
        <w:spacing w:after="0" w:line="81"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11"/>
        </w:trPr>
        <w:tc>
          <w:tcPr>
            <w:tcW w:w="3180" w:type="dxa"/>
            <w:vAlign w:val="bottom"/>
            <w:gridSpan w:val="6"/>
          </w:tcPr>
          <w:p>
            <w:pPr>
              <w:ind w:left="740"/>
              <w:spacing w:after="0"/>
              <w:rPr>
                <w:sz w:val="20"/>
                <w:szCs w:val="20"/>
                <w:color w:val="auto"/>
              </w:rPr>
            </w:pPr>
            <w:r>
              <w:rPr>
                <w:rFonts w:ascii="Arial" w:cs="Arial" w:eastAsia="Arial" w:hAnsi="Arial"/>
                <w:sz w:val="14"/>
                <w:szCs w:val="14"/>
                <w:b w:val="1"/>
                <w:bCs w:val="1"/>
                <w:color w:val="auto"/>
              </w:rPr>
              <w:t>Commission File Number 0-27598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6"/>
        </w:trPr>
        <w:tc>
          <w:tcPr>
            <w:tcW w:w="9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IRIDEX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56515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jc w:val="center"/>
              <w:ind w:left="1711"/>
              <w:spacing w:after="0"/>
              <w:rPr>
                <w:sz w:val="20"/>
                <w:szCs w:val="20"/>
                <w:color w:val="auto"/>
              </w:rPr>
            </w:pPr>
            <w:r>
              <w:rPr>
                <w:rFonts w:ascii="Arial" w:cs="Arial" w:eastAsia="Arial" w:hAnsi="Arial"/>
                <w:sz w:val="14"/>
                <w:szCs w:val="14"/>
                <w:b w:val="1"/>
                <w:bCs w:val="1"/>
                <w:color w:val="auto"/>
                <w:w w:val="94"/>
              </w:rPr>
              <w:t>Delaware</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40" w:type="dxa"/>
            <w:vAlign w:val="bottom"/>
            <w:gridSpan w:val="3"/>
          </w:tcPr>
          <w:p>
            <w:pPr>
              <w:jc w:val="right"/>
              <w:ind w:right="2391"/>
              <w:spacing w:after="0"/>
              <w:rPr>
                <w:sz w:val="20"/>
                <w:szCs w:val="20"/>
                <w:color w:val="auto"/>
              </w:rPr>
            </w:pPr>
            <w:r>
              <w:rPr>
                <w:rFonts w:ascii="Arial" w:cs="Arial" w:eastAsia="Arial" w:hAnsi="Arial"/>
                <w:sz w:val="14"/>
                <w:szCs w:val="14"/>
                <w:b w:val="1"/>
                <w:bCs w:val="1"/>
                <w:color w:val="auto"/>
              </w:rPr>
              <w:t>77-0210467</w:t>
            </w:r>
          </w:p>
        </w:tc>
        <w:tc>
          <w:tcPr>
            <w:tcW w:w="0" w:type="dxa"/>
            <w:vAlign w:val="bottom"/>
          </w:tcPr>
          <w:p>
            <w:pPr>
              <w:spacing w:after="0"/>
              <w:rPr>
                <w:sz w:val="1"/>
                <w:szCs w:val="1"/>
                <w:color w:val="auto"/>
              </w:rPr>
            </w:pPr>
          </w:p>
        </w:tc>
      </w:tr>
      <w:tr>
        <w:trPr>
          <w:trHeight w:val="174"/>
        </w:trPr>
        <w:tc>
          <w:tcPr>
            <w:tcW w:w="7400" w:type="dxa"/>
            <w:vAlign w:val="bottom"/>
            <w:gridSpan w:val="5"/>
          </w:tcPr>
          <w:p>
            <w:pPr>
              <w:jc w:val="center"/>
              <w:ind w:right="1760"/>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3840" w:type="dxa"/>
            <w:vAlign w:val="bottom"/>
            <w:gridSpan w:val="3"/>
          </w:tcPr>
          <w:p>
            <w:pPr>
              <w:jc w:val="center"/>
              <w:ind w:right="1711"/>
              <w:spacing w:after="0"/>
              <w:rPr>
                <w:sz w:val="20"/>
                <w:szCs w:val="20"/>
                <w:color w:val="auto"/>
              </w:rPr>
            </w:pPr>
            <w:r>
              <w:rPr>
                <w:rFonts w:ascii="Arial" w:cs="Arial" w:eastAsia="Arial" w:hAnsi="Arial"/>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1212 Terra Bella Avenue</w:t>
            </w:r>
          </w:p>
        </w:tc>
        <w:tc>
          <w:tcPr>
            <w:tcW w:w="2580" w:type="dxa"/>
            <w:vAlign w:val="bottom"/>
            <w:gridSpan w:val="2"/>
          </w:tcPr>
          <w:p>
            <w:pPr>
              <w:jc w:val="center"/>
              <w:ind w:left="910"/>
              <w:spacing w:after="0"/>
              <w:rPr>
                <w:sz w:val="20"/>
                <w:szCs w:val="20"/>
                <w:color w:val="auto"/>
              </w:rPr>
            </w:pPr>
            <w:r>
              <w:rPr>
                <w:rFonts w:ascii="Arial" w:cs="Arial" w:eastAsia="Arial" w:hAnsi="Arial"/>
                <w:sz w:val="13"/>
                <w:szCs w:val="13"/>
                <w:b w:val="1"/>
                <w:bCs w:val="1"/>
                <w:color w:val="auto"/>
                <w:w w:val="94"/>
              </w:rPr>
              <w:t>(650) 940-4700</w:t>
            </w:r>
          </w:p>
        </w:tc>
        <w:tc>
          <w:tcPr>
            <w:tcW w:w="980" w:type="dxa"/>
            <w:vAlign w:val="bottom"/>
          </w:tcPr>
          <w:p>
            <w:pPr>
              <w:spacing w:after="0"/>
              <w:rPr>
                <w:sz w:val="20"/>
                <w:szCs w:val="20"/>
                <w:color w:val="auto"/>
              </w:rPr>
            </w:pPr>
          </w:p>
        </w:tc>
        <w:tc>
          <w:tcPr>
            <w:tcW w:w="3840" w:type="dxa"/>
            <w:vAlign w:val="bottom"/>
            <w:gridSpan w:val="3"/>
          </w:tcPr>
          <w:p>
            <w:pPr>
              <w:jc w:val="right"/>
              <w:ind w:right="1631"/>
              <w:spacing w:after="0"/>
              <w:rPr>
                <w:sz w:val="20"/>
                <w:szCs w:val="20"/>
                <w:color w:val="auto"/>
              </w:rPr>
            </w:pPr>
            <w:r>
              <w:rPr>
                <w:rFonts w:ascii="Arial" w:cs="Arial" w:eastAsia="Arial" w:hAnsi="Arial"/>
                <w:sz w:val="13"/>
                <w:szCs w:val="13"/>
                <w:b w:val="1"/>
                <w:bCs w:val="1"/>
                <w:color w:val="auto"/>
              </w:rPr>
              <w:t>94043</w:t>
            </w:r>
          </w:p>
        </w:tc>
        <w:tc>
          <w:tcPr>
            <w:tcW w:w="0" w:type="dxa"/>
            <w:vAlign w:val="bottom"/>
          </w:tcPr>
          <w:p>
            <w:pPr>
              <w:spacing w:after="0"/>
              <w:rPr>
                <w:sz w:val="1"/>
                <w:szCs w:val="1"/>
                <w:color w:val="auto"/>
              </w:rPr>
            </w:pPr>
          </w:p>
        </w:tc>
      </w:tr>
      <w:tr>
        <w:trPr>
          <w:trHeight w:val="158"/>
        </w:trPr>
        <w:tc>
          <w:tcPr>
            <w:tcW w:w="38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6"/>
              </w:rPr>
              <w:t>Mountain View, CA</w:t>
            </w:r>
          </w:p>
        </w:tc>
        <w:tc>
          <w:tcPr>
            <w:tcW w:w="3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960"/>
              <w:spacing w:after="0" w:line="159" w:lineRule="exact"/>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74"/>
        </w:trPr>
        <w:tc>
          <w:tcPr>
            <w:tcW w:w="3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4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Title of each class</w:t>
            </w:r>
          </w:p>
        </w:tc>
        <w:tc>
          <w:tcPr>
            <w:tcW w:w="980" w:type="dxa"/>
            <w:vAlign w:val="bottom"/>
          </w:tcPr>
          <w:p>
            <w:pPr>
              <w:spacing w:after="0"/>
              <w:rPr>
                <w:sz w:val="17"/>
                <w:szCs w:val="17"/>
                <w:color w:val="auto"/>
              </w:rPr>
            </w:pPr>
          </w:p>
        </w:tc>
        <w:tc>
          <w:tcPr>
            <w:tcW w:w="258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Trading Symbol</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ind w:left="340"/>
              <w:spacing w:after="0"/>
              <w:rPr>
                <w:sz w:val="20"/>
                <w:szCs w:val="20"/>
                <w:color w:val="auto"/>
              </w:rPr>
            </w:pPr>
            <w:r>
              <w:rPr>
                <w:rFonts w:ascii="Arial" w:cs="Arial" w:eastAsia="Arial" w:hAnsi="Arial"/>
                <w:sz w:val="13"/>
                <w:szCs w:val="13"/>
                <w:color w:val="auto"/>
              </w:rPr>
              <w:t>Name of each Exchange on Which Registered</w:t>
            </w:r>
          </w:p>
        </w:tc>
        <w:tc>
          <w:tcPr>
            <w:tcW w:w="0" w:type="dxa"/>
            <w:vAlign w:val="bottom"/>
          </w:tcPr>
          <w:p>
            <w:pPr>
              <w:spacing w:after="0"/>
              <w:rPr>
                <w:sz w:val="1"/>
                <w:szCs w:val="1"/>
                <w:color w:val="auto"/>
              </w:rPr>
            </w:pPr>
          </w:p>
        </w:tc>
      </w:tr>
      <w:tr>
        <w:trPr>
          <w:trHeight w:val="166"/>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Common Stock, par value $0.01 per share</w:t>
            </w: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3"/>
                <w:szCs w:val="13"/>
                <w:color w:val="auto"/>
              </w:rPr>
              <w:t>IRIX</w:t>
            </w: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auto"/>
            </w:tcBorders>
          </w:tcPr>
          <w:p>
            <w:pPr>
              <w:ind w:left="960"/>
              <w:spacing w:after="0"/>
              <w:rPr>
                <w:sz w:val="20"/>
                <w:szCs w:val="20"/>
                <w:color w:val="auto"/>
              </w:rPr>
            </w:pPr>
            <w:r>
              <w:rPr>
                <w:rFonts w:ascii="Arial" w:cs="Arial" w:eastAsia="Arial" w:hAnsi="Arial"/>
                <w:sz w:val="13"/>
                <w:szCs w:val="13"/>
                <w:color w:val="auto"/>
              </w:rPr>
              <w:t>Nasdaq Global Market</w:t>
            </w: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None.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820" w:type="dxa"/>
            <w:vAlign w:val="bottom"/>
            <w:gridSpan w:val="3"/>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3840" w:type="dxa"/>
            <w:vAlign w:val="bottom"/>
            <w:gridSpan w:val="3"/>
            <w:vMerge w:val="restart"/>
          </w:tcPr>
          <w:p>
            <w:pPr>
              <w:jc w:val="right"/>
              <w:ind w:right="2771"/>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4"/>
        </w:trPr>
        <w:tc>
          <w:tcPr>
            <w:tcW w:w="7400" w:type="dxa"/>
            <w:vAlign w:val="bottom"/>
            <w:gridSpan w:val="5"/>
          </w:tcPr>
          <w:p>
            <w:pPr>
              <w:ind w:left="560"/>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 of 1933.</w:t>
            </w:r>
          </w:p>
        </w:tc>
        <w:tc>
          <w:tcPr>
            <w:tcW w:w="3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240" w:type="dxa"/>
            <w:vAlign w:val="bottom"/>
            <w:gridSpan w:val="8"/>
          </w:tcPr>
          <w:p>
            <w:pPr>
              <w:ind w:left="5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jc w:val="both"/>
        <w:ind w:right="60" w:firstLine="546"/>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200" w:firstLine="546"/>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540" w:firstLine="546"/>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ind w:right="20" w:firstLine="546"/>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560"/>
        <w:spacing w:after="0" w:line="150" w:lineRule="exact"/>
        <w:tabs>
          <w:tab w:leader="none" w:pos="684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78" w:lineRule="exact"/>
        <w:rPr>
          <w:sz w:val="24"/>
          <w:szCs w:val="24"/>
          <w:color w:val="auto"/>
        </w:rPr>
      </w:pPr>
    </w:p>
    <w:p>
      <w:pPr>
        <w:jc w:val="both"/>
        <w:ind w:right="60" w:firstLine="546"/>
        <w:spacing w:after="0" w:line="278" w:lineRule="auto"/>
        <w:rPr>
          <w:sz w:val="20"/>
          <w:szCs w:val="20"/>
          <w:color w:val="auto"/>
        </w:rPr>
      </w:pPr>
      <w:r>
        <w:rPr>
          <w:rFonts w:ascii="Arial" w:cs="Arial" w:eastAsia="Arial" w:hAnsi="Arial"/>
          <w:sz w:val="12"/>
          <w:szCs w:val="12"/>
          <w:color w:val="auto"/>
        </w:rPr>
        <w:t>The aggregate market value of the voting common equity held by non-affiliates of the Registrant was approximately $34,151,458 as of June 28, 2019,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As of February 27, 2020, Registrant had 13,786,666 shares of common stock outstanding.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3" w:lineRule="exact"/>
        <w:rPr>
          <w:sz w:val="24"/>
          <w:szCs w:val="24"/>
          <w:color w:val="auto"/>
        </w:rPr>
      </w:pPr>
    </w:p>
    <w:p>
      <w:pPr>
        <w:ind w:left="560"/>
        <w:spacing w:after="0"/>
        <w:rPr>
          <w:sz w:val="20"/>
          <w:szCs w:val="20"/>
          <w:color w:val="auto"/>
        </w:rPr>
      </w:pPr>
      <w:r>
        <w:rPr>
          <w:rFonts w:ascii="Arial" w:cs="Arial" w:eastAsia="Arial" w:hAnsi="Arial"/>
          <w:sz w:val="12"/>
          <w:szCs w:val="12"/>
          <w:color w:val="auto"/>
        </w:rPr>
        <w:t>Certain parts of the Proxy Statement for the Registrant’s 2020 Annual Meeting of Stockholders (the “Proxy Statement”) are incorporated by reference into Part III of this Annual Report on Form 10-</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697230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360" w:firstLine="546"/>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95" w:lineRule="exact"/>
        <w:rPr>
          <w:sz w:val="20"/>
          <w:szCs w:val="20"/>
          <w:color w:val="auto"/>
        </w:rPr>
      </w:pPr>
    </w:p>
    <w:p>
      <w:pPr>
        <w:jc w:val="both"/>
        <w:ind w:left="1080" w:right="120" w:hanging="532"/>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80" w:right="460" w:hanging="532"/>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21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ind w:right="180" w:firstLine="54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As used in this Annual Report on Form 10-K,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8"/>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7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tcPr>
          <w:p>
            <w:pPr>
              <w:ind w:left="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40" w:type="dxa"/>
            <w:vAlign w:val="bottom"/>
            <w:gridSpan w:val="20"/>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1A. Risk Factors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Item</w:t>
              </w:r>
            </w:hyperlink>
          </w:p>
        </w:tc>
        <w:tc>
          <w:tcPr>
            <w:tcW w:w="2400" w:type="dxa"/>
            <w:vAlign w:val="bottom"/>
            <w:tcBorders>
              <w:bottom w:val="single" w:sz="8" w:color="0000EE"/>
            </w:tcBorders>
            <w:gridSpan w:val="11"/>
          </w:tcPr>
          <w:p>
            <w:pPr>
              <w:ind w:left="60"/>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1B. Unresolved Staff Comments</w:t>
              </w:r>
            </w:hyperlink>
          </w:p>
        </w:tc>
        <w:tc>
          <w:tcPr>
            <w:tcW w:w="7420" w:type="dxa"/>
            <w:vAlign w:val="bottom"/>
            <w:gridSpan w:val="11"/>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w:t>
              </w:r>
            </w:hyperlink>
          </w:p>
        </w:tc>
        <w:tc>
          <w:tcPr>
            <w:tcW w:w="760" w:type="dxa"/>
            <w:vAlign w:val="bottom"/>
            <w:tcBorders>
              <w:bottom w:val="single" w:sz="8" w:color="0000EE"/>
            </w:tcBorders>
            <w:gridSpan w:val="2"/>
          </w:tcPr>
          <w:p>
            <w:pPr>
              <w:ind w:left="40"/>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Properties</w:t>
              </w:r>
            </w:hyperlink>
          </w:p>
        </w:tc>
        <w:tc>
          <w:tcPr>
            <w:tcW w:w="8860" w:type="dxa"/>
            <w:vAlign w:val="bottom"/>
            <w:gridSpan w:val="1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4.</w:t>
              </w:r>
            </w:hyperlink>
          </w:p>
        </w:tc>
        <w:tc>
          <w:tcPr>
            <w:tcW w:w="1800" w:type="dxa"/>
            <w:vAlign w:val="bottom"/>
            <w:tcBorders>
              <w:bottom w:val="single" w:sz="8" w:color="0000EE"/>
            </w:tcBorders>
            <w:gridSpan w:val="7"/>
          </w:tcPr>
          <w:p>
            <w:pPr>
              <w:ind w:left="40"/>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Mine Safety Disclosures</w:t>
              </w:r>
            </w:hyperlink>
          </w:p>
        </w:tc>
        <w:tc>
          <w:tcPr>
            <w:tcW w:w="7820" w:type="dxa"/>
            <w:vAlign w:val="bottom"/>
            <w:gridSpan w:val="1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5.</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and Related Stockholder Matters, and Issuer Purchases of Equity Securities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Item</w:t>
              </w:r>
            </w:hyperlink>
          </w:p>
        </w:tc>
        <w:tc>
          <w:tcPr>
            <w:tcW w:w="200" w:type="dxa"/>
            <w:vAlign w:val="bottom"/>
            <w:tcBorders>
              <w:top w:val="single" w:sz="8" w:color="0000EE"/>
              <w:bottom w:val="single" w:sz="8" w:color="0000EE"/>
            </w:tcBorders>
          </w:tcPr>
          <w:p>
            <w:pPr>
              <w:ind w:left="6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1740" w:type="dxa"/>
            <w:vAlign w:val="bottom"/>
            <w:tcBorders>
              <w:top w:val="single" w:sz="8" w:color="0000EE"/>
              <w:bottom w:val="single" w:sz="8" w:color="0000EE"/>
            </w:tcBorders>
            <w:gridSpan w:val="6"/>
          </w:tcPr>
          <w:p>
            <w:pPr>
              <w:ind w:left="40"/>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Selected Financial Data</w:t>
              </w:r>
            </w:hyperlink>
          </w:p>
        </w:tc>
        <w:tc>
          <w:tcPr>
            <w:tcW w:w="6680" w:type="dxa"/>
            <w:vAlign w:val="bottom"/>
            <w:tcBorders>
              <w:top w:val="single" w:sz="8" w:color="0000EE"/>
            </w:tcBorders>
            <w:gridSpan w:val="14"/>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Item</w:t>
              </w:r>
            </w:hyperlink>
          </w:p>
        </w:tc>
        <w:tc>
          <w:tcPr>
            <w:tcW w:w="4720" w:type="dxa"/>
            <w:vAlign w:val="bottom"/>
            <w:tcBorders>
              <w:top w:val="single" w:sz="8" w:color="0000EE"/>
              <w:bottom w:val="single" w:sz="8" w:color="0000EE"/>
            </w:tcBorders>
            <w:gridSpan w:val="16"/>
          </w:tcPr>
          <w:p>
            <w:pPr>
              <w:ind w:left="60"/>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314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8.</w:t>
              </w:r>
            </w:hyperlink>
          </w:p>
        </w:tc>
        <w:tc>
          <w:tcPr>
            <w:tcW w:w="3360" w:type="dxa"/>
            <w:vAlign w:val="bottom"/>
            <w:tcBorders>
              <w:bottom w:val="single" w:sz="8" w:color="0000EE"/>
            </w:tcBorders>
            <w:gridSpan w:val="13"/>
          </w:tcPr>
          <w:p>
            <w:pPr>
              <w:ind w:left="40"/>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Financial Statements and Supplementary Data</w:t>
              </w:r>
            </w:hyperlink>
          </w:p>
        </w:tc>
        <w:tc>
          <w:tcPr>
            <w:tcW w:w="626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9.</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Item</w:t>
              </w:r>
            </w:hyperlink>
          </w:p>
        </w:tc>
        <w:tc>
          <w:tcPr>
            <w:tcW w:w="2140" w:type="dxa"/>
            <w:vAlign w:val="bottom"/>
            <w:tcBorders>
              <w:top w:val="single" w:sz="8" w:color="0000EE"/>
              <w:bottom w:val="single" w:sz="8" w:color="0000EE"/>
            </w:tcBorders>
            <w:gridSpan w:val="10"/>
          </w:tcPr>
          <w:p>
            <w:pPr>
              <w:ind w:left="60"/>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9A. Controls and Procedures</w:t>
              </w:r>
            </w:hyperlink>
          </w:p>
        </w:tc>
        <w:tc>
          <w:tcPr>
            <w:tcW w:w="4560" w:type="dxa"/>
            <w:vAlign w:val="bottom"/>
            <w:tcBorders>
              <w:top w:val="single" w:sz="8" w:color="0000EE"/>
            </w:tcBorders>
            <w:gridSpan w:val="9"/>
          </w:tcPr>
          <w:p>
            <w:pPr>
              <w:spacing w:after="0"/>
              <w:rPr>
                <w:sz w:val="17"/>
                <w:szCs w:val="17"/>
                <w:color w:val="auto"/>
              </w:rPr>
            </w:pPr>
          </w:p>
        </w:tc>
        <w:tc>
          <w:tcPr>
            <w:tcW w:w="3120" w:type="dxa"/>
            <w:vAlign w:val="bottom"/>
            <w:gridSpan w:val="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9B. Other Information</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Part III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Item</w:t>
              </w:r>
            </w:hyperlink>
          </w:p>
        </w:tc>
        <w:tc>
          <w:tcPr>
            <w:tcW w:w="4420" w:type="dxa"/>
            <w:vAlign w:val="bottom"/>
            <w:tcBorders>
              <w:bottom w:val="single" w:sz="8" w:color="0000EE"/>
            </w:tcBorders>
            <w:gridSpan w:val="15"/>
          </w:tcPr>
          <w:p>
            <w:pPr>
              <w:ind w:left="60"/>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10. Directors, Executive Officers and Corporate Governance</w:t>
              </w:r>
            </w:hyperlink>
          </w:p>
        </w:tc>
        <w:tc>
          <w:tcPr>
            <w:tcW w:w="5400" w:type="dxa"/>
            <w:vAlign w:val="bottom"/>
            <w:gridSpan w:val="7"/>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Item</w:t>
              </w:r>
            </w:hyperlink>
          </w:p>
        </w:tc>
        <w:tc>
          <w:tcPr>
            <w:tcW w:w="2120" w:type="dxa"/>
            <w:vAlign w:val="bottom"/>
            <w:tcBorders>
              <w:bottom w:val="single" w:sz="8" w:color="0000EE"/>
            </w:tcBorders>
            <w:gridSpan w:val="9"/>
          </w:tcPr>
          <w:p>
            <w:pPr>
              <w:ind w:left="6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11. Executive Compensation</w:t>
              </w:r>
            </w:hyperlink>
          </w:p>
        </w:tc>
        <w:tc>
          <w:tcPr>
            <w:tcW w:w="7700" w:type="dxa"/>
            <w:vAlign w:val="bottom"/>
            <w:gridSpan w:val="1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12. Security Ownership of Certain Beneficial Owners and Management and Related Stockholder Matters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Item</w:t>
              </w:r>
            </w:hyperlink>
          </w:p>
        </w:tc>
        <w:tc>
          <w:tcPr>
            <w:tcW w:w="7600" w:type="dxa"/>
            <w:vAlign w:val="bottom"/>
            <w:tcBorders>
              <w:top w:val="single" w:sz="8" w:color="0000EE"/>
            </w:tcBorders>
            <w:gridSpan w:val="20"/>
          </w:tcPr>
          <w:p>
            <w:pPr>
              <w:ind w:left="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13. Certain Relationships and Related Transactions, and Director Independence</w:t>
              </w:r>
            </w:hyperlink>
          </w:p>
        </w:tc>
        <w:tc>
          <w:tcPr>
            <w:tcW w:w="2220" w:type="dxa"/>
            <w:vAlign w:val="bottom"/>
            <w:gridSpan w:val="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Item</w:t>
              </w:r>
            </w:hyperlink>
          </w:p>
        </w:tc>
        <w:tc>
          <w:tcPr>
            <w:tcW w:w="3180" w:type="dxa"/>
            <w:vAlign w:val="bottom"/>
            <w:tcBorders>
              <w:top w:val="single" w:sz="8" w:color="0000EE"/>
              <w:bottom w:val="single" w:sz="8" w:color="0000EE"/>
            </w:tcBorders>
            <w:gridSpan w:val="12"/>
          </w:tcPr>
          <w:p>
            <w:pPr>
              <w:ind w:left="6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14. Principal Accountant Fees and Services</w:t>
              </w:r>
            </w:hyperlink>
          </w:p>
        </w:tc>
        <w:tc>
          <w:tcPr>
            <w:tcW w:w="2580" w:type="dxa"/>
            <w:vAlign w:val="bottom"/>
            <w:tcBorders>
              <w:top w:val="single" w:sz="8" w:color="0000EE"/>
            </w:tcBorders>
            <w:gridSpan w:val="5"/>
          </w:tcPr>
          <w:p>
            <w:pPr>
              <w:spacing w:after="0"/>
              <w:rPr>
                <w:sz w:val="17"/>
                <w:szCs w:val="17"/>
                <w:color w:val="auto"/>
              </w:rPr>
            </w:pPr>
          </w:p>
        </w:tc>
        <w:tc>
          <w:tcPr>
            <w:tcW w:w="4060" w:type="dxa"/>
            <w:vAlign w:val="bottom"/>
            <w:gridSpan w:val="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Part IV</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Item</w:t>
              </w:r>
            </w:hyperlink>
          </w:p>
        </w:tc>
        <w:tc>
          <w:tcPr>
            <w:tcW w:w="3480" w:type="dxa"/>
            <w:vAlign w:val="bottom"/>
            <w:tcBorders>
              <w:bottom w:val="single" w:sz="8" w:color="0000EE"/>
            </w:tcBorders>
            <w:gridSpan w:val="13"/>
          </w:tcPr>
          <w:p>
            <w:pPr>
              <w:ind w:left="6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15. Exhibits and Financial Statement Schedules</w:t>
              </w:r>
            </w:hyperlink>
          </w:p>
        </w:tc>
        <w:tc>
          <w:tcPr>
            <w:tcW w:w="6340" w:type="dxa"/>
            <w:vAlign w:val="bottom"/>
            <w:gridSpan w:val="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Signatures</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80" w:right="200" w:hanging="532"/>
        <w:spacing w:after="0" w:line="28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80" w:right="20" w:hanging="532"/>
        <w:spacing w:after="0" w:line="26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rooms (“ORs”) and ambulatory surgical centers (“ASCs”), as well as their offices and clinics. In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 Total revenues in 2019 and 2018 were $43.4 million and $42.6 million, respectively. We generated net losses of $8.8 million and $12.8 million in 2019 and 2018, respectively.</w:t>
      </w:r>
    </w:p>
    <w:p>
      <w:pPr>
        <w:spacing w:after="0" w:line="76"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Ophthalmology is a large and growing global market that is driven by the aging world population and the onset of chronic diseases. We currently target the glaucoma and retina disease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Glaucoma is a leading cause of blindness in the world. Glaucoma is a progressive, chronic disease and vision loss resulting from glaucoma currently cannot be regained. According to Market Scope, in 2018, an estimated 129.9 million people worldwide had glaucoma, but only about 30% will be diagnosed as having it. Glaucoma is most commonly associated with elevated levels of pressure within the eye, or intraocular pressure (“IOP”). Elevated IOP often occurs when aqueous humor, the thin watery fluid that fills the front of the eye, is not circulating normally and draining properly. Currently, reducing IOP is the only proven treatment for glaucoma with treatments primarily focused on improving the flow of aqueous humor through the eye’s trabecular meshwork and uveoscleral outflow pathways. Global sales of products used to diagnose and treat glaucoma are expected to total $5.8 billion in 2018, according to Market Scope’s 2018 Global Glaucoma Surgical Device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right="120" w:firstLine="546"/>
        <w:spacing w:after="0" w:line="293" w:lineRule="auto"/>
        <w:rPr>
          <w:sz w:val="20"/>
          <w:szCs w:val="20"/>
          <w:color w:val="auto"/>
        </w:rPr>
      </w:pPr>
      <w:r>
        <w:rPr>
          <w:rFonts w:ascii="Arial" w:cs="Arial" w:eastAsia="Arial" w:hAnsi="Arial"/>
          <w:sz w:val="16"/>
          <w:szCs w:val="16"/>
          <w:color w:val="auto"/>
        </w:rPr>
        <w:t>Pharmaceutical products represent a majority of this revenue estimate but have significant shortcomings. Pharmaceuticals are typically the first treatment method prescribed for glaucoma. These pharmaceutical treatments are commonly self-administered in drop form by the patients. Patients often have difficulties applying the pharmaceutical drops properly and may fail to appropriately or timely apply the medication, which may significantly reduce the effectiveness of the pharmaceutical. This poor adherence to and lack of persistence with glaucoma medication regimens have been documented in numerous independent studies, which often place the incidence of patient noncompliance up to or above 50%, particularly in patients on two or more prescription eye drops. Even when administered correctly, pharmaceuticals have demonstrated reduced efficacy over time.</w:t>
      </w:r>
    </w:p>
    <w:p>
      <w:pPr>
        <w:spacing w:after="0" w:line="56"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When pharmaceuticals lose their effectiveness, appropriate treatment options are determined based on the progression and severity of the disease and include traditional laser therapy (e.g. selective laser trabeculoplasty (“SLT”), minimally invasive stents/shunts (e.g. MIGS), and open surgery (e.g. trabeculectomy)). These treatment alternatives also have significant shortcomings due to treatment effects that dissipate over time, repeat procedures that are less effective or not clinically advised, limited indications of use, and significant complication risks.</w:t>
      </w:r>
    </w:p>
    <w:p>
      <w:pPr>
        <w:spacing w:after="0" w:line="63"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We believe that because of the limitations of these traditional treatment alternatives, a clear unmet medical need exists in the management of glaucoma patients.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Retina</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Per Market Scope estimates in 2016, global sales of retinal surgical products will increase to $2.7 billion in 2021. Our medical retina business focuses on the treatment of diabetic macular edema (“DME”) which is part of a broader disease state called diabetic retinopathy. Diabetic retinopathy is a common complication of diabetes which impairs vision over time and, if left untreated, can lead to blindness. An estimated 285 million people worldwide had diabetes in 2010, according to the International Diabetes Federation. The federation predicts as many as 438 million will have diabetes globally by 2030. Previous clinical publications, such as an article cited at the U.S. National Institutes of Health’s National Library of Medicine, indicated 28.5% of diabetic patients can develop some form of diabetic retinopathy. Traditional laser photocoagulation and a regimen of injected pharmaceuticals are currently the standard treatment for this disease and are associated with significant shortcomings. Traditional laser photocoagulation can stabilize the patient’s vision over the long term but presents a risk of varying degrees of vision loss to the patient. Pharmaceuticals can stabilize vision in the near term but require repeated injections. The injections are painful and the patients may experience side effects including increased risk of eye infections. Furthermore, a regimen of repeated pharmaceutical injections is very demanding to the physician and patient in terms of time and to the healthcare system at large with regard to dollars spent on treatment.</w:t>
      </w:r>
    </w:p>
    <w:p>
      <w:pPr>
        <w:spacing w:after="0" w:line="74"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shortcomings in treating retinal diseases have led to a renewed interest in alternative approaches that may provide better or comparable patient outcomes at lower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Our traditional laser technology was developed to perform laser photocoagulation by using a mode that delivers continuously-on laser light, which is referred to as continuous wave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9"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developed our proprietary MicroPulse technology with the goal of harnessing the clinical benefits of CW mode while minimizing the associated tissue damage. MicroPulse is a method of delivering laser energy using a mode which chops the CW beam into short, microsecond long laser pulses. The laser pulses are intended to generate the desired therapeutic response while the time in between laser pulses is believed to enable the tissue to cool and thereby minimize tissue damage. This is analogous to holding one’s hand continuously over a candle versus waving it back and forth. When held continuously, the candle would cause burning and scar tissue. However, when exposed intermittently the candle only heats the tissue without burning.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 w:name="page6"/>
    <w:bookmarkEnd w:id="5"/>
    <w:p>
      <w:pPr>
        <w:ind w:right="60" w:firstLine="546"/>
        <w:spacing w:after="0" w:line="263" w:lineRule="auto"/>
        <w:rPr>
          <w:sz w:val="20"/>
          <w:szCs w:val="20"/>
          <w:color w:val="auto"/>
        </w:rPr>
      </w:pPr>
      <w:r>
        <w:rPr>
          <w:rFonts w:ascii="Arial" w:cs="Arial" w:eastAsia="Arial" w:hAnsi="Arial"/>
          <w:sz w:val="18"/>
          <w:szCs w:val="18"/>
          <w:color w:val="auto"/>
        </w:rPr>
        <w:t>There is a growing body of clinical evidence that has been published over the past 10 years that demonstrates that MicroPulse therapy is clinically effective with limited tissue damage for the treatment of glaucoma and retinal diseases. Currently, we have developed three applications of our MicroPulse technology for the treatment of eye diseases: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6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MicroPulse Applications</w:t>
            </w:r>
          </w:p>
        </w:tc>
        <w:tc>
          <w:tcPr>
            <w:tcW w:w="7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303"/>
        </w:trPr>
        <w:tc>
          <w:tcPr>
            <w:tcW w:w="3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uveoscleral outflow</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0"/>
              </w:rPr>
              <w:t xml:space="preserve">Treats glaucoma using our Cyclo G6 laser system and MicroPulse P3 delivery device. </w:t>
            </w:r>
            <w:r>
              <w:rPr>
                <w:rFonts w:ascii="Arial" w:cs="Arial" w:eastAsia="Arial" w:hAnsi="Arial"/>
                <w:sz w:val="18"/>
                <w:szCs w:val="18"/>
                <w:color w:val="auto"/>
                <w:w w:val="90"/>
              </w:rPr>
              <w:t>MicroPulse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P3 is IRIDEX’s proprietary, single-use, disposable probe. It delivers MicroPulse laser energy</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transsclerally (through the white of the eye) to target the ciliary body inside the eye. The ciliary body</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controls various ocular functions including aqueous humor production, and it helps facilitate the</w:t>
            </w:r>
          </w:p>
        </w:tc>
      </w:tr>
      <w:tr>
        <w:trPr>
          <w:trHeight w:val="230"/>
        </w:trPr>
        <w:tc>
          <w:tcPr>
            <w:tcW w:w="3660" w:type="dxa"/>
            <w:vAlign w:val="bottom"/>
            <w:tcBorders>
              <w:left w:val="single" w:sz="8" w:color="auto"/>
              <w:right w:val="single" w:sz="8" w:color="auto"/>
            </w:tcBorders>
          </w:tcPr>
          <w:p>
            <w:pPr>
              <w:spacing w:after="0"/>
              <w:rPr>
                <w:sz w:val="20"/>
                <w:szCs w:val="20"/>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reduction of aqueous humor via outflow channels.</w:t>
            </w:r>
          </w:p>
        </w:tc>
      </w:tr>
      <w:tr>
        <w:trPr>
          <w:trHeight w:val="310"/>
        </w:trPr>
        <w:tc>
          <w:tcPr>
            <w:tcW w:w="3660" w:type="dxa"/>
            <w:vAlign w:val="bottom"/>
            <w:tcBorders>
              <w:left w:val="single" w:sz="8" w:color="auto"/>
              <w:right w:val="single" w:sz="8" w:color="auto"/>
            </w:tcBorders>
          </w:tcPr>
          <w:p>
            <w:pPr>
              <w:spacing w:after="0"/>
              <w:rPr>
                <w:sz w:val="24"/>
                <w:szCs w:val="24"/>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MicroPulse transscleral laser therapy (“TLT”) is a non-incisional treatment that is believed to reduce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IOP primarily through uveoscleral outflow. Numerous peer-reviewed published clinical studies have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demonstrated MicroPulse TLT as a safe and clinically effective treatment to lower patients’ IOP and</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reduce the number of topical eye drops and oral medications across a wide spectrum of glaucoma types</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disease severity. Glaucoma specialists and comprehensive ophthalmologists incorporate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MicroPulse TLT prior to, concurrent with, and after other surgical therapies. It’s a repeatable procedure</w:t>
            </w:r>
          </w:p>
        </w:tc>
      </w:tr>
      <w:tr>
        <w:trPr>
          <w:trHeight w:val="230"/>
        </w:trPr>
        <w:tc>
          <w:tcPr>
            <w:tcW w:w="3660" w:type="dxa"/>
            <w:vAlign w:val="bottom"/>
            <w:tcBorders>
              <w:left w:val="single" w:sz="8" w:color="auto"/>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which doesn’t impact the patients’ quality of life nor does it inhibit future interventions.</w:t>
            </w:r>
          </w:p>
        </w:tc>
      </w:tr>
      <w:tr>
        <w:trPr>
          <w:trHeight w:val="303"/>
        </w:trPr>
        <w:tc>
          <w:tcPr>
            <w:tcW w:w="3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trabecular meshwork outflow</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 xml:space="preserve">Treats glaucoma with our IQ laser systems. </w:t>
            </w:r>
            <w:r>
              <w:rPr>
                <w:rFonts w:ascii="Arial" w:cs="Arial" w:eastAsia="Arial" w:hAnsi="Arial"/>
                <w:sz w:val="18"/>
                <w:szCs w:val="18"/>
                <w:color w:val="auto"/>
                <w:w w:val="91"/>
              </w:rPr>
              <w:t>MicroPulse laser is delivered through a mechanical and</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optical delivery device and targets the trabecular meshwork. Physicians describe the technique as</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MicroPulse Laser Trabeculoplasty (“MLT”). It is believed that the MLT procedure improves trabecular</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meshwork outflow and thus lowers IOP. We believe that the MLT procedure provides incremental</w:t>
            </w:r>
          </w:p>
        </w:tc>
      </w:tr>
      <w:tr>
        <w:trPr>
          <w:trHeight w:val="230"/>
        </w:trPr>
        <w:tc>
          <w:tcPr>
            <w:tcW w:w="3660" w:type="dxa"/>
            <w:vAlign w:val="bottom"/>
            <w:tcBorders>
              <w:left w:val="single" w:sz="8" w:color="auto"/>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clinical benefits relative to other laser trabeculoplasty procedures such as SLT.</w:t>
            </w:r>
          </w:p>
        </w:tc>
      </w:tr>
      <w:tr>
        <w:trPr>
          <w:trHeight w:val="303"/>
        </w:trPr>
        <w:tc>
          <w:tcPr>
            <w:tcW w:w="3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Medical Retina - DME</w:t>
            </w: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2"/>
              </w:rPr>
              <w:t>Treats DME with our IQ laser systems</w:t>
            </w:r>
            <w:r>
              <w:rPr>
                <w:rFonts w:ascii="Arial" w:cs="Arial" w:eastAsia="Arial" w:hAnsi="Arial"/>
                <w:sz w:val="18"/>
                <w:szCs w:val="18"/>
                <w:color w:val="auto"/>
                <w:w w:val="92"/>
              </w:rPr>
              <w:t>. MicroPulse laser is administered through a mechanical and</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optical delivery device that rapidly delivers multiple treatment spots on the retina. Our MicroPulse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laser is uniquely believed to be “fovea friendly” in that the laser can be used to treat the fovea, the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center of the field of vision in the retina, without any loss of visual function. Instead of causing thermal</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damage like traditional lasers, MicroPulse laser is believed to induce a therapeutic response through the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recruitment of biological factors such as heat shock proteins. We believe that the treatment of DME</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with MicroPulse laser therapy has several competitive advantages over alternate therapies with respect</w:t>
            </w:r>
          </w:p>
        </w:tc>
      </w:tr>
      <w:tr>
        <w:trPr>
          <w:trHeight w:val="230"/>
        </w:trPr>
        <w:tc>
          <w:tcPr>
            <w:tcW w:w="3660" w:type="dxa"/>
            <w:vAlign w:val="bottom"/>
            <w:tcBorders>
              <w:left w:val="single" w:sz="8" w:color="auto"/>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long term vision stability, visual function, and cost effectiveness.</w:t>
            </w:r>
          </w:p>
        </w:tc>
      </w:tr>
      <w:tr>
        <w:trPr>
          <w:trHeight w:val="642"/>
        </w:trPr>
        <w:tc>
          <w:tcPr>
            <w:tcW w:w="3660" w:type="dxa"/>
            <w:vAlign w:val="bottom"/>
          </w:tcPr>
          <w:p>
            <w:pPr>
              <w:spacing w:after="0"/>
              <w:rPr>
                <w:sz w:val="24"/>
                <w:szCs w:val="24"/>
                <w:color w:val="auto"/>
              </w:rPr>
            </w:pPr>
          </w:p>
        </w:tc>
        <w:tc>
          <w:tcPr>
            <w:tcW w:w="7600" w:type="dxa"/>
            <w:vAlign w:val="bottom"/>
          </w:tcPr>
          <w:p>
            <w:pPr>
              <w:ind w:left="1920"/>
              <w:spacing w:after="0"/>
              <w:rPr>
                <w:sz w:val="20"/>
                <w:szCs w:val="20"/>
                <w:color w:val="auto"/>
              </w:rPr>
            </w:pPr>
            <w:r>
              <w:rPr>
                <w:rFonts w:ascii="Arial" w:cs="Arial" w:eastAsia="Arial" w:hAnsi="Arial"/>
                <w:sz w:val="18"/>
                <w:szCs w:val="18"/>
                <w:color w:val="auto"/>
              </w:rPr>
              <w:t>6</w:t>
            </w:r>
          </w:p>
        </w:tc>
      </w:tr>
      <w:tr>
        <w:trPr>
          <w:trHeight w:val="115"/>
        </w:trPr>
        <w:tc>
          <w:tcPr>
            <w:tcW w:w="366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are one of the worldwide leaders in developing, manufacturing, marketing, selling and servicing innovative medical laser systems and associated instrumentation for the treatment of sight-threatening eye diseases. Our strategy is to leverage our existing brand and distribution channel in the ophthalmology market to promote the adoption of MicroPulse as a viable treatment alternative for glaucoma and retinal diseases and consequently to commercialize a broad array of products that:</w:t>
      </w:r>
    </w:p>
    <w:p>
      <w:pPr>
        <w:spacing w:after="0" w:line="7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therapeutic outcomes for patients suffering from sight-threatening eye diseases;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 efficiency of physicians and reduce their costs;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economic benefits to healthcare systems.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achieve these goals, we are pursuing a number of organic initiatives that we anticipate will be supplemented from time to time by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the successful execution of this strategy will lead to profitable growth and enhanced shareholder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Our current product portfolio utilizes a system approach. Each system includes a laser console, which generates the laser energy, and a number of interchangeable delivery devices or disposable probes for use in specific clinical applications. This approach allows our customers to purchase a basic laser system and add additional delivery devices or disposable probes as their therapeutic needs expand or as new applications develop. We currently offer three basic product categories: 1) laser consoles, 2) delivery devices which are optical-mechanical products that mount to ophthalmologists’ diagnostic equipment and transmit the laser and 3) single-use disposable probes that transmit the laser light to a targeted region within the inside of an eye.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Laser Consoles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laser consoles, which are identified below, incorporate the economic and technical benefits of solid state and semiconductor laser technology.</w:t>
      </w:r>
    </w:p>
    <w:p>
      <w:pPr>
        <w:spacing w:after="0" w:line="140" w:lineRule="exact"/>
        <w:rPr>
          <w:sz w:val="20"/>
          <w:szCs w:val="20"/>
          <w:color w:val="auto"/>
        </w:rPr>
      </w:pPr>
    </w:p>
    <w:p>
      <w:pPr>
        <w:jc w:val="both"/>
        <w:ind w:right="360" w:firstLine="546"/>
        <w:spacing w:after="0" w:line="263" w:lineRule="auto"/>
        <w:rPr>
          <w:sz w:val="20"/>
          <w:szCs w:val="20"/>
          <w:color w:val="auto"/>
        </w:rPr>
      </w:pPr>
      <w:r>
        <w:rPr>
          <w:rFonts w:ascii="Arial" w:cs="Arial" w:eastAsia="Arial" w:hAnsi="Arial"/>
          <w:sz w:val="18"/>
          <w:szCs w:val="18"/>
          <w:i w:val="1"/>
          <w:iCs w:val="1"/>
          <w:color w:val="auto"/>
        </w:rPr>
        <w:t xml:space="preserve">Glaucoma: Cyclo G6 Laser System. </w:t>
      </w:r>
      <w:r>
        <w:rPr>
          <w:rFonts w:ascii="Arial" w:cs="Arial" w:eastAsia="Arial" w:hAnsi="Arial"/>
          <w:sz w:val="18"/>
          <w:szCs w:val="18"/>
          <w:color w:val="auto"/>
        </w:rPr>
        <w:t>The Cyclo G6 is an infrared (810nm) laser designed to treat patients diagnosed with a range of glaucoma</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states. The Cyclo G6 system is sold with a family of probes that are disposable, including our patented MP3 probe that utilizes our MicroPulse technology and our G-Probe.</w:t>
      </w:r>
    </w:p>
    <w:p>
      <w:pPr>
        <w:spacing w:after="0" w:line="76"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i w:val="1"/>
          <w:iCs w:val="1"/>
          <w:color w:val="auto"/>
        </w:rPr>
        <w:t xml:space="preserve">Medical retina: IQ laser systems. </w:t>
      </w:r>
      <w:r>
        <w:rPr>
          <w:rFonts w:ascii="Arial" w:cs="Arial" w:eastAsia="Arial" w:hAnsi="Arial"/>
          <w:sz w:val="18"/>
          <w:szCs w:val="18"/>
          <w:color w:val="auto"/>
        </w:rPr>
        <w:t>Our IQ laser systems offer our MicroPulse technology but also have CW capabilities. Our IQ 577 delivers visible</w:t>
      </w:r>
      <w:r>
        <w:rPr>
          <w:rFonts w:ascii="Arial" w:cs="Arial" w:eastAsia="Arial" w:hAnsi="Arial"/>
          <w:sz w:val="18"/>
          <w:szCs w:val="18"/>
          <w:i w:val="1"/>
          <w:iCs w:val="1"/>
          <w:color w:val="auto"/>
        </w:rPr>
        <w:t xml:space="preserve"> </w:t>
      </w:r>
      <w:r>
        <w:rPr>
          <w:rFonts w:ascii="Arial" w:cs="Arial" w:eastAsia="Arial" w:hAnsi="Arial"/>
          <w:sz w:val="18"/>
          <w:szCs w:val="18"/>
          <w:color w:val="auto"/>
        </w:rPr>
        <w:t>yellow (577nm) laser light and our IQ 532 delivers visible green (532nm) laser light. Our IQ laser systems are typically used with our TxCell Scanning Laser Delivery System and our Slit Lamp Adapters when used to treat DME with MicroPulse.</w:t>
      </w:r>
    </w:p>
    <w:p>
      <w:pPr>
        <w:spacing w:after="0" w:line="76"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i w:val="1"/>
          <w:iCs w:val="1"/>
          <w:color w:val="auto"/>
        </w:rPr>
        <w:t xml:space="preserve">Surgical retina: OcuLight laser systems. </w:t>
      </w:r>
      <w:r>
        <w:rPr>
          <w:rFonts w:ascii="Arial" w:cs="Arial" w:eastAsia="Arial" w:hAnsi="Arial"/>
          <w:sz w:val="18"/>
          <w:szCs w:val="18"/>
          <w:color w:val="auto"/>
        </w:rPr>
        <w:t>Our OcuLight TX, OcuLight GL, and OcuLightGLx lasers deliver visible green (532nm) laser light. Our</w:t>
      </w:r>
      <w:r>
        <w:rPr>
          <w:rFonts w:ascii="Arial" w:cs="Arial" w:eastAsia="Arial" w:hAnsi="Arial"/>
          <w:sz w:val="18"/>
          <w:szCs w:val="18"/>
          <w:i w:val="1"/>
          <w:iCs w:val="1"/>
          <w:color w:val="auto"/>
        </w:rPr>
        <w:t xml:space="preserve"> </w:t>
      </w:r>
      <w:r>
        <w:rPr>
          <w:rFonts w:ascii="Arial" w:cs="Arial" w:eastAsia="Arial" w:hAnsi="Arial"/>
          <w:sz w:val="18"/>
          <w:szCs w:val="18"/>
          <w:color w:val="auto"/>
        </w:rPr>
        <w:t>OcuLight SL and OcuLightSLx lasers deliver infrared (810 nm) laser light.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delivery devices are typically used with our IQ and OcuLight laser systems:</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i w:val="1"/>
          <w:iCs w:val="1"/>
          <w:color w:val="auto"/>
        </w:rPr>
        <w:t xml:space="preserve">TxCell Scanning Laser Delivery System (“TxCell”). </w:t>
      </w:r>
      <w:r>
        <w:rPr>
          <w:rFonts w:ascii="Arial" w:cs="Arial" w:eastAsia="Arial" w:hAnsi="Arial"/>
          <w:sz w:val="18"/>
          <w:szCs w:val="18"/>
          <w:color w:val="auto"/>
        </w:rPr>
        <w:t>TxCell allows the physician to perform multi-spot pattern scanning for efficient delivery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MicroPulse laser.</w:t>
      </w:r>
    </w:p>
    <w:p>
      <w:pPr>
        <w:spacing w:after="0" w:line="62" w:lineRule="exact"/>
        <w:rPr>
          <w:sz w:val="20"/>
          <w:szCs w:val="20"/>
          <w:color w:val="auto"/>
        </w:rPr>
      </w:pPr>
    </w:p>
    <w:p>
      <w:pPr>
        <w:ind w:right="560" w:firstLine="546"/>
        <w:spacing w:after="0" w:line="263" w:lineRule="auto"/>
        <w:rPr>
          <w:sz w:val="20"/>
          <w:szCs w:val="20"/>
          <w:color w:val="auto"/>
        </w:rPr>
      </w:pPr>
      <w:r>
        <w:rPr>
          <w:rFonts w:ascii="Arial" w:cs="Arial" w:eastAsia="Arial" w:hAnsi="Arial"/>
          <w:sz w:val="18"/>
          <w:szCs w:val="18"/>
          <w:i w:val="1"/>
          <w:iCs w:val="1"/>
          <w:color w:val="auto"/>
        </w:rPr>
        <w:t xml:space="preserve">Slit Lamp Adapter (“SLA”). </w:t>
      </w:r>
      <w:r>
        <w:rPr>
          <w:rFonts w:ascii="Arial" w:cs="Arial" w:eastAsia="Arial" w:hAnsi="Arial"/>
          <w:sz w:val="18"/>
          <w:szCs w:val="18"/>
          <w:color w:val="auto"/>
        </w:rPr>
        <w:t>These adapters allow the physician to utilize a standard slit lamp in both diagnosis and treatment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can install an SLA in a few minutes and convert standard diagnostic slit lamps into a therapeutic laser delivery system. SLAs are used in treatment procedures for both retinal diseases and glaucoma.</w:t>
      </w:r>
    </w:p>
    <w:p>
      <w:pPr>
        <w:spacing w:after="0" w:line="76"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i w:val="1"/>
          <w:iCs w:val="1"/>
          <w:color w:val="auto"/>
        </w:rPr>
        <w:t xml:space="preserve">Laser Indirect Ophthalmoscope (“LIO”). </w:t>
      </w:r>
      <w:r>
        <w:rPr>
          <w:rFonts w:ascii="Arial" w:cs="Arial" w:eastAsia="Arial" w:hAnsi="Arial"/>
          <w:sz w:val="18"/>
          <w:szCs w:val="18"/>
          <w:color w:val="auto"/>
        </w:rPr>
        <w:t>The indirect ophthalmoscope is designed to be worn on the physician’s head and to be used in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to treat peripheral retinal disorders, particularly in infants or adults requiring treatment in the supine position. This product can be used in both diagnosis and treatment procedures at the point-of-care.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Single-use disposable probes</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 xml:space="preserve">MicroPulse P3 Probe. </w:t>
      </w:r>
      <w:r>
        <w:rPr>
          <w:rFonts w:ascii="Arial" w:cs="Arial" w:eastAsia="Arial" w:hAnsi="Arial"/>
          <w:sz w:val="18"/>
          <w:szCs w:val="18"/>
          <w:color w:val="auto"/>
        </w:rPr>
        <w:t>The MP3 Probe is used with our Cyclo G6 laser system to perform MicroPulse TLT. The MP3 is used on an anesthetized eye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doctor’s office or in the OR.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ind w:right="120" w:firstLine="546"/>
        <w:spacing w:after="0" w:line="273" w:lineRule="auto"/>
        <w:rPr>
          <w:sz w:val="20"/>
          <w:szCs w:val="20"/>
          <w:color w:val="auto"/>
        </w:rPr>
      </w:pPr>
      <w:r>
        <w:rPr>
          <w:rFonts w:ascii="Arial" w:cs="Arial" w:eastAsia="Arial" w:hAnsi="Arial"/>
          <w:sz w:val="17"/>
          <w:szCs w:val="17"/>
          <w:color w:val="auto"/>
        </w:rPr>
        <w:t>Since the launch of the MP3 probe in 2015, we have worked with physicians to optimize treatment techniques and clinical outcomes. During our collaborations, we learned that minor ergonomic probe modifications could facilitate easier use and result in more consistent clinical outcomes. In the fourth quarter of fiscal year 2019, we released a revised MP3 (Rev 2) probe that reflects these modifications. Initial feedback from approximately 150 physicians has been very positive in terms of better viewing of the treatment area, ease of treating small eyes and deep-set eyes, more intuitive probe orientation and placement, better stabilization of the probe on the eye, and improved light coupling to the tissue. In addition, physicians have continued to observe excellent safety profiles and good preliminary clinical results.</w:t>
      </w:r>
    </w:p>
    <w:p>
      <w:pPr>
        <w:spacing w:after="0" w:line="70" w:lineRule="exact"/>
        <w:rPr>
          <w:sz w:val="20"/>
          <w:szCs w:val="20"/>
          <w:color w:val="auto"/>
        </w:rPr>
      </w:pPr>
    </w:p>
    <w:p>
      <w:pPr>
        <w:ind w:right="200" w:firstLine="546"/>
        <w:spacing w:after="0" w:line="311" w:lineRule="auto"/>
        <w:rPr>
          <w:sz w:val="20"/>
          <w:szCs w:val="20"/>
          <w:color w:val="auto"/>
        </w:rPr>
      </w:pPr>
      <w:r>
        <w:rPr>
          <w:rFonts w:ascii="Arial" w:cs="Arial" w:eastAsia="Arial" w:hAnsi="Arial"/>
          <w:sz w:val="16"/>
          <w:szCs w:val="16"/>
          <w:i w:val="1"/>
          <w:iCs w:val="1"/>
          <w:color w:val="auto"/>
        </w:rPr>
        <w:t xml:space="preserve">G-Probe. </w:t>
      </w:r>
      <w:r>
        <w:rPr>
          <w:rFonts w:ascii="Arial" w:cs="Arial" w:eastAsia="Arial" w:hAnsi="Arial"/>
          <w:sz w:val="16"/>
          <w:szCs w:val="16"/>
          <w:color w:val="auto"/>
        </w:rPr>
        <w:t>The G-Probe is used in procedures to treat uncontrolled glaucoma, typically described as “refractory glaucoma”. The G-Probe delivers</w:t>
      </w:r>
      <w:r>
        <w:rPr>
          <w:rFonts w:ascii="Arial" w:cs="Arial" w:eastAsia="Arial" w:hAnsi="Arial"/>
          <w:sz w:val="16"/>
          <w:szCs w:val="16"/>
          <w:i w:val="1"/>
          <w:iCs w:val="1"/>
          <w:color w:val="auto"/>
        </w:rPr>
        <w:t xml:space="preserve"> </w:t>
      </w:r>
      <w:r>
        <w:rPr>
          <w:rFonts w:ascii="Arial" w:cs="Arial" w:eastAsia="Arial" w:hAnsi="Arial"/>
          <w:sz w:val="16"/>
          <w:szCs w:val="16"/>
          <w:color w:val="auto"/>
        </w:rPr>
        <w:t>CW laser to the ciliary body and is believed to stop the production of aqueous humor, thus reducing IOP. The G-Probe’s non-invasive procedure takes approximately ten minutes and is performed on an anesthetized eye in the doctor’s office or OR. The G-Probe is a sterile disposable product.</w:t>
      </w:r>
    </w:p>
    <w:p>
      <w:pPr>
        <w:spacing w:after="0" w:line="4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i w:val="1"/>
          <w:iCs w:val="1"/>
          <w:color w:val="auto"/>
        </w:rPr>
        <w:t xml:space="preserve">G-Probe Illuminate. </w:t>
      </w:r>
      <w:r>
        <w:rPr>
          <w:rFonts w:ascii="Arial" w:cs="Arial" w:eastAsia="Arial" w:hAnsi="Arial"/>
          <w:sz w:val="18"/>
          <w:szCs w:val="18"/>
          <w:color w:val="auto"/>
        </w:rPr>
        <w:t>The G-Probe Illuminate is also used in procedures to treat refractory glaucoma. The proprietary illumination feature allows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targeted treatment and may offer additional clinical benefits. The G-Probe Illuminate is a sterile disposable product.</w:t>
      </w:r>
    </w:p>
    <w:p>
      <w:pPr>
        <w:spacing w:after="0" w:line="62"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 xml:space="preserve">EndoProbe. </w:t>
      </w:r>
      <w:r>
        <w:rPr>
          <w:rFonts w:ascii="Arial" w:cs="Arial" w:eastAsia="Arial" w:hAnsi="Arial"/>
          <w:sz w:val="18"/>
          <w:szCs w:val="18"/>
          <w:color w:val="auto"/>
        </w:rPr>
        <w:t>Our EndoProbe family of products are used for endophotocoagulation, a retinal treatment procedure performed in the hospital OR or</w:t>
      </w:r>
      <w:r>
        <w:rPr>
          <w:rFonts w:ascii="Arial" w:cs="Arial" w:eastAsia="Arial" w:hAnsi="Arial"/>
          <w:sz w:val="18"/>
          <w:szCs w:val="18"/>
          <w:i w:val="1"/>
          <w:iCs w:val="1"/>
          <w:color w:val="auto"/>
        </w:rPr>
        <w:t xml:space="preserve"> </w:t>
      </w:r>
      <w:r>
        <w:rPr>
          <w:rFonts w:ascii="Arial" w:cs="Arial" w:eastAsia="Arial" w:hAnsi="Arial"/>
          <w:sz w:val="18"/>
          <w:szCs w:val="18"/>
          <w:color w:val="auto"/>
        </w:rPr>
        <w:t>surgery center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62" w:lineRule="exact"/>
        <w:rPr>
          <w:sz w:val="20"/>
          <w:szCs w:val="20"/>
          <w:color w:val="auto"/>
        </w:rPr>
      </w:pPr>
    </w:p>
    <w:p>
      <w:pPr>
        <w:ind w:right="220" w:firstLine="546"/>
        <w:spacing w:after="0" w:line="255" w:lineRule="auto"/>
        <w:rPr>
          <w:sz w:val="20"/>
          <w:szCs w:val="20"/>
          <w:color w:val="auto"/>
        </w:rPr>
      </w:pPr>
      <w:r>
        <w:rPr>
          <w:rFonts w:ascii="Arial" w:cs="Arial" w:eastAsia="Arial" w:hAnsi="Arial"/>
          <w:sz w:val="18"/>
          <w:szCs w:val="18"/>
          <w:color w:val="auto"/>
        </w:rPr>
        <w:t>Our internal research and development (“R&amp;D”) activities are performed by a current team of nine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necessary disciplines of the Company from product inception through customer acceptance. This process facilitates reliable new product innovations and a consistent pipeline of innovative products for our customers.</w:t>
      </w:r>
    </w:p>
    <w:p>
      <w:pPr>
        <w:spacing w:after="0" w:line="84" w:lineRule="exact"/>
        <w:rPr>
          <w:sz w:val="20"/>
          <w:szCs w:val="20"/>
          <w:color w:val="auto"/>
        </w:rPr>
      </w:pPr>
    </w:p>
    <w:p>
      <w:pPr>
        <w:jc w:val="both"/>
        <w:ind w:right="260" w:firstLine="546"/>
        <w:spacing w:after="0" w:line="263" w:lineRule="auto"/>
        <w:rPr>
          <w:sz w:val="20"/>
          <w:szCs w:val="20"/>
          <w:color w:val="auto"/>
        </w:rPr>
      </w:pPr>
      <w:r>
        <w:rPr>
          <w:rFonts w:ascii="Arial" w:cs="Arial" w:eastAsia="Arial" w:hAnsi="Arial"/>
          <w:sz w:val="18"/>
          <w:szCs w:val="18"/>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76"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color w:val="auto"/>
        </w:rPr>
        <w:t>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w:t>
      </w:r>
    </w:p>
    <w:p>
      <w:pPr>
        <w:spacing w:after="0" w:line="79" w:lineRule="exact"/>
        <w:rPr>
          <w:sz w:val="20"/>
          <w:szCs w:val="20"/>
          <w:color w:val="auto"/>
        </w:rPr>
      </w:pPr>
    </w:p>
    <w:p>
      <w:pPr>
        <w:ind w:right="600" w:firstLine="546"/>
        <w:spacing w:after="0" w:line="375" w:lineRule="auto"/>
        <w:rPr>
          <w:sz w:val="20"/>
          <w:szCs w:val="20"/>
          <w:color w:val="auto"/>
        </w:rPr>
      </w:pPr>
      <w:r>
        <w:rPr>
          <w:rFonts w:ascii="Arial" w:cs="Arial" w:eastAsia="Arial" w:hAnsi="Arial"/>
          <w:sz w:val="18"/>
          <w:szCs w:val="18"/>
          <w:color w:val="auto"/>
        </w:rPr>
        <w:t xml:space="preserve">We consider clinical projects to be a component of our R&amp;D efforts and they may or may not result in additional commercial opportunities. </w:t>
      </w:r>
      <w:r>
        <w:rPr>
          <w:rFonts w:ascii="Arial" w:cs="Arial" w:eastAsia="Arial" w:hAnsi="Arial"/>
          <w:sz w:val="18"/>
          <w:szCs w:val="18"/>
          <w:b w:val="1"/>
          <w:bCs w:val="1"/>
          <w:color w:val="auto"/>
        </w:rPr>
        <w:t>Customers and Customer Support</w:t>
      </w:r>
    </w:p>
    <w:p>
      <w:pPr>
        <w:spacing w:after="0" w:line="1"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and office clinics (outpatient). No single customer or distributor accounted for 10% or more of total revenues in fiscal years 2019 and 2018.</w:t>
      </w:r>
    </w:p>
    <w:p>
      <w:pPr>
        <w:spacing w:after="0" w:line="76"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20" w:firstLine="546"/>
        <w:spacing w:after="0" w:line="259" w:lineRule="auto"/>
        <w:rPr>
          <w:sz w:val="20"/>
          <w:szCs w:val="20"/>
          <w:color w:val="auto"/>
        </w:rPr>
      </w:pPr>
      <w:r>
        <w:rPr>
          <w:rFonts w:ascii="Arial" w:cs="Arial" w:eastAsia="Arial" w:hAnsi="Arial"/>
          <w:sz w:val="18"/>
          <w:szCs w:val="18"/>
          <w:color w:val="auto"/>
        </w:rPr>
        <w:t>We sell and market our products in the United States and Germany predominantly through our direct sales force and internationally (aside from Germany) primarily through independent distributors. Currently we have a direct sales force of 18 employees who are engaged in sales efforts within the United States, 1 in Germany and 5 personnel engaged in managing our distribution sales efforts internationally. Our sales are administered through our corporate headquarters in Mountain View, California.</w:t>
      </w:r>
    </w:p>
    <w:p>
      <w:pPr>
        <w:spacing w:after="0" w:line="79"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International revenues represented 48.7% and 48.1% of our revenues in 2019 and 2018, respectively. We believe that our international sales will continue to represent a significant portion of our revenues for the foreseeable future. Our international sales are made principally to customers in Europe, Asia, the Pacific Rim, the Middle East, Russia, Africa and Latin America. Our distribution agreements with our international distributors are generally exclusive and typically can be terminated by either party without cause with 90 days’ notice. International sales may be adversely affected by currency fluctuations, the imposition of governmental controls, restrictions on export technology, political instability, trade restrictions, changes in tariffs, tax treaties and the economic condition in each country in which we sell our products.</w:t>
      </w:r>
    </w:p>
    <w:p>
      <w:pPr>
        <w:spacing w:after="0" w:line="70" w:lineRule="exact"/>
        <w:rPr>
          <w:sz w:val="20"/>
          <w:szCs w:val="20"/>
          <w:color w:val="auto"/>
        </w:rPr>
      </w:pPr>
    </w:p>
    <w:p>
      <w:pPr>
        <w:ind w:right="180" w:firstLine="546"/>
        <w:spacing w:after="0" w:line="311" w:lineRule="auto"/>
        <w:rPr>
          <w:sz w:val="20"/>
          <w:szCs w:val="20"/>
          <w:color w:val="auto"/>
        </w:rPr>
      </w:pPr>
      <w:r>
        <w:rPr>
          <w:rFonts w:ascii="Arial" w:cs="Arial" w:eastAsia="Arial" w:hAnsi="Arial"/>
          <w:sz w:val="16"/>
          <w:szCs w:val="16"/>
          <w:color w:val="auto"/>
        </w:rPr>
        <w:t>To support our sales process, we conduct marketing programs which include: our website, clinical education, social media, email marketing, trade shows, public relations, market research, key opinion leader collaborations and advertising in trade and academic journals and newsletters. We typically participate in over 85 trade shows worldwide on an annual basis. These meetings allow us to present our products to existing and prospective buyers.</w:t>
      </w:r>
    </w:p>
    <w:p>
      <w:pPr>
        <w:spacing w:after="0" w:line="4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Through marketing, we collaborate with our customers to identify new products and applications which help meet their needs, and in turn provides us with new product concepts, enhances our ability to identify new applications for our products and validates new procedures using our products. Customers include key opinion leaders who are often the heads of the departments in which they work or professors at universities. We believe that these luminaries in the field of ophthalmology are key to the successful introduction of new products and the subsequent acceptance of these new products by the general market. Acceptance of our products by these early adopters is key to our strategy in the validation and commercialization of our new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Affairs</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Our clinical affairs group was established to support clinical research opportunities, provide specialized ophthalmic surgeon training and credentialing for our proprietary MicroPulse™ products, establish strong relationships with prominent key opinion leaders and assure the accuracy and consistency our messaging to the market. We believe that a strong research program underlying marketing initiatives and professional level training for our customers are key to driving the application of our technology for more widespread and consistent use.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manufacture of our visible light and infrared laser consoles and the related delivery devices is a highly complex and precise process. Completed systems must pass quality control and reliability tests before shipment. Our manufacturing activities consist of specifying, sourcing, assembling and testing of components and certain subassemblies for assembly into our final product. Currently we have a total of 11 employees engaged in manufacturing activities for these products.</w:t>
      </w:r>
    </w:p>
    <w:p>
      <w:pPr>
        <w:spacing w:after="0" w:line="79"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February 2004, we were certified to ISO 13485:2003, which replaced ISO 9001/EN46001 as the international standard for quality systems as applied to medical devices. In December 2018, we were certified to ISO 13485:2016, which superseded the 2003 version of the standard. In August 2008, we received FDA 510(k) clearance on our family of IRIDEX IQ laser systems. This clearance covers the IRIDEX IQ 532 and IQ 577 laser systems and their associated delivery devices to deliver laser energy in either CW or MicroPulse mode. In January 2015, we received FDA 510(k) clearance for Cyclo G6. These laser systems are intended for a wide range of specific applications in the medical specialties of ophthalmology.</w:t>
      </w:r>
    </w:p>
    <w:p>
      <w:pPr>
        <w:spacing w:after="0" w:line="73" w:lineRule="exact"/>
        <w:rPr>
          <w:sz w:val="20"/>
          <w:szCs w:val="20"/>
          <w:color w:val="auto"/>
        </w:rPr>
      </w:pPr>
    </w:p>
    <w:p>
      <w:pPr>
        <w:jc w:val="both"/>
        <w:ind w:right="80" w:firstLine="546"/>
        <w:spacing w:after="0" w:line="273" w:lineRule="auto"/>
        <w:rPr>
          <w:sz w:val="20"/>
          <w:szCs w:val="20"/>
          <w:color w:val="auto"/>
        </w:rPr>
      </w:pPr>
      <w:r>
        <w:rPr>
          <w:rFonts w:ascii="Arial" w:cs="Arial" w:eastAsia="Arial" w:hAnsi="Arial"/>
          <w:sz w:val="17"/>
          <w:szCs w:val="17"/>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products demonstrating compliance to the European Medical Device Directives and all applicable standards. In July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Currently, all of our released products are CE marked. Continued certification is based on successful review of the process by our European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ind w:right="20"/>
        <w:spacing w:after="0" w:line="291" w:lineRule="auto"/>
        <w:rPr>
          <w:sz w:val="20"/>
          <w:szCs w:val="20"/>
          <w:color w:val="auto"/>
        </w:rPr>
      </w:pPr>
      <w:r>
        <w:rPr>
          <w:rFonts w:ascii="Arial" w:cs="Arial" w:eastAsia="Arial" w:hAnsi="Arial"/>
          <w:sz w:val="16"/>
          <w:szCs w:val="16"/>
          <w:color w:val="auto"/>
        </w:rPr>
        <w:t>Registrar during its annual audit. Any loss of certification would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such as RetinaLabs. We file patent applications to protect technology, inventions and improvements that are significant to the development of our business. Our patent portfolio includes 23 active United States patents and 5 active foreign patents on the technologies related to our products and processes. In addition, we have 4 patent applications pending in the United States and 12 foreign patent applications pending. Our patent applications may not be approved.</w:t>
      </w:r>
    </w:p>
    <w:p>
      <w:pPr>
        <w:spacing w:after="0" w:line="84"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 w:name="page11"/>
    <w:bookmarkEnd w:id="10"/>
    <w:p>
      <w:pPr>
        <w:ind w:right="20" w:firstLine="546"/>
        <w:spacing w:after="0" w:line="269" w:lineRule="auto"/>
        <w:rPr>
          <w:sz w:val="20"/>
          <w:szCs w:val="20"/>
          <w:color w:val="auto"/>
        </w:rPr>
      </w:pPr>
      <w:r>
        <w:rPr>
          <w:rFonts w:ascii="Arial" w:cs="Arial" w:eastAsia="Arial" w:hAnsi="Arial"/>
          <w:sz w:val="17"/>
          <w:szCs w:val="17"/>
          <w:color w:val="auto"/>
        </w:rPr>
        <w:t>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subject to general controls (for example, labeling, pre-market notification and adherence to Quality System Regulations (“QSRs”) requirements). Class II devices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of the device’s safety and efficacy be performed.</w:t>
      </w:r>
    </w:p>
    <w:p>
      <w:pPr>
        <w:spacing w:after="0" w:line="7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three and six months from the date of submission to grant a 510(k) clearance, but it may take longer.</w:t>
      </w:r>
    </w:p>
    <w:p>
      <w:pPr>
        <w:spacing w:after="0" w:line="79"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efficacy of the device or that constitute a major change to the intended use of the device will require new 510(k) submissions.</w:t>
      </w:r>
    </w:p>
    <w:p>
      <w:pPr>
        <w:spacing w:after="0" w:line="79"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We have obtained 510(k) clearances for all of our marketed products.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84"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w:t>
      </w:r>
    </w:p>
    <w:p>
      <w:pPr>
        <w:spacing w:after="0" w:line="69"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8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ind w:firstLine="546"/>
        <w:spacing w:after="0" w:line="275" w:lineRule="auto"/>
        <w:rPr>
          <w:sz w:val="20"/>
          <w:szCs w:val="20"/>
          <w:color w:val="auto"/>
        </w:rPr>
      </w:pPr>
      <w:r>
        <w:rPr>
          <w:rFonts w:ascii="Arial" w:cs="Arial" w:eastAsia="Arial" w:hAnsi="Arial"/>
          <w:sz w:val="17"/>
          <w:szCs w:val="17"/>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68"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European Union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6"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w:t>
      </w:r>
    </w:p>
    <w:p>
      <w:pPr>
        <w:spacing w:after="0" w:line="70"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5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2" w:name="page13"/>
    <w:bookmarkEnd w:id="12"/>
    <w:p>
      <w:pPr>
        <w:ind w:right="120" w:firstLine="546"/>
        <w:spacing w:after="0" w:line="311" w:lineRule="auto"/>
        <w:rPr>
          <w:sz w:val="20"/>
          <w:szCs w:val="20"/>
          <w:color w:val="auto"/>
        </w:rPr>
      </w:pPr>
      <w:r>
        <w:rPr>
          <w:rFonts w:ascii="Arial" w:cs="Arial" w:eastAsia="Arial" w:hAnsi="Arial"/>
          <w:sz w:val="16"/>
          <w:szCs w:val="16"/>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Seasonality</w:t>
      </w:r>
    </w:p>
    <w:p>
      <w:pPr>
        <w:spacing w:after="0" w:line="121" w:lineRule="exact"/>
        <w:rPr>
          <w:sz w:val="20"/>
          <w:szCs w:val="20"/>
          <w:color w:val="auto"/>
        </w:rPr>
      </w:pPr>
    </w:p>
    <w:p>
      <w:pPr>
        <w:jc w:val="both"/>
        <w:ind w:right="420" w:firstLine="546"/>
        <w:spacing w:after="0" w:line="311" w:lineRule="auto"/>
        <w:rPr>
          <w:sz w:val="20"/>
          <w:szCs w:val="20"/>
          <w:color w:val="auto"/>
        </w:rPr>
      </w:pPr>
      <w:r>
        <w:rPr>
          <w:rFonts w:ascii="Arial" w:cs="Arial" w:eastAsia="Arial" w:hAnsi="Arial"/>
          <w:sz w:val="16"/>
          <w:szCs w:val="16"/>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As of December 28, 2019, we had a total of 94 full-time equivalent employees engaged in our ongoing operations, including 37 in operations (including manufacturing, quality, logistics and service), 36 in sales and marketing which does not include 4 consultants and one independent sales representative, 9 in R&amp;D and 12 in finance and administration. We also employ, from time to time, a number of temporary and part-time employees as well as consultants on a contract basis. As of December 28, 2019, we had 38 such persons serving in such roles. Our future success will depend in part on our ability to attract, train, retain and motivate highly qualified employees, who are in great demand. We may not be successful in attracting and retaining such personnel. Our employees are not represented by a collective bargaining organization, and we have never experienced a work stoppage or strike. We consider our employee relations to be good.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spacing w:after="0" w:line="79"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780" w:firstLine="546"/>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00" w:firstLine="546"/>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In the past several years, we have experienced supply chain, production and training issues as we have expanded our product lines and sales volumes, and may experience similar issues in the future as we continue to grow our business. For example, we contract with a manufacturing company located in Wuhan, China for certain laser systems scheduled for release in the latter half of 2020. Due to the COVID-19 or coronavirus outbreak in China,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8"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88" w:lineRule="exact"/>
        <w:rPr>
          <w:sz w:val="20"/>
          <w:szCs w:val="20"/>
          <w:color w:val="auto"/>
        </w:rPr>
      </w:pPr>
    </w:p>
    <w:p>
      <w:pPr>
        <w:ind w:right="180" w:firstLine="546"/>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56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18 employees and one independent representative, respectively and our direct sales force in Germany consists of one employee. Our international independent distributors are managed by a team of 5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70"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We may be unable to recruit and retain qualified personnel in Germany as part of our direct sales team.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180" w:firstLine="546"/>
        <w:spacing w:after="0" w:line="257" w:lineRule="auto"/>
        <w:rPr>
          <w:sz w:val="20"/>
          <w:szCs w:val="20"/>
          <w:color w:val="auto"/>
        </w:rPr>
      </w:pPr>
      <w:r>
        <w:rPr>
          <w:rFonts w:ascii="Arial" w:cs="Arial" w:eastAsia="Arial" w:hAnsi="Arial"/>
          <w:sz w:val="18"/>
          <w:szCs w:val="18"/>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fiscal year ended December 28, 2019, our international sales were $21.2 million, or 48.7% of total revenues. We anticipate that international sales will continue to account for a significant portion of our revenues in the foreseeable future. All of our international revenues and costs for the fiscal year ended December 28, 2019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60" w:firstLine="546"/>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320" w:firstLine="546"/>
        <w:spacing w:after="0" w:line="257"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spread of coronavirus may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right="180" w:firstLine="546"/>
        <w:spacing w:after="0" w:line="273" w:lineRule="auto"/>
        <w:rPr>
          <w:sz w:val="20"/>
          <w:szCs w:val="20"/>
          <w:color w:val="auto"/>
        </w:rPr>
      </w:pPr>
      <w:r>
        <w:rPr>
          <w:rFonts w:ascii="Arial" w:cs="Arial" w:eastAsia="Arial" w:hAnsi="Arial"/>
          <w:sz w:val="17"/>
          <w:szCs w:val="17"/>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480" w:firstLine="546"/>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7" w:name="page18"/>
    <w:bookmarkEnd w:id="17"/>
    <w:p>
      <w:pPr>
        <w:ind w:right="260" w:firstLine="546"/>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80" w:right="8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right="260" w:firstLine="546"/>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December 28, 2019, we had 13,785,233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9"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As of December 28, 2019, holders of an aggregate of 973,204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80"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 xml:space="preserve">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eliminates the tax penalty for individuals who do not maintain sufficient health insurance coverage beginning in 2019 (the “individual mandate”). We anticipate continued Congressional interest in modifying provisions of the Affordable Care Act, particularly given the recent ruling in </w:t>
      </w:r>
      <w:r>
        <w:rPr>
          <w:rFonts w:ascii="Arial" w:cs="Arial" w:eastAsia="Arial" w:hAnsi="Arial"/>
          <w:sz w:val="17"/>
          <w:szCs w:val="17"/>
          <w:i w:val="1"/>
          <w:iCs w:val="1"/>
          <w:color w:val="auto"/>
        </w:rPr>
        <w:t>Texas v. Azar</w:t>
      </w:r>
      <w:r>
        <w:rPr>
          <w:rFonts w:ascii="Arial" w:cs="Arial" w:eastAsia="Arial" w:hAnsi="Arial"/>
          <w:sz w:val="17"/>
          <w:szCs w:val="17"/>
          <w:color w:val="auto"/>
        </w:rPr>
        <w:t xml:space="preserve"> to invalidate the law as unconstitutional.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6"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Texas v. Azar</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100" w:firstLine="546"/>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3"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46"/>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right="680" w:firstLine="546"/>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23 active United States patents and 5 active foreign patents on the technologies related to our products and processes. In addition, we have 4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3" w:lineRule="exact"/>
        <w:rPr>
          <w:sz w:val="20"/>
          <w:szCs w:val="20"/>
          <w:color w:val="auto"/>
        </w:rPr>
      </w:pPr>
    </w:p>
    <w:p>
      <w:pPr>
        <w:ind w:right="260" w:firstLine="546"/>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left="56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46"/>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500" w:firstLine="546"/>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46"/>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left="56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catastrophic wildfires, as well as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56"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ind w:right="100" w:firstLine="546"/>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1" w:lineRule="exact"/>
        <w:rPr>
          <w:sz w:val="20"/>
          <w:szCs w:val="20"/>
          <w:color w:val="auto"/>
        </w:rPr>
      </w:pPr>
    </w:p>
    <w:p>
      <w:pPr>
        <w:ind w:right="420" w:firstLine="546"/>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4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46"/>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400" w:firstLine="546"/>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Certain of our materials may be subject to the effects of various trade agreements, treaties and tariffs. The current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6"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jc w:val="both"/>
        <w:ind w:right="580" w:firstLine="546"/>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4"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8" w:lineRule="exact"/>
        <w:rPr>
          <w:sz w:val="20"/>
          <w:szCs w:val="20"/>
          <w:color w:val="auto"/>
        </w:rPr>
      </w:pPr>
    </w:p>
    <w:p>
      <w:pPr>
        <w:ind w:right="320" w:firstLine="546"/>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fiscal year ended December 28, 2019, the trading price of our common stock fluctuated from a low of $1.57 per share to a high of $5.61 per share. During the fourth fiscal quarter ended December 28, 2019, the trading price of our common stock fluctuated from $1.77 per share to a high of $2.57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Because we do not intend to pay dividends, stockholders will benefit from an investment in our common stock only if it appreciates in value.</w:t>
      </w:r>
    </w:p>
    <w:p>
      <w:pPr>
        <w:spacing w:after="0" w:line="15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Ownership of our common stock is concentrated among a few investors, which may affect the ability of a third party to acquire control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December 28, 2019.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jc w:val="both"/>
        <w:ind w:right="500" w:firstLine="546"/>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lease a 37,166 square feet facility in Mountain View, California pursuant to a lease that is scheduled to expire in February 2022.</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60"/>
        <w:spacing w:after="0" w:line="378"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 for Common Equity</w:t>
      </w:r>
    </w:p>
    <w:p>
      <w:pPr>
        <w:ind w:left="560"/>
        <w:spacing w:after="0"/>
        <w:rPr>
          <w:sz w:val="20"/>
          <w:szCs w:val="20"/>
          <w:color w:val="auto"/>
        </w:rPr>
      </w:pPr>
      <w:r>
        <w:rPr>
          <w:rFonts w:ascii="Arial" w:cs="Arial" w:eastAsia="Arial" w:hAnsi="Arial"/>
          <w:sz w:val="18"/>
          <w:szCs w:val="18"/>
          <w:color w:val="auto"/>
        </w:rPr>
        <w:t>Our common stock is currently quoted on the Nasdaq Global Market under the symbol “IRIX”.</w:t>
      </w:r>
    </w:p>
    <w:p>
      <w:pPr>
        <w:spacing w:after="0" w:line="13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As of February 27, 2020,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We have never paid cash dividends on our common stock. We currently intend to retain any earnings for use in our business and do not anticipate paying cash dividends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1" w:name="page32"/>
    <w:bookmarkEnd w:id="31"/>
    <w:p>
      <w:pPr>
        <w:ind w:right="37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10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80" w:right="180" w:hanging="532"/>
        <w:spacing w:after="0" w:line="282"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80" w:hanging="532"/>
        <w:spacing w:after="0" w:line="26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right="120" w:hanging="532"/>
        <w:spacing w:after="0" w:line="282"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recently patented MicroPulse P3 (“MP3”) probe, G-Probe and G-Probe</w:t>
      </w:r>
      <w:r>
        <w:rPr>
          <w:rFonts w:ascii="Arial" w:cs="Arial" w:eastAsia="Arial" w:hAnsi="Arial"/>
          <w:sz w:val="18"/>
          <w:szCs w:val="18"/>
          <w:b w:val="1"/>
          <w:bCs w:val="1"/>
          <w:color w:val="auto"/>
        </w:rPr>
        <w:t xml:space="preserve"> </w:t>
      </w:r>
      <w:r>
        <w:rPr>
          <w:rFonts w:ascii="Arial" w:cs="Arial" w:eastAsia="Arial" w:hAnsi="Arial"/>
          <w:sz w:val="18"/>
          <w:szCs w:val="18"/>
          <w:color w:val="auto"/>
        </w:rPr>
        <w:t>Illuminate; and</w:t>
      </w:r>
    </w:p>
    <w:p>
      <w:pPr>
        <w:spacing w:after="0" w:line="53"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jc w:val="both"/>
        <w:ind w:right="12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ORs and ambulatory surgical centers (“ASCs”), as well as their offices and clinics. In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firstLine="546"/>
        <w:spacing w:after="0" w:line="279"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 Total revenues in 2019 and 2018 were $43.4 million and $42.6 million, respectively. We generated net losses of $8.8 million and $12.8 million in 2019 and 2018.</w:t>
      </w:r>
    </w:p>
    <w:p>
      <w:pPr>
        <w:spacing w:after="0" w:line="61" w:lineRule="exact"/>
        <w:rPr>
          <w:sz w:val="20"/>
          <w:szCs w:val="20"/>
          <w:color w:val="auto"/>
        </w:rPr>
      </w:pPr>
    </w:p>
    <w:p>
      <w:pPr>
        <w:ind w:right="340" w:firstLine="546"/>
        <w:spacing w:after="0" w:line="308"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38"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- 2019 and 2018</w:t>
      </w:r>
    </w:p>
    <w:p>
      <w:pPr>
        <w:spacing w:after="0" w:line="121"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Our fiscal year ends on the Saturday closest to December 31. Fiscal 2019 ended on December 28, 2019 and fiscal 2018 ended on December 29, 2018. Fiscal years 2019 and 2018 each included 52 weeks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color w:val="auto"/>
        </w:rPr>
        <w:t>The following table sets forth certain operating data as a percentage of revenue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Percentage of Revenue</w:t>
            </w: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306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Years Ended</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17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FY 2019</w:t>
            </w: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FY 2018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28, 2019</w:t>
            </w:r>
          </w:p>
        </w:tc>
        <w:tc>
          <w:tcPr>
            <w:tcW w:w="380" w:type="dxa"/>
            <w:vAlign w:val="bottom"/>
            <w:tcBorders>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29,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Cost of revenues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41.3%</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34.2%</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19.3%</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62.0%</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vMerge w:val="continue"/>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Our total revenues increased $0.8 million or 2.0% from $42.6 million in 2018 to $43.4 million in 2019. The increase is primarily due to an increase in sales of our G6 products and other revenues, partially offset by a decrease in sales of our retina products. Revenues from G6 products increased 10.6% driven by an increase in both domestic and international sales. Revenues from retina products decreased 3.5% driven by a decrease in both domestic and international sales. Other revenues, comprising of service, royalty, freight and legacy G probes, increased 6.0% due mainly to an increase in our service and royalty revenues.</w:t>
      </w:r>
    </w:p>
    <w:p>
      <w:pPr>
        <w:spacing w:after="0" w:line="220"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21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FY 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FY 2018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 in $</w:t>
            </w:r>
          </w:p>
        </w:tc>
        <w:tc>
          <w:tcPr>
            <w:tcW w:w="26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Retina</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22,879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23,711</w:t>
            </w:r>
          </w:p>
        </w:tc>
        <w:tc>
          <w:tcPr>
            <w:tcW w:w="26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0"/>
        </w:trPr>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Gross profit increased $0.5 million or 2.7% from $17.5 million in 2018 to $17.9 million in 2019. Gross margin increased 0.3 percentage points from 41.0% in 2018 to 41.3% in 2019. The improvement in gross margin is primarily attributable to a decrease in manufacturing overhead spending, partially offset by decreases driven by a shift in geographical mix and an increase in manufacturing overhead variances.</w:t>
      </w:r>
    </w:p>
    <w:p>
      <w:pPr>
        <w:spacing w:after="0" w:line="76" w:lineRule="exact"/>
        <w:rPr>
          <w:sz w:val="20"/>
          <w:szCs w:val="20"/>
          <w:color w:val="auto"/>
        </w:rPr>
      </w:pPr>
    </w:p>
    <w:p>
      <w:pPr>
        <w:ind w:right="40" w:firstLine="546"/>
        <w:spacing w:after="0" w:line="342" w:lineRule="auto"/>
        <w:rPr>
          <w:sz w:val="20"/>
          <w:szCs w:val="20"/>
          <w:color w:val="auto"/>
        </w:rPr>
      </w:pPr>
      <w:r>
        <w:rPr>
          <w:rFonts w:ascii="Arial" w:cs="Arial" w:eastAsia="Arial" w:hAnsi="Arial"/>
          <w:sz w:val="16"/>
          <w:szCs w:val="16"/>
          <w:color w:val="auto"/>
        </w:rPr>
        <w:t>Gross margins are expected to continue to fluctuate due to changes in the relative proportions of domestic and international sales, the product mix of sales, manufacturing variances, total unit volume changes that lead to greater or lesser production efficiencies, sales return and a variety of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17" w:lineRule="exact"/>
        <w:rPr>
          <w:sz w:val="20"/>
          <w:szCs w:val="20"/>
          <w:color w:val="auto"/>
        </w:rPr>
      </w:pPr>
    </w:p>
    <w:p>
      <w:pPr>
        <w:ind w:right="440" w:firstLine="546"/>
        <w:spacing w:after="0" w:line="342" w:lineRule="auto"/>
        <w:rPr>
          <w:sz w:val="20"/>
          <w:szCs w:val="20"/>
          <w:color w:val="auto"/>
        </w:rPr>
      </w:pPr>
      <w:r>
        <w:rPr>
          <w:rFonts w:ascii="Arial" w:cs="Arial" w:eastAsia="Arial" w:hAnsi="Arial"/>
          <w:sz w:val="16"/>
          <w:szCs w:val="16"/>
          <w:color w:val="auto"/>
        </w:rPr>
        <w:t>R&amp;D expenses decreased $0.3 million or 8.1% from $4.0 million in 2018 to $3.7 million in 2019. The decrease was attributable primarily to a decrease in bonus accrual, salaries and related costs as a result of decrease in headcount and a decrease in general engineering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Sales and marketing expenses decreased $1.9 million or 11.5%, from $16.8 million in 2018 to $14.9 million in 2019. The decrease was primarily attributable to a decrease in bonus accrual, salaries and related costs due to a decrease in headcount, lower commission expense and lower sales and marketing programs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General and administrative expenses decreased $1.2 million or 12.3% from $9.6 million in 2018 to $8.4 million in 2019. The decrease in spending was primarily attributable to decreases in legal expenses, audit expenses, consulting expenses, bonus accrual, share-based compensation expense and salaries and related costs due to a decrease in headcount.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60" w:firstLine="546"/>
        <w:spacing w:after="0" w:line="277" w:lineRule="auto"/>
        <w:rPr>
          <w:sz w:val="20"/>
          <w:szCs w:val="20"/>
          <w:color w:val="auto"/>
        </w:rPr>
      </w:pPr>
      <w:r>
        <w:rPr>
          <w:rFonts w:ascii="Arial" w:cs="Arial" w:eastAsia="Arial" w:hAnsi="Arial"/>
          <w:sz w:val="18"/>
          <w:szCs w:val="18"/>
          <w:color w:val="auto"/>
        </w:rPr>
        <w:t>Other income, net amounted to $0.2 million in 2019 and $0.1 million in 2018. Other income, net consisted primarily of interest income and the change in expense associated with the fair value re-measurement of the contingent earn-out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We recorded a provision for income taxes of $48 thousand for the year ended December 28, 2019 compared to $37 thousand for the year ended December 29, 2018. The effective tax rate for the year ended December 28, 2019 was negative 0.46% compared to an effective tax rate of negative 0.29% for the year ended December 29, 2018. The income tax valuation allowance was $17.4 million at the end of 2019 compared to $15.5 million at the end of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2019 and 2018</w:t>
      </w:r>
    </w:p>
    <w:p>
      <w:pPr>
        <w:spacing w:after="0" w:line="11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As of December 28, 2019, we had cash and cash equivalents of $12.7 million, no debt and working capital of $20.8 million compared to cash and cash equivalents of $21.2 million, no debt and working capital of $29.1 million as of December 29, 2018.</w:t>
      </w:r>
    </w:p>
    <w:p>
      <w:pPr>
        <w:spacing w:after="0" w:line="62" w:lineRule="exact"/>
        <w:rPr>
          <w:sz w:val="20"/>
          <w:szCs w:val="20"/>
          <w:color w:val="auto"/>
        </w:rPr>
      </w:pPr>
    </w:p>
    <w:p>
      <w:pPr>
        <w:ind w:right="520" w:firstLine="546"/>
        <w:spacing w:after="0" w:line="308" w:lineRule="auto"/>
        <w:rPr>
          <w:sz w:val="20"/>
          <w:szCs w:val="20"/>
          <w:color w:val="auto"/>
        </w:rPr>
      </w:pPr>
      <w:r>
        <w:rPr>
          <w:rFonts w:ascii="Arial" w:cs="Arial" w:eastAsia="Arial" w:hAnsi="Arial"/>
          <w:sz w:val="17"/>
          <w:szCs w:val="17"/>
          <w:color w:val="auto"/>
        </w:rPr>
        <w:t>Net cash used in operating activities was $7.9 million in 2019 compared to $10.0 million in 2018. The decrease in net cash used in operating activities was primarily due to changes in working capital, driven by higher cash collections and decreases in operating expenses.</w:t>
      </w:r>
    </w:p>
    <w:p>
      <w:pPr>
        <w:spacing w:after="0" w:line="38"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During 2019, net cash used in investing activities was $0.5 million, which consisted of $0.1 million for capital expenditures and $0.4 million payments of the contingent earn-out liability. Net cash used in investing activities during 2018 was $0.8 million, which consisted of $0.4 million for capital expenditures and $0.4 million for payment of the contingent earn-out liability.</w:t>
      </w:r>
    </w:p>
    <w:p>
      <w:pPr>
        <w:spacing w:after="0" w:line="76" w:lineRule="exact"/>
        <w:rPr>
          <w:sz w:val="20"/>
          <w:szCs w:val="20"/>
          <w:color w:val="auto"/>
        </w:rPr>
      </w:pPr>
    </w:p>
    <w:p>
      <w:pPr>
        <w:ind w:right="100" w:firstLine="546"/>
        <w:spacing w:after="0" w:line="311" w:lineRule="auto"/>
        <w:rPr>
          <w:sz w:val="20"/>
          <w:szCs w:val="20"/>
          <w:color w:val="auto"/>
        </w:rPr>
      </w:pPr>
      <w:r>
        <w:rPr>
          <w:rFonts w:ascii="Arial" w:cs="Arial" w:eastAsia="Arial" w:hAnsi="Arial"/>
          <w:sz w:val="16"/>
          <w:szCs w:val="16"/>
          <w:color w:val="auto"/>
        </w:rPr>
        <w:t>During 2018, net cash used in financing activities was $0.2 million for payroll taxes related to net share settlement of equity awards. Net cash provided by financing activities during 2018 was $10.4 million, which consisted of $10.5 million net proceeds arising from the issuance of common stock and $0.1 million proceeds from stock option exercises, partially offset by $0.2 million payroll taxes related to net share settlement of equity awards.</w:t>
      </w:r>
    </w:p>
    <w:p>
      <w:pPr>
        <w:spacing w:after="0" w:line="41"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We believe our existing cash and cash equivalents and available line of credit will be sufficient to meet our anticipated cash needs over the next 12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right="400" w:firstLine="546"/>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Extended Warranty, (4) System Repairs (outside of warranty) and (5) Royalty Revenue.</w:t>
      </w:r>
    </w:p>
    <w:p>
      <w:pPr>
        <w:spacing w:after="0" w:line="62" w:lineRule="exact"/>
        <w:rPr>
          <w:sz w:val="20"/>
          <w:szCs w:val="20"/>
          <w:color w:val="auto"/>
        </w:rPr>
      </w:pPr>
    </w:p>
    <w:p>
      <w:pPr>
        <w:ind w:left="1080" w:hanging="532"/>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80"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The Company recognizes revenue from product sale at a point in time. When a system or disposables are sold,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4" w:name="page35"/>
    <w:bookmarkEnd w:id="34"/>
    <w:p>
      <w:pPr>
        <w:ind w:left="1080" w:right="20" w:hanging="532"/>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56"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6" w:lineRule="exact"/>
        <w:rPr>
          <w:sz w:val="20"/>
          <w:szCs w:val="20"/>
          <w:color w:val="auto"/>
        </w:rPr>
      </w:pPr>
    </w:p>
    <w:p>
      <w:pPr>
        <w:ind w:left="1080" w:right="120" w:hanging="532"/>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Extended Warranty: The Company offers a standard two-year warranty on all system sales. The Company also offers an extended warranty which is sold to customers in incremental, one-year warranty periods which begin subsequent to the expiration of the standard two-year warranty. The customer can opt to purchase the extended warranty at the time of the system sale or after the initial system sale.</w:t>
      </w:r>
    </w:p>
    <w:p>
      <w:pPr>
        <w:spacing w:after="0" w:line="41"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62" w:lineRule="exact"/>
        <w:rPr>
          <w:sz w:val="20"/>
          <w:szCs w:val="20"/>
          <w:color w:val="auto"/>
        </w:rPr>
      </w:pPr>
    </w:p>
    <w:p>
      <w:pPr>
        <w:ind w:left="1620" w:hanging="532"/>
        <w:spacing w:after="0" w:line="259"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620" w:right="20" w:hanging="532"/>
        <w:spacing w:after="0" w:line="25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84" w:lineRule="exact"/>
        <w:rPr>
          <w:sz w:val="20"/>
          <w:szCs w:val="20"/>
          <w:color w:val="auto"/>
        </w:rPr>
      </w:pPr>
    </w:p>
    <w:p>
      <w:pPr>
        <w:ind w:left="1080" w:right="2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62" w:lineRule="exact"/>
        <w:rPr>
          <w:sz w:val="20"/>
          <w:szCs w:val="20"/>
          <w:color w:val="auto"/>
        </w:rPr>
      </w:pPr>
    </w:p>
    <w:p>
      <w:pPr>
        <w:jc w:val="both"/>
        <w:ind w:right="580" w:firstLine="546"/>
        <w:spacing w:after="0" w:line="311" w:lineRule="auto"/>
        <w:rPr>
          <w:sz w:val="20"/>
          <w:szCs w:val="20"/>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41" w:lineRule="exact"/>
        <w:rPr>
          <w:sz w:val="20"/>
          <w:szCs w:val="20"/>
          <w:color w:val="auto"/>
        </w:rPr>
      </w:pPr>
    </w:p>
    <w:p>
      <w:pPr>
        <w:ind w:left="1080" w:right="440" w:hanging="532"/>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Royalty Revenue: The Company has royalty agreements with two customers related to the sale of the Company’s intellectual property. Under the terms of these agreements, the customer is to remit a percentage of sales to the Company.</w:t>
      </w:r>
    </w:p>
    <w:p>
      <w:pPr>
        <w:spacing w:after="0" w:line="38"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49"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80"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Actual warranty costs incurred have not materially differed from those accrued. Our warranty policy is applicable to products which are considered defective in their performance or fail to meet the product specifications. Warranty costs are reflected in the consolidated statements of operations as cost of revenues.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28, 2019, based on the Company's recent history of losses and its forecasted losses, management believes on the more likely than not basis that a full valuation allowance is required. Accordingly, as of December 28, 2019, the Company provided a full valuation allowance on its federal and states deferred tax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28, 2019.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17" w:lineRule="exact"/>
        <w:rPr>
          <w:sz w:val="20"/>
          <w:szCs w:val="20"/>
          <w:color w:val="auto"/>
        </w:rPr>
      </w:pPr>
    </w:p>
    <w:p>
      <w:pPr>
        <w:jc w:val="both"/>
        <w:ind w:right="400" w:firstLine="546"/>
        <w:spacing w:after="0" w:line="263" w:lineRule="auto"/>
        <w:rPr>
          <w:sz w:val="20"/>
          <w:szCs w:val="20"/>
          <w:color w:val="auto"/>
        </w:rPr>
      </w:pPr>
      <w:r>
        <w:rPr>
          <w:rFonts w:ascii="Arial" w:cs="Arial" w:eastAsia="Arial" w:hAnsi="Arial"/>
          <w:sz w:val="18"/>
          <w:szCs w:val="18"/>
          <w:color w:val="auto"/>
        </w:rPr>
        <w:t>We account for stock-based compensation granted to employees and directors, including employees’ stock option awards, restricted stock and restricted stock units at grant date, based on the fair value of the award. Stock-based compensation is recognized as expense on a ratable basis over the requisite service period of the award.</w:t>
      </w:r>
    </w:p>
    <w:p>
      <w:pPr>
        <w:spacing w:after="0" w:line="76"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value options using the Black-Scholes option pricing model. Restricted stock and time-based restricted stock units are valued at the grant date fair value of the underlying common shares. Performance-based restricted stock units are valued using a Monte Carlo simulation model. The Black-Scholes option pricing model requires the use of highly subjective and complex assumptions which determine the fair value of share-based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52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December 28, 2019, the Company was not a party to finance lease arrangements.</w:t>
      </w:r>
    </w:p>
    <w:p>
      <w:pPr>
        <w:spacing w:after="0" w:line="16"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which, along with amendments issued in 2018, modified lessee accounting guidance under Topic 840. This new standard establishes a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2018-11 which provides an alternative transition method that allows entities to apply the new leases standard at the adoption date and recognize a cumulative-effect adjustment to the opening balance of retained earnings in the period of adoption. The Company adopted the requirements of ASU 2016-02 on December 30, 2018, the first day of its fiscal year 2019, using the optional transition method. The Company elected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At adoption date, there was an increase in assets of $4.0 million and liabilities of $4.5 million due to the recognition of the required ROU asset and corresponding liability for all lease obligations that are currently classified as operating leases with the difference of $0.5 million related to existing deferred rent that reduced the ROU asset recorded. The standard did not have an impact in our consolidated statements of operations.</w:t>
      </w:r>
    </w:p>
    <w:p>
      <w:pPr>
        <w:spacing w:after="0" w:line="63" w:lineRule="exact"/>
        <w:rPr>
          <w:sz w:val="20"/>
          <w:szCs w:val="20"/>
          <w:color w:val="auto"/>
        </w:rPr>
      </w:pPr>
    </w:p>
    <w:p>
      <w:pPr>
        <w:ind w:right="280" w:firstLine="546"/>
        <w:spacing w:after="0" w:line="301"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early adopted this standard in fiscal year 2019 and the standard did not have a material impact on our consolidated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In December 2019, the FAB issued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right="240" w:firstLine="546"/>
        <w:spacing w:after="0" w:line="311" w:lineRule="auto"/>
        <w:rPr>
          <w:sz w:val="20"/>
          <w:szCs w:val="20"/>
          <w:color w:val="auto"/>
        </w:rPr>
      </w:pPr>
      <w:r>
        <w:rPr>
          <w:rFonts w:ascii="Arial" w:cs="Arial" w:eastAsia="Arial" w:hAnsi="Arial"/>
          <w:sz w:val="16"/>
          <w:szCs w:val="16"/>
          <w:color w:val="auto"/>
        </w:rPr>
        <w:t>Our consolidated balance sheets as of December 28, 2019 and December 29, 2018 and the consolidated statements of operations, comprehensive income, stockholders’ equity and cash flows for each of our fiscal years 2019 and 2018 together with the related notes and the report of our independent registered public accounting firm, are on the following pages. Additional required financial information is described in Item 15.</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We have audited the accompanying consolidated balance sheets of IRIDEX Corporation (a Delaware corporation) and its subsidiaries (the “Company”) as of December 28, 2019 and December 29, 2018, and the related consolidated statements of operations, comprehensive loss, stockholders’ equity, and cash flows for each of the two years in the period ended December 28, 2019, and the related notes (collectively referred to as the “consolidated financial statements”). In our opinion, the consolidated financial statements present fairly, in all material respects, the financial position of the Company as of December 28, 2019 and December 29, 2018, and the results of its operations and its cash flows for each of the two years in the period ended December 28, 2019,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2019 due to the adoption of the new lease standard.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FY 2019</w:t>
            </w:r>
          </w:p>
        </w:tc>
        <w:tc>
          <w:tcPr>
            <w:tcW w:w="14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FY 2018</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28, 2019</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29, 2018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5"/>
              </w:rPr>
              <w:t>Accounts receivable, net of allowance for doubtful accounts of $187 as of December 28, 2019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$213 as of December 29, 2018</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9,323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2,592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9"/>
              </w:rPr>
              <w:t>Preferred stock, $0.01 par value, 2,000,000 shares authorized, no shares issued and outstanding</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2"/>
              </w:rPr>
              <w:t>Issued and outstanding 13,785,233 and 13,602,052 shares as of December 28, 2019 and December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29, 2018,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(50,615)</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(41,802)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2019</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2018</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28, 2019</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29, 2018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 loss per common share: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2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12,199</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2019</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28, 2019</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300" w:type="dxa"/>
            <w:vAlign w:val="bottom"/>
            <w:gridSpan w:val="4"/>
            <w:vMerge w:val="restart"/>
          </w:tcPr>
          <w:p>
            <w:pPr>
              <w:jc w:val="right"/>
              <w:ind w:right="60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2"/>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FY 2017: Balances, December 30, 2017</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11,596,274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59,385</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(28,989)</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Proceeds from issuance of common stock, net of</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issuance costs</w:t>
            </w:r>
          </w:p>
        </w:tc>
        <w:tc>
          <w:tcPr>
            <w:tcW w:w="1040" w:type="dxa"/>
            <w:vAlign w:val="bottom"/>
          </w:tcPr>
          <w:p>
            <w:pPr>
              <w:jc w:val="right"/>
              <w:spacing w:after="0"/>
              <w:rPr>
                <w:sz w:val="20"/>
                <w:szCs w:val="20"/>
                <w:color w:val="auto"/>
              </w:rPr>
            </w:pPr>
            <w:r>
              <w:rPr>
                <w:rFonts w:ascii="Arial" w:cs="Arial" w:eastAsia="Arial" w:hAnsi="Arial"/>
                <w:sz w:val="16"/>
                <w:szCs w:val="16"/>
                <w:color w:val="auto"/>
              </w:rPr>
              <w:t>1,916,667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 option plan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78"/>
              </w:rPr>
              <w:t>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(12,813)</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FY 2018: Balances, December 29, 2018</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13,602,052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71,548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78"/>
              </w:rPr>
              <w:t>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(41,802)</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 option plan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78"/>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(8,813)</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(8,813)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FY 2019: Balances, December 28, 2019</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73,093</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78"/>
              </w:rPr>
              <w:t>80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(50,615)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FY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2018</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28,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29, 2018</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(8,813)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year</w:t>
            </w: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and Germany predominantly through a direct sales force and internationally (aside from Germany) primarily through independent distributors.</w:t>
      </w:r>
    </w:p>
    <w:p>
      <w:pPr>
        <w:spacing w:after="0" w:line="75" w:lineRule="exact"/>
        <w:rPr>
          <w:sz w:val="20"/>
          <w:szCs w:val="20"/>
          <w:color w:val="auto"/>
        </w:rPr>
      </w:pPr>
    </w:p>
    <w:p>
      <w:pPr>
        <w:jc w:val="center"/>
        <w:ind w:right="766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44" w:lineRule="exact"/>
        <w:rPr>
          <w:sz w:val="20"/>
          <w:szCs w:val="20"/>
          <w:color w:val="auto"/>
        </w:rPr>
      </w:pPr>
    </w:p>
    <w:p>
      <w:pPr>
        <w:jc w:val="center"/>
        <w:ind w:right="7700"/>
        <w:spacing w:after="0"/>
        <w:rPr>
          <w:sz w:val="20"/>
          <w:szCs w:val="20"/>
          <w:color w:val="auto"/>
        </w:rPr>
      </w:pPr>
      <w:r>
        <w:rPr>
          <w:rFonts w:ascii="Arial" w:cs="Arial" w:eastAsia="Arial" w:hAnsi="Arial"/>
          <w:sz w:val="18"/>
          <w:szCs w:val="18"/>
          <w:color w:val="auto"/>
        </w:rPr>
        <w:t>Financial Statement Presentation.</w:t>
      </w:r>
    </w:p>
    <w:p>
      <w:pPr>
        <w:spacing w:after="0" w:line="117"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The consolidated financial statements include the accounts of IRIDEX and our wholly owned subsidiaries. All significant intercompany accounts and transactions have been eliminated in consolidation.</w:t>
      </w:r>
    </w:p>
    <w:p>
      <w:pPr>
        <w:spacing w:after="0" w:line="62"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Our fiscal year always ends on the Saturday closest to December 31. Fiscal 2019 ended on December 28, 2019 (“FY 2019”) and Fiscal 2018 ended on December 29, 2018 (“FY 2018”). Fiscal years 2019 and 2018 each included 52 weeks of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60" w:firstLine="546"/>
        <w:spacing w:after="0" w:line="342" w:lineRule="auto"/>
        <w:rPr>
          <w:sz w:val="20"/>
          <w:szCs w:val="20"/>
          <w:color w:val="auto"/>
        </w:rPr>
      </w:pPr>
      <w:r>
        <w:rPr>
          <w:rFonts w:ascii="Arial" w:cs="Arial" w:eastAsia="Arial" w:hAnsi="Arial"/>
          <w:sz w:val="16"/>
          <w:szCs w:val="16"/>
          <w:color w:val="auto"/>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Returns Allowance and Allowance for Doubtful Accounts.</w:t>
      </w:r>
    </w:p>
    <w:p>
      <w:pPr>
        <w:spacing w:after="0" w:line="117"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 The balance for the provision for sales returns was $264 thousand and $277 thousand as of December 28, 2019 and December 29, 2018, respectively, and is recorded within the deferred revenue accounts in the consolidated balance sheets.</w:t>
      </w:r>
    </w:p>
    <w:p>
      <w:pPr>
        <w:spacing w:after="0" w:line="56"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firstLine="546"/>
        <w:spacing w:after="0" w:line="277" w:lineRule="auto"/>
        <w:rPr>
          <w:sz w:val="20"/>
          <w:szCs w:val="20"/>
          <w:color w:val="auto"/>
        </w:rPr>
      </w:pPr>
      <w:r>
        <w:rPr>
          <w:rFonts w:ascii="Arial" w:cs="Arial" w:eastAsia="Arial" w:hAnsi="Arial"/>
          <w:sz w:val="18"/>
          <w:szCs w:val="18"/>
          <w:color w:val="auto"/>
        </w:rPr>
        <w:t>A reconciliation of the changes in our allowance for doubtful accounts balances for the years ended December 28, 2019 and December 29, 2018 are as follows (in thousands):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at End of</w:t>
            </w:r>
          </w:p>
        </w:tc>
      </w:t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The period</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(Deductions)</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The period</w:t>
            </w: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1"/>
              </w:rPr>
              <w:t>Allowance for doubtful accounts Years ended</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December 28, 2019</w:t>
            </w: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29, 2018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w:t>
      </w:r>
    </w:p>
    <w:p>
      <w:pPr>
        <w:spacing w:after="0" w:line="11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0"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$2.8 million and $3.1 million, respectively and the accumulated amortization was $1.4 million as of December 28, 2019 and December 29, 2018. The net book value of demos and loaners is charged to cost of revenues when such demos or loaners are sold.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calculated on a straight–line basis over the estimated useful lives of the assets, which is generally three years. Leasehold improvements are amortized over the lesser of their estimated useful lives or the lease term. Repairs and maintenance costs are expensed as incurred.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Leases.</w:t>
      </w:r>
    </w:p>
    <w:p>
      <w:pPr>
        <w:spacing w:after="0" w:line="117" w:lineRule="exact"/>
        <w:rPr>
          <w:sz w:val="20"/>
          <w:szCs w:val="20"/>
          <w:color w:val="auto"/>
        </w:rPr>
      </w:pPr>
    </w:p>
    <w:p>
      <w:pPr>
        <w:jc w:val="both"/>
        <w:ind w:right="48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December 28, 2019, the Company was not a party to finance lease arrangements.</w:t>
      </w:r>
    </w:p>
    <w:p>
      <w:pPr>
        <w:spacing w:after="0" w:line="16"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6" w:name="page47"/>
    <w:bookmarkEnd w:id="46"/>
    <w:p>
      <w:pPr>
        <w:ind w:left="560"/>
        <w:spacing w:after="0"/>
        <w:rPr>
          <w:sz w:val="20"/>
          <w:szCs w:val="20"/>
          <w:color w:val="auto"/>
        </w:rPr>
      </w:pPr>
      <w:r>
        <w:rPr>
          <w:rFonts w:ascii="Arial" w:cs="Arial" w:eastAsia="Arial" w:hAnsi="Arial"/>
          <w:sz w:val="18"/>
          <w:szCs w:val="18"/>
          <w:color w:val="auto"/>
        </w:rPr>
        <w:t>Valuation of Goodwill and Intangible Assets.</w:t>
      </w:r>
    </w:p>
    <w:p>
      <w:pPr>
        <w:spacing w:after="0" w:line="11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2019 and determined that its goodwill was not impaired. As of December 28, 2019, we had not identified any factors that indicated there was an impairment of our goodwill and determined that no additional impairment analysis was then required.</w:t>
      </w:r>
    </w:p>
    <w:p>
      <w:pPr>
        <w:spacing w:after="0" w:line="64"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 Codification (“ASC”) 350, “Intangibles – Goodwill and Other” (“ASC 350”).</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400" w:firstLine="546"/>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Extended Warranty, (4) System Repairs (outside of warranty) and (5) Royalty Revenue.</w:t>
      </w:r>
    </w:p>
    <w:p>
      <w:pPr>
        <w:spacing w:after="0" w:line="62" w:lineRule="exact"/>
        <w:rPr>
          <w:sz w:val="20"/>
          <w:szCs w:val="20"/>
          <w:color w:val="auto"/>
        </w:rPr>
      </w:pPr>
    </w:p>
    <w:p>
      <w:pPr>
        <w:ind w:left="1080" w:right="300" w:hanging="532"/>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79" w:lineRule="exact"/>
        <w:rPr>
          <w:rFonts w:ascii="Arial" w:cs="Arial" w:eastAsia="Arial" w:hAnsi="Arial"/>
          <w:sz w:val="18"/>
          <w:szCs w:val="18"/>
          <w:color w:val="auto"/>
        </w:rPr>
      </w:pPr>
    </w:p>
    <w:p>
      <w:pPr>
        <w:ind w:left="1100" w:right="12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1100" w:right="360"/>
        <w:spacing w:after="0" w:line="286" w:lineRule="auto"/>
        <w:rPr>
          <w:rFonts w:ascii="Arial" w:cs="Arial" w:eastAsia="Arial" w:hAnsi="Arial"/>
          <w:sz w:val="16"/>
          <w:szCs w:val="16"/>
          <w:color w:val="auto"/>
        </w:rPr>
      </w:pPr>
      <w:r>
        <w:rPr>
          <w:rFonts w:ascii="Arial" w:cs="Arial" w:eastAsia="Arial" w:hAnsi="Arial"/>
          <w:sz w:val="17"/>
          <w:szCs w:val="17"/>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57" w:lineRule="exact"/>
        <w:rPr>
          <w:rFonts w:ascii="Arial" w:cs="Arial" w:eastAsia="Arial" w:hAnsi="Arial"/>
          <w:sz w:val="16"/>
          <w:szCs w:val="16"/>
          <w:color w:val="auto"/>
        </w:rPr>
      </w:pPr>
    </w:p>
    <w:p>
      <w:pPr>
        <w:ind w:left="1080" w:right="280" w:hanging="532"/>
        <w:spacing w:after="0" w:line="31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Extended Warranty: The Company offers a standard 2-year warranty on all system sales. The Company also offers an extended warranty which is sold to customers in incremental, one-year warranty periods which begin subsequent to the expiration of the standard 2-year warranty. The customer can opt to purchase the extended warranty at the time of the system sale or after the initial system sale.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7" w:name="page48"/>
    <w:bookmarkEnd w:id="47"/>
    <w:p>
      <w:pPr>
        <w:ind w:left="1100" w:right="680"/>
        <w:spacing w:after="0" w:line="277" w:lineRule="auto"/>
        <w:rPr>
          <w:sz w:val="20"/>
          <w:szCs w:val="20"/>
          <w:color w:val="auto"/>
        </w:rPr>
      </w:pPr>
      <w:r>
        <w:rPr>
          <w:rFonts w:ascii="Arial" w:cs="Arial" w:eastAsia="Arial" w:hAnsi="Arial"/>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62" w:lineRule="exact"/>
        <w:rPr>
          <w:sz w:val="20"/>
          <w:szCs w:val="20"/>
          <w:color w:val="auto"/>
        </w:rPr>
      </w:pPr>
    </w:p>
    <w:p>
      <w:pPr>
        <w:ind w:left="1620" w:right="4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620" w:right="60" w:hanging="532"/>
        <w:spacing w:after="0" w:line="25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83"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62" w:lineRule="exact"/>
        <w:rPr>
          <w:rFonts w:ascii="Arial" w:cs="Arial" w:eastAsia="Arial" w:hAnsi="Arial"/>
          <w:sz w:val="18"/>
          <w:szCs w:val="18"/>
          <w:color w:val="auto"/>
        </w:rPr>
      </w:pPr>
    </w:p>
    <w:p>
      <w:pPr>
        <w:ind w:left="110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system repairs (outside of warranty) at a point in time. When the customer requests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8" w:lineRule="exact"/>
        <w:rPr>
          <w:rFonts w:ascii="Arial" w:cs="Arial" w:eastAsia="Arial" w:hAnsi="Arial"/>
          <w:sz w:val="18"/>
          <w:szCs w:val="18"/>
          <w:color w:val="auto"/>
        </w:rPr>
      </w:pPr>
    </w:p>
    <w:p>
      <w:pPr>
        <w:ind w:left="1080" w:right="48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Royalty Revenue: The Company has royalty agreements with two customers related to the sale of the Company’s intellectual property. Under the terms of these agreements, the customer is to remit a percentage of sales to the Company.</w:t>
      </w:r>
    </w:p>
    <w:p>
      <w:pPr>
        <w:spacing w:after="0" w:line="38" w:lineRule="exact"/>
        <w:rPr>
          <w:rFonts w:ascii="Arial" w:cs="Arial" w:eastAsia="Arial" w:hAnsi="Arial"/>
          <w:sz w:val="17"/>
          <w:szCs w:val="17"/>
          <w:color w:val="auto"/>
        </w:rPr>
      </w:pPr>
    </w:p>
    <w:p>
      <w:pPr>
        <w:ind w:left="1100" w:right="40"/>
        <w:spacing w:after="0" w:line="257" w:lineRule="auto"/>
        <w:rPr>
          <w:rFonts w:ascii="Arial" w:cs="Arial" w:eastAsia="Arial" w:hAnsi="Arial"/>
          <w:sz w:val="17"/>
          <w:szCs w:val="17"/>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 There is no change in the Company’s accounting for commissions.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Taxes Collected from Customers and Remitted to Governmental Authorities.</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Revenue.</w:t>
      </w:r>
    </w:p>
    <w:p>
      <w:pPr>
        <w:spacing w:after="0" w:line="117" w:lineRule="exact"/>
        <w:rPr>
          <w:sz w:val="20"/>
          <w:szCs w:val="20"/>
          <w:color w:val="auto"/>
        </w:rPr>
      </w:pPr>
    </w:p>
    <w:p>
      <w:pPr>
        <w:ind w:right="340" w:firstLine="546"/>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period. Costs associated with these service arrangements are recognized as incurred.</w:t>
      </w:r>
    </w:p>
    <w:p>
      <w:pPr>
        <w:spacing w:after="0" w:line="38"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 reconciliation of the changes in our deferred revenue balances for the years ended December 28, 2019 and December 29, 2018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FY 2017: Balance as of December 30, 2017</w:t>
            </w:r>
          </w:p>
        </w:tc>
        <w:tc>
          <w:tcPr>
            <w:tcW w:w="4380" w:type="dxa"/>
            <w:vAlign w:val="bottom"/>
            <w:gridSpan w:val="2"/>
            <w:shd w:val="clear" w:color="auto" w:fill="CFF0FC"/>
          </w:tcPr>
          <w:p>
            <w:pPr>
              <w:jc w:val="right"/>
              <w:ind w:right="98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3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FY 2018: Balance as of December 29, 2018</w:t>
            </w:r>
          </w:p>
        </w:tc>
        <w:tc>
          <w:tcPr>
            <w:tcW w:w="3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Additions to deferral</w:t>
            </w:r>
          </w:p>
        </w:tc>
        <w:tc>
          <w:tcPr>
            <w:tcW w:w="3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Revenue recognized</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(2,579)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40" w:type="dxa"/>
            <w:vAlign w:val="bottom"/>
            <w:vMerge w:val="restart"/>
          </w:tcPr>
          <w:p>
            <w:pPr>
              <w:jc w:val="right"/>
              <w:ind w:right="2070"/>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48" w:name="page49"/>
    <w:bookmarkEnd w:id="48"/>
    <w:p>
      <w:pPr>
        <w:ind w:right="600" w:firstLine="546"/>
        <w:spacing w:after="0" w:line="277" w:lineRule="auto"/>
        <w:rPr>
          <w:sz w:val="20"/>
          <w:szCs w:val="20"/>
          <w:color w:val="auto"/>
        </w:rPr>
      </w:pPr>
      <w:r>
        <w:rPr>
          <w:rFonts w:ascii="Arial" w:cs="Arial" w:eastAsia="Arial" w:hAnsi="Arial"/>
          <w:sz w:val="18"/>
          <w:szCs w:val="18"/>
          <w:color w:val="auto"/>
        </w:rPr>
        <w:t>During the twelve months ended December 28, 2019 and December 29, 2018, approximately $1.3 million and $1.4 million were recognized pertaining to amounts deferred as of December 29, 2018 and December 30, 2017, respectively.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Warranty.</w:t>
      </w:r>
    </w:p>
    <w:p>
      <w:pPr>
        <w:spacing w:after="0" w:line="117"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Actual warranty costs incurred have not materially differed from those accrued. The Company’s warranty policy is applicable to products which are considered defective in their performance or fail to meet the product specifications.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w:t>
      </w:r>
    </w:p>
    <w:p>
      <w:pPr>
        <w:spacing w:after="0" w:line="70" w:lineRule="exact"/>
        <w:rPr>
          <w:sz w:val="20"/>
          <w:szCs w:val="20"/>
          <w:color w:val="auto"/>
        </w:rPr>
      </w:pPr>
    </w:p>
    <w:p>
      <w:pPr>
        <w:ind w:right="740" w:firstLine="546"/>
        <w:spacing w:after="0" w:line="277" w:lineRule="auto"/>
        <w:rPr>
          <w:sz w:val="20"/>
          <w:szCs w:val="20"/>
          <w:color w:val="auto"/>
        </w:rPr>
      </w:pPr>
      <w:r>
        <w:rPr>
          <w:rFonts w:ascii="Arial" w:cs="Arial" w:eastAsia="Arial" w:hAnsi="Arial"/>
          <w:sz w:val="18"/>
          <w:szCs w:val="18"/>
          <w:color w:val="auto"/>
        </w:rPr>
        <w:t>A reconciliation of the changes in our warranty liability for the years ended December 28, 2019 and December 29, 2018 are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FY 2017: Balance as of December 30, 2017</w:t>
            </w:r>
          </w:p>
        </w:tc>
        <w:tc>
          <w:tcPr>
            <w:tcW w:w="32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(884)</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2018: Balance as of December 29, 2018</w:t>
            </w:r>
          </w:p>
        </w:tc>
        <w:tc>
          <w:tcPr>
            <w:tcW w:w="20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Shipping and Handling Costs.</w:t>
      </w:r>
    </w:p>
    <w:p>
      <w:pPr>
        <w:spacing w:after="0" w:line="117" w:lineRule="exact"/>
        <w:rPr>
          <w:sz w:val="20"/>
          <w:szCs w:val="20"/>
          <w:color w:val="auto"/>
        </w:rPr>
      </w:pPr>
    </w:p>
    <w:p>
      <w:pPr>
        <w:ind w:right="120" w:firstLine="546"/>
        <w:spacing w:after="0" w:line="342" w:lineRule="auto"/>
        <w:rPr>
          <w:sz w:val="20"/>
          <w:szCs w:val="20"/>
          <w:color w:val="auto"/>
        </w:rPr>
      </w:pPr>
      <w:r>
        <w:rPr>
          <w:rFonts w:ascii="Arial" w:cs="Arial" w:eastAsia="Arial" w:hAnsi="Arial"/>
          <w:sz w:val="16"/>
          <w:szCs w:val="16"/>
          <w:color w:val="auto"/>
        </w:rPr>
        <w:t>Our shipping and handling costs billed to customers are included in revenues and the associated expense is recorded in cost of revenues for all periods presented. Shipping and handling costs billed to customers amounted to $0.2 million and $0.3 million for fiscal years 2019 and 2018, respectively.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expenditures are charged to operations as incurred.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Advertising and promotion costs are expensed as they are incurred; such costs were approximately $0.3 million in 2019 and $0.5 million in 2018 and are included in sales and marketing expenses in the accompanying consolidated statements of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28, 2019, based on the Company's recent history of losses and its forecasted losses, management believes on the more likely than not basis that a full valuation allowance is required. Accordingly, as of December 28, 2019, the Company provided a full valuation allowance on its federal and states deferred tax assets.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560"/>
        <w:spacing w:after="0"/>
        <w:rPr>
          <w:sz w:val="20"/>
          <w:szCs w:val="20"/>
          <w:color w:val="auto"/>
        </w:rPr>
      </w:pPr>
      <w:r>
        <w:rPr>
          <w:rFonts w:ascii="Arial" w:cs="Arial" w:eastAsia="Arial" w:hAnsi="Arial"/>
          <w:sz w:val="18"/>
          <w:szCs w:val="18"/>
          <w:color w:val="auto"/>
        </w:rPr>
        <w:t>Accounting for Uncertainty in Income Taxes.</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28, 2019 and December 29, 2018.</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Accounting for Stock-Based Compensation.</w:t>
      </w:r>
    </w:p>
    <w:p>
      <w:pPr>
        <w:spacing w:after="0" w:line="117"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in accordance with ASC 718, “Compensation – Stock Compensation”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63"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Company values options using the Black-Scholes option pricing model. Restricted stock, time-based restricted stock units and performance-based restricted stock units without market conditions are valued at the grant date fair value of the underlying common shares. Performance-based restricted stock units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Concentration of Credit Risk and Other Risks and Uncertainties.</w:t>
      </w:r>
    </w:p>
    <w:p>
      <w:pPr>
        <w:spacing w:after="0" w:line="117"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years ended December 28, 2019 and December 29, 2018, no single customer accounted for greater than 10% of total revenues. As of December 28, 2019, one customer accounted for over 10% of our accounts receivable, representing 11%. As of December 29, 2018, no customer accounted for more than 10% of accounts receivable balance.</w:t>
      </w:r>
    </w:p>
    <w:p>
      <w:pPr>
        <w:spacing w:after="0" w:line="84"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 adverse impact on our business, results of operations and financial condition.</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Reliance on Certain Suppliers.</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Income per Share.</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Basic net income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15 - Computation of Basic and Diluted Net Income Per Common Share.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0" w:name="page51"/>
    <w:bookmarkEnd w:id="50"/>
    <w:p>
      <w:pPr>
        <w:ind w:left="560"/>
        <w:spacing w:after="0"/>
        <w:rPr>
          <w:sz w:val="20"/>
          <w:szCs w:val="20"/>
          <w:color w:val="auto"/>
        </w:rPr>
      </w:pPr>
      <w:r>
        <w:rPr>
          <w:rFonts w:ascii="Arial" w:cs="Arial" w:eastAsia="Arial" w:hAnsi="Arial"/>
          <w:sz w:val="18"/>
          <w:szCs w:val="18"/>
          <w:color w:val="auto"/>
        </w:rPr>
        <w:t>Reclassifications</w:t>
      </w:r>
    </w:p>
    <w:p>
      <w:pPr>
        <w:spacing w:after="0" w:line="117"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Certain reclassifications have been made to the prior year statements included in these consolidated financial statements to conform to the current year presentation. The reclassifications had no impact on previously reported net loss or accumulated deficit.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which, along with amendments issued in 2018, modified lessee accounting guidance under Topic 840. This new standard establishes a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2018-11 which provides an alternative transition method that allows entities to apply the new leases standard at the adoption date and recognize a cumulative-effect adjustment to the opening balance of retained earnings in the period of adoption. The Company adopted the requirements of ASU 2016-02 on December 30, 2018, the first day of its fiscal year 2019, using the optional transition method. The Company elected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At adoption date, there was an increase in assets of $4.0 million and liabilities of $4.5 million due to the recognition of the required ROU asset and corresponding liability for all lease obligations that are currently classified as operating leases with the difference of $0.5 million related to existing deferred rent that reduced the ROU asset recorded. The standard did not have an impact in our consolidated statements of operations.</w:t>
      </w:r>
    </w:p>
    <w:p>
      <w:pPr>
        <w:spacing w:after="0" w:line="63" w:lineRule="exact"/>
        <w:rPr>
          <w:sz w:val="20"/>
          <w:szCs w:val="20"/>
          <w:color w:val="auto"/>
        </w:rPr>
      </w:pPr>
    </w:p>
    <w:p>
      <w:pPr>
        <w:ind w:right="280" w:firstLine="546"/>
        <w:spacing w:after="0" w:line="301"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early adopted this standard in fiscal year 2019 and the standard did not have a material impact on our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121"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In December 2019, the FAB issued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180" w:firstLine="546"/>
        <w:spacing w:after="0" w:line="277" w:lineRule="auto"/>
        <w:rPr>
          <w:sz w:val="20"/>
          <w:szCs w:val="20"/>
          <w:color w:val="auto"/>
        </w:rPr>
      </w:pPr>
      <w:r>
        <w:rPr>
          <w:rFonts w:ascii="Arial" w:cs="Arial" w:eastAsia="Arial" w:hAnsi="Arial"/>
          <w:sz w:val="18"/>
          <w:szCs w:val="18"/>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62"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The carrying amounts of our financial assets and liabilities, including cash and cash equivalents, accounts receivable, accounts payable, and accrued expenses as of December 28, 2019 and December 29, 2018, approximate fair value because of the short maturity of these instruments.</w:t>
      </w:r>
    </w:p>
    <w:p>
      <w:pPr>
        <w:spacing w:after="0" w:line="3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As of December 28, 2019 and December 29, 2018, financial assets and liabilities measured and recognized at fair value on a recurring basis and classified under the appropriate level of the fair value hierarchy as described above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As of December 28, 2019</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29, 2018</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w w:val="98"/>
              </w:rPr>
              <w:t>Fair Value Measurements</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w w:val="96"/>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66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10,711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20,708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46"/>
        <w:spacing w:after="0" w:line="269" w:lineRule="auto"/>
        <w:rPr>
          <w:sz w:val="20"/>
          <w:szCs w:val="20"/>
          <w:color w:val="auto"/>
        </w:rPr>
      </w:pPr>
      <w:r>
        <w:rPr>
          <w:rFonts w:ascii="Arial" w:cs="Arial" w:eastAsia="Arial" w:hAnsi="Arial"/>
          <w:sz w:val="17"/>
          <w:szCs w:val="17"/>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 The decrease in re-measurement of the contingent earn-out was due to a decrease in expected future revenues to be generated from these acquisitions. The deal was structured with an earn-out component. The earn-out liability is included in accrued expenses and other long-term liabilities in the consolidated balance sheets.</w:t>
      </w:r>
    </w:p>
    <w:p>
      <w:pPr>
        <w:spacing w:after="0" w:line="77" w:lineRule="exact"/>
        <w:rPr>
          <w:sz w:val="20"/>
          <w:szCs w:val="20"/>
          <w:color w:val="auto"/>
        </w:rPr>
      </w:pPr>
    </w:p>
    <w:p>
      <w:pPr>
        <w:ind w:right="640" w:firstLine="546"/>
        <w:spacing w:after="0" w:line="277" w:lineRule="auto"/>
        <w:rPr>
          <w:sz w:val="20"/>
          <w:szCs w:val="20"/>
          <w:color w:val="auto"/>
        </w:rPr>
      </w:pPr>
      <w:r>
        <w:rPr>
          <w:rFonts w:ascii="Arial" w:cs="Arial" w:eastAsia="Arial" w:hAnsi="Arial"/>
          <w:sz w:val="18"/>
          <w:szCs w:val="18"/>
          <w:color w:val="auto"/>
        </w:rPr>
        <w:t>Charges related to fair value adjustments for the earn-out liability were $47 thousand and $149 thousand for the fiscal years 2019 and 2018, respectively.</w:t>
      </w:r>
    </w:p>
    <w:p>
      <w:pPr>
        <w:spacing w:after="0" w:line="62" w:lineRule="exact"/>
        <w:rPr>
          <w:sz w:val="20"/>
          <w:szCs w:val="20"/>
          <w:color w:val="auto"/>
        </w:rPr>
      </w:pPr>
    </w:p>
    <w:p>
      <w:pPr>
        <w:ind w:right="660" w:firstLine="546"/>
        <w:spacing w:after="0" w:line="308" w:lineRule="auto"/>
        <w:rPr>
          <w:sz w:val="20"/>
          <w:szCs w:val="20"/>
          <w:color w:val="auto"/>
        </w:rPr>
      </w:pPr>
      <w:r>
        <w:rPr>
          <w:rFonts w:ascii="Arial" w:cs="Arial" w:eastAsia="Arial" w:hAnsi="Arial"/>
          <w:sz w:val="17"/>
          <w:szCs w:val="17"/>
          <w:color w:val="auto"/>
        </w:rPr>
        <w:t>The earn-out liability was fully settled as of December 28, 2019. The following table presents quantitative information about the inputs and valuation methodologies used for our fair value measurements classified in Level 3 of the fair value hierarchy as of December 29, 2018.</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Valuation</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As of December 29, 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Technique</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2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7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$1,245</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the contingent consideration – cash (Level 3 liabilities) (in thousands):</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Balance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-130175</wp:posOffset>
            </wp:positionV>
            <wp:extent cx="446595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65955" cy="146050"/>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Payments against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14605</wp:posOffset>
            </wp:positionV>
            <wp:extent cx="446595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65955" cy="146050"/>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Change in fair value of earn-out liability</w:t>
      </w:r>
    </w:p>
    <w:p>
      <w:pPr>
        <w:spacing w:after="0" w:line="5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Balance as of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14605</wp:posOffset>
            </wp:positionV>
            <wp:extent cx="446595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65955" cy="146050"/>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Payments against earn-out</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29210</wp:posOffset>
            </wp:positionV>
            <wp:extent cx="446595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65955" cy="162560"/>
                    </a:xfrm>
                    <a:prstGeom prst="rect">
                      <a:avLst/>
                    </a:prstGeom>
                    <a:noFill/>
                  </pic:spPr>
                </pic:pic>
              </a:graphicData>
            </a:graphic>
          </wp:anchor>
        </w:drawing>
      </w:r>
    </w:p>
    <w:p>
      <w:pPr>
        <w:spacing w:after="0" w:line="3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Balance as of December 28, 2019</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935" w:hanging="935"/>
        <w:spacing w:after="0"/>
        <w:tabs>
          <w:tab w:leader="none" w:pos="9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572</w:t>
      </w:r>
    </w:p>
    <w:p>
      <w:pPr>
        <w:spacing w:after="0" w:line="23" w:lineRule="exact"/>
        <w:rPr>
          <w:rFonts w:ascii="Arial" w:cs="Arial" w:eastAsia="Arial" w:hAnsi="Arial"/>
          <w:sz w:val="18"/>
          <w:szCs w:val="18"/>
          <w:color w:val="auto"/>
        </w:rPr>
      </w:pPr>
    </w:p>
    <w:p>
      <w:pPr>
        <w:ind w:left="875"/>
        <w:spacing w:after="0"/>
        <w:rPr>
          <w:rFonts w:ascii="Arial" w:cs="Arial" w:eastAsia="Arial" w:hAnsi="Arial"/>
          <w:sz w:val="18"/>
          <w:szCs w:val="18"/>
          <w:color w:val="auto"/>
        </w:rPr>
      </w:pPr>
      <w:r>
        <w:rPr>
          <w:rFonts w:ascii="Arial" w:cs="Arial" w:eastAsia="Arial" w:hAnsi="Arial"/>
          <w:sz w:val="17"/>
          <w:szCs w:val="17"/>
          <w:color w:val="auto"/>
        </w:rPr>
        <w:t>(387)</w:t>
      </w:r>
    </w:p>
    <w:p>
      <w:pPr>
        <w:spacing w:after="0" w:line="34" w:lineRule="exact"/>
        <w:rPr>
          <w:rFonts w:ascii="Arial" w:cs="Arial" w:eastAsia="Arial" w:hAnsi="Arial"/>
          <w:sz w:val="18"/>
          <w:szCs w:val="18"/>
          <w:color w:val="auto"/>
        </w:rPr>
      </w:pPr>
    </w:p>
    <w:p>
      <w:pPr>
        <w:ind w:left="935"/>
        <w:spacing w:after="0"/>
        <w:rPr>
          <w:rFonts w:ascii="Arial" w:cs="Arial" w:eastAsia="Arial" w:hAnsi="Arial"/>
          <w:sz w:val="18"/>
          <w:szCs w:val="18"/>
          <w:color w:val="auto"/>
        </w:rPr>
      </w:pPr>
      <w:r>
        <w:rPr>
          <w:rFonts w:ascii="Arial" w:cs="Arial" w:eastAsia="Arial" w:hAnsi="Arial"/>
          <w:sz w:val="18"/>
          <w:szCs w:val="18"/>
          <w:color w:val="auto"/>
        </w:rPr>
        <w:t>149</w:t>
      </w:r>
    </w:p>
    <w:p>
      <w:pPr>
        <w:spacing w:after="0" w:line="35" w:lineRule="exact"/>
        <w:rPr>
          <w:rFonts w:ascii="Arial" w:cs="Arial" w:eastAsia="Arial" w:hAnsi="Arial"/>
          <w:sz w:val="18"/>
          <w:szCs w:val="18"/>
          <w:color w:val="auto"/>
        </w:rPr>
      </w:pPr>
    </w:p>
    <w:p>
      <w:pPr>
        <w:ind w:left="935"/>
        <w:spacing w:after="0"/>
        <w:rPr>
          <w:rFonts w:ascii="Arial" w:cs="Arial" w:eastAsia="Arial" w:hAnsi="Arial"/>
          <w:sz w:val="18"/>
          <w:szCs w:val="18"/>
          <w:color w:val="auto"/>
        </w:rPr>
      </w:pPr>
      <w:r>
        <w:rPr>
          <w:rFonts w:ascii="Arial" w:cs="Arial" w:eastAsia="Arial" w:hAnsi="Arial"/>
          <w:sz w:val="18"/>
          <w:szCs w:val="18"/>
          <w:color w:val="auto"/>
        </w:rPr>
        <w:t>334</w:t>
      </w:r>
    </w:p>
    <w:p>
      <w:pPr>
        <w:spacing w:after="0" w:line="23" w:lineRule="exact"/>
        <w:rPr>
          <w:rFonts w:ascii="Arial" w:cs="Arial" w:eastAsia="Arial" w:hAnsi="Arial"/>
          <w:sz w:val="18"/>
          <w:szCs w:val="18"/>
          <w:color w:val="auto"/>
        </w:rPr>
      </w:pPr>
    </w:p>
    <w:p>
      <w:pPr>
        <w:ind w:left="875"/>
        <w:spacing w:after="0"/>
        <w:rPr>
          <w:rFonts w:ascii="Arial" w:cs="Arial" w:eastAsia="Arial" w:hAnsi="Arial"/>
          <w:sz w:val="18"/>
          <w:szCs w:val="18"/>
          <w:color w:val="auto"/>
        </w:rPr>
      </w:pPr>
      <w:r>
        <w:rPr>
          <w:rFonts w:ascii="Arial" w:cs="Arial" w:eastAsia="Arial" w:hAnsi="Arial"/>
          <w:sz w:val="17"/>
          <w:szCs w:val="17"/>
          <w:color w:val="auto"/>
        </w:rPr>
        <w:t>(381)</w:t>
      </w:r>
    </w:p>
    <w:p>
      <w:pPr>
        <w:spacing w:after="0" w:line="34" w:lineRule="exact"/>
        <w:rPr>
          <w:rFonts w:ascii="Arial" w:cs="Arial" w:eastAsia="Arial" w:hAnsi="Arial"/>
          <w:sz w:val="18"/>
          <w:szCs w:val="18"/>
          <w:color w:val="auto"/>
        </w:rPr>
      </w:pPr>
    </w:p>
    <w:p>
      <w:pPr>
        <w:ind w:left="1015"/>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-430530</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 w:lineRule="exact"/>
        <w:rPr>
          <w:sz w:val="20"/>
          <w:szCs w:val="20"/>
          <w:color w:val="auto"/>
        </w:rPr>
      </w:pPr>
    </w:p>
    <w:p>
      <w:pPr>
        <w:ind w:left="1015" w:hanging="1015"/>
        <w:spacing w:after="0"/>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5" w:space="720"/>
            <w:col w:w="3395"/>
          </w:cols>
          <w:pgMar w:left="320" w:top="233"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inventories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FY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FY 2018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60"/>
              <w:spacing w:after="0"/>
              <w:rPr>
                <w:sz w:val="20"/>
                <w:szCs w:val="20"/>
                <w:color w:val="auto"/>
              </w:rPr>
            </w:pPr>
            <w:r>
              <w:rPr>
                <w:rFonts w:ascii="Arial" w:cs="Arial" w:eastAsia="Arial" w:hAnsi="Arial"/>
                <w:sz w:val="18"/>
                <w:szCs w:val="18"/>
                <w:color w:val="auto"/>
              </w:rPr>
              <w:t>The components of our property and equipment are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FY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FY 2018</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(12,354)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23"/>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expense related to property and equipment was $672 thousand and $793 thousand for the fiscal years 2019 and 2018,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value of goodwill was $533 thousand as of December 28, 2019 and December 29, 2018, respectively.</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Goodwill is tested for impairment at least annually or whenever there is a change in circumstances that indicates the carrying value of these assets may be impaired. The determination of whether any potential impairment of goodwill exists is based upon an impairment test performed in accordance with ASC 350. There was no impairment of goodwill recognized during fiscal years 2019 and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December 28,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6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FY 2019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6"/>
              </w:rPr>
              <w:t>Annual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Lives</w:t>
            </w:r>
          </w:p>
        </w:tc>
        <w:tc>
          <w:tcPr>
            <w:tcW w:w="106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5.25 Years</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Patents</w:t>
            </w:r>
          </w:p>
        </w:tc>
        <w:tc>
          <w:tcPr>
            <w:tcW w:w="15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0"/>
              </w:rPr>
              <w:t>Varies</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December 29, 2018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FY 2018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Annual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Lives</w:t>
            </w:r>
          </w:p>
        </w:tc>
        <w:tc>
          <w:tcPr>
            <w:tcW w:w="104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6.25 Years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Patents</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Varies</w:t>
            </w:r>
          </w:p>
        </w:tc>
        <w:tc>
          <w:tcPr>
            <w:tcW w:w="10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Aggregate amortization expense for each of the fiscal years 2019 and 2018 was $16 thousand. The amortization of customer relations was charged to sales and marketing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560"/>
        <w:spacing w:after="0"/>
        <w:rPr>
          <w:sz w:val="20"/>
          <w:szCs w:val="20"/>
          <w:color w:val="auto"/>
        </w:rPr>
      </w:pPr>
      <w:r>
        <w:rPr>
          <w:rFonts w:ascii="Arial" w:cs="Arial" w:eastAsia="Arial" w:hAnsi="Arial"/>
          <w:sz w:val="18"/>
          <w:szCs w:val="18"/>
          <w:color w:val="auto"/>
        </w:rPr>
        <w:t>Estimated future amortization expense for purchased intangible assets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00" w:type="dxa"/>
            <w:vAlign w:val="bottom"/>
            <w:gridSpan w:val="3"/>
          </w:tcPr>
          <w:p>
            <w:pPr>
              <w:ind w:left="560"/>
              <w:spacing w:after="0"/>
              <w:rPr>
                <w:sz w:val="20"/>
                <w:szCs w:val="20"/>
                <w:color w:val="auto"/>
              </w:rPr>
            </w:pPr>
            <w:r>
              <w:rPr>
                <w:rFonts w:ascii="Arial" w:cs="Arial" w:eastAsia="Arial" w:hAnsi="Arial"/>
                <w:sz w:val="18"/>
                <w:szCs w:val="18"/>
                <w:color w:val="auto"/>
                <w:w w:val="90"/>
              </w:rPr>
              <w:t>The components of our accrued expenses are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FY 2019</w:t>
            </w:r>
          </w:p>
        </w:tc>
        <w:tc>
          <w:tcPr>
            <w:tcW w:w="160" w:type="dxa"/>
            <w:vAlign w:val="bottom"/>
          </w:tcPr>
          <w:p>
            <w:pPr>
              <w:spacing w:after="0"/>
              <w:rPr>
                <w:sz w:val="24"/>
                <w:szCs w:val="2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FY 2018</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28, 2019</w:t>
            </w:r>
          </w:p>
        </w:tc>
        <w:tc>
          <w:tcPr>
            <w:tcW w:w="16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29, 2018</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Earn-out – short term</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Distributor commission</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Sales and use tax payable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Royalties payable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3"/>
          </w:tcPr>
          <w:p>
            <w:pPr>
              <w:ind w:left="1700"/>
              <w:spacing w:after="0"/>
              <w:rPr>
                <w:sz w:val="20"/>
                <w:szCs w:val="20"/>
                <w:color w:val="auto"/>
              </w:rPr>
            </w:pPr>
            <w:r>
              <w:rPr>
                <w:rFonts w:ascii="Arial" w:cs="Arial" w:eastAsia="Arial" w:hAnsi="Arial"/>
                <w:sz w:val="18"/>
                <w:szCs w:val="18"/>
                <w:color w:val="auto"/>
              </w:rPr>
              <w:t>Total accrued expenses</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44"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We lease our operating facilities in Mountain View, California, under a non-cancelable operating lease through February 28, 2022. There are no remaining options to extend or renew the terms of this lease.</w:t>
      </w:r>
    </w:p>
    <w:p>
      <w:pPr>
        <w:spacing w:after="0" w:line="62" w:lineRule="exact"/>
        <w:rPr>
          <w:sz w:val="20"/>
          <w:szCs w:val="20"/>
          <w:color w:val="auto"/>
        </w:rPr>
      </w:pPr>
    </w:p>
    <w:p>
      <w:pPr>
        <w:ind w:right="140" w:firstLine="546"/>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 for fiscal years 2019 and 2018 was approximately $1.4 million and $1.3 million, respectively. The weighted average discount rate used in calculating the present value of lease payments was 5.4%. As of December 28, 2019, the weighted average remaining lease term for our operating leases was 2.2 years.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represents maturities of operating lease liabilities as of December 28, 2019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Lease Payments</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80" w:firstLine="546"/>
        <w:spacing w:after="0" w:line="342" w:lineRule="auto"/>
        <w:rPr>
          <w:sz w:val="20"/>
          <w:szCs w:val="20"/>
          <w:color w:val="auto"/>
        </w:rPr>
      </w:pPr>
      <w:r>
        <w:rPr>
          <w:rFonts w:ascii="Arial" w:cs="Arial" w:eastAsia="Arial" w:hAnsi="Arial"/>
          <w:sz w:val="16"/>
          <w:szCs w:val="16"/>
          <w:color w:val="auto"/>
        </w:rPr>
        <w:t>Our purchase commitments consist primarily of non-cancellable purchase orders with vendors to manufacture certain components and ophthalmic instruments. Future minimum payments for our purchase commitments as of December 28, 2019 are summarized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Fiscal Year</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222"/>
              <w:spacing w:after="0"/>
              <w:rPr>
                <w:sz w:val="20"/>
                <w:szCs w:val="20"/>
                <w:color w:val="auto"/>
              </w:rPr>
            </w:pPr>
            <w:r>
              <w:rPr>
                <w:rFonts w:ascii="Arial" w:cs="Arial" w:eastAsia="Arial" w:hAnsi="Arial"/>
                <w:sz w:val="14"/>
                <w:szCs w:val="14"/>
                <w:b w:val="1"/>
                <w:bCs w:val="1"/>
                <w:color w:val="auto"/>
                <w:w w:val="91"/>
              </w:rPr>
              <w:t>Purchase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222"/>
              <w:spacing w:after="0"/>
              <w:rPr>
                <w:sz w:val="20"/>
                <w:szCs w:val="20"/>
                <w:color w:val="auto"/>
              </w:rPr>
            </w:pPr>
            <w:r>
              <w:rPr>
                <w:rFonts w:ascii="Arial" w:cs="Arial" w:eastAsia="Arial" w:hAnsi="Arial"/>
                <w:sz w:val="14"/>
                <w:szCs w:val="14"/>
                <w:b w:val="1"/>
                <w:bCs w:val="1"/>
                <w:color w:val="auto"/>
                <w:w w:val="92"/>
              </w:rPr>
              <w:t>Commitments</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9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880" w:type="dxa"/>
            <w:vAlign w:val="bottom"/>
            <w:tcBorders>
              <w:top w:val="single" w:sz="8" w:color="auto"/>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8"/>
                <w:szCs w:val="18"/>
                <w:color w:val="auto"/>
              </w:rPr>
              <w:t>7,518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vMerge w:val="restart"/>
          </w:tcPr>
          <w:p>
            <w:pPr>
              <w:jc w:val="right"/>
              <w:ind w:right="131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100" w:firstLine="546"/>
        <w:spacing w:after="0" w:line="342" w:lineRule="auto"/>
        <w:rPr>
          <w:sz w:val="20"/>
          <w:szCs w:val="20"/>
          <w:color w:val="auto"/>
        </w:rPr>
      </w:pPr>
      <w:r>
        <w:rPr>
          <w:rFonts w:ascii="Arial" w:cs="Arial" w:eastAsia="Arial" w:hAnsi="Arial"/>
          <w:sz w:val="16"/>
          <w:szCs w:val="16"/>
          <w:color w:val="auto"/>
        </w:rPr>
        <w:t>We are obligated to pay royalties equivalent to 5% of sales on certain products under certain license agreements with termination dates through the end of 2021. Royalty expense, charged to cost of revenues, was approximately $0.4 million and $0.3 million for fiscal years 2019 and 2018,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Arrangements</w:t>
      </w:r>
      <w:r>
        <w:rPr>
          <w:rFonts w:ascii="Arial" w:cs="Arial" w:eastAsia="Arial" w:hAnsi="Arial"/>
          <w:sz w:val="18"/>
          <w:szCs w:val="18"/>
          <w:color w:val="auto"/>
        </w:rPr>
        <w:t>.</w:t>
      </w:r>
    </w:p>
    <w:p>
      <w:pPr>
        <w:spacing w:after="0" w:line="117" w:lineRule="exact"/>
        <w:rPr>
          <w:sz w:val="20"/>
          <w:szCs w:val="20"/>
          <w:color w:val="auto"/>
        </w:rPr>
      </w:pPr>
    </w:p>
    <w:p>
      <w:pPr>
        <w:ind w:right="180" w:firstLine="546"/>
        <w:spacing w:after="0" w:line="293" w:lineRule="auto"/>
        <w:rPr>
          <w:sz w:val="20"/>
          <w:szCs w:val="20"/>
          <w:color w:val="auto"/>
        </w:rPr>
      </w:pPr>
      <w:r>
        <w:rPr>
          <w:rFonts w:ascii="Arial" w:cs="Arial" w:eastAsia="Arial" w:hAnsi="Arial"/>
          <w:sz w:val="16"/>
          <w:szCs w:val="16"/>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cash flows or results of operations could be materially affected in any particular period by the unfavorable resolution of one of more of these contingencies or because of the diversion of management’s attention and the incurrence of significant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Plan.</w:t>
      </w:r>
    </w:p>
    <w:p>
      <w:pPr>
        <w:spacing w:after="0" w:line="117"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The 1998 Stock Plan (the “1998 Plan”), as amended, provides for the granting to employees (including officers and non-employee directors) of incentive stock options and for the granting to employees (including officers and non-employee directors) and consultants of nonstatutory stock options, stock purchase rights (“SPRs”), restricted stock, restricted stock units (“RSUs”), performance shares, performance units and stock appreciation rights. The exercise price of incentive stock options and stock appreciation rights granted under the 1998 Plan must be at least equal to the fair market value of the shares at the time of grant. With respect to any recipient who owns stock possessing more than 10% of the voting power of our outstanding capital stock, the exercise price of any option or SPR granted must be at least equal to 110% of the fair market value at the time of grant. Options granted under the 1998 Plan are exercisable at such times and under such conditions as determined by the administrator; generally over a four year period. The maximum term of incentive stock options granted to any recipient must not exceed ten years; provided, however, that the maximum term of an incentive stock option granted to any recipient possessing more than 10% of the voting power of our outstanding capital stock must not exceed five years. In the case of SPRs, unless the administrator determines otherwise, we have a repurchase option exercisable upon the voluntary or involuntary termination of the purchaser’s employment with us for any reason (including death or disability). Such repurchase option lapses at a rate determined by the administrator. The purchase price for shares repurchased is the original price paid by the purchaser. The form of consideration for exercising an option or stock purchase right, including the method of payment, is determined by the administrator. The 1998 Plan expired in February 2008.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On June 11, 2008, the shareholders approved the adoption of the 2008 Equity Incentive Plan, (the “Incentive Plan”). There are no material changes in the Incentive Plan from the 1998 Plan. In 2014, 2017, 2018 and 2019,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3,850,000 shares plus any shares subject to stock options or similar awards granted under the 1998 Plan that expire or otherwise terminate without having been exercised in full and shares issued pursuant to awards granted under the 1998 Plan that are forfeited to us on or after February 23, 2008, which was the date the 1998 Plan expired.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ind w:left="560"/>
        <w:spacing w:after="0"/>
        <w:rPr>
          <w:sz w:val="20"/>
          <w:szCs w:val="20"/>
          <w:color w:val="auto"/>
        </w:rPr>
      </w:pPr>
      <w:r>
        <w:rPr>
          <w:rFonts w:ascii="Arial" w:cs="Arial" w:eastAsia="Arial" w:hAnsi="Arial"/>
          <w:sz w:val="18"/>
          <w:szCs w:val="18"/>
          <w:color w:val="auto"/>
        </w:rPr>
        <w:t>The following table represents the shares activity and the total number of shares available for grant under the Incentive Plan:</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r>
      <w:tr>
        <w:trPr>
          <w:trHeight w:val="148"/>
        </w:trPr>
        <w:tc>
          <w:tcPr>
            <w:tcW w:w="74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w:t>
            </w:r>
          </w:p>
        </w:tc>
      </w:tr>
      <w:tr>
        <w:trPr>
          <w:trHeight w:val="171"/>
        </w:trPr>
        <w:tc>
          <w:tcPr>
            <w:tcW w:w="74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30, 2017</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196,970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(178,435)</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(628,125)</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166,798</w:t>
            </w:r>
          </w:p>
        </w:tc>
        <w:tc>
          <w:tcPr>
            <w:tcW w:w="80" w:type="dxa"/>
            <w:vAlign w:val="bottom"/>
            <w:shd w:val="clear" w:color="auto" w:fill="CFF0FC"/>
          </w:tcPr>
          <w:p>
            <w:pPr>
              <w:spacing w:after="0"/>
              <w:rPr>
                <w:sz w:val="19"/>
                <w:szCs w:val="19"/>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143,754</w:t>
            </w:r>
          </w:p>
        </w:tc>
        <w:tc>
          <w:tcPr>
            <w:tcW w:w="8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29, 2018</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700,962</w:t>
            </w:r>
          </w:p>
        </w:tc>
        <w:tc>
          <w:tcPr>
            <w:tcW w:w="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(853,650)</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(443,036)</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314,786</w:t>
            </w:r>
          </w:p>
        </w:tc>
        <w:tc>
          <w:tcPr>
            <w:tcW w:w="80" w:type="dxa"/>
            <w:vAlign w:val="bottom"/>
            <w:shd w:val="clear" w:color="auto" w:fill="CFF0FC"/>
          </w:tcPr>
          <w:p>
            <w:pPr>
              <w:spacing w:after="0"/>
              <w:rPr>
                <w:sz w:val="19"/>
                <w:szCs w:val="19"/>
                <w:color w:val="auto"/>
              </w:rPr>
            </w:pPr>
          </w:p>
        </w:tc>
      </w:tr>
      <w:tr>
        <w:trPr>
          <w:trHeight w:val="229"/>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388,461</w:t>
            </w:r>
          </w:p>
        </w:tc>
        <w:tc>
          <w:tcPr>
            <w:tcW w:w="80" w:type="dxa"/>
            <w:vAlign w:val="bottom"/>
            <w:tcBorders>
              <w:bottom w:val="single" w:sz="8" w:color="CFF0FC"/>
            </w:tcBorders>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Awards (RSU, PSU, RSA) with a per share or unit purchase price lower than 100% of the fair market value of the Company's common stock on the date of grant under the 2008 Equity Incentive Plan, as amended, are counted against shares authorized under the plan as one and one-half shares of common stock for each share. When cancelled, these shares are added back to the Plan as one and one-half shares.</w:t>
      </w:r>
    </w:p>
    <w:p>
      <w:pPr>
        <w:spacing w:after="0" w:line="5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The following table shows stock-based compensation expenses by functional area in the consolidated statements of operations for 2019 and 2018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FY 2019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2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capitalized to inventory was immaterial for 2019 and 2018.</w:t>
      </w:r>
    </w:p>
    <w:p>
      <w:pPr>
        <w:spacing w:after="0" w:line="117" w:lineRule="exact"/>
        <w:rPr>
          <w:sz w:val="20"/>
          <w:szCs w:val="20"/>
          <w:color w:val="auto"/>
        </w:rPr>
      </w:pPr>
    </w:p>
    <w:p>
      <w:pPr>
        <w:ind w:right="620" w:firstLine="546"/>
        <w:spacing w:after="0" w:line="308" w:lineRule="auto"/>
        <w:rPr>
          <w:sz w:val="20"/>
          <w:szCs w:val="20"/>
          <w:color w:val="auto"/>
        </w:rPr>
      </w:pPr>
      <w:r>
        <w:rPr>
          <w:rFonts w:ascii="Arial" w:cs="Arial" w:eastAsia="Arial" w:hAnsi="Arial"/>
          <w:sz w:val="17"/>
          <w:szCs w:val="17"/>
          <w:color w:val="auto"/>
        </w:rPr>
        <w:t>As of December 28, 2019, there was $3.1 million of total unrecognized compensation cost related to non-vested share-based compensation arrangements under the Incentive Plan. The cost is expected to be recognized over a weighted average period of 2.78 years.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following table summarizes information regarding activity in our stock option plans during the fiscal years ended 2019 and 2018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20" w:type="dxa"/>
            <w:vAlign w:val="bottom"/>
            <w:gridSpan w:val="6"/>
          </w:tcPr>
          <w:p>
            <w:pPr>
              <w:ind w:left="70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6"/>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30,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178,435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(166,798)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29,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844,898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853,650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(314,786)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with respect to stock options outstanding and exercisable as of December 28,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Weighted</w:t>
            </w: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$1.82 - $4.33</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152,950</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$4.60 - $4.85</w:t>
            </w:r>
          </w:p>
        </w:tc>
        <w:tc>
          <w:tcPr>
            <w:tcW w:w="1500" w:type="dxa"/>
            <w:vAlign w:val="bottom"/>
          </w:tcPr>
          <w:p>
            <w:pPr>
              <w:jc w:val="right"/>
              <w:spacing w:after="0"/>
              <w:rPr>
                <w:sz w:val="20"/>
                <w:szCs w:val="20"/>
                <w:color w:val="auto"/>
              </w:rPr>
            </w:pPr>
            <w:r>
              <w:rPr>
                <w:rFonts w:ascii="Arial" w:cs="Arial" w:eastAsia="Arial" w:hAnsi="Arial"/>
                <w:sz w:val="18"/>
                <w:szCs w:val="18"/>
                <w:color w:val="auto"/>
              </w:rPr>
              <w:t>40,062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15,062</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$4.92 - $4.92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$4.98</w:t>
            </w:r>
          </w:p>
        </w:tc>
        <w:tc>
          <w:tcPr>
            <w:tcW w:w="2060" w:type="dxa"/>
            <w:vAlign w:val="bottom"/>
          </w:tcPr>
          <w:p>
            <w:pPr>
              <w:ind w:left="20"/>
              <w:spacing w:after="0"/>
              <w:rPr>
                <w:sz w:val="20"/>
                <w:szCs w:val="20"/>
                <w:color w:val="auto"/>
              </w:rPr>
            </w:pPr>
            <w:r>
              <w:rPr>
                <w:rFonts w:ascii="Arial" w:cs="Arial" w:eastAsia="Arial" w:hAnsi="Arial"/>
                <w:sz w:val="18"/>
                <w:szCs w:val="18"/>
                <w:color w:val="auto"/>
              </w:rPr>
              <w:t>- $5.88</w:t>
            </w:r>
          </w:p>
        </w:tc>
        <w:tc>
          <w:tcPr>
            <w:tcW w:w="1500" w:type="dxa"/>
            <w:vAlign w:val="bottom"/>
          </w:tcPr>
          <w:p>
            <w:pPr>
              <w:jc w:val="right"/>
              <w:spacing w:after="0"/>
              <w:rPr>
                <w:sz w:val="20"/>
                <w:szCs w:val="20"/>
                <w:color w:val="auto"/>
              </w:rPr>
            </w:pPr>
            <w:r>
              <w:rPr>
                <w:rFonts w:ascii="Arial" w:cs="Arial" w:eastAsia="Arial" w:hAnsi="Arial"/>
                <w:sz w:val="18"/>
                <w:szCs w:val="18"/>
                <w:color w:val="auto"/>
              </w:rPr>
              <w:t>171,788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49,521</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$5.92</w:t>
            </w:r>
          </w:p>
        </w:tc>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$8.58</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109,348</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$8.60</w:t>
            </w:r>
          </w:p>
        </w:tc>
        <w:tc>
          <w:tcPr>
            <w:tcW w:w="2060" w:type="dxa"/>
            <w:vAlign w:val="bottom"/>
          </w:tcPr>
          <w:p>
            <w:pPr>
              <w:ind w:left="20"/>
              <w:spacing w:after="0"/>
              <w:rPr>
                <w:sz w:val="20"/>
                <w:szCs w:val="20"/>
                <w:color w:val="auto"/>
              </w:rPr>
            </w:pPr>
            <w:r>
              <w:rPr>
                <w:rFonts w:ascii="Arial" w:cs="Arial" w:eastAsia="Arial" w:hAnsi="Arial"/>
                <w:sz w:val="18"/>
                <w:szCs w:val="18"/>
                <w:color w:val="auto"/>
              </w:rPr>
              <w:t>- $9.54</w:t>
            </w:r>
          </w:p>
        </w:tc>
        <w:tc>
          <w:tcPr>
            <w:tcW w:w="1500" w:type="dxa"/>
            <w:vAlign w:val="bottom"/>
          </w:tcPr>
          <w:p>
            <w:pPr>
              <w:jc w:val="right"/>
              <w:spacing w:after="0"/>
              <w:rPr>
                <w:sz w:val="20"/>
                <w:szCs w:val="20"/>
                <w:color w:val="auto"/>
              </w:rPr>
            </w:pPr>
            <w:r>
              <w:rPr>
                <w:rFonts w:ascii="Arial" w:cs="Arial" w:eastAsia="Arial" w:hAnsi="Arial"/>
                <w:sz w:val="18"/>
                <w:szCs w:val="18"/>
                <w:color w:val="auto"/>
              </w:rPr>
              <w:t>144,750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104,940</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$10.14 - $11.16</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74,369</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$12.85 - $12.85</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11,875</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$14.61 - $14.61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17,189</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$16.29 - $16.29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17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12,132</w:t>
            </w:r>
          </w:p>
        </w:tc>
        <w:tc>
          <w:tcPr>
            <w:tcW w:w="560" w:type="dxa"/>
            <w:vAlign w:val="bottom"/>
            <w:tcBorders>
              <w:bottom w:val="single" w:sz="8" w:color="CFF0FC"/>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$1.82</w:t>
            </w:r>
          </w:p>
        </w:tc>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$16.29</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7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401,062</w:t>
            </w:r>
          </w:p>
        </w:tc>
        <w:tc>
          <w:tcPr>
            <w:tcW w:w="560" w:type="dxa"/>
            <w:vAlign w:val="bottom"/>
            <w:tcBorders>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46"/>
        <w:spacing w:after="0" w:line="277" w:lineRule="auto"/>
        <w:rPr>
          <w:sz w:val="20"/>
          <w:szCs w:val="20"/>
          <w:color w:val="auto"/>
        </w:rPr>
      </w:pPr>
      <w:r>
        <w:rPr>
          <w:rFonts w:ascii="Arial" w:cs="Arial" w:eastAsia="Arial" w:hAnsi="Arial"/>
          <w:sz w:val="18"/>
          <w:szCs w:val="18"/>
          <w:color w:val="auto"/>
        </w:rPr>
        <w:t>The determination of the fair value of options granted is computed using the Black-Scholes option pricing model with the following weighted average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Employee Stock Option Plan</w:t>
            </w:r>
          </w:p>
        </w:tc>
      </w:tr>
      <w:tr>
        <w:trPr>
          <w:trHeight w:val="155"/>
        </w:trPr>
        <w:tc>
          <w:tcPr>
            <w:tcW w:w="604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FY 2019</w:t>
            </w: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FY 2018</w:t>
            </w:r>
          </w:p>
        </w:tc>
        <w:tc>
          <w:tcPr>
            <w:tcW w:w="180" w:type="dxa"/>
            <w:vAlign w:val="bottom"/>
            <w:tcBorders>
              <w:bottom w:val="single" w:sz="8" w:color="CFF0FC"/>
            </w:tcBorders>
          </w:tcPr>
          <w:p>
            <w:pPr>
              <w:spacing w:after="0"/>
              <w:rPr>
                <w:sz w:val="13"/>
                <w:szCs w:val="13"/>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4.55 years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Average volatility</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r>
    </w:tbl>
    <w:p>
      <w:pPr>
        <w:spacing w:after="0" w:line="20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weighted average grant date fair value of options granted as calculated using the Black-Scholes option pricing was $1.65 and $2.27 per share for the fiscal years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ind w:right="100" w:firstLine="546"/>
        <w:spacing w:after="0" w:line="291" w:lineRule="auto"/>
        <w:rPr>
          <w:sz w:val="20"/>
          <w:szCs w:val="20"/>
          <w:color w:val="auto"/>
        </w:rPr>
      </w:pPr>
      <w:r>
        <w:rPr>
          <w:rFonts w:ascii="Arial" w:cs="Arial" w:eastAsia="Arial" w:hAnsi="Arial"/>
          <w:sz w:val="16"/>
          <w:szCs w:val="16"/>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stock options outstanding, exercisable and expected to vest as of December 28, 2019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5.07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20" w:type="dxa"/>
            <w:vAlign w:val="bottom"/>
          </w:tcPr>
          <w:p>
            <w:pPr>
              <w:jc w:val="right"/>
              <w:spacing w:after="0"/>
              <w:rPr>
                <w:sz w:val="20"/>
                <w:szCs w:val="20"/>
                <w:color w:val="auto"/>
              </w:rPr>
            </w:pPr>
            <w:r>
              <w:rPr>
                <w:rFonts w:ascii="Arial" w:cs="Arial" w:eastAsia="Arial" w:hAnsi="Arial"/>
                <w:sz w:val="18"/>
                <w:szCs w:val="18"/>
                <w:color w:val="auto"/>
              </w:rPr>
              <w:t>1,233,254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401,062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2.62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fiscal 2019 and the exercise price, multiplied by the number of in-the-money options) that would have been received by the option holders had all option holders exercised their options on December 28, 2019. This amount is subject to change due to changes to the fair market value of our common stock. The total intrinsic value of options exercised for fiscal years 2019 and 2018 was approximately $0 thousand and $72 thousand,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Effective for the 2018 fiscal year and thereafter, each non-employee member of the Board of Directors receives an annual equity award of either restricted stock or RSU, at the election of such Board member, in each case equal to $40 thousand worth of our common stock (determined at the fair market value of the shares at the time such award is granted) under our Incentive Plan. Each equity award or RSU vests in full on the one-year anniversary of the date of grant provided that the non-employee member continues to serve on the Board through such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w:t>
      </w:r>
    </w:p>
    <w:p>
      <w:pPr>
        <w:spacing w:after="0" w:line="121"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We recognize the estimated compensation expense of restricted stock units, net of estimated forfeitures, over the vesting term. The estimated compensation expense is based on the fair value of our common stock on the date of grant.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the restricted stock units outstanding, vested and expected to vest as of December 28, 2019 is summarized below:</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 (thousands)</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411,133</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Restricted stock units vested and expected to vest</w:t>
            </w:r>
          </w:p>
        </w:tc>
        <w:tc>
          <w:tcPr>
            <w:tcW w:w="1400" w:type="dxa"/>
            <w:vAlign w:val="bottom"/>
          </w:tcPr>
          <w:p>
            <w:pPr>
              <w:jc w:val="right"/>
              <w:spacing w:after="0"/>
              <w:rPr>
                <w:sz w:val="20"/>
                <w:szCs w:val="20"/>
                <w:color w:val="auto"/>
              </w:rPr>
            </w:pPr>
            <w:r>
              <w:rPr>
                <w:rFonts w:ascii="Arial" w:cs="Arial" w:eastAsia="Arial" w:hAnsi="Arial"/>
                <w:sz w:val="18"/>
                <w:szCs w:val="18"/>
                <w:color w:val="auto"/>
              </w:rPr>
              <w:t>350,639</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The intrinsic value of the restricted stock units is calculated based on the closing price of our shares as quoted on the Nasdaq Global Market on the last trading day of the fiscal year, December 27, 2019, of $2.35.</w:t>
      </w:r>
    </w:p>
    <w:p>
      <w:pPr>
        <w:spacing w:after="0" w:line="62"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The majority of the restricted stock units that were released in fiscal year 2019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28, 2019, 222,371 shares of restricted stock units were released with an intrinsic value of approximately $1.0 million. We withheld 39,400 shares to satisfy approximately $156 thousand of employees’ minimum tax obligation on the released restricted stock units.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left="560"/>
        <w:spacing w:after="0"/>
        <w:rPr>
          <w:sz w:val="20"/>
          <w:szCs w:val="20"/>
          <w:color w:val="auto"/>
        </w:rPr>
      </w:pPr>
      <w:r>
        <w:rPr>
          <w:rFonts w:ascii="Arial" w:cs="Arial" w:eastAsia="Arial" w:hAnsi="Arial"/>
          <w:sz w:val="18"/>
          <w:szCs w:val="18"/>
          <w:color w:val="auto"/>
        </w:rPr>
        <w:t>Information regarding the RSU activity during the years ended December 28, 2019 and December 29, 2018 is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30, 2017</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418,750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(86,941)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(95,836)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29, 2018</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295,357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(222,371)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(258,974)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28, 2019</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During the year ended December 28, 2019, the Company awarded 295,357 restricted stock units at a weighted average grant date fair value of $2.28 per share. Of this amount, 92,417 stock units represent performance-based shares that are subject to service and performance vesting conditions with a weighted average grant date fair value of $1.90 per share.</w:t>
      </w:r>
    </w:p>
    <w:p>
      <w:pPr>
        <w:spacing w:after="0" w:line="76"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Performance-based RSUs without market conditions are valued at the grant date fair value of the underlying common shares. The Company makes a determination regarding the probability of the performance criteria being achieved and compensation expense is recognized ratably over the requisite service period, if it is expected that the performance criteria will be met.</w:t>
      </w:r>
    </w:p>
    <w:p>
      <w:pPr>
        <w:spacing w:after="0" w:line="76" w:lineRule="exact"/>
        <w:rPr>
          <w:sz w:val="20"/>
          <w:szCs w:val="20"/>
          <w:color w:val="auto"/>
        </w:rPr>
      </w:pPr>
    </w:p>
    <w:p>
      <w:pPr>
        <w:jc w:val="both"/>
        <w:ind w:right="100" w:firstLine="546"/>
        <w:spacing w:after="0" w:line="342" w:lineRule="auto"/>
        <w:rPr>
          <w:sz w:val="20"/>
          <w:szCs w:val="20"/>
          <w:color w:val="auto"/>
        </w:rPr>
      </w:pPr>
      <w:r>
        <w:rPr>
          <w:rFonts w:ascii="Arial" w:cs="Arial" w:eastAsia="Arial" w:hAnsi="Arial"/>
          <w:sz w:val="16"/>
          <w:szCs w:val="16"/>
          <w:color w:val="auto"/>
        </w:rPr>
        <w:t>RSUs granted with market conditions are valued using a Monte Carlo simulation model and compensation expense is recognized ratably during the service period even if the market condition is not satisfied. To the extent that the market condition is not met, the RSUs will not vest and will be cancelled.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Board of Directors. In 2019 and 2018, total matching contributions made by the Company were $219 thousand and $233 thousand,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from operations before provision for income taxes was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2019</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28, 2019</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29, 2018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80" w:type="dxa"/>
            <w:vAlign w:val="bottom"/>
            <w:vMerge w:val="restart"/>
          </w:tcPr>
          <w:p>
            <w:pPr>
              <w:jc w:val="right"/>
              <w:ind w:right="149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59" w:name="page60"/>
    <w:bookmarkEnd w:id="59"/>
    <w:p>
      <w:pPr>
        <w:ind w:left="560"/>
        <w:spacing w:after="0"/>
        <w:rPr>
          <w:sz w:val="20"/>
          <w:szCs w:val="20"/>
          <w:color w:val="auto"/>
        </w:rPr>
      </w:pPr>
      <w:r>
        <w:rPr>
          <w:rFonts w:ascii="Arial" w:cs="Arial" w:eastAsia="Arial" w:hAnsi="Arial"/>
          <w:sz w:val="18"/>
          <w:szCs w:val="18"/>
          <w:color w:val="auto"/>
        </w:rPr>
        <w:t>The provision for income taxes includes: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28, 2019</w:t>
            </w:r>
          </w:p>
        </w:tc>
        <w:tc>
          <w:tcPr>
            <w:tcW w:w="2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2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Deferred:</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effective tax rate differs from the statutory federal income tax rate as shown in the following schedule: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FY 2019</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FY 2018</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3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29, 2018</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at statutory rate</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The tax effect of temporary differences and carryforwards that give rise to significant portions of the net deferred tax assets are presented below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28, 2019</w:t>
            </w:r>
          </w:p>
        </w:tc>
        <w:tc>
          <w:tcPr>
            <w:tcW w:w="8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29, 2018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w:t>
            </w:r>
          </w:p>
        </w:tc>
        <w:tc>
          <w:tcPr>
            <w:tcW w:w="2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2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Deferred revenue</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2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tax credits</w:t>
            </w:r>
          </w:p>
        </w:tc>
        <w:tc>
          <w:tcPr>
            <w:tcW w:w="2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2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(15,485)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40" w:type="dxa"/>
            <w:vAlign w:val="bottom"/>
            <w:vMerge w:val="restart"/>
          </w:tcPr>
          <w:p>
            <w:pPr>
              <w:jc w:val="right"/>
              <w:ind w:right="149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0" w:name="page61"/>
    <w:bookmarkEnd w:id="60"/>
    <w:p>
      <w:pPr>
        <w:ind w:right="60" w:firstLine="546"/>
        <w:spacing w:after="0" w:line="273" w:lineRule="auto"/>
        <w:rPr>
          <w:sz w:val="20"/>
          <w:szCs w:val="20"/>
          <w:color w:val="auto"/>
        </w:rPr>
      </w:pPr>
      <w:r>
        <w:rPr>
          <w:rFonts w:ascii="Arial" w:cs="Arial" w:eastAsia="Arial" w:hAnsi="Arial"/>
          <w:sz w:val="17"/>
          <w:szCs w:val="17"/>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70"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As of December 28, 2019, based on the Company's recent history of losses and its forecasted losses, management believes on the more likely than not basis that a full valuation allowance is required. Accordingly, in the fourth quarter of fiscal year 2019, the Company provided a full valuation allowance on its federal and state deferred tax assets. As of December 28, 2019, the Company had federal and state net operating loss (“NOL”) carry forwards of $41.9 million and $24.2 million respectively. The federal NOL will begin to expire in 2033 and the state NOL will begin to expire in 2021.</w:t>
      </w:r>
    </w:p>
    <w:p>
      <w:pPr>
        <w:spacing w:after="0" w:line="49"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The Company has federal and state research credit carry forwards of approximately $2.0 million and $2.8 million, respectively. The federal research credit will begin to expire in 2027 and the state research credit can be carried forward indefinitely. In the event of a change in ownership as defined by IRC sections 382 and 383, the usage of the above mentioned NOLs and credits may be limited.</w:t>
      </w:r>
    </w:p>
    <w:p>
      <w:pPr>
        <w:spacing w:after="0" w:line="76"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28, 2019.</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16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28, 2019</w:t>
            </w:r>
          </w:p>
        </w:tc>
        <w:tc>
          <w:tcPr>
            <w:tcW w:w="2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Additions based upon tax positions related to the current year</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upon tax positions related to the prior year</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46"/>
        <w:spacing w:after="0" w:line="279" w:lineRule="auto"/>
        <w:rPr>
          <w:sz w:val="20"/>
          <w:szCs w:val="20"/>
          <w:color w:val="auto"/>
        </w:rPr>
      </w:pPr>
      <w:r>
        <w:rPr>
          <w:rFonts w:ascii="Arial" w:cs="Arial" w:eastAsia="Arial" w:hAnsi="Arial"/>
          <w:sz w:val="18"/>
          <w:szCs w:val="18"/>
          <w:color w:val="auto"/>
        </w:rPr>
        <w:t>If the ending balance of $1.2 million of unrecognized tax benefits at December 28, 2019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6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Company files U.S. federal and state returns. The tax years 2010 to 2019 remain open in several jurisdictions, none of which have individual significance.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Loan and Security Agreement</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November 2016, the Company entered into a Loan and Security Agreement (“Loan Agreement”) with Silicon Valley Bank providing for up to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 1.5%. The Loan Agreement does not include any financial covenants. The Loan Agreement expired in November 2, 2019 and was amended (First Amendment to the Loan Agreement) to extend through January 1, 2020.</w:t>
      </w:r>
    </w:p>
    <w:p>
      <w:pPr>
        <w:spacing w:after="0" w:line="80"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In January 2020, the Company reduced the credit line to match its expected borrowing base, which is reflected in Second Amendment to The Loan Agreement providing for up to $8.0 million Revolving Loan Facility through January 1, 2021.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28, 2019 and December 29, 2018, there were no amounts outstanding.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14. Business Segments and Geographical Information</w:t>
      </w:r>
    </w:p>
    <w:p>
      <w:pPr>
        <w:spacing w:after="0" w:line="121"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We operate in one segment, ophthalmology. We develop, manufacture and market medical devices. Our revenues arise from the sale of consoles, delivery devices, consumables, service and support activities.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product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FY 2019</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2018</w:t>
            </w:r>
          </w:p>
        </w:tc>
      </w:tr>
      <w:tr>
        <w:trPr>
          <w:trHeight w:val="219"/>
        </w:trPr>
        <w:tc>
          <w:tcPr>
            <w:tcW w:w="2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December 28, 2019</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G6</w:t>
            </w:r>
          </w:p>
        </w:tc>
        <w:tc>
          <w:tcPr>
            <w:tcW w:w="14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ind w:right="158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13,070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Retina</w:t>
            </w:r>
          </w:p>
        </w:tc>
        <w:tc>
          <w:tcPr>
            <w:tcW w:w="3220" w:type="dxa"/>
            <w:vAlign w:val="bottom"/>
            <w:gridSpan w:val="2"/>
          </w:tcPr>
          <w:p>
            <w:pPr>
              <w:jc w:val="right"/>
              <w:ind w:right="158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22,879</w:t>
            </w:r>
          </w:p>
        </w:tc>
        <w:tc>
          <w:tcPr>
            <w:tcW w:w="300" w:type="dxa"/>
            <w:vAlign w:val="bottom"/>
          </w:tcPr>
          <w:p>
            <w:pPr>
              <w:spacing w:after="0"/>
              <w:rPr>
                <w:sz w:val="19"/>
                <w:szCs w:val="19"/>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23,711</w:t>
            </w:r>
          </w:p>
        </w:tc>
        <w:tc>
          <w:tcPr>
            <w:tcW w:w="80" w:type="dxa"/>
            <w:vAlign w:val="bottom"/>
          </w:tcPr>
          <w:p>
            <w:pPr>
              <w:spacing w:after="0"/>
              <w:rPr>
                <w:sz w:val="19"/>
                <w:szCs w:val="19"/>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14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80" w:type="dxa"/>
            <w:vAlign w:val="bottom"/>
            <w:shd w:val="clear" w:color="auto" w:fill="CFF0FC"/>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 revenues</w:t>
            </w:r>
          </w:p>
        </w:tc>
        <w:tc>
          <w:tcPr>
            <w:tcW w:w="1480" w:type="dxa"/>
            <w:vAlign w:val="bottom"/>
          </w:tcPr>
          <w:p>
            <w:pPr>
              <w:spacing w:after="0"/>
              <w:rPr>
                <w:sz w:val="19"/>
                <w:szCs w:val="19"/>
                <w:color w:val="auto"/>
              </w:rPr>
            </w:pPr>
          </w:p>
        </w:tc>
        <w:tc>
          <w:tcPr>
            <w:tcW w:w="1740" w:type="dxa"/>
            <w:vAlign w:val="bottom"/>
            <w:tcBorders>
              <w:bottom w:val="single" w:sz="8" w:color="auto"/>
            </w:tcBorders>
          </w:tcPr>
          <w:p>
            <w:pPr>
              <w:jc w:val="right"/>
              <w:ind w:right="158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43,447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42,600</w:t>
            </w:r>
          </w:p>
        </w:tc>
        <w:tc>
          <w:tcPr>
            <w:tcW w:w="8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ind w:left="1140" w:right="1100" w:hanging="5"/>
        <w:spacing w:after="0" w:line="293" w:lineRule="auto"/>
        <w:tabs>
          <w:tab w:leader="none" w:pos="13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includes service contract revenues of $1,363 and $1,318 recognized during fiscal years 2019 and 2018, respectively. Other also includes revenues from paid service, royalty, freight and legacy G probes.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geographic region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FY 2019</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December 28, 2019</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ind w:right="158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22,270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9,894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9,742</w:t>
            </w: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Americas, excluding the U.S.</w:t>
            </w: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96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8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8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43,447</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Revenues are attributed to countries based on location of end customers. For fiscal years 2019 and 2018 no individual country accounted for more than 10% of our sales, except for the United States, which accounted for 51.3% and 51.9% of revenues in 2019 and 2018,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Computation of Basic and Diluted Net Loss Per Common Share</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A reconciliation of the numerator and denominator of basic and diluted net income per common share is provided as follows (in thousands, except per share amounts):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FY 2019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FY 2018</w:t>
            </w:r>
          </w:p>
        </w:tc>
      </w:t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jc w:val="center"/>
              <w:ind w:left="428"/>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December 28, 2019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29, 2018</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368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154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(8,813)</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(12,813)</w:t>
            </w:r>
          </w:p>
        </w:tc>
      </w:tr>
      <w:tr>
        <w:trPr>
          <w:trHeight w:val="21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13,707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20"/>
                <w:szCs w:val="20"/>
                <w:color w:val="auto"/>
              </w:rPr>
            </w:pPr>
          </w:p>
        </w:tc>
      </w:tr>
      <w:tr>
        <w:trPr>
          <w:trHeight w:val="230"/>
        </w:trPr>
        <w:tc>
          <w:tcPr>
            <w:tcW w:w="3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13,707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20"/>
                <w:szCs w:val="20"/>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3680" w:type="dxa"/>
            <w:vAlign w:val="bottom"/>
          </w:tcPr>
          <w:p>
            <w:pPr>
              <w:ind w:left="480"/>
              <w:spacing w:after="0"/>
              <w:rPr>
                <w:sz w:val="20"/>
                <w:szCs w:val="20"/>
                <w:color w:val="auto"/>
              </w:rPr>
            </w:pPr>
            <w:r>
              <w:rPr>
                <w:rFonts w:ascii="Arial" w:cs="Arial" w:eastAsia="Arial" w:hAnsi="Arial"/>
                <w:sz w:val="18"/>
                <w:szCs w:val="18"/>
                <w:color w:val="auto"/>
              </w:rPr>
              <w:t>Basic net (loss) income per share</w:t>
            </w:r>
          </w:p>
        </w:tc>
        <w:tc>
          <w:tcPr>
            <w:tcW w:w="2080" w:type="dxa"/>
            <w:vAlign w:val="bottom"/>
            <w:gridSpan w:val="2"/>
          </w:tcPr>
          <w:p>
            <w:pPr>
              <w:jc w:val="right"/>
              <w:ind w:right="154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0"/>
        </w:trPr>
        <w:tc>
          <w:tcPr>
            <w:tcW w:w="3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income per share</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6"/>
        <w:spacing w:after="0" w:line="342" w:lineRule="auto"/>
        <w:rPr>
          <w:sz w:val="20"/>
          <w:szCs w:val="20"/>
          <w:color w:val="auto"/>
        </w:rPr>
      </w:pPr>
      <w:r>
        <w:rPr>
          <w:rFonts w:ascii="Arial" w:cs="Arial" w:eastAsia="Arial" w:hAnsi="Arial"/>
          <w:sz w:val="16"/>
          <w:szCs w:val="16"/>
          <w:color w:val="auto"/>
        </w:rPr>
        <w:t>As of December 28, 2019 and December 29, 2018, stock options, restricted stock units and restricted stock awards of 1,162,049 and 1,196,352 shares, respectively, were excluded from the computation of diluted weighted average shares outstanding because to do so would have been anti-dilutive.</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 and Principal Accounting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8"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Based on management’s evaluation, our Principal Executive and Financial Officer and Principal Accounting Officer concluded that, as of December 28, 2019,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Principal Accounting Officer, as appropriate, to allow timely decisions regarding required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40" w:firstLine="546"/>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28, 2019.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Based on our assessment using those criteria, our management concluded that, as of December 28, 2019, our internal control over financial reporting is effective.</w:t>
      </w:r>
    </w:p>
    <w:p>
      <w:pPr>
        <w:spacing w:after="0" w:line="58" w:lineRule="exact"/>
        <w:rPr>
          <w:sz w:val="20"/>
          <w:szCs w:val="20"/>
          <w:color w:val="auto"/>
        </w:rPr>
      </w:pPr>
    </w:p>
    <w:p>
      <w:pPr>
        <w:ind w:right="320" w:firstLine="546"/>
        <w:spacing w:after="0" w:line="308"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fiscal year 2019 that has materially affected, or is reasonably likely to materially affect, our internal control over financial reporting, as defined in Rule 13a-15(f) and 15(d)-15(f) under the Exchange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right="60" w:firstLine="546"/>
        <w:spacing w:after="0" w:line="268" w:lineRule="auto"/>
        <w:rPr>
          <w:sz w:val="20"/>
          <w:szCs w:val="20"/>
          <w:color w:val="auto"/>
        </w:rPr>
      </w:pPr>
      <w:r>
        <w:rPr>
          <w:rFonts w:ascii="Arial" w:cs="Arial" w:eastAsia="Arial" w:hAnsi="Arial"/>
          <w:sz w:val="17"/>
          <w:szCs w:val="17"/>
          <w:color w:val="auto"/>
        </w:rPr>
        <w:t>Our management, including our Principal Executive and Financial Officer and Principal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The Company currently intends to accelerate the date of its 2020 Annual Meeting of Stockholders (the “2020 Annual Meeting”). In accordance with Rule 14a-5(f) of the Securities Exchange Act of 1934, as amended (the “Exchange Act”), the Company has determined that proposals to be considered for inclusion in the Company’s proxy statement for the 2020 Annual Meeting pursuant to Rule 14a-8 of the Exchange Act must be received by the Company at its principal executive offices before the close of business on March 23, 2020. In order for a stockholder proposal made outside of Rule 14a-8 of the Exchange Act or the nomination of a director candidate to be considered “timely” within the meaning of Rule 14a-4(c) of the Exchange Act in respect of the 2020 Annual Meeting, such proposal or nomination must be received by the Company at its principal executive offices before the close of business on March 23, 2020, and be in compliance with the Bylaws of the Company. All proposals and nominations should be directed to the attention of the Corporate Secretary, Iridex Corporation, 1212 Terra Bella Avenue, Mountain View, California 94043.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Information regarding our directors is incorporated herein by reference to “Proposal One - Election of Directors - Nominees” in our Proxy Statement. The information concerning our current executive officers is incorporated herein by reference to “Executive Officers” in our Proxy Statement. Information regarding delinquent filers is incorporated by reference to “Section 16(a) Beneficial Ownership Reporting Compliance” in our Proxy Statement. Information regarding our code of business conduct and ethics is incorporated herein by reference to “Corporate Governance Matters - Code of Business Conduct and Ethics” in our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is incorporated herein by reference to “Executive Compensation” in our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“Security Ownership of Certain Beneficial Owners and Management” in our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“Certain Relationships and Related Transactions” in our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“Proposal Two - Ratification of the Appointment of Independent Registered Public Accounting Firm” in our Proxy Statement.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00" w:type="dxa"/>
            <w:vAlign w:val="bottom"/>
            <w:gridSpan w:val="6"/>
          </w:tcPr>
          <w:p>
            <w:pPr>
              <w:ind w:left="104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ind w:left="540"/>
              <w:spacing w:after="0"/>
              <w:rPr>
                <w:sz w:val="20"/>
                <w:szCs w:val="20"/>
                <w:color w:val="auto"/>
              </w:rPr>
            </w:pPr>
            <w:r>
              <w:rPr>
                <w:rFonts w:ascii="Arial" w:cs="Arial" w:eastAsia="Arial" w:hAnsi="Arial"/>
                <w:sz w:val="18"/>
                <w:szCs w:val="18"/>
                <w:color w:val="auto"/>
              </w:rPr>
              <w:t>(a)</w:t>
            </w:r>
          </w:p>
        </w:tc>
        <w:tc>
          <w:tcPr>
            <w:tcW w:w="9600" w:type="dxa"/>
            <w:vAlign w:val="bottom"/>
            <w:gridSpan w:val="8"/>
          </w:tcPr>
          <w:p>
            <w:pPr>
              <w:ind w:left="160"/>
              <w:spacing w:after="0"/>
              <w:rPr>
                <w:sz w:val="20"/>
                <w:szCs w:val="20"/>
                <w:color w:val="auto"/>
              </w:rPr>
            </w:pPr>
            <w:r>
              <w:rPr>
                <w:rFonts w:ascii="Arial" w:cs="Arial" w:eastAsia="Arial" w:hAnsi="Arial"/>
                <w:sz w:val="18"/>
                <w:szCs w:val="18"/>
                <w:color w:val="auto"/>
              </w:rPr>
              <w:t>The following documents are filed in Part II of this Annual Report on Form 10-K:</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Page in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85"/>
        </w:trPr>
        <w:tc>
          <w:tcPr>
            <w:tcW w:w="105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Index to Financial Statements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0" w:type="dxa"/>
            <w:vAlign w:val="bottom"/>
          </w:tcPr>
          <w:p>
            <w:pPr>
              <w:spacing w:after="0"/>
              <w:rPr>
                <w:sz w:val="1"/>
                <w:szCs w:val="1"/>
                <w:color w:val="auto"/>
              </w:rPr>
            </w:pPr>
          </w:p>
        </w:tc>
      </w:tr>
      <w:tr>
        <w:trPr>
          <w:trHeight w:val="195"/>
        </w:trPr>
        <w:tc>
          <w:tcPr>
            <w:tcW w:w="10520" w:type="dxa"/>
            <w:vAlign w:val="bottom"/>
            <w:gridSpan w:val="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520" w:type="dxa"/>
            <w:vAlign w:val="bottom"/>
            <w:gridSpan w:val="9"/>
          </w:tcPr>
          <w:p>
            <w:pPr>
              <w:spacing w:after="0" w:line="190" w:lineRule="exact"/>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December 28, 2019 and December 29, 2018</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Operations for the years ended December 28, 2019 and December 29, 2018</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Comprehensive Loss for the years ended December 28, 2019 and December 29, 2018</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8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Stockholders’Equity for the years ended December 28, 2019 and December 29, 2018</w:t>
              </w:r>
            </w:hyperlink>
          </w:p>
        </w:tc>
        <w:tc>
          <w:tcPr>
            <w:tcW w:w="20" w:type="dxa"/>
            <w:vAlign w:val="bottom"/>
            <w:tcBorders>
              <w:top w:val="single" w:sz="8" w:color="0000EE"/>
            </w:tcBorders>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December 28, 2019 and December 29, 2018</w:t>
              </w:r>
            </w:hyperlink>
          </w:p>
        </w:tc>
        <w:tc>
          <w:tcPr>
            <w:tcW w:w="300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Notes to Consolidated Financial Statements</w:t>
              </w:r>
            </w:hyperlink>
          </w:p>
        </w:tc>
        <w:tc>
          <w:tcPr>
            <w:tcW w:w="736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 Schedule</w:t>
      </w:r>
    </w:p>
    <w:p>
      <w:pPr>
        <w:spacing w:after="0" w:line="121"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Schedules have been omitted because they are either not required, not applicable, or the required information is included in the consolidated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14"/>
          </w:tcPr>
          <w:p>
            <w:pPr>
              <w:ind w:left="10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91"/>
        </w:trPr>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Exhibits</w:t>
            </w:r>
          </w:p>
        </w:tc>
        <w:tc>
          <w:tcPr>
            <w:tcW w:w="160" w:type="dxa"/>
            <w:vAlign w:val="bottom"/>
          </w:tcPr>
          <w:p>
            <w:pPr>
              <w:spacing w:after="0"/>
              <w:rPr>
                <w:sz w:val="24"/>
                <w:szCs w:val="24"/>
                <w:color w:val="auto"/>
              </w:rPr>
            </w:pPr>
          </w:p>
        </w:tc>
        <w:tc>
          <w:tcPr>
            <w:tcW w:w="9960" w:type="dxa"/>
            <w:vAlign w:val="bottom"/>
            <w:tcBorders>
              <w:bottom w:val="single" w:sz="8" w:color="auto"/>
            </w:tcBorders>
            <w:gridSpan w:val="20"/>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24"/>
                <w:szCs w:val="24"/>
                <w:color w:val="auto"/>
              </w:rPr>
            </w:pPr>
          </w:p>
        </w:tc>
      </w:tr>
      <w:tr>
        <w:trPr>
          <w:trHeight w:val="331"/>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3.1(1) (P)</w:t>
            </w:r>
          </w:p>
        </w:tc>
        <w:tc>
          <w:tcPr>
            <w:tcW w:w="9960" w:type="dxa"/>
            <w:vAlign w:val="bottom"/>
            <w:gridSpan w:val="20"/>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20" w:type="dxa"/>
            <w:vAlign w:val="bottom"/>
          </w:tcPr>
          <w:p>
            <w:pPr>
              <w:spacing w:after="0"/>
              <w:rPr>
                <w:sz w:val="24"/>
                <w:szCs w:val="24"/>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3280" w:type="dxa"/>
            <w:vAlign w:val="bottom"/>
            <w:tcBorders>
              <w:bottom w:val="single" w:sz="8" w:color="0000EE"/>
            </w:tcBorders>
            <w:gridSpan w:val="5"/>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Amended and Restated Bylaws of Registrant.</w:t>
              </w:r>
            </w:hyperlink>
          </w:p>
        </w:tc>
        <w:tc>
          <w:tcPr>
            <w:tcW w:w="66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Investor Rights Agreement, dated as of August 31, 2007, by and among the Registrant, BlueLine Capital Partners, LP; BlueLine Capital</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Partners III, LP and BlueLine Capital Partners II, LP.</w:t>
              </w:r>
            </w:hyperlink>
          </w:p>
        </w:tc>
        <w:tc>
          <w:tcPr>
            <w:tcW w:w="5980" w:type="dxa"/>
            <w:vAlign w:val="bottom"/>
            <w:tcBorders>
              <w:top w:val="single" w:sz="8" w:color="0000EE"/>
            </w:tcBorders>
            <w:gridSpan w:val="1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Amendment No. 1 to Investor Rights Agreement, dated as of March 31, 2009.</w:t>
              </w:r>
            </w:hyperlink>
          </w:p>
        </w:tc>
        <w:tc>
          <w:tcPr>
            <w:tcW w:w="43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Description of Capital Stock.</w:t>
              </w:r>
            </w:hyperlink>
          </w:p>
        </w:tc>
        <w:tc>
          <w:tcPr>
            <w:tcW w:w="786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10.1(17)</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w w:val="98"/>
              </w:rPr>
            </w:pPr>
            <w:hyperlink r:id="rId95">
              <w:r>
                <w:rPr>
                  <w:rFonts w:ascii="Arial" w:cs="Arial" w:eastAsia="Arial" w:hAnsi="Arial"/>
                  <w:sz w:val="18"/>
                  <w:szCs w:val="18"/>
                  <w:color w:val="0000EE"/>
                  <w:w w:val="98"/>
                </w:rPr>
                <w:t>Fourth Amendment to Lease Agreement dated February 9, 2016 by and between Zappettini Investment Co. and the Registrant.</w:t>
              </w:r>
            </w:hyperlink>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10.2(19)</w:t>
            </w:r>
          </w:p>
        </w:tc>
        <w:tc>
          <w:tcPr>
            <w:tcW w:w="160" w:type="dxa"/>
            <w:vAlign w:val="bottom"/>
          </w:tcPr>
          <w:p>
            <w:pPr>
              <w:spacing w:after="0"/>
              <w:rPr>
                <w:sz w:val="24"/>
                <w:szCs w:val="24"/>
                <w:color w:val="auto"/>
              </w:rPr>
            </w:pPr>
          </w:p>
        </w:tc>
        <w:tc>
          <w:tcPr>
            <w:tcW w:w="9120" w:type="dxa"/>
            <w:vAlign w:val="bottom"/>
            <w:tcBorders>
              <w:top w:val="single" w:sz="8" w:color="0000EE"/>
            </w:tcBorders>
            <w:gridSpan w:val="15"/>
          </w:tcPr>
          <w:p>
            <w:pPr>
              <w:spacing w:after="0"/>
              <w:rPr>
                <w:rFonts w:ascii="Arial" w:cs="Arial" w:eastAsia="Arial" w:hAnsi="Arial"/>
                <w:sz w:val="18"/>
                <w:szCs w:val="18"/>
                <w:color w:val="0000EE"/>
              </w:rPr>
            </w:pPr>
            <w:hyperlink r:id="rId96">
              <w:r>
                <w:rPr>
                  <w:rFonts w:ascii="Arial" w:cs="Arial" w:eastAsia="Arial" w:hAnsi="Arial"/>
                  <w:sz w:val="18"/>
                  <w:szCs w:val="18"/>
                  <w:color w:val="0000EE"/>
                </w:rPr>
                <w:t>Form of Indemnification Agreement with directors and officers.</w:t>
              </w:r>
            </w:hyperlink>
          </w:p>
        </w:tc>
        <w:tc>
          <w:tcPr>
            <w:tcW w:w="8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Lease Agreement dated December 6, 1996 by and between Zappettini Investment Co. and the Registrant, as amended pursuant to</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Amendment No. 1 dated September 15, 2003 and Amendment No. 2 dated December 22, 2008.</w:t>
              </w:r>
            </w:hyperlink>
          </w:p>
        </w:tc>
        <w:tc>
          <w:tcPr>
            <w:tcW w:w="2420" w:type="dxa"/>
            <w:vAlign w:val="bottom"/>
            <w:tcBorders>
              <w:top w:val="single" w:sz="8" w:color="0000EE"/>
            </w:tcBorders>
            <w:gridSpan w:val="5"/>
          </w:tcPr>
          <w:p>
            <w:pPr>
              <w:spacing w:after="0"/>
              <w:rPr>
                <w:sz w:val="17"/>
                <w:szCs w:val="17"/>
                <w:color w:val="auto"/>
              </w:rPr>
            </w:pPr>
          </w:p>
        </w:tc>
        <w:tc>
          <w:tcPr>
            <w:tcW w:w="6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10.3.1(13)</w:t>
            </w:r>
          </w:p>
        </w:tc>
        <w:tc>
          <w:tcPr>
            <w:tcW w:w="160" w:type="dxa"/>
            <w:vAlign w:val="bottom"/>
          </w:tcPr>
          <w:p>
            <w:pPr>
              <w:spacing w:after="0"/>
              <w:rPr>
                <w:sz w:val="24"/>
                <w:szCs w:val="24"/>
                <w:color w:val="auto"/>
              </w:rPr>
            </w:pPr>
          </w:p>
        </w:tc>
        <w:tc>
          <w:tcPr>
            <w:tcW w:w="8920" w:type="dxa"/>
            <w:vAlign w:val="bottom"/>
            <w:tcBorders>
              <w:bottom w:val="single" w:sz="8" w:color="0000EE"/>
            </w:tcBorders>
            <w:gridSpan w:val="1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Third Amendment to Lease Agreement dated August 4, 2014 by and between Zappettini Investment Co. and the Registrant.</w:t>
              </w:r>
            </w:hyperlink>
          </w:p>
        </w:tc>
        <w:tc>
          <w:tcPr>
            <w:tcW w:w="10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10.3.2(21)</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w w:val="97"/>
              </w:rPr>
            </w:pPr>
            <w:hyperlink r:id="rId95">
              <w:r>
                <w:rPr>
                  <w:rFonts w:ascii="Arial" w:cs="Arial" w:eastAsia="Arial" w:hAnsi="Arial"/>
                  <w:sz w:val="18"/>
                  <w:szCs w:val="18"/>
                  <w:color w:val="0000EE"/>
                  <w:w w:val="97"/>
                </w:rPr>
                <w:t>Fourth Amendment to Lease Agreement dated January 31, 2016 by and between ZIC 12112 Terra Bella LLC and the Registrant.</w:t>
              </w:r>
            </w:hyperlink>
          </w:p>
        </w:tc>
        <w:tc>
          <w:tcPr>
            <w:tcW w:w="20" w:type="dxa"/>
            <w:vAlign w:val="bottom"/>
          </w:tcPr>
          <w:p>
            <w:pPr>
              <w:spacing w:after="0"/>
              <w:rPr>
                <w:sz w:val="24"/>
                <w:szCs w:val="24"/>
                <w:color w:val="auto"/>
              </w:rPr>
            </w:pPr>
          </w:p>
        </w:tc>
      </w:tr>
      <w:tr>
        <w:trPr>
          <w:trHeight w:val="317"/>
        </w:trPr>
        <w:tc>
          <w:tcPr>
            <w:tcW w:w="1120" w:type="dxa"/>
            <w:vAlign w:val="bottom"/>
          </w:tcPr>
          <w:p>
            <w:pPr>
              <w:ind w:left="100"/>
              <w:spacing w:after="0"/>
              <w:rPr>
                <w:sz w:val="20"/>
                <w:szCs w:val="20"/>
                <w:color w:val="auto"/>
              </w:rPr>
            </w:pPr>
            <w:r>
              <w:rPr>
                <w:rFonts w:ascii="Arial" w:cs="Arial" w:eastAsia="Arial" w:hAnsi="Arial"/>
                <w:sz w:val="18"/>
                <w:szCs w:val="18"/>
                <w:color w:val="auto"/>
              </w:rPr>
              <w:t>10.3.3(22)</w:t>
            </w:r>
          </w:p>
        </w:tc>
        <w:tc>
          <w:tcPr>
            <w:tcW w:w="160" w:type="dxa"/>
            <w:vAlign w:val="bottom"/>
          </w:tcPr>
          <w:p>
            <w:pPr>
              <w:spacing w:after="0"/>
              <w:rPr>
                <w:sz w:val="24"/>
                <w:szCs w:val="24"/>
                <w:color w:val="auto"/>
              </w:rPr>
            </w:pPr>
          </w:p>
        </w:tc>
        <w:tc>
          <w:tcPr>
            <w:tcW w:w="9240" w:type="dxa"/>
            <w:vAlign w:val="bottom"/>
            <w:tcBorders>
              <w:top w:val="single" w:sz="8" w:color="0000EE"/>
            </w:tcBorders>
            <w:gridSpan w:val="16"/>
          </w:tcPr>
          <w:p>
            <w:pPr>
              <w:spacing w:after="0"/>
              <w:rPr>
                <w:rFonts w:ascii="Arial" w:cs="Arial" w:eastAsia="Arial" w:hAnsi="Arial"/>
                <w:sz w:val="18"/>
                <w:szCs w:val="18"/>
                <w:color w:val="0000EE"/>
              </w:rPr>
            </w:pPr>
            <w:hyperlink r:id="rId99">
              <w:r>
                <w:rPr>
                  <w:rFonts w:ascii="Arial" w:cs="Arial" w:eastAsia="Arial" w:hAnsi="Arial"/>
                  <w:sz w:val="18"/>
                  <w:szCs w:val="18"/>
                  <w:color w:val="0000EE"/>
                </w:rPr>
                <w:t>Triple Net Lease dated April 26, 2017 by and between ZIC 12112 Terra Bella LLC and the Registrant.</w:t>
              </w:r>
            </w:hyperlink>
          </w:p>
        </w:tc>
        <w:tc>
          <w:tcPr>
            <w:tcW w:w="7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10.6(8)*</w:t>
            </w:r>
          </w:p>
        </w:tc>
        <w:tc>
          <w:tcPr>
            <w:tcW w:w="16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2005 Employee Stock Purchase Plan.</w:t>
              </w:r>
            </w:hyperlink>
          </w:p>
        </w:tc>
        <w:tc>
          <w:tcPr>
            <w:tcW w:w="4660" w:type="dxa"/>
            <w:vAlign w:val="bottom"/>
            <w:tcBorders>
              <w:top w:val="single" w:sz="8" w:color="0000EE"/>
            </w:tcBorders>
            <w:gridSpan w:val="11"/>
          </w:tcPr>
          <w:p>
            <w:pPr>
              <w:spacing w:after="0"/>
              <w:rPr>
                <w:sz w:val="24"/>
                <w:szCs w:val="24"/>
                <w:color w:val="auto"/>
              </w:rPr>
            </w:pPr>
          </w:p>
        </w:tc>
        <w:tc>
          <w:tcPr>
            <w:tcW w:w="26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r:id="rId101">
              <w:r>
                <w:rPr>
                  <w:rFonts w:ascii="Arial" w:cs="Arial" w:eastAsia="Arial" w:hAnsi="Arial"/>
                  <w:sz w:val="18"/>
                  <w:szCs w:val="18"/>
                  <w:color w:val="0000EE"/>
                </w:rPr>
                <w:t>2008 Equity Incentive Plan, as amended.</w:t>
              </w:r>
            </w:hyperlink>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10.8(10)*</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r:id="rId102">
              <w:r>
                <w:rPr>
                  <w:rFonts w:ascii="Arial" w:cs="Arial" w:eastAsia="Arial" w:hAnsi="Arial"/>
                  <w:sz w:val="18"/>
                  <w:szCs w:val="18"/>
                  <w:color w:val="0000EE"/>
                </w:rPr>
                <w:t>Form of 2008 Equity Incentive Plan Option Agreement.</w:t>
              </w:r>
            </w:hyperlink>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10.9(11)*</w:t>
            </w:r>
          </w:p>
        </w:tc>
        <w:tc>
          <w:tcPr>
            <w:tcW w:w="160" w:type="dxa"/>
            <w:vAlign w:val="bottom"/>
          </w:tcPr>
          <w:p>
            <w:pPr>
              <w:spacing w:after="0"/>
              <w:rPr>
                <w:sz w:val="24"/>
                <w:szCs w:val="24"/>
                <w:color w:val="auto"/>
              </w:rPr>
            </w:pPr>
          </w:p>
        </w:tc>
        <w:tc>
          <w:tcPr>
            <w:tcW w:w="3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Form of Stand-alone stock option agreement.</w:t>
              </w:r>
            </w:hyperlink>
          </w:p>
        </w:tc>
        <w:tc>
          <w:tcPr>
            <w:tcW w:w="760" w:type="dxa"/>
            <w:vAlign w:val="bottom"/>
            <w:tcBorders>
              <w:top w:val="single" w:sz="8" w:color="0000EE"/>
            </w:tcBorders>
            <w:gridSpan w:val="4"/>
          </w:tcPr>
          <w:p>
            <w:pPr>
              <w:spacing w:after="0"/>
              <w:rPr>
                <w:sz w:val="24"/>
                <w:szCs w:val="24"/>
                <w:color w:val="auto"/>
              </w:rPr>
            </w:pPr>
          </w:p>
        </w:tc>
        <w:tc>
          <w:tcPr>
            <w:tcW w:w="59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10.10(3)</w:t>
            </w:r>
          </w:p>
        </w:tc>
        <w:tc>
          <w:tcPr>
            <w:tcW w:w="16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Securities Purchase Agreement, dated August 31, 2007, by and among BlueLine Capital Partners, LP, BlueLine Capital Partners III, LP,</w:t>
              </w:r>
            </w:hyperlink>
          </w:p>
        </w:tc>
        <w:tc>
          <w:tcPr>
            <w:tcW w:w="1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BlueLine Capital Partners II, LP and the Registrant.</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6"/>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10.11(12)*</w:t>
            </w:r>
          </w:p>
        </w:tc>
        <w:tc>
          <w:tcPr>
            <w:tcW w:w="16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2008 Equity Incentive Plan Restricted Stock Award Agreement.</w:t>
              </w:r>
            </w:hyperlink>
          </w:p>
        </w:tc>
        <w:tc>
          <w:tcPr>
            <w:tcW w:w="20" w:type="dxa"/>
            <w:vAlign w:val="bottom"/>
          </w:tcPr>
          <w:p>
            <w:pPr>
              <w:spacing w:after="0"/>
              <w:rPr>
                <w:sz w:val="24"/>
                <w:szCs w:val="24"/>
                <w:color w:val="auto"/>
              </w:rPr>
            </w:pPr>
          </w:p>
        </w:tc>
      </w:tr>
      <w:tr>
        <w:trPr>
          <w:trHeight w:val="57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Borders>
              <w:top w:val="single" w:sz="8" w:color="0000EE"/>
            </w:tcBorders>
            <w:gridSpan w:val="9"/>
          </w:tcPr>
          <w:p>
            <w:pPr>
              <w:ind w:left="4260"/>
              <w:spacing w:after="0"/>
              <w:rPr>
                <w:sz w:val="20"/>
                <w:szCs w:val="20"/>
                <w:color w:val="auto"/>
              </w:rPr>
            </w:pPr>
            <w:r>
              <w:rPr>
                <w:rFonts w:ascii="Arial" w:cs="Arial" w:eastAsia="Arial" w:hAnsi="Arial"/>
                <w:sz w:val="18"/>
                <w:szCs w:val="18"/>
                <w:color w:val="auto"/>
              </w:rPr>
              <w:t>66</w:t>
            </w:r>
          </w:p>
        </w:tc>
        <w:tc>
          <w:tcPr>
            <w:tcW w:w="6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Exhibits</w:t>
            </w:r>
          </w:p>
        </w:tc>
        <w:tc>
          <w:tcPr>
            <w:tcW w:w="9960" w:type="dxa"/>
            <w:vAlign w:val="bottom"/>
            <w:gridSpan w:val="24"/>
          </w:tcPr>
          <w:p>
            <w:pPr>
              <w:spacing w:after="0"/>
              <w:rPr>
                <w:sz w:val="20"/>
                <w:szCs w:val="20"/>
                <w:color w:val="auto"/>
              </w:rPr>
            </w:pPr>
            <w:r>
              <w:rPr>
                <w:rFonts w:ascii="Arial" w:cs="Arial" w:eastAsia="Arial" w:hAnsi="Arial"/>
                <w:sz w:val="14"/>
                <w:szCs w:val="14"/>
                <w:b w:val="1"/>
                <w:bCs w:val="1"/>
                <w:color w:val="auto"/>
              </w:rPr>
              <w:t>Exhibit Title</w:t>
            </w:r>
          </w:p>
        </w:tc>
      </w:tr>
      <w:tr>
        <w:trPr>
          <w:trHeight w:val="169"/>
        </w:trPr>
        <w:tc>
          <w:tcPr>
            <w:tcW w:w="112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10.12(12)*</w:t>
            </w:r>
          </w:p>
        </w:tc>
        <w:tc>
          <w:tcPr>
            <w:tcW w:w="160" w:type="dxa"/>
            <w:vAlign w:val="bottom"/>
          </w:tcPr>
          <w:p>
            <w:pPr>
              <w:spacing w:after="0"/>
              <w:rPr>
                <w:sz w:val="14"/>
                <w:szCs w:val="14"/>
                <w:color w:val="auto"/>
              </w:rPr>
            </w:pPr>
          </w:p>
        </w:tc>
        <w:tc>
          <w:tcPr>
            <w:tcW w:w="5600" w:type="dxa"/>
            <w:vAlign w:val="bottom"/>
            <w:tcBorders>
              <w:top w:val="single" w:sz="8" w:color="auto"/>
              <w:bottom w:val="single" w:sz="8" w:color="0000EE"/>
            </w:tcBorders>
            <w:gridSpan w:val="7"/>
          </w:tcPr>
          <w:p>
            <w:pPr>
              <w:spacing w:after="0" w:line="169"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Form of 2008 Equity Incentive Plan Restricted Stock Unit Award Agreement.</w:t>
              </w:r>
            </w:hyperlink>
          </w:p>
        </w:tc>
        <w:tc>
          <w:tcPr>
            <w:tcW w:w="4360" w:type="dxa"/>
            <w:vAlign w:val="bottom"/>
            <w:tcBorders>
              <w:top w:val="single" w:sz="8" w:color="auto"/>
            </w:tcBorders>
            <w:gridSpan w:val="17"/>
          </w:tcPr>
          <w:p>
            <w:pPr>
              <w:spacing w:after="0"/>
              <w:rPr>
                <w:sz w:val="14"/>
                <w:szCs w:val="1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10.13(14)*</w:t>
            </w:r>
          </w:p>
        </w:tc>
        <w:tc>
          <w:tcPr>
            <w:tcW w:w="16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Restricted Stock Unit Award Agreement granted to William M. Moore under the Company’s 2008 Equity Incentive Plan, as amended.</w:t>
              </w:r>
            </w:hyperlink>
          </w:p>
        </w:tc>
        <w:tc>
          <w:tcPr>
            <w:tcW w:w="280" w:type="dxa"/>
            <w:vAlign w:val="bottom"/>
            <w:gridSpan w:val="3"/>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10.14(15)*</w:t>
            </w:r>
          </w:p>
        </w:tc>
        <w:tc>
          <w:tcPr>
            <w:tcW w:w="16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Restricted Stock Unit Award Agreement granted to William M. Moore under the Company’s 2008 Equity Incentive Plan, as amended.</w:t>
              </w:r>
            </w:hyperlink>
          </w:p>
        </w:tc>
        <w:tc>
          <w:tcPr>
            <w:tcW w:w="300" w:type="dxa"/>
            <w:vAlign w:val="bottom"/>
            <w:gridSpan w:val="4"/>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10.15(16)*</w:t>
            </w:r>
          </w:p>
        </w:tc>
        <w:tc>
          <w:tcPr>
            <w:tcW w:w="160" w:type="dxa"/>
            <w:vAlign w:val="bottom"/>
          </w:tcPr>
          <w:p>
            <w:pPr>
              <w:spacing w:after="0"/>
              <w:rPr>
                <w:sz w:val="24"/>
                <w:szCs w:val="24"/>
                <w:color w:val="auto"/>
              </w:rPr>
            </w:pPr>
          </w:p>
        </w:tc>
        <w:tc>
          <w:tcPr>
            <w:tcW w:w="8100" w:type="dxa"/>
            <w:vAlign w:val="bottom"/>
            <w:tcBorders>
              <w:bottom w:val="single" w:sz="8" w:color="0000EE"/>
            </w:tcBorders>
            <w:gridSpan w:val="14"/>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Change in Control Severance Agreement dated March 30, 2015, between the Registrant and William M. Moore.</w:t>
              </w:r>
            </w:hyperlink>
          </w:p>
        </w:tc>
        <w:tc>
          <w:tcPr>
            <w:tcW w:w="1860" w:type="dxa"/>
            <w:vAlign w:val="bottom"/>
            <w:gridSpan w:val="10"/>
          </w:tcPr>
          <w:p>
            <w:pPr>
              <w:spacing w:after="0"/>
              <w:rPr>
                <w:sz w:val="24"/>
                <w:szCs w:val="24"/>
                <w:color w:val="auto"/>
              </w:rPr>
            </w:pPr>
          </w:p>
        </w:tc>
      </w:tr>
      <w:tr>
        <w:trPr>
          <w:trHeight w:val="317"/>
        </w:trPr>
        <w:tc>
          <w:tcPr>
            <w:tcW w:w="1120" w:type="dxa"/>
            <w:vAlign w:val="bottom"/>
          </w:tcPr>
          <w:p>
            <w:pPr>
              <w:ind w:left="100"/>
              <w:spacing w:after="0"/>
              <w:rPr>
                <w:sz w:val="20"/>
                <w:szCs w:val="20"/>
                <w:color w:val="auto"/>
              </w:rPr>
            </w:pPr>
            <w:r>
              <w:rPr>
                <w:rFonts w:ascii="Arial" w:cs="Arial" w:eastAsia="Arial" w:hAnsi="Arial"/>
                <w:sz w:val="18"/>
                <w:szCs w:val="18"/>
                <w:color w:val="auto"/>
              </w:rPr>
              <w:t>10.16(18)*</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w w:val="98"/>
              </w:rPr>
            </w:pPr>
            <w:hyperlink r:id="rId112">
              <w:r>
                <w:rPr>
                  <w:rFonts w:ascii="Arial" w:cs="Arial" w:eastAsia="Arial" w:hAnsi="Arial"/>
                  <w:sz w:val="18"/>
                  <w:szCs w:val="18"/>
                  <w:color w:val="0000EE"/>
                  <w:w w:val="98"/>
                </w:rPr>
                <w:t>Change in Control Severance Agreement dated as of December 6, 2017 by and between the Company and George Marcellino</w:t>
              </w:r>
            </w:hyperlink>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10.17(19)*</w:t>
            </w:r>
          </w:p>
        </w:tc>
        <w:tc>
          <w:tcPr>
            <w:tcW w:w="160" w:type="dxa"/>
            <w:vAlign w:val="bottom"/>
          </w:tcPr>
          <w:p>
            <w:pPr>
              <w:spacing w:after="0"/>
              <w:rPr>
                <w:sz w:val="24"/>
                <w:szCs w:val="24"/>
                <w:color w:val="auto"/>
              </w:rPr>
            </w:pPr>
          </w:p>
        </w:tc>
        <w:tc>
          <w:tcPr>
            <w:tcW w:w="58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Offer Letter between the Company and Mr. Mokari effective as of May 13, 2016.</w:t>
              </w:r>
            </w:hyperlink>
          </w:p>
        </w:tc>
        <w:tc>
          <w:tcPr>
            <w:tcW w:w="3180" w:type="dxa"/>
            <w:vAlign w:val="bottom"/>
            <w:tcBorders>
              <w:top w:val="single" w:sz="8" w:color="0000EE"/>
            </w:tcBorders>
            <w:gridSpan w:val="7"/>
          </w:tcPr>
          <w:p>
            <w:pPr>
              <w:spacing w:after="0"/>
              <w:rPr>
                <w:sz w:val="24"/>
                <w:szCs w:val="24"/>
                <w:color w:val="auto"/>
              </w:rPr>
            </w:pPr>
          </w:p>
        </w:tc>
        <w:tc>
          <w:tcPr>
            <w:tcW w:w="920" w:type="dxa"/>
            <w:vAlign w:val="bottom"/>
            <w:gridSpan w:val="7"/>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10.18(19)*</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Change in Control Severance Agreement, between the Company and Mr. Mokari</w:t>
              </w:r>
            </w:hyperlink>
            <w:r>
              <w:rPr>
                <w:rFonts w:ascii="Arial" w:cs="Arial" w:eastAsia="Arial" w:hAnsi="Arial"/>
                <w:sz w:val="18"/>
                <w:szCs w:val="18"/>
                <w:u w:val="single" w:color="auto"/>
                <w:color w:val="000000"/>
              </w:rPr>
              <w:t>.</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10.19(20)</w:t>
            </w:r>
          </w:p>
        </w:tc>
        <w:tc>
          <w:tcPr>
            <w:tcW w:w="16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Loan and Security Agreement, dated as of November 2, 2016, between IRIDEX Corporation and Silicon Valley Bank.</w:t>
              </w:r>
            </w:hyperlink>
          </w:p>
        </w:tc>
        <w:tc>
          <w:tcPr>
            <w:tcW w:w="1440" w:type="dxa"/>
            <w:vAlign w:val="bottom"/>
            <w:gridSpan w:val="8"/>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10.19.1</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First Amendment to Loan and Security Agreement between IRIDEX Corporation and Silicon Valley Bank, executed on December 3,</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2019.</w:t>
              </w:r>
            </w:hyperlink>
          </w:p>
        </w:tc>
        <w:tc>
          <w:tcPr>
            <w:tcW w:w="9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10.19.2</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Second Amendment to Loan and Security Agreement between IRIDEX Corporation and Silicon Valley Bank, executed on January 8,</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1">
              <w:r>
                <w:rPr>
                  <w:rFonts w:ascii="Arial" w:cs="Arial" w:eastAsia="Arial" w:hAnsi="Arial"/>
                  <w:sz w:val="18"/>
                  <w:szCs w:val="18"/>
                  <w:color w:val="0000EE"/>
                  <w:w w:val="84"/>
                </w:rPr>
                <w:t>2020.</w:t>
              </w:r>
            </w:hyperlink>
          </w:p>
        </w:tc>
        <w:tc>
          <w:tcPr>
            <w:tcW w:w="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7"/>
        </w:trPr>
        <w:tc>
          <w:tcPr>
            <w:tcW w:w="1120" w:type="dxa"/>
            <w:vAlign w:val="bottom"/>
          </w:tcPr>
          <w:p>
            <w:pPr>
              <w:ind w:left="100"/>
              <w:spacing w:after="0"/>
              <w:rPr>
                <w:sz w:val="20"/>
                <w:szCs w:val="20"/>
                <w:color w:val="auto"/>
              </w:rPr>
            </w:pPr>
            <w:r>
              <w:rPr>
                <w:rFonts w:ascii="Arial" w:cs="Arial" w:eastAsia="Arial" w:hAnsi="Arial"/>
                <w:sz w:val="18"/>
                <w:szCs w:val="18"/>
                <w:color w:val="auto"/>
              </w:rPr>
              <w:t>10.20(23)*</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Offer Letter between the Company and Mr. Bruce effective as of May 20, 2019.</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10.21(24)*</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Change in Control Severance Agreement dated as of October 25, 2019, between the Company and Mr. Bruce.</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10.22(24)*</w:t>
            </w:r>
          </w:p>
        </w:tc>
        <w:tc>
          <w:tcPr>
            <w:tcW w:w="160" w:type="dxa"/>
            <w:vAlign w:val="bottom"/>
          </w:tcPr>
          <w:p>
            <w:pPr>
              <w:spacing w:after="0"/>
              <w:rPr>
                <w:sz w:val="24"/>
                <w:szCs w:val="24"/>
                <w:color w:val="auto"/>
              </w:rPr>
            </w:pPr>
          </w:p>
        </w:tc>
        <w:tc>
          <w:tcPr>
            <w:tcW w:w="9960" w:type="dxa"/>
            <w:vAlign w:val="bottom"/>
            <w:gridSpan w:val="24"/>
          </w:tcPr>
          <w:p>
            <w:pPr>
              <w:spacing w:after="0"/>
              <w:rPr>
                <w:rFonts w:ascii="Arial" w:cs="Arial" w:eastAsia="Arial" w:hAnsi="Arial"/>
                <w:sz w:val="18"/>
                <w:szCs w:val="18"/>
                <w:color w:val="0000EE"/>
              </w:rPr>
            </w:pPr>
            <w:hyperlink r:id="rId117">
              <w:r>
                <w:rPr>
                  <w:rFonts w:ascii="Arial" w:cs="Arial" w:eastAsia="Arial" w:hAnsi="Arial"/>
                  <w:sz w:val="18"/>
                  <w:szCs w:val="18"/>
                  <w:color w:val="0000EE"/>
                </w:rPr>
                <w:t>Change in Control Severance Agreement dated as of October 25, 2019, between the Company and Mr. Mercer.</w:t>
              </w:r>
            </w:hyperlink>
          </w:p>
        </w:tc>
      </w:tr>
      <w:tr>
        <w:trPr>
          <w:trHeight w:val="358"/>
        </w:trPr>
        <w:tc>
          <w:tcPr>
            <w:tcW w:w="1280" w:type="dxa"/>
            <w:vAlign w:val="bottom"/>
            <w:gridSpan w:val="2"/>
          </w:tcPr>
          <w:p>
            <w:pPr>
              <w:ind w:left="100"/>
              <w:spacing w:after="0"/>
              <w:rPr>
                <w:sz w:val="20"/>
                <w:szCs w:val="20"/>
                <w:color w:val="auto"/>
              </w:rPr>
            </w:pPr>
            <w:r>
              <w:rPr>
                <w:rFonts w:ascii="Arial" w:cs="Arial" w:eastAsia="Arial" w:hAnsi="Arial"/>
                <w:sz w:val="18"/>
                <w:szCs w:val="18"/>
                <w:color w:val="auto"/>
              </w:rPr>
              <w:t>21.1 (1) (P)</w:t>
            </w:r>
          </w:p>
        </w:tc>
        <w:tc>
          <w:tcPr>
            <w:tcW w:w="79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Subsidiaries of Registrant</w:t>
            </w:r>
          </w:p>
        </w:tc>
        <w:tc>
          <w:tcPr>
            <w:tcW w:w="1980" w:type="dxa"/>
            <w:vAlign w:val="bottom"/>
            <w:gridSpan w:val="11"/>
          </w:tcPr>
          <w:p>
            <w:pPr>
              <w:spacing w:after="0"/>
              <w:rPr>
                <w:sz w:val="24"/>
                <w:szCs w:val="24"/>
                <w:color w:val="auto"/>
              </w:rPr>
            </w:pPr>
          </w:p>
        </w:tc>
      </w:tr>
      <w:tr>
        <w:trPr>
          <w:trHeight w:val="297"/>
        </w:trPr>
        <w:tc>
          <w:tcPr>
            <w:tcW w:w="1120" w:type="dxa"/>
            <w:vAlign w:val="bottom"/>
          </w:tcPr>
          <w:p>
            <w:pPr>
              <w:ind w:left="1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51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Consent of BPM LLP, Independent Registered Public Accounting Firm.</w:t>
              </w:r>
            </w:hyperlink>
          </w:p>
        </w:tc>
        <w:tc>
          <w:tcPr>
            <w:tcW w:w="4780" w:type="dxa"/>
            <w:vAlign w:val="bottom"/>
            <w:gridSpan w:val="18"/>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34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Power of Attorney (included on signature page).</w:t>
              </w:r>
            </w:hyperlink>
          </w:p>
        </w:tc>
        <w:tc>
          <w:tcPr>
            <w:tcW w:w="6480" w:type="dxa"/>
            <w:vAlign w:val="bottom"/>
            <w:gridSpan w:val="19"/>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85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Certification of Principal Executive and Financial Officer pursuant to Section 302 of the Sarbanes-Oxley Act of 2002.</w:t>
              </w:r>
            </w:hyperlink>
          </w:p>
        </w:tc>
        <w:tc>
          <w:tcPr>
            <w:tcW w:w="1460" w:type="dxa"/>
            <w:vAlign w:val="bottom"/>
            <w:gridSpan w:val="9"/>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6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Certification of Principal Accounting Officer pursuant to Section 302 of the Sarbanes-Oxley Act of 2002.</w:t>
              </w:r>
            </w:hyperlink>
          </w:p>
        </w:tc>
        <w:tc>
          <w:tcPr>
            <w:tcW w:w="2360" w:type="dxa"/>
            <w:vAlign w:val="bottom"/>
            <w:gridSpan w:val="13"/>
          </w:tcPr>
          <w:p>
            <w:pPr>
              <w:spacing w:after="0"/>
              <w:rPr>
                <w:sz w:val="24"/>
                <w:szCs w:val="24"/>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Principal Executive and Financial Officer pursuant to 18 U.S.C. Section 1350, as Adopted Pursuant to Section 906 of the</w:t>
              </w:r>
            </w:hyperlink>
          </w:p>
        </w:tc>
        <w:tc>
          <w:tcPr>
            <w:tcW w:w="1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Sarbanes-Oxley Act of 2002.</w:t>
              </w:r>
            </w:hyperlink>
          </w:p>
        </w:tc>
        <w:tc>
          <w:tcPr>
            <w:tcW w:w="7860" w:type="dxa"/>
            <w:vAlign w:val="bottom"/>
            <w:gridSpan w:val="20"/>
          </w:tcPr>
          <w:p>
            <w:pPr>
              <w:spacing w:after="0"/>
              <w:rPr>
                <w:sz w:val="17"/>
                <w:szCs w:val="17"/>
                <w:color w:val="auto"/>
              </w:rPr>
            </w:pPr>
          </w:p>
        </w:tc>
      </w:tr>
      <w:tr>
        <w:trPr>
          <w:trHeight w:val="318"/>
        </w:trPr>
        <w:tc>
          <w:tcPr>
            <w:tcW w:w="112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Certification of Principal Accounting Officer pursuant to 18 U.S.C. Section 1350, as Adopted Pursuant to Section 906 of the Sarbanes-</w:t>
              </w:r>
            </w:hyperlink>
          </w:p>
        </w:tc>
        <w:tc>
          <w:tcPr>
            <w:tcW w:w="2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Oxley Act of 2002.</w:t>
              </w:r>
            </w:hyperlink>
          </w:p>
        </w:tc>
      </w:tr>
      <w:tr>
        <w:trPr>
          <w:trHeight w:val="20"/>
        </w:trPr>
        <w:tc>
          <w:tcPr>
            <w:tcW w:w="1280" w:type="dxa"/>
            <w:vAlign w:val="bottom"/>
            <w:gridSpan w:val="2"/>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8580" w:type="dxa"/>
            <w:vAlign w:val="bottom"/>
            <w:gridSpan w:val="21"/>
          </w:tcPr>
          <w:p>
            <w:pPr>
              <w:spacing w:after="0" w:line="20" w:lineRule="exact"/>
              <w:rPr>
                <w:sz w:val="1"/>
                <w:szCs w:val="1"/>
                <w:color w:val="auto"/>
              </w:rPr>
            </w:pPr>
          </w:p>
        </w:tc>
      </w:tr>
      <w:tr>
        <w:trPr>
          <w:trHeight w:val="358"/>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540" w:right="60" w:hanging="532"/>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September 7, 2007.</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6, 2009.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10-K for the year ended January 3, 2009.</w:t>
      </w:r>
    </w:p>
    <w:p>
      <w:pPr>
        <w:spacing w:after="0" w:line="9" w:lineRule="exact"/>
        <w:rPr>
          <w:sz w:val="20"/>
          <w:szCs w:val="20"/>
          <w:color w:val="auto"/>
        </w:rPr>
      </w:pPr>
    </w:p>
    <w:p>
      <w:pPr>
        <w:ind w:left="540" w:right="120" w:hanging="532"/>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2004 Annual Meeting of Stockholders which was filed on April 30, 2004.</w:t>
      </w:r>
    </w:p>
    <w:p>
      <w:pPr>
        <w:ind w:left="540" w:right="120" w:hanging="532"/>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2019 Annual Meeting of Stockholders which was filed on June 12, 2019.</w:t>
      </w: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99.1 filed with Registrant’s Registration Statement on Form S-8 on November 21, 2008.</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99.(d)(5) filed with the Registration Statement on Form SC TO-I July 30, 2009.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for the quarter ended July 2, 2011.</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10-Q filed on November 3, 2014.</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March 27, 2013.</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January 9, 2014.</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on May 12, 2015.</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10-K on March 31,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December 6, 2017.</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July 11,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November 3,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10-K on March 31,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May 1, 2017.</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8-K/A on June 14, 2019.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Registrant’s Report on Form 8-K on October 28, 2019.</w:t>
      </w:r>
    </w:p>
    <w:p>
      <w:pPr>
        <w:spacing w:after="0" w:line="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46"/>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13th day of March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IRIDEX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6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Romeo R. Dizon</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Vice President of Finance</w:t>
            </w:r>
          </w:p>
        </w:tc>
      </w:tr>
    </w:tbl>
    <w:p>
      <w:pPr>
        <w:spacing w:after="0" w:line="20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I. Bruce and Romeo Dizon,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80"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5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r>
      <w:tr>
        <w:trPr>
          <w:trHeight w:val="3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(David I. Bruce)</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and Financial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Vice President of Finance</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(Romeo R. Dizon)</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Gunst</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Gunst)</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Grove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Grove)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Ludlum</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(Kenneth E. Ludlum)</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Sainz</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(Maria Sainz)</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Shuda)</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13, 2020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(Scott Shuda)</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34"/>
        </w:trPr>
        <w:tc>
          <w:tcPr>
            <w:tcW w:w="4040" w:type="dxa"/>
            <w:vAlign w:val="bottom"/>
          </w:tcPr>
          <w:p>
            <w:pPr>
              <w:spacing w:after="0"/>
              <w:rPr>
                <w:sz w:val="24"/>
                <w:szCs w:val="24"/>
                <w:color w:val="auto"/>
              </w:rPr>
            </w:pPr>
          </w:p>
        </w:tc>
        <w:tc>
          <w:tcPr>
            <w:tcW w:w="5700" w:type="dxa"/>
            <w:vAlign w:val="bottom"/>
            <w:gridSpan w:val="2"/>
          </w:tcPr>
          <w:p>
            <w:pPr>
              <w:jc w:val="right"/>
              <w:ind w:right="39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following description of the capital stock of Iridex Corporation (“us,” “our,” “we,” or the “Company”) is a summary. We have adopted an amended and restated certificate of incorporation and amended and restated bylaws, and this description summarizes the provisions that are included in such documents. Because it is only a summary, it does not contain all the information that may be important to you. For a complete description of the matters set forth in this Exhibit 4.3, you should refer to our amended and restated certificate of incorporation, amended and restated bylaws and amended and restated investors’ rights agreement, each previously filed with the Securities and Exchange Commission and incorporated by reference as an exhibit to the Annual Report on Form 10-K of which this Exhibit 4.3 is a part, and to the applicable provisions of Delaware law.</w:t>
      </w:r>
    </w:p>
    <w:p>
      <w:pPr>
        <w:spacing w:after="0" w:line="13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$0.01 par value per share, and 2,000,000 shares of undesignated preferred stock, $0.01 par value per share.</w:t>
      </w:r>
    </w:p>
    <w:p>
      <w:pPr>
        <w:spacing w:after="0" w:line="13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August 2007, we filed a Certificate of Designation (the “Certificate of Designation”) authorizing us to issue up to 500,000 of preferred stock as shares of Series A Preferred Stock, par value $0.01 per share (“Series A Preferred Stock”), and we issued 500,000 shares of Series A Preferred Stock, convertible into 1,000,000 shares of common stock, and warrants to purchase an aggregate of 600,000 shares of common stock at an exercise price of $0.01 per share.</w:t>
      </w:r>
    </w:p>
    <w:p>
      <w:pPr>
        <w:spacing w:after="0" w:line="14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June 11, 2013, all outstanding shares of our Series A Preferred Stock automatically converted into 1,000,000 shares of common stock. Pursuant to the Certificate of Designation, upon conversion into shares of common stock, the 500,000 shares of Series A Preferred Stock were cancelled and shall not be reissuable. The warrants were to expire on December 31, 2007 but were exercised prior to that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are 30,000,000 shares of common stock authorized for issuance. Pursuant to our amended and restated certificate of incorporation, each holder of our common stock is entitled to one vote for each share on all matters submitted to a vote of stockholders; provided, however, that, except as otherwise required by law, holders of our common stock, as such, shall not be entitled to vote on any amendment to our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amended and restated certificate of incorporation. Pursuant to our amended and restated certificate of incorporation and amended and restated bylaws, corporate actions can generally be taken by a majority of our board of directors and/or stockholders holding a majority of our outstanding shares, except as otherwise indicated in the section entitled “Anti-takeover Effects of Delaware Law and Our Certificate of Incorporation and Bylaws.” Additionally, our stockholders do not have cumulative voting rights in the election of directors. Accordingly, holders of a plurality of the votes cast at a meeting of stockholders will be able to elect all of the directors then standing for election.</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85"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1,500,000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 No shares of preferred stock are outstanding, and we have no present plan to issue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under our Amended and Restated Investors’ Rights Agreement, as Amended</w:t>
      </w:r>
    </w:p>
    <w:p>
      <w:pPr>
        <w:spacing w:after="0" w:line="18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Investment funds affiliated with BlueLine Partners, L.L.C., which are collectively referred to as “BlueLine,” hold shares of our common stock. Blueline, or its permitted transferees, is entitled to rights with respect to the registration of such shares under the Securities Act. We refer to these shares as “registrable securities.” These rights are provided under the terms of our amended and restated investors’ rights agreement between us and the holders of registrable securities, and include demand registration rights, “piggyback” registration rights and Form S-3 registration rights.</w:t>
      </w:r>
    </w:p>
    <w:p>
      <w:pPr>
        <w:spacing w:after="0" w:line="13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These registration rights will terminate as to a given holder of registrable securities when such holder’s securities have been sold in a public securities transaction or when such securities may be sold without any restriction pursuant to Rule 144(k).</w:t>
      </w:r>
    </w:p>
    <w:p>
      <w:pPr>
        <w:spacing w:after="0" w:line="143"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Generally, we are required to pay the registration expenses (other than underwriters’ and brokers’ discounts and commissions) in connection with the registrations described below, including up to $10,000 of reasonable fees and disbursements of one counsel for the selling holder or holders of registrable securities. In an underwritten offering, the underwriters have the right to limit the number of shares registered by the holders of registrable securities for marketing reasons, subject to certain limitations.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8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Upon the written request of holders of 60% or more of the then outstanding registrable securities that we file a registration statement under the Securities Act, we will be obligated to notify all holders of registrable securities of such request and to use our reasonable best efforts to register the sale of all registrable securities that holders may request to be registered. We are only obligated to file up to two registration statements in connection with underwritten offerings of the registrable securities in connection with the exercise of these demand registration rights. These demand registration rights are subject to specified conditions and limitations, including the right of the underwriters to limit the number of shares included in any such registration under certain circumstances.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8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If we propose to register any of our securities under the Securities Act in connection with the public offering of such securities, the holders of registrable securities will be entitled to certain “piggyback” registration rights allowing such holders to include their shares in such registration, subject to certain limitations. As a result, whenever we propose to file a registration statement under the Securities Act, other than with respect to a registration related to either to the sale of securities to our employees pursuant to a stock plan, stock purchase or similar plan or a registration related to a corporate reorganization or transaction under Rule 145 of the Securities Act, the holders of registrable securities are entitled to notice of the registration and have the right to include their shares in the registration. These registration rights are subject to specified conditions and limitations, including the right of the underwriters to limit the number of shares included in any such registration statement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ind w:left="2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85"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Upon the written request from the holders of at least 60% of the then outstanding shares of registrable securities, holders of registrable securities have the right to demand that we file a registration statement on Form S-3. These registration rights are subject to specified conditions and limitations, including the right of the underwriters to limit the number of shares included in any such registration statement under certain circumstances.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02" w:lineRule="exact"/>
        <w:rPr>
          <w:sz w:val="20"/>
          <w:szCs w:val="20"/>
          <w:color w:val="auto"/>
        </w:rPr>
      </w:pPr>
    </w:p>
    <w:p>
      <w:pPr>
        <w:jc w:val="both"/>
        <w:ind w:right="20" w:firstLine="510"/>
        <w:spacing w:after="0" w:line="296" w:lineRule="auto"/>
        <w:rPr>
          <w:sz w:val="20"/>
          <w:szCs w:val="20"/>
          <w:color w:val="auto"/>
        </w:rPr>
      </w:pPr>
      <w:r>
        <w:rPr>
          <w:rFonts w:ascii="Arial" w:cs="Arial" w:eastAsia="Arial" w:hAnsi="Arial"/>
          <w:sz w:val="16"/>
          <w:szCs w:val="16"/>
          <w:color w:val="auto"/>
        </w:rPr>
        <w:t>The provisions of Delaware law, our amended and restated certificate of incorporation and our amended and restated bylaws may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Delaware Law</w:t>
      </w:r>
    </w:p>
    <w:p>
      <w:pPr>
        <w:spacing w:after="0" w:line="18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are governed by the provisions of Section 203 of the Delaware General Corporation Law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alone or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our control.</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8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170" w:lineRule="exact"/>
        <w:rPr>
          <w:sz w:val="20"/>
          <w:szCs w:val="20"/>
          <w:color w:val="auto"/>
        </w:rPr>
      </w:pPr>
    </w:p>
    <w:p>
      <w:pPr>
        <w:ind w:left="880" w:right="60" w:hanging="319"/>
        <w:spacing w:after="0" w:line="25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bylaws authorize only our board of directors to fill vacant directorships,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newly created seats. In addition, the number of directors constituting our board of directors is permitted to be set only by a resolution adopted by our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7" w:lineRule="exact"/>
        <w:rPr>
          <w:rFonts w:ascii="Arial" w:cs="Arial" w:eastAsia="Arial" w:hAnsi="Arial"/>
          <w:sz w:val="18"/>
          <w:szCs w:val="18"/>
          <w:color w:val="auto"/>
        </w:rPr>
      </w:pPr>
    </w:p>
    <w:p>
      <w:pPr>
        <w:ind w:left="880" w:hanging="319"/>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 of stockholders. </w:t>
      </w:r>
      <w:r>
        <w:rPr>
          <w:rFonts w:ascii="Arial" w:cs="Arial" w:eastAsia="Arial" w:hAnsi="Arial"/>
          <w:sz w:val="18"/>
          <w:szCs w:val="18"/>
          <w:color w:val="auto"/>
        </w:rPr>
        <w:t>Our amended and restated bylaws provide that special meetings of our stockholders may be called only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by a committee of our board of directors,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6" w:lineRule="exact"/>
        <w:rPr>
          <w:rFonts w:ascii="Arial" w:cs="Arial" w:eastAsia="Arial" w:hAnsi="Arial"/>
          <w:sz w:val="18"/>
          <w:szCs w:val="18"/>
          <w:color w:val="auto"/>
        </w:rPr>
      </w:pPr>
    </w:p>
    <w:p>
      <w:pPr>
        <w:ind w:left="880" w:right="200" w:hanging="319"/>
        <w:spacing w:after="0" w:line="272"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provide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ind w:left="880" w:hanging="319"/>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provides otherwise. Our amended and restated certificate of incorporation does not provide for cumulative voting.</w:t>
      </w:r>
    </w:p>
    <w:p>
      <w:pPr>
        <w:spacing w:after="0" w:line="183" w:lineRule="exact"/>
        <w:rPr>
          <w:rFonts w:ascii="Arial" w:cs="Arial" w:eastAsia="Arial" w:hAnsi="Arial"/>
          <w:sz w:val="18"/>
          <w:szCs w:val="18"/>
          <w:color w:val="auto"/>
        </w:rPr>
      </w:pPr>
    </w:p>
    <w:p>
      <w:pPr>
        <w:ind w:left="880" w:right="180" w:hanging="319"/>
        <w:spacing w:after="0" w:line="301"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has the authority, without further action by the stockholders,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1,500,000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The transfer agent and registrar for our common stock is Computershare, N.A. The transfer agent and registrar’s address is 250 Royall Street, Canton, MA 02021. Our shares of common stock are issued in uncertificated form only, subject to limited circumstances.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“IRIX.”</w:t>
      </w:r>
    </w:p>
    <w:p>
      <w:pPr>
        <w:sectPr>
          <w:pgSz w:w="11900" w:h="16838" w:orient="portrait"/>
          <w:cols w:equalWidth="0" w:num="1">
            <w:col w:w="11080"/>
          </w:cols>
          <w:pgMar w:left="320" w:top="341" w:right="49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10.19.1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FIRST AMENDMENT TO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 is entered into this 3</w:t>
      </w:r>
      <w:r>
        <w:rPr>
          <w:rFonts w:ascii="Arial" w:cs="Arial" w:eastAsia="Arial" w:hAnsi="Arial"/>
          <w:sz w:val="18"/>
          <w:szCs w:val="18"/>
          <w:color w:val="auto"/>
        </w:rPr>
        <w:t>rd</w:t>
      </w:r>
      <w:r>
        <w:rPr>
          <w:rFonts w:ascii="Arial" w:cs="Arial" w:eastAsia="Arial" w:hAnsi="Arial"/>
          <w:sz w:val="22"/>
          <w:szCs w:val="22"/>
          <w:color w:val="auto"/>
        </w:rPr>
        <w:t xml:space="preserve"> day of December, 2019, but is effective as of November 2, 2019, by and between SILICON VALLEY BANK (“</w:t>
      </w:r>
      <w:r>
        <w:rPr>
          <w:rFonts w:ascii="Arial" w:cs="Arial" w:eastAsia="Arial" w:hAnsi="Arial"/>
          <w:sz w:val="22"/>
          <w:szCs w:val="22"/>
          <w:b w:val="1"/>
          <w:bCs w:val="1"/>
          <w:color w:val="auto"/>
        </w:rPr>
        <w:t>Bank</w:t>
      </w:r>
      <w:r>
        <w:rPr>
          <w:rFonts w:ascii="Arial" w:cs="Arial" w:eastAsia="Arial" w:hAnsi="Arial"/>
          <w:sz w:val="22"/>
          <w:szCs w:val="22"/>
          <w:color w:val="auto"/>
        </w:rPr>
        <w:t>”) and IRIDEX CORPORATION,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ind w:firstLine="872"/>
        <w:spacing w:after="0" w:line="328" w:lineRule="auto"/>
        <w:tabs>
          <w:tab w:leader="none" w:pos="1721" w:val="left"/>
        </w:tabs>
        <w:numPr>
          <w:ilvl w:val="0"/>
          <w:numId w:val="37"/>
        </w:numPr>
        <w:rPr>
          <w:rFonts w:ascii="Arial" w:cs="Arial" w:eastAsia="Arial" w:hAnsi="Arial"/>
          <w:sz w:val="19"/>
          <w:szCs w:val="19"/>
          <w:color w:val="auto"/>
        </w:rPr>
      </w:pPr>
      <w:r>
        <w:rPr>
          <w:rFonts w:ascii="Arial" w:cs="Arial" w:eastAsia="Arial" w:hAnsi="Arial"/>
          <w:sz w:val="19"/>
          <w:szCs w:val="19"/>
          <w:color w:val="auto"/>
        </w:rPr>
        <w:t>Bank and Borrower have entered into that certain Loan and Security Agreement dated as of November 2, 2016 (as the same may from time to time be further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720" w:hanging="848"/>
        <w:spacing w:after="0"/>
        <w:tabs>
          <w:tab w:leader="none" w:pos="17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 Agreement.</w:t>
      </w:r>
    </w:p>
    <w:p>
      <w:pPr>
        <w:spacing w:after="0" w:line="206" w:lineRule="exact"/>
        <w:rPr>
          <w:rFonts w:ascii="Arial" w:cs="Arial" w:eastAsia="Arial" w:hAnsi="Arial"/>
          <w:sz w:val="22"/>
          <w:szCs w:val="22"/>
          <w:color w:val="auto"/>
        </w:rPr>
      </w:pPr>
    </w:p>
    <w:p>
      <w:pPr>
        <w:ind w:firstLine="872"/>
        <w:spacing w:after="0" w:line="250" w:lineRule="auto"/>
        <w:tabs>
          <w:tab w:leader="none" w:pos="1710" w:val="left"/>
        </w:tabs>
        <w:numPr>
          <w:ilvl w:val="0"/>
          <w:numId w:val="37"/>
        </w:numPr>
        <w:rPr>
          <w:rFonts w:ascii="Arial" w:cs="Arial" w:eastAsia="Arial" w:hAnsi="Arial"/>
          <w:sz w:val="22"/>
          <w:szCs w:val="22"/>
          <w:color w:val="auto"/>
        </w:rPr>
      </w:pPr>
      <w:r>
        <w:rPr>
          <w:rFonts w:ascii="Arial" w:cs="Arial" w:eastAsia="Arial" w:hAnsi="Arial"/>
          <w:sz w:val="22"/>
          <w:szCs w:val="22"/>
          <w:color w:val="auto"/>
        </w:rPr>
        <w:t>Borrower has requested that Bank amend the Loan Agreement to extend the Revolving Line Maturity Date and make certain other revisions to the Loan Agreement as more fully set forth herein.</w:t>
      </w:r>
    </w:p>
    <w:p>
      <w:pPr>
        <w:spacing w:after="0" w:line="174" w:lineRule="exact"/>
        <w:rPr>
          <w:rFonts w:ascii="Arial" w:cs="Arial" w:eastAsia="Arial" w:hAnsi="Arial"/>
          <w:sz w:val="22"/>
          <w:szCs w:val="22"/>
          <w:color w:val="auto"/>
        </w:rPr>
      </w:pPr>
    </w:p>
    <w:p>
      <w:pPr>
        <w:ind w:firstLine="872"/>
        <w:spacing w:after="0" w:line="328" w:lineRule="auto"/>
        <w:tabs>
          <w:tab w:leader="none" w:pos="1721" w:val="left"/>
        </w:tabs>
        <w:numPr>
          <w:ilvl w:val="0"/>
          <w:numId w:val="37"/>
        </w:numPr>
        <w:rPr>
          <w:rFonts w:ascii="Arial" w:cs="Arial" w:eastAsia="Arial" w:hAnsi="Arial"/>
          <w:sz w:val="19"/>
          <w:szCs w:val="19"/>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16" w:lineRule="exact"/>
        <w:rPr>
          <w:sz w:val="20"/>
          <w:szCs w:val="20"/>
          <w:color w:val="auto"/>
        </w:rPr>
      </w:pPr>
    </w:p>
    <w:p>
      <w:pPr>
        <w:ind w:right="20" w:firstLine="872"/>
        <w:spacing w:after="0" w:line="256" w:lineRule="auto"/>
        <w:tabs>
          <w:tab w:leader="none" w:pos="1674"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62" w:lineRule="exact"/>
        <w:rPr>
          <w:rFonts w:ascii="Arial" w:cs="Arial" w:eastAsia="Arial" w:hAnsi="Arial"/>
          <w:sz w:val="22"/>
          <w:szCs w:val="22"/>
          <w:b w:val="1"/>
          <w:bCs w:val="1"/>
          <w:color w:val="auto"/>
        </w:rPr>
      </w:pPr>
    </w:p>
    <w:p>
      <w:pPr>
        <w:ind w:left="1680" w:hanging="808"/>
        <w:spacing w:after="0"/>
        <w:tabs>
          <w:tab w:leader="none" w:pos="16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right="20" w:firstLine="1727"/>
        <w:spacing w:after="0" w:line="256" w:lineRule="auto"/>
        <w:rPr>
          <w:sz w:val="20"/>
          <w:szCs w:val="20"/>
          <w:color w:val="auto"/>
        </w:rPr>
      </w:pPr>
      <w:r>
        <w:rPr>
          <w:rFonts w:ascii="Arial" w:cs="Arial" w:eastAsia="Arial" w:hAnsi="Arial"/>
          <w:sz w:val="22"/>
          <w:szCs w:val="22"/>
          <w:b w:val="1"/>
          <w:bCs w:val="1"/>
          <w:color w:val="auto"/>
        </w:rPr>
        <w:t>2.1 ACCOUNTING AND OTHER TERMS</w:t>
      </w:r>
      <w:r>
        <w:rPr>
          <w:rFonts w:ascii="Arial" w:cs="Arial" w:eastAsia="Arial" w:hAnsi="Arial"/>
          <w:sz w:val="22"/>
          <w:szCs w:val="22"/>
          <w:color w:val="auto"/>
        </w:rPr>
        <w:t>. Section 1 of the Loan Agreement is hereby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by inserting the following, appearing following the second sentence therein:</w:t>
      </w:r>
    </w:p>
    <w:p>
      <w:pPr>
        <w:spacing w:after="0" w:line="168" w:lineRule="exact"/>
        <w:rPr>
          <w:sz w:val="20"/>
          <w:szCs w:val="20"/>
          <w:color w:val="auto"/>
        </w:rPr>
      </w:pPr>
    </w:p>
    <w:p>
      <w:pPr>
        <w:jc w:val="both"/>
        <w:ind w:left="1740"/>
        <w:spacing w:after="0" w:line="277" w:lineRule="auto"/>
        <w:rPr>
          <w:sz w:val="20"/>
          <w:szCs w:val="20"/>
          <w:color w:val="auto"/>
        </w:rPr>
      </w:pPr>
      <w:r>
        <w:rPr>
          <w:rFonts w:ascii="Arial" w:cs="Arial" w:eastAsia="Arial" w:hAnsi="Arial"/>
          <w:sz w:val="19"/>
          <w:szCs w:val="19"/>
          <w:color w:val="auto"/>
        </w:rPr>
        <w:t>“Notwithstanding any terms in this Agreement to the contrary, for purposes of any financial covenant and other financial calculations in this Agreement (other than for purposes of updating the Borrowing Base) which are made in whole or in part based upon the Availability Amount as of the last day of a particular month, calculations relying on information from a Borrowing Base Report shall be derived from the Borrowing Base Report delivered within thirty (30) days of month end pursuant to Section 6.2(a) (and not, for clarity, any more recent Borrowing Base Report delivered after such period), and the actual delivery date of such Borrowing Base Report shall be deemed to be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jc w:val="both"/>
        <w:ind w:firstLine="1727"/>
        <w:spacing w:after="0" w:line="243" w:lineRule="auto"/>
        <w:rPr>
          <w:sz w:val="20"/>
          <w:szCs w:val="20"/>
          <w:color w:val="auto"/>
        </w:rPr>
      </w:pPr>
      <w:r>
        <w:rPr>
          <w:rFonts w:ascii="Arial" w:cs="Arial" w:eastAsia="Arial" w:hAnsi="Arial"/>
          <w:sz w:val="22"/>
          <w:szCs w:val="22"/>
          <w:b w:val="1"/>
          <w:bCs w:val="1"/>
          <w:color w:val="auto"/>
        </w:rPr>
        <w:t>2.2 Overadvances</w:t>
      </w:r>
      <w:r>
        <w:rPr>
          <w:rFonts w:ascii="Arial" w:cs="Arial" w:eastAsia="Arial" w:hAnsi="Arial"/>
          <w:sz w:val="22"/>
          <w:szCs w:val="22"/>
          <w:color w:val="auto"/>
        </w:rPr>
        <w:t>. Section 2.4 of the Loan Agreement is amended by deleting the reference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Default Rate” therein and inserting in lieu thereof “a per annum rate equal to the rate that is otherwise applicable to Advances plus five percent (5.0%)”.</w:t>
      </w:r>
    </w:p>
    <w:p>
      <w:pPr>
        <w:spacing w:after="0" w:line="177"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Conditions Precedent to all Credit Extensions</w:t>
      </w:r>
      <w:r>
        <w:rPr>
          <w:rFonts w:ascii="Arial" w:cs="Arial" w:eastAsia="Arial" w:hAnsi="Arial"/>
          <w:sz w:val="19"/>
          <w:szCs w:val="19"/>
          <w:color w:val="auto"/>
        </w:rPr>
        <w:t>.  Subsections (a) and (b) of Section 3.2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Loan Agreement are deleted in their entirety and replaced with the following:</w:t>
      </w:r>
    </w:p>
    <w:p>
      <w:pPr>
        <w:spacing w:after="0" w:line="188" w:lineRule="exact"/>
        <w:rPr>
          <w:sz w:val="20"/>
          <w:szCs w:val="20"/>
          <w:color w:val="auto"/>
        </w:rPr>
      </w:pPr>
    </w:p>
    <w:p>
      <w:pPr>
        <w:ind w:left="3360" w:hanging="894"/>
        <w:spacing w:after="0"/>
        <w:tabs>
          <w:tab w:leader="none" w:pos="33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timely receipt of the Credit Extension request and any materials and documents required</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by Section 3.4;</w:t>
      </w:r>
    </w:p>
    <w:p>
      <w:pPr>
        <w:spacing w:after="0" w:line="188" w:lineRule="exact"/>
        <w:rPr>
          <w:rFonts w:ascii="Arial" w:cs="Arial" w:eastAsia="Arial" w:hAnsi="Arial"/>
          <w:sz w:val="19"/>
          <w:szCs w:val="19"/>
          <w:color w:val="auto"/>
        </w:rPr>
      </w:pPr>
    </w:p>
    <w:p>
      <w:pPr>
        <w:jc w:val="both"/>
        <w:ind w:left="1740" w:firstLine="726"/>
        <w:spacing w:after="0" w:line="272" w:lineRule="auto"/>
        <w:tabs>
          <w:tab w:leader="none" w:pos="3371"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representations and warranties in this Agreement shall be true, accurate, and complete in all material respects on the date of the proposed Credit Extension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55"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2.4 Procedures for Borrowing</w:t>
      </w:r>
      <w:r>
        <w:rPr>
          <w:rFonts w:ascii="Arial" w:cs="Arial" w:eastAsia="Arial" w:hAnsi="Arial"/>
          <w:sz w:val="22"/>
          <w:szCs w:val="22"/>
          <w:color w:val="auto"/>
        </w:rPr>
        <w:t>. Section 3.4 of the Loan Agreement is deleted in its entirety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with the following:</w:t>
      </w:r>
    </w:p>
    <w:p>
      <w:pPr>
        <w:spacing w:after="0" w:line="162" w:lineRule="exact"/>
        <w:rPr>
          <w:sz w:val="20"/>
          <w:szCs w:val="20"/>
          <w:color w:val="auto"/>
        </w:rPr>
      </w:pPr>
    </w:p>
    <w:p>
      <w:pPr>
        <w:jc w:val="both"/>
        <w:ind w:left="1740" w:firstLine="731"/>
        <w:spacing w:after="0" w:line="272" w:lineRule="auto"/>
        <w:rPr>
          <w:sz w:val="20"/>
          <w:szCs w:val="20"/>
          <w:color w:val="auto"/>
        </w:rPr>
      </w:pPr>
      <w:r>
        <w:rPr>
          <w:rFonts w:ascii="Arial" w:cs="Arial" w:eastAsia="Arial" w:hAnsi="Arial"/>
          <w:sz w:val="19"/>
          <w:szCs w:val="19"/>
          <w:b w:val="1"/>
          <w:bCs w:val="1"/>
          <w:color w:val="auto"/>
        </w:rPr>
        <w:t>3.4 Procedures for Borrowing</w:t>
      </w:r>
      <w:r>
        <w:rPr>
          <w:rFonts w:ascii="Arial" w:cs="Arial" w:eastAsia="Arial" w:hAnsi="Arial"/>
          <w:sz w:val="19"/>
          <w:szCs w:val="19"/>
          <w:color w:val="auto"/>
        </w:rPr>
        <w:t>. Subject to the prior satisfaction of all other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to the making of an Advance (other than Advances under Section 2.3) set forth in this Agreement, to obtain an Advance, Borrower (via an individual duly authorized by an Administrator) shall notify Bank (which notice shall be irrevocable) by electronic mail by 12:00 p.m. Pacific time on the Funding Date of the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ind w:left="1740"/>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b w:val="1"/>
          <w:bCs w:val="1"/>
          <w:color w:val="auto"/>
        </w:rPr>
        <w:t>Full Disclosure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Section 5.11 of the Loan Agreement is hereby deleted in its entirety and</w:t>
      </w:r>
    </w:p>
    <w:p>
      <w:pPr>
        <w:spacing w:after="0" w:line="46" w:lineRule="exact"/>
        <w:rPr>
          <w:sz w:val="20"/>
          <w:szCs w:val="20"/>
          <w:color w:val="auto"/>
        </w:rPr>
      </w:pPr>
    </w:p>
    <w:p>
      <w:pPr>
        <w:sectPr>
          <w:pgSz w:w="11900" w:h="16838" w:orient="portrait"/>
          <w:cols w:equalWidth="0" w:num="3">
            <w:col w:w="2000" w:space="660"/>
            <w:col w:w="1440" w:space="660"/>
            <w:col w:w="6480"/>
          </w:cols>
          <w:pgMar w:left="320" w:top="328" w:right="339" w:bottom="1440" w:gutter="0" w:footer="0" w:header="0"/>
        </w:sectPr>
      </w:pPr>
    </w:p>
    <w:p>
      <w:pPr>
        <w:spacing w:after="0"/>
        <w:rPr>
          <w:sz w:val="20"/>
          <w:szCs w:val="20"/>
          <w:color w:val="auto"/>
        </w:rPr>
      </w:pPr>
      <w:r>
        <w:rPr>
          <w:rFonts w:ascii="Arial" w:cs="Arial" w:eastAsia="Arial" w:hAnsi="Arial"/>
          <w:sz w:val="22"/>
          <w:szCs w:val="22"/>
          <w:color w:val="auto"/>
        </w:rPr>
        <w:t>replaced with the following:</w:t>
      </w:r>
    </w:p>
    <w:p>
      <w:pPr>
        <w:spacing w:after="0" w:line="179" w:lineRule="exact"/>
        <w:rPr>
          <w:sz w:val="20"/>
          <w:szCs w:val="20"/>
          <w:color w:val="auto"/>
        </w:rPr>
      </w:pPr>
    </w:p>
    <w:p>
      <w:pPr>
        <w:ind w:left="2460"/>
        <w:spacing w:after="0"/>
        <w:tabs>
          <w:tab w:leader="none" w:pos="3460" w:val="left"/>
          <w:tab w:leader="none" w:pos="554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22"/>
          <w:szCs w:val="22"/>
          <w:b w:val="1"/>
          <w:bCs w:val="1"/>
          <w:color w:val="auto"/>
        </w:rPr>
        <w:t>Full Disclosure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No written representation, warranty or other statement of</w:t>
      </w:r>
    </w:p>
    <w:p>
      <w:pPr>
        <w:sectPr>
          <w:pgSz w:w="11900" w:h="16838" w:orient="portrait"/>
          <w:cols w:equalWidth="0" w:num="1">
            <w:col w:w="11240"/>
          </w:cols>
          <w:pgMar w:left="320" w:top="328" w:right="339" w:bottom="1440" w:gutter="0" w:footer="0" w:header="0"/>
          <w:type w:val="continuous"/>
        </w:sectPr>
      </w:pPr>
    </w:p>
    <w:p>
      <w:pPr>
        <w:spacing w:after="0" w:line="27" w:lineRule="exact"/>
        <w:rPr>
          <w:sz w:val="20"/>
          <w:szCs w:val="20"/>
          <w:color w:val="auto"/>
        </w:rPr>
      </w:pPr>
    </w:p>
    <w:p>
      <w:pPr>
        <w:ind w:left="1740" w:right="20"/>
        <w:spacing w:after="0" w:line="270" w:lineRule="auto"/>
        <w:rPr>
          <w:sz w:val="20"/>
          <w:szCs w:val="20"/>
          <w:color w:val="auto"/>
        </w:rPr>
      </w:pPr>
      <w:r>
        <w:rPr>
          <w:rFonts w:ascii="Arial" w:cs="Arial" w:eastAsia="Arial" w:hAnsi="Arial"/>
          <w:sz w:val="19"/>
          <w:szCs w:val="19"/>
          <w:color w:val="auto"/>
        </w:rPr>
        <w:t>Borrower in any report, certificate, or 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399"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Financial Statements, Reports, Certificates</w:t>
      </w:r>
      <w:r>
        <w:rPr>
          <w:rFonts w:ascii="Arial" w:cs="Arial" w:eastAsia="Arial" w:hAnsi="Arial"/>
          <w:sz w:val="19"/>
          <w:szCs w:val="19"/>
          <w:color w:val="auto"/>
        </w:rPr>
        <w:t>.</w:t>
      </w:r>
    </w:p>
    <w:p>
      <w:pPr>
        <w:spacing w:after="0" w:line="212" w:lineRule="exact"/>
        <w:rPr>
          <w:sz w:val="20"/>
          <w:szCs w:val="20"/>
          <w:color w:val="auto"/>
        </w:rPr>
      </w:pPr>
    </w:p>
    <w:p>
      <w:pPr>
        <w:ind w:left="2620" w:hanging="885"/>
        <w:spacing w:after="0"/>
        <w:tabs>
          <w:tab w:leader="none" w:pos="2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Subsection (a) of Section 6.2 of the Loan Agreement is hereby deleted in its entirety and replaced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8" w:lineRule="exact"/>
        <w:rPr>
          <w:sz w:val="20"/>
          <w:szCs w:val="20"/>
          <w:color w:val="auto"/>
        </w:rPr>
      </w:pPr>
    </w:p>
    <w:p>
      <w:pPr>
        <w:jc w:val="both"/>
        <w:ind w:left="1740" w:firstLine="726"/>
        <w:spacing w:after="0" w:line="238" w:lineRule="auto"/>
        <w:tabs>
          <w:tab w:leader="none" w:pos="3358"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Borrowing Base Report (and any schedules related thereto and including any other information requested by Bank with respect to Borrower’s Accounts) (i) no later than Friday of each week when a Streamline Period is not in effect and (ii) within thirty (30) days after the end of each month when a Streamline Period is in effect;</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Subsection (d) of Section 6.2 of the Loan Agreement is hereby deleted in its entirety and replaced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8" w:lineRule="exact"/>
        <w:rPr>
          <w:sz w:val="20"/>
          <w:szCs w:val="20"/>
          <w:color w:val="auto"/>
        </w:rPr>
      </w:pPr>
    </w:p>
    <w:p>
      <w:pPr>
        <w:jc w:val="both"/>
        <w:ind w:left="1740" w:right="20" w:firstLine="726"/>
        <w:spacing w:after="0" w:line="297" w:lineRule="auto"/>
        <w:tabs>
          <w:tab w:leader="none" w:pos="3371" w:val="left"/>
        </w:tabs>
        <w:numPr>
          <w:ilvl w:val="1"/>
          <w:numId w:val="43"/>
        </w:numPr>
        <w:rPr>
          <w:rFonts w:ascii="Arial" w:cs="Arial" w:eastAsia="Arial" w:hAnsi="Arial"/>
          <w:sz w:val="19"/>
          <w:szCs w:val="19"/>
          <w:color w:val="auto"/>
        </w:rPr>
      </w:pPr>
      <w:r>
        <w:rPr>
          <w:rFonts w:ascii="Arial" w:cs="Arial" w:eastAsia="Arial" w:hAnsi="Arial"/>
          <w:sz w:val="19"/>
          <w:szCs w:val="19"/>
          <w:color w:val="auto"/>
        </w:rPr>
        <w:t>as soon as available, but no later than thirty (30) days after the last day of each month, a company prepared consolidated balance sheet and income statement covering Borrower’s consolidated operations for such month in a form reasonably acceptable to Bank (the “Monthly Financial Statements”);</w:t>
      </w:r>
    </w:p>
    <w:p>
      <w:pPr>
        <w:spacing w:after="0" w:line="133" w:lineRule="exact"/>
        <w:rPr>
          <w:rFonts w:ascii="Arial" w:cs="Arial" w:eastAsia="Arial" w:hAnsi="Arial"/>
          <w:sz w:val="19"/>
          <w:szCs w:val="19"/>
          <w:color w:val="auto"/>
        </w:rPr>
      </w:pPr>
    </w:p>
    <w:p>
      <w:pPr>
        <w:ind w:left="2620" w:hanging="885"/>
        <w:spacing w:after="0"/>
        <w:tabs>
          <w:tab w:leader="none" w:pos="26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Subsection (g) of Section 6.2 of the Loan Agreement is hereby deleted in its entirety and replaced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8" w:lineRule="exact"/>
        <w:rPr>
          <w:sz w:val="20"/>
          <w:szCs w:val="20"/>
          <w:color w:val="auto"/>
        </w:rPr>
      </w:pPr>
    </w:p>
    <w:p>
      <w:pPr>
        <w:jc w:val="both"/>
        <w:ind w:left="1740" w:firstLine="726"/>
        <w:spacing w:after="0" w:line="270" w:lineRule="auto"/>
        <w:tabs>
          <w:tab w:leader="none" w:pos="3371" w:val="left"/>
        </w:tabs>
        <w:numPr>
          <w:ilvl w:val="1"/>
          <w:numId w:val="45"/>
        </w:numPr>
        <w:rPr>
          <w:rFonts w:ascii="Arial" w:cs="Arial" w:eastAsia="Arial" w:hAnsi="Arial"/>
          <w:sz w:val="19"/>
          <w:szCs w:val="19"/>
          <w:color w:val="auto"/>
        </w:rPr>
      </w:pPr>
      <w:r>
        <w:rPr>
          <w:rFonts w:ascii="Arial" w:cs="Arial" w:eastAsia="Arial" w:hAnsi="Arial"/>
          <w:sz w:val="19"/>
          <w:szCs w:val="19"/>
          <w:color w:val="auto"/>
        </w:rPr>
        <w:t>(i) at all times that Borrower’s Board of Directors requires Borrower to prepare audited financial statements, as soon as available, and in any event within one hundred eighty (180) days following the end of Borrower’s fiscal year, audited consolidated financial statements prepared under GAAP, consistently applied, together with an unqualified opinion on the financial statements from Burr Pilger Mayer, Inc. or such other independent certified public accounting firm reasonably acceptable to Bank; and</w:t>
      </w:r>
    </w:p>
    <w:p>
      <w:pPr>
        <w:spacing w:after="0" w:line="4" w:lineRule="exact"/>
        <w:rPr>
          <w:rFonts w:ascii="Arial" w:cs="Arial" w:eastAsia="Arial" w:hAnsi="Arial"/>
          <w:sz w:val="19"/>
          <w:szCs w:val="19"/>
          <w:color w:val="auto"/>
        </w:rPr>
      </w:pPr>
    </w:p>
    <w:p>
      <w:pPr>
        <w:jc w:val="both"/>
        <w:ind w:left="1740" w:hanging="5"/>
        <w:spacing w:after="0" w:line="234" w:lineRule="auto"/>
        <w:tabs>
          <w:tab w:leader="none" w:pos="2069" w:val="left"/>
        </w:tabs>
        <w:numPr>
          <w:ilvl w:val="0"/>
          <w:numId w:val="46"/>
        </w:numPr>
        <w:rPr>
          <w:rFonts w:ascii="Arial" w:cs="Arial" w:eastAsia="Arial" w:hAnsi="Arial"/>
          <w:sz w:val="22"/>
          <w:szCs w:val="22"/>
          <w:color w:val="auto"/>
        </w:rPr>
      </w:pPr>
      <w:r>
        <w:rPr>
          <w:rFonts w:ascii="Arial" w:cs="Arial" w:eastAsia="Arial" w:hAnsi="Arial"/>
          <w:sz w:val="22"/>
          <w:szCs w:val="22"/>
          <w:color w:val="auto"/>
        </w:rPr>
        <w:t>at all other times, as soon as available, but no later than sixty (60) days following the end of Borrower’s fiscal year, a company prepared consolidated balance sheet and income statement covering Borrower’s consolidated operations for such fiscal year in a form acceptable to Bank;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6" w:name="page77"/>
    <w:bookmarkEnd w:id="76"/>
    <w:p>
      <w:pPr>
        <w:jc w:val="both"/>
        <w:ind w:firstLine="1735"/>
        <w:spacing w:after="0"/>
        <w:tabs>
          <w:tab w:leader="none" w:pos="2627"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Section 6.2 of the Loan Agreement is hereby amended by deleting “and” at the end of Section 6.2(j), replacing the “.” at the end of Section 6.2(k) with “; and”, and by adding Section 6.2(l) to the Loan Agreement immediately after Section 6.2(k) as follows:</w:t>
      </w:r>
    </w:p>
    <w:p>
      <w:pPr>
        <w:spacing w:after="0" w:line="186" w:lineRule="exact"/>
        <w:rPr>
          <w:rFonts w:ascii="Arial" w:cs="Arial" w:eastAsia="Arial" w:hAnsi="Arial"/>
          <w:sz w:val="22"/>
          <w:szCs w:val="22"/>
          <w:color w:val="auto"/>
        </w:rPr>
      </w:pPr>
    </w:p>
    <w:p>
      <w:pPr>
        <w:jc w:val="both"/>
        <w:ind w:left="1740" w:firstLine="726"/>
        <w:spacing w:after="0" w:line="249" w:lineRule="auto"/>
        <w:tabs>
          <w:tab w:leader="none" w:pos="3323"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Beneficial Ownership Information</w:t>
      </w:r>
      <w:r>
        <w:rPr>
          <w:rFonts w:ascii="Arial" w:cs="Arial" w:eastAsia="Arial" w:hAnsi="Arial"/>
          <w:sz w:val="21"/>
          <w:szCs w:val="21"/>
          <w:color w:val="auto"/>
        </w:rPr>
        <w:t>. Borrower shall provide Bank with prompt written notice of any changes to the beneficial ownership information set out in the Beneficial Ownership Information Disclosure Form.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8"/>
          <w:szCs w:val="18"/>
          <w:b w:val="1"/>
          <w:bCs w:val="1"/>
          <w:color w:val="auto"/>
        </w:rPr>
        <w:t>Accounts Receivable</w:t>
      </w:r>
      <w:r>
        <w:rPr>
          <w:rFonts w:ascii="Arial" w:cs="Arial" w:eastAsia="Arial" w:hAnsi="Arial"/>
          <w:sz w:val="18"/>
          <w:szCs w:val="18"/>
          <w:color w:val="auto"/>
        </w:rPr>
        <w:t>.</w:t>
      </w:r>
    </w:p>
    <w:p>
      <w:pPr>
        <w:spacing w:after="0" w:line="212" w:lineRule="exact"/>
        <w:rPr>
          <w:sz w:val="20"/>
          <w:szCs w:val="20"/>
          <w:color w:val="auto"/>
        </w:rPr>
      </w:pPr>
    </w:p>
    <w:p>
      <w:pPr>
        <w:ind w:left="2620" w:hanging="885"/>
        <w:spacing w:after="0"/>
        <w:tabs>
          <w:tab w:leader="none" w:pos="26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Subsection (c) of Section 6.3 of the Loan Agreement is hereby deleted in its entirety and replaced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8" w:lineRule="exact"/>
        <w:rPr>
          <w:sz w:val="20"/>
          <w:szCs w:val="20"/>
          <w:color w:val="auto"/>
        </w:rPr>
      </w:pPr>
    </w:p>
    <w:p>
      <w:pPr>
        <w:jc w:val="both"/>
        <w:ind w:left="1740" w:firstLine="726"/>
        <w:spacing w:after="0" w:line="272" w:lineRule="auto"/>
        <w:tabs>
          <w:tab w:leader="none" w:pos="3358"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Collection of Accounts</w:t>
      </w:r>
      <w:r>
        <w:rPr>
          <w:rFonts w:ascii="Arial" w:cs="Arial" w:eastAsia="Arial" w:hAnsi="Arial"/>
          <w:sz w:val="19"/>
          <w:szCs w:val="19"/>
          <w:color w:val="auto"/>
        </w:rPr>
        <w:t>. Borrower shall direct Account Debtors to deliver or transmit all proceeds of Accounts into a lockbox account, or such other “blocked account” as specified by Bank (either such account, the “</w:t>
      </w:r>
      <w:r>
        <w:rPr>
          <w:rFonts w:ascii="Arial" w:cs="Arial" w:eastAsia="Arial" w:hAnsi="Arial"/>
          <w:sz w:val="19"/>
          <w:szCs w:val="19"/>
          <w:b w:val="1"/>
          <w:bCs w:val="1"/>
          <w:color w:val="auto"/>
        </w:rPr>
        <w:t>Cash Collateral Account</w:t>
      </w:r>
      <w:r>
        <w:rPr>
          <w:rFonts w:ascii="Arial" w:cs="Arial" w:eastAsia="Arial" w:hAnsi="Arial"/>
          <w:sz w:val="19"/>
          <w:szCs w:val="19"/>
          <w:color w:val="auto"/>
        </w:rPr>
        <w:t>”). Whether or not an Event of Default has occurred and is continuing, Borrower shall immediately deliver all payments on and proceeds of Accounts to the Cash Collateral Account. Subject to Bank’s right to maintain a reserve pursuant to Section 6.3(g),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160" w:lineRule="exact"/>
        <w:rPr>
          <w:rFonts w:ascii="Arial" w:cs="Arial" w:eastAsia="Arial" w:hAnsi="Arial"/>
          <w:sz w:val="19"/>
          <w:szCs w:val="19"/>
          <w:color w:val="auto"/>
        </w:rPr>
      </w:pPr>
    </w:p>
    <w:p>
      <w:pPr>
        <w:ind w:left="2640" w:hanging="905"/>
        <w:spacing w:after="0"/>
        <w:tabs>
          <w:tab w:leader="none" w:pos="26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Subsection (e) of Section 6.3 of the Loan Agreement is deleted in its entirety and replaced with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following:</w:t>
      </w:r>
    </w:p>
    <w:p>
      <w:pPr>
        <w:spacing w:after="0" w:line="188" w:lineRule="exact"/>
        <w:rPr>
          <w:sz w:val="20"/>
          <w:szCs w:val="20"/>
          <w:color w:val="auto"/>
        </w:rPr>
      </w:pPr>
    </w:p>
    <w:p>
      <w:pPr>
        <w:ind w:left="3360" w:hanging="894"/>
        <w:spacing w:after="0"/>
        <w:tabs>
          <w:tab w:leader="none" w:pos="3360"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Verifications; Confirmations; Credit Quality; Notifications</w:t>
      </w:r>
      <w:r>
        <w:rPr>
          <w:rFonts w:ascii="Arial" w:cs="Arial" w:eastAsia="Arial" w:hAnsi="Arial"/>
          <w:sz w:val="19"/>
          <w:szCs w:val="19"/>
          <w:color w:val="auto"/>
        </w:rPr>
        <w:t>. Bank may, from time to time,</w:t>
      </w:r>
    </w:p>
    <w:p>
      <w:pPr>
        <w:spacing w:after="0" w:line="42" w:lineRule="exact"/>
        <w:rPr>
          <w:rFonts w:ascii="Arial" w:cs="Arial" w:eastAsia="Arial" w:hAnsi="Arial"/>
          <w:sz w:val="19"/>
          <w:szCs w:val="19"/>
          <w:color w:val="auto"/>
        </w:rPr>
      </w:pPr>
    </w:p>
    <w:p>
      <w:pPr>
        <w:jc w:val="both"/>
        <w:ind w:left="1740" w:hanging="5"/>
        <w:spacing w:after="0" w:line="246" w:lineRule="auto"/>
        <w:tabs>
          <w:tab w:leader="none" w:pos="2022" w:val="left"/>
        </w:tabs>
        <w:numPr>
          <w:ilvl w:val="0"/>
          <w:numId w:val="52"/>
        </w:numPr>
        <w:rPr>
          <w:rFonts w:ascii="Arial" w:cs="Arial" w:eastAsia="Arial" w:hAnsi="Arial"/>
          <w:sz w:val="21"/>
          <w:szCs w:val="21"/>
          <w:color w:val="auto"/>
        </w:rPr>
      </w:pPr>
      <w:r>
        <w:rPr>
          <w:rFonts w:ascii="Arial" w:cs="Arial" w:eastAsia="Arial" w:hAnsi="Arial"/>
          <w:sz w:val="21"/>
          <w:szCs w:val="21"/>
          <w:color w:val="auto"/>
        </w:rPr>
        <w:t>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pacing w:after="0" w:line="180" w:lineRule="exact"/>
        <w:rPr>
          <w:sz w:val="20"/>
          <w:szCs w:val="20"/>
          <w:color w:val="auto"/>
        </w:rPr>
      </w:pPr>
    </w:p>
    <w:p>
      <w:pPr>
        <w:ind w:left="2620" w:hanging="885"/>
        <w:spacing w:after="0"/>
        <w:tabs>
          <w:tab w:leader="none" w:pos="26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Section 6.3 of the Loan Agreement is hereby amended by inserting the following appearing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subsection (g) thereto: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jc w:val="both"/>
        <w:ind w:left="1740" w:firstLine="726"/>
        <w:spacing w:after="0" w:line="235" w:lineRule="auto"/>
        <w:tabs>
          <w:tab w:leader="none" w:pos="337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Reserves</w:t>
      </w:r>
      <w:r>
        <w:rPr>
          <w:rFonts w:ascii="Arial" w:cs="Arial" w:eastAsia="Arial" w:hAnsi="Arial"/>
          <w:sz w:val="22"/>
          <w:szCs w:val="22"/>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when a Streamline Period is in effect) as a reserve to be applied to any Obligations regardless of whether such Obligations are then due and payable.</w:t>
      </w:r>
    </w:p>
    <w:p>
      <w:pPr>
        <w:spacing w:after="0" w:line="182" w:lineRule="exact"/>
        <w:rPr>
          <w:sz w:val="20"/>
          <w:szCs w:val="20"/>
          <w:color w:val="auto"/>
        </w:rPr>
      </w:pPr>
    </w:p>
    <w:p>
      <w:pPr>
        <w:ind w:right="20" w:firstLine="1727"/>
        <w:spacing w:after="0" w:line="334" w:lineRule="auto"/>
        <w:rPr>
          <w:sz w:val="20"/>
          <w:szCs w:val="20"/>
          <w:color w:val="auto"/>
        </w:rPr>
      </w:pPr>
      <w:r>
        <w:rPr>
          <w:rFonts w:ascii="Arial" w:cs="Arial" w:eastAsia="Arial" w:hAnsi="Arial"/>
          <w:sz w:val="19"/>
          <w:szCs w:val="19"/>
          <w:b w:val="1"/>
          <w:bCs w:val="1"/>
          <w:color w:val="auto"/>
        </w:rPr>
        <w:t>2.8 Formation or Acquisition of Subsidiaries</w:t>
      </w:r>
      <w:r>
        <w:rPr>
          <w:rFonts w:ascii="Arial" w:cs="Arial" w:eastAsia="Arial" w:hAnsi="Arial"/>
          <w:sz w:val="19"/>
          <w:szCs w:val="19"/>
          <w:color w:val="auto"/>
        </w:rPr>
        <w:t>. Section 6.12 of the Loan Agreement is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by deleting the first sentence leading up to clause (a) therein of such Section and replacing it with the following:</w:t>
      </w:r>
    </w:p>
    <w:p>
      <w:pPr>
        <w:spacing w:after="0" w:line="100" w:lineRule="exact"/>
        <w:rPr>
          <w:sz w:val="20"/>
          <w:szCs w:val="20"/>
          <w:color w:val="auto"/>
        </w:rPr>
      </w:pPr>
    </w:p>
    <w:p>
      <w:pPr>
        <w:jc w:val="both"/>
        <w:ind w:left="1740" w:firstLine="731"/>
        <w:spacing w:after="0" w:line="238" w:lineRule="auto"/>
        <w:rPr>
          <w:sz w:val="20"/>
          <w:szCs w:val="20"/>
          <w:color w:val="auto"/>
        </w:rPr>
      </w:pPr>
      <w:r>
        <w:rPr>
          <w:rFonts w:ascii="Arial" w:cs="Arial" w:eastAsia="Arial" w:hAnsi="Arial"/>
          <w:sz w:val="22"/>
          <w:szCs w:val="22"/>
          <w:color w:val="auto"/>
        </w:rPr>
        <w:t>“Notwithstanding and without limiting the negative covenants contained in Sections 7.3 and 7.7 hereof, at the time that Borrower forms any direct or indirect Subsidiary or acquires any direct or indirect Subsidiary after the Effective Date (including, without limitation, pursuant to Division), Borrower shall, at the request of Bank in its sole discretion,”</w:t>
      </w:r>
    </w:p>
    <w:p>
      <w:pPr>
        <w:spacing w:after="0" w:line="179" w:lineRule="exact"/>
        <w:rPr>
          <w:sz w:val="20"/>
          <w:szCs w:val="20"/>
          <w:color w:val="auto"/>
        </w:rPr>
      </w:pPr>
    </w:p>
    <w:p>
      <w:pPr>
        <w:jc w:val="right"/>
        <w:spacing w:after="0"/>
        <w:tabs>
          <w:tab w:leader="none" w:pos="856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Online Banking</w:t>
      </w:r>
      <w:r>
        <w:rPr>
          <w:rFonts w:ascii="Arial" w:cs="Arial" w:eastAsia="Arial" w:hAnsi="Arial"/>
          <w:sz w:val="19"/>
          <w:szCs w:val="19"/>
          <w:color w:val="auto"/>
        </w:rPr>
        <w:t>.  Section 6.14 of the Loan Agreement is hereby inserted immediately following</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Section 6.13:</w:t>
      </w:r>
    </w:p>
    <w:p>
      <w:pPr>
        <w:spacing w:after="0" w:line="182" w:lineRule="exact"/>
        <w:rPr>
          <w:sz w:val="20"/>
          <w:szCs w:val="20"/>
          <w:color w:val="auto"/>
        </w:rPr>
      </w:pPr>
    </w:p>
    <w:p>
      <w:pPr>
        <w:ind w:left="2460"/>
        <w:spacing w:after="0"/>
        <w:tabs>
          <w:tab w:leader="none" w:pos="348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color w:val="auto"/>
        </w:rPr>
        <w:t>Online Banking.</w:t>
      </w:r>
    </w:p>
    <w:p>
      <w:pPr>
        <w:spacing w:after="0" w:line="212" w:lineRule="exact"/>
        <w:rPr>
          <w:sz w:val="20"/>
          <w:szCs w:val="20"/>
          <w:color w:val="auto"/>
        </w:rPr>
      </w:pPr>
    </w:p>
    <w:p>
      <w:pPr>
        <w:jc w:val="both"/>
        <w:ind w:left="1740" w:firstLine="1457"/>
        <w:spacing w:after="0" w:line="282" w:lineRule="auto"/>
        <w:tabs>
          <w:tab w:leader="none" w:pos="4089" w:val="left"/>
        </w:tabs>
        <w:numPr>
          <w:ilvl w:val="0"/>
          <w:numId w:val="55"/>
        </w:numPr>
        <w:rPr>
          <w:rFonts w:ascii="Arial" w:cs="Arial" w:eastAsia="Arial" w:hAnsi="Arial"/>
          <w:sz w:val="19"/>
          <w:szCs w:val="19"/>
          <w:color w:val="auto"/>
        </w:rPr>
      </w:pPr>
      <w:r>
        <w:rPr>
          <w:rFonts w:ascii="Arial" w:cs="Arial" w:eastAsia="Arial" w:hAnsi="Arial"/>
          <w:sz w:val="19"/>
          <w:szCs w:val="19"/>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47" w:lineRule="exact"/>
        <w:rPr>
          <w:rFonts w:ascii="Arial" w:cs="Arial" w:eastAsia="Arial" w:hAnsi="Arial"/>
          <w:sz w:val="19"/>
          <w:szCs w:val="19"/>
          <w:color w:val="auto"/>
        </w:rPr>
      </w:pPr>
    </w:p>
    <w:p>
      <w:pPr>
        <w:jc w:val="both"/>
        <w:ind w:left="1740" w:firstLine="1457"/>
        <w:spacing w:after="0" w:line="248" w:lineRule="auto"/>
        <w:tabs>
          <w:tab w:leader="none" w:pos="4102" w:val="left"/>
        </w:tabs>
        <w:numPr>
          <w:ilvl w:val="0"/>
          <w:numId w:val="55"/>
        </w:numPr>
        <w:rPr>
          <w:rFonts w:ascii="Arial" w:cs="Arial" w:eastAsia="Arial" w:hAnsi="Arial"/>
          <w:sz w:val="21"/>
          <w:szCs w:val="21"/>
          <w:color w:val="auto"/>
        </w:rPr>
      </w:pPr>
      <w:r>
        <w:rPr>
          <w:rFonts w:ascii="Arial" w:cs="Arial" w:eastAsia="Arial" w:hAnsi="Arial"/>
          <w:sz w:val="21"/>
          <w:szCs w:val="21"/>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171"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2.10 Dispositions</w:t>
      </w:r>
      <w:r>
        <w:rPr>
          <w:rFonts w:ascii="Arial" w:cs="Arial" w:eastAsia="Arial" w:hAnsi="Arial"/>
          <w:sz w:val="22"/>
          <w:szCs w:val="22"/>
          <w:color w:val="auto"/>
        </w:rPr>
        <w:t>. Section 7.1 of the Loan Agreement is hereby amended by deleting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sentence leading up to clause (a) therein of such Section and replacing it with the following:</w:t>
      </w:r>
    </w:p>
    <w:p>
      <w:pPr>
        <w:spacing w:after="0" w:line="168" w:lineRule="exact"/>
        <w:rPr>
          <w:sz w:val="20"/>
          <w:szCs w:val="20"/>
          <w:color w:val="auto"/>
        </w:rPr>
      </w:pPr>
    </w:p>
    <w:p>
      <w:pPr>
        <w:jc w:val="both"/>
        <w:ind w:left="1740" w:firstLine="731"/>
        <w:spacing w:after="0"/>
        <w:rPr>
          <w:sz w:val="20"/>
          <w:szCs w:val="20"/>
          <w:color w:val="auto"/>
        </w:rPr>
      </w:pPr>
      <w:r>
        <w:rPr>
          <w:rFonts w:ascii="Arial" w:cs="Arial" w:eastAsia="Arial" w:hAnsi="Arial"/>
          <w:sz w:val="22"/>
          <w:szCs w:val="22"/>
          <w:color w:val="auto"/>
        </w:rPr>
        <w:t>“Convey, sell, lease, transfer, assign, or otherwise dispose of (including, without limitation, pursuant to a Division) (collectively, “</w:t>
      </w:r>
      <w:r>
        <w:rPr>
          <w:rFonts w:ascii="Arial" w:cs="Arial" w:eastAsia="Arial" w:hAnsi="Arial"/>
          <w:sz w:val="22"/>
          <w:szCs w:val="22"/>
          <w:b w:val="1"/>
          <w:bCs w:val="1"/>
          <w:color w:val="auto"/>
        </w:rPr>
        <w:t>Transfer</w:t>
      </w:r>
      <w:r>
        <w:rPr>
          <w:rFonts w:ascii="Arial" w:cs="Arial" w:eastAsia="Arial" w:hAnsi="Arial"/>
          <w:sz w:val="22"/>
          <w:szCs w:val="22"/>
          <w:color w:val="auto"/>
        </w:rPr>
        <w:t>”), or permit any of its Subsidiaries to Transfer, all or any part of its business or property, except for Transfers”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ind w:firstLine="1727"/>
        <w:spacing w:after="0" w:line="256" w:lineRule="auto"/>
        <w:rPr>
          <w:sz w:val="20"/>
          <w:szCs w:val="20"/>
          <w:color w:val="auto"/>
        </w:rPr>
      </w:pPr>
      <w:r>
        <w:rPr>
          <w:rFonts w:ascii="Arial" w:cs="Arial" w:eastAsia="Arial" w:hAnsi="Arial"/>
          <w:sz w:val="22"/>
          <w:szCs w:val="22"/>
          <w:b w:val="1"/>
          <w:bCs w:val="1"/>
          <w:color w:val="auto"/>
        </w:rPr>
        <w:t>2.11 Changes in Business, Management, Control, or Business Locations</w:t>
      </w:r>
      <w:r>
        <w:rPr>
          <w:rFonts w:ascii="Arial" w:cs="Arial" w:eastAsia="Arial" w:hAnsi="Arial"/>
          <w:sz w:val="22"/>
          <w:szCs w:val="22"/>
          <w:color w:val="auto"/>
        </w:rPr>
        <w:t>. Section 7.2 of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by adding the following sentence at the end of such Section:</w:t>
      </w:r>
    </w:p>
    <w:p>
      <w:pPr>
        <w:spacing w:after="0" w:line="168" w:lineRule="exact"/>
        <w:rPr>
          <w:sz w:val="20"/>
          <w:szCs w:val="20"/>
          <w:color w:val="auto"/>
        </w:rPr>
      </w:pPr>
    </w:p>
    <w:p>
      <w:pPr>
        <w:jc w:val="both"/>
        <w:ind w:left="1740" w:firstLine="731"/>
        <w:spacing w:after="0" w:line="287" w:lineRule="auto"/>
        <w:rPr>
          <w:sz w:val="20"/>
          <w:szCs w:val="20"/>
          <w:color w:val="auto"/>
        </w:rPr>
      </w:pPr>
      <w:r>
        <w:rPr>
          <w:rFonts w:ascii="Arial" w:cs="Arial" w:eastAsia="Arial" w:hAnsi="Arial"/>
          <w:sz w:val="19"/>
          <w:szCs w:val="19"/>
          <w:color w:val="auto"/>
        </w:rPr>
        <w:t>If Borrower intends to add any new offices or business locations, including warehouses containing in excess of Two Hundred Thousand Dollars ($200,000) of Borrower’s assets or property, then Borrower will first receive the written consent of Bank (such consent not to be unreasonably withheld), and shall use commercially reasonable efforts to obtain a landlord consent in form and substance satisfactory to Bank.</w:t>
      </w:r>
    </w:p>
    <w:p>
      <w:pPr>
        <w:spacing w:after="0" w:line="137" w:lineRule="exact"/>
        <w:rPr>
          <w:sz w:val="20"/>
          <w:szCs w:val="20"/>
          <w:color w:val="auto"/>
        </w:rPr>
      </w:pPr>
    </w:p>
    <w:p>
      <w:pPr>
        <w:ind w:right="20" w:firstLine="1727"/>
        <w:spacing w:after="0" w:line="256" w:lineRule="auto"/>
        <w:rPr>
          <w:sz w:val="20"/>
          <w:szCs w:val="20"/>
          <w:color w:val="auto"/>
        </w:rPr>
      </w:pPr>
      <w:r>
        <w:rPr>
          <w:rFonts w:ascii="Arial" w:cs="Arial" w:eastAsia="Arial" w:hAnsi="Arial"/>
          <w:sz w:val="22"/>
          <w:szCs w:val="22"/>
          <w:b w:val="1"/>
          <w:bCs w:val="1"/>
          <w:color w:val="auto"/>
        </w:rPr>
        <w:t>2.12 Mergers or Acquisitions</w:t>
      </w:r>
      <w:r>
        <w:rPr>
          <w:rFonts w:ascii="Arial" w:cs="Arial" w:eastAsia="Arial" w:hAnsi="Arial"/>
          <w:sz w:val="22"/>
          <w:szCs w:val="22"/>
          <w:color w:val="auto"/>
        </w:rPr>
        <w:t>. Section 7.3 of the Loan Agreement is hereby amended by deleting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sentence thereof in its entirety and replacing it with the following:</w:t>
      </w:r>
    </w:p>
    <w:p>
      <w:pPr>
        <w:spacing w:after="0" w:line="168" w:lineRule="exact"/>
        <w:rPr>
          <w:sz w:val="20"/>
          <w:szCs w:val="20"/>
          <w:color w:val="auto"/>
        </w:rPr>
      </w:pPr>
    </w:p>
    <w:p>
      <w:pPr>
        <w:jc w:val="both"/>
        <w:ind w:left="1740" w:firstLine="731"/>
        <w:spacing w:after="0" w:line="235" w:lineRule="auto"/>
        <w:rPr>
          <w:sz w:val="20"/>
          <w:szCs w:val="20"/>
          <w:color w:val="auto"/>
        </w:rPr>
      </w:pPr>
      <w:r>
        <w:rPr>
          <w:rFonts w:ascii="Arial" w:cs="Arial" w:eastAsia="Arial" w:hAnsi="Arial"/>
          <w:sz w:val="22"/>
          <w:szCs w:val="22"/>
          <w:color w:val="auto"/>
        </w:rPr>
        <w:t>Merge or consolidate, or permit any of its Subsidiaries to merge or consolidate, with any other Person, or acquire, or permit any of its Subsidiaries to acquire, all or substantially all of the capital stock or property of another Person (the “</w:t>
      </w:r>
      <w:r>
        <w:rPr>
          <w:rFonts w:ascii="Arial" w:cs="Arial" w:eastAsia="Arial" w:hAnsi="Arial"/>
          <w:sz w:val="22"/>
          <w:szCs w:val="22"/>
          <w:b w:val="1"/>
          <w:bCs w:val="1"/>
          <w:color w:val="auto"/>
        </w:rPr>
        <w:t>Target</w:t>
      </w:r>
      <w:r>
        <w:rPr>
          <w:rFonts w:ascii="Arial" w:cs="Arial" w:eastAsia="Arial" w:hAnsi="Arial"/>
          <w:sz w:val="22"/>
          <w:szCs w:val="22"/>
          <w:color w:val="auto"/>
        </w:rPr>
        <w:t>”) (including, without limitation, by the formation of any Subsidiary or pursuant to a Division) (an “</w:t>
      </w:r>
      <w:r>
        <w:rPr>
          <w:rFonts w:ascii="Arial" w:cs="Arial" w:eastAsia="Arial" w:hAnsi="Arial"/>
          <w:sz w:val="22"/>
          <w:szCs w:val="22"/>
          <w:b w:val="1"/>
          <w:bCs w:val="1"/>
          <w:color w:val="auto"/>
        </w:rPr>
        <w:t>Acquisition</w:t>
      </w:r>
      <w:r>
        <w:rPr>
          <w:rFonts w:ascii="Arial" w:cs="Arial" w:eastAsia="Arial" w:hAnsi="Arial"/>
          <w:sz w:val="22"/>
          <w:szCs w:val="22"/>
          <w:color w:val="auto"/>
        </w:rPr>
        <w:t>”), except that (i) a Subsidiary may merge or consolidate into another Subsidiary or into Borrower and (ii) Borrower and its Subsidiaries may consummate any Permitted Acquisition.</w:t>
      </w:r>
    </w:p>
    <w:p>
      <w:pPr>
        <w:spacing w:after="0" w:line="182" w:lineRule="exact"/>
        <w:rPr>
          <w:sz w:val="20"/>
          <w:szCs w:val="20"/>
          <w:color w:val="auto"/>
        </w:rPr>
      </w:pPr>
    </w:p>
    <w:p>
      <w:pPr>
        <w:ind w:left="1740"/>
        <w:spacing w:after="0"/>
        <w:tabs>
          <w:tab w:leader="none" w:pos="27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Power of Attorney</w:t>
      </w:r>
      <w:r>
        <w:rPr>
          <w:rFonts w:ascii="Arial" w:cs="Arial" w:eastAsia="Arial" w:hAnsi="Arial"/>
          <w:sz w:val="19"/>
          <w:szCs w:val="19"/>
          <w:color w:val="auto"/>
        </w:rPr>
        <w:t>.  Section 9.2 of the Loan Agreement is deleted in its entirety and replaced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2" w:lineRule="exact"/>
        <w:rPr>
          <w:sz w:val="20"/>
          <w:szCs w:val="20"/>
          <w:color w:val="auto"/>
        </w:rPr>
      </w:pPr>
    </w:p>
    <w:p>
      <w:pPr>
        <w:ind w:left="2460"/>
        <w:spacing w:after="0"/>
        <w:tabs>
          <w:tab w:leader="none" w:pos="33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Power of Attorney.</w:t>
      </w:r>
    </w:p>
    <w:p>
      <w:pPr>
        <w:spacing w:after="0" w:line="212" w:lineRule="exact"/>
        <w:rPr>
          <w:sz w:val="20"/>
          <w:szCs w:val="20"/>
          <w:color w:val="auto"/>
        </w:rPr>
      </w:pPr>
    </w:p>
    <w:p>
      <w:pPr>
        <w:jc w:val="both"/>
        <w:ind w:left="1740" w:firstLine="731"/>
        <w:spacing w:after="0" w:line="269" w:lineRule="auto"/>
        <w:rPr>
          <w:sz w:val="20"/>
          <w:szCs w:val="20"/>
          <w:color w:val="auto"/>
        </w:rPr>
      </w:pPr>
      <w:r>
        <w:rPr>
          <w:rFonts w:ascii="Arial" w:cs="Arial" w:eastAsia="Arial" w:hAnsi="Arial"/>
          <w:sz w:val="19"/>
          <w:szCs w:val="19"/>
          <w:color w:val="auto"/>
        </w:rPr>
        <w:t>Borrower hereby irrevocably appoints Bank as its lawful attorney-in-fact, exercisable following the occurrence of an 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w:t>
      </w:r>
    </w:p>
    <w:p>
      <w:pPr>
        <w:spacing w:after="0" w:line="5" w:lineRule="exact"/>
        <w:rPr>
          <w:sz w:val="20"/>
          <w:szCs w:val="20"/>
          <w:color w:val="auto"/>
        </w:rPr>
      </w:pPr>
    </w:p>
    <w:p>
      <w:pPr>
        <w:jc w:val="both"/>
        <w:ind w:left="1740" w:hanging="5"/>
        <w:spacing w:after="0" w:line="272" w:lineRule="auto"/>
        <w:tabs>
          <w:tab w:leader="none" w:pos="2049"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Borrower’s attorney in fact, and all of Bank’s rights and powers, coupled with an interest, are irrevocable until all Obligations have been fully repaid and performed and the Loan Documents have been terminated.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ind w:left="1740"/>
        <w:spacing w:after="0"/>
        <w:tabs>
          <w:tab w:leader="none" w:pos="27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12" w:lineRule="exact"/>
        <w:rPr>
          <w:sz w:val="20"/>
          <w:szCs w:val="20"/>
          <w:color w:val="auto"/>
        </w:rPr>
      </w:pPr>
    </w:p>
    <w:p>
      <w:pPr>
        <w:ind w:firstLine="1735"/>
        <w:spacing w:after="0" w:line="250" w:lineRule="auto"/>
        <w:tabs>
          <w:tab w:leader="none" w:pos="261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following terms and their respective definitions set forth in Section 13.1 are deleted in their entirety and replaced with the following:</w:t>
      </w:r>
    </w:p>
    <w:p>
      <w:pPr>
        <w:spacing w:after="0" w:line="169" w:lineRule="exact"/>
        <w:rPr>
          <w:sz w:val="20"/>
          <w:szCs w:val="20"/>
          <w:color w:val="auto"/>
        </w:rPr>
      </w:pPr>
    </w:p>
    <w:p>
      <w:pPr>
        <w:jc w:val="both"/>
        <w:ind w:left="1740" w:firstLine="731"/>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w:t>
      </w:r>
      <w:r>
        <w:rPr>
          <w:rFonts w:ascii="Arial" w:cs="Arial" w:eastAsia="Arial" w:hAnsi="Arial"/>
          <w:sz w:val="22"/>
          <w:szCs w:val="22"/>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77" w:lineRule="exact"/>
        <w:rPr>
          <w:sz w:val="20"/>
          <w:szCs w:val="20"/>
          <w:color w:val="auto"/>
        </w:rPr>
      </w:pPr>
    </w:p>
    <w:p>
      <w:pPr>
        <w:jc w:val="both"/>
        <w:ind w:left="1740" w:firstLine="731"/>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2" w:lineRule="exact"/>
        <w:rPr>
          <w:sz w:val="20"/>
          <w:szCs w:val="20"/>
          <w:color w:val="auto"/>
        </w:rPr>
      </w:pPr>
    </w:p>
    <w:p>
      <w:pPr>
        <w:jc w:val="both"/>
        <w:ind w:left="1740" w:firstLine="731"/>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Borrowing Base</w:t>
      </w:r>
      <w:r>
        <w:rPr>
          <w:rFonts w:ascii="Arial" w:cs="Arial" w:eastAsia="Arial" w:hAnsi="Arial"/>
          <w:sz w:val="21"/>
          <w:szCs w:val="21"/>
          <w:color w:val="auto"/>
        </w:rPr>
        <w:t>” is eighty percent (80%) of Eligible Accounts, provided that the portion of the Borrowing Base comprised of Eligible Foreign Accounts shall not exceed fifty percent (50%) of the Borrowing Base, as determined by Bank from Borrower’s most recent Borrowing Base Report (and as may subsequently be updated by Bank based upon information received by Bank including, without limitation, Accounts that are paid and/or billed following the date of the Borrowing Base Report); provided, however, that Bank has the right to decrease the foregoing percentages in its good faith business judgment to mitigate the impact of events, conditions, contingencies, or risks which may adversely affect the Collateral or its value, and Bank will endeavor to provide Borrower notice of such changes, provided that the failure to do so shall not give rise to any liability to Bank.</w:t>
      </w:r>
    </w:p>
    <w:p>
      <w:pPr>
        <w:spacing w:after="0" w:line="175" w:lineRule="exact"/>
        <w:rPr>
          <w:sz w:val="20"/>
          <w:szCs w:val="20"/>
          <w:color w:val="auto"/>
        </w:rPr>
      </w:pPr>
    </w:p>
    <w:p>
      <w:pPr>
        <w:jc w:val="both"/>
        <w:ind w:left="1740" w:firstLine="731"/>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Accounts</w:t>
      </w:r>
      <w:r>
        <w:rPr>
          <w:rFonts w:ascii="Arial" w:cs="Arial" w:eastAsia="Arial" w:hAnsi="Arial"/>
          <w:sz w:val="21"/>
          <w:szCs w:val="21"/>
          <w:color w:val="auto"/>
        </w:rPr>
        <w:t>” means Accounts owing to Borrower which arise in the ordinary course of Borrower’s business that meet all Borrower’s representations and warranties in Section 5.3, that have been, at the option of Bank, confirmed in accordance with Section 6.3(e) of this Agreement, and are due and owing from Account Debtors deemed creditworthy by Bank in its good faith business judgment, and Bank will endeavor to provide Borrower notice of such changes, provided that the failure to do so shall not give rise to any liability to Bank. Bank reserves the right at any time after the Effective Date to adjust any of the criteria set forth below and to establish new criteria in its good faith business judgment. Unless Bank otherwise agrees in writing, Eligible Accounts shall not include:</w:t>
      </w:r>
    </w:p>
    <w:p>
      <w:pPr>
        <w:spacing w:after="0" w:line="178" w:lineRule="exact"/>
        <w:rPr>
          <w:sz w:val="20"/>
          <w:szCs w:val="20"/>
          <w:color w:val="auto"/>
        </w:rPr>
      </w:pPr>
    </w:p>
    <w:p>
      <w:pPr>
        <w:ind w:left="1740" w:firstLine="726"/>
        <w:spacing w:after="0" w:line="250" w:lineRule="auto"/>
        <w:tabs>
          <w:tab w:leader="none" w:pos="33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Accounts (i) for which the Account Debtor is Borrower’s Affiliate, officer, employee, investor, or agent, or (ii) that are intercompany Accounts;</w:t>
      </w:r>
    </w:p>
    <w:p>
      <w:pPr>
        <w:spacing w:after="0" w:line="174" w:lineRule="exact"/>
        <w:rPr>
          <w:rFonts w:ascii="Arial" w:cs="Arial" w:eastAsia="Arial" w:hAnsi="Arial"/>
          <w:sz w:val="22"/>
          <w:szCs w:val="22"/>
          <w:color w:val="auto"/>
        </w:rPr>
      </w:pPr>
    </w:p>
    <w:p>
      <w:pPr>
        <w:ind w:left="1740" w:firstLine="726"/>
        <w:spacing w:after="0" w:line="250" w:lineRule="auto"/>
        <w:tabs>
          <w:tab w:leader="none" w:pos="3371" w:val="left"/>
        </w:tabs>
        <w:numPr>
          <w:ilvl w:val="0"/>
          <w:numId w:val="58"/>
        </w:numPr>
        <w:rPr>
          <w:rFonts w:ascii="Arial" w:cs="Arial" w:eastAsia="Arial" w:hAnsi="Arial"/>
          <w:sz w:val="22"/>
          <w:szCs w:val="22"/>
          <w:color w:val="auto"/>
        </w:rPr>
      </w:pPr>
      <w:r>
        <w:rPr>
          <w:rFonts w:ascii="Arial" w:cs="Arial" w:eastAsia="Arial" w:hAnsi="Arial"/>
          <w:sz w:val="22"/>
          <w:szCs w:val="22"/>
          <w:color w:val="auto"/>
        </w:rPr>
        <w:t>Accounts that the Account Debtor has not paid within ninety (90) days of invoice date regardless of invoice payment period terms;</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Accounts with credit balances over ninety (90) days from invoice date;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ind w:left="620" w:firstLine="726"/>
        <w:spacing w:after="0" w:line="274" w:lineRule="auto"/>
        <w:tabs>
          <w:tab w:leader="none" w:pos="225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Accounts owing from an Account Debtor if fifty percent (50%) or more of the Accounts owing from such Account Debtor have not been paid within ninety (90) days of invoice date;</w:t>
      </w:r>
    </w:p>
    <w:p>
      <w:pPr>
        <w:spacing w:after="0" w:line="150" w:lineRule="exact"/>
        <w:rPr>
          <w:rFonts w:ascii="Arial" w:cs="Arial" w:eastAsia="Arial" w:hAnsi="Arial"/>
          <w:sz w:val="21"/>
          <w:szCs w:val="21"/>
          <w:color w:val="auto"/>
        </w:rPr>
      </w:pPr>
    </w:p>
    <w:p>
      <w:pPr>
        <w:ind w:left="620" w:firstLine="726"/>
        <w:spacing w:after="0" w:line="250" w:lineRule="auto"/>
        <w:tabs>
          <w:tab w:leader="none" w:pos="2238"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owing from an Account Debtor (i) which does not have its principal place of business in the United States except for Eligible Foreign Accounts;</w:t>
      </w:r>
    </w:p>
    <w:p>
      <w:pPr>
        <w:spacing w:after="0" w:line="174" w:lineRule="exact"/>
        <w:rPr>
          <w:rFonts w:ascii="Arial" w:cs="Arial" w:eastAsia="Arial" w:hAnsi="Arial"/>
          <w:sz w:val="22"/>
          <w:szCs w:val="22"/>
          <w:color w:val="auto"/>
        </w:rPr>
      </w:pPr>
    </w:p>
    <w:p>
      <w:pPr>
        <w:ind w:left="620" w:right="20" w:firstLine="726"/>
        <w:spacing w:after="0" w:line="250" w:lineRule="auto"/>
        <w:tabs>
          <w:tab w:leader="none" w:pos="2215"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billed from and/or payable to Borrower outside of the United States (sometimes called foreign invoiced accounts);</w:t>
      </w:r>
    </w:p>
    <w:p>
      <w:pPr>
        <w:spacing w:after="0" w:line="174" w:lineRule="exact"/>
        <w:rPr>
          <w:rFonts w:ascii="Arial" w:cs="Arial" w:eastAsia="Arial" w:hAnsi="Arial"/>
          <w:sz w:val="22"/>
          <w:szCs w:val="22"/>
          <w:color w:val="auto"/>
        </w:rPr>
      </w:pPr>
    </w:p>
    <w:p>
      <w:pPr>
        <w:ind w:left="2240" w:hanging="894"/>
        <w:spacing w:after="0"/>
        <w:tabs>
          <w:tab w:leader="none" w:pos="22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Accounts in which Bank does not have a first priority, perfected security interest under all</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applicable laws;</w:t>
      </w:r>
    </w:p>
    <w:p>
      <w:pPr>
        <w:spacing w:after="0" w:line="188" w:lineRule="exact"/>
        <w:rPr>
          <w:rFonts w:ascii="Arial" w:cs="Arial" w:eastAsia="Arial" w:hAnsi="Arial"/>
          <w:sz w:val="19"/>
          <w:szCs w:val="19"/>
          <w:color w:val="auto"/>
        </w:rPr>
      </w:pPr>
    </w:p>
    <w:p>
      <w:pPr>
        <w:ind w:left="2240" w:hanging="894"/>
        <w:spacing w:after="0"/>
        <w:tabs>
          <w:tab w:leader="none" w:pos="22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billed and/or payable in a Currency other than Dollars</w:t>
      </w:r>
    </w:p>
    <w:p>
      <w:pPr>
        <w:spacing w:after="0" w:line="206" w:lineRule="exact"/>
        <w:rPr>
          <w:rFonts w:ascii="Arial" w:cs="Arial" w:eastAsia="Arial" w:hAnsi="Arial"/>
          <w:sz w:val="22"/>
          <w:szCs w:val="22"/>
          <w:color w:val="auto"/>
        </w:rPr>
      </w:pPr>
    </w:p>
    <w:p>
      <w:pPr>
        <w:jc w:val="both"/>
        <w:ind w:left="620" w:firstLine="726"/>
        <w:spacing w:after="0"/>
        <w:tabs>
          <w:tab w:leader="none" w:pos="2203"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owing from an Account Debtor to the extent that Borrower is indebted or obligated in any manner to the Account Debtor (as creditor, lessor, supplier or otherwise - sometimes called “contra” accounts, accounts payable, customer deposits or credit accounts);</w:t>
      </w:r>
    </w:p>
    <w:p>
      <w:pPr>
        <w:spacing w:after="0" w:line="186" w:lineRule="exact"/>
        <w:rPr>
          <w:rFonts w:ascii="Arial" w:cs="Arial" w:eastAsia="Arial" w:hAnsi="Arial"/>
          <w:sz w:val="22"/>
          <w:szCs w:val="22"/>
          <w:color w:val="auto"/>
        </w:rPr>
      </w:pPr>
    </w:p>
    <w:p>
      <w:pPr>
        <w:jc w:val="both"/>
        <w:ind w:left="620" w:firstLine="726"/>
        <w:spacing w:after="0"/>
        <w:tabs>
          <w:tab w:leader="none" w:pos="2203"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with or in respect of accruals for marketing allowances, incentive rebates, price protection, cooperative advertising and other similar marketing credits, unless otherwise approved by Bank in writing;</w:t>
      </w:r>
    </w:p>
    <w:p>
      <w:pPr>
        <w:spacing w:after="0" w:line="186" w:lineRule="exact"/>
        <w:rPr>
          <w:rFonts w:ascii="Arial" w:cs="Arial" w:eastAsia="Arial" w:hAnsi="Arial"/>
          <w:sz w:val="22"/>
          <w:szCs w:val="22"/>
          <w:color w:val="auto"/>
        </w:rPr>
      </w:pPr>
    </w:p>
    <w:p>
      <w:pPr>
        <w:jc w:val="both"/>
        <w:ind w:left="620" w:firstLine="726"/>
        <w:spacing w:after="0" w:line="238" w:lineRule="auto"/>
        <w:tabs>
          <w:tab w:leader="none" w:pos="225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184" w:lineRule="exact"/>
        <w:rPr>
          <w:rFonts w:ascii="Arial" w:cs="Arial" w:eastAsia="Arial" w:hAnsi="Arial"/>
          <w:sz w:val="22"/>
          <w:szCs w:val="22"/>
          <w:color w:val="auto"/>
        </w:rPr>
      </w:pPr>
    </w:p>
    <w:p>
      <w:pPr>
        <w:ind w:left="620" w:firstLine="726"/>
        <w:spacing w:after="0" w:line="250" w:lineRule="auto"/>
        <w:tabs>
          <w:tab w:leader="none" w:pos="2203"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with customer deposits and/or with respect to which Borrower has received an upfront payment, to the extent of such customer deposit and/or upfront payment;</w:t>
      </w:r>
    </w:p>
    <w:p>
      <w:pPr>
        <w:spacing w:after="0" w:line="174" w:lineRule="exact"/>
        <w:rPr>
          <w:rFonts w:ascii="Arial" w:cs="Arial" w:eastAsia="Arial" w:hAnsi="Arial"/>
          <w:sz w:val="22"/>
          <w:szCs w:val="22"/>
          <w:color w:val="auto"/>
        </w:rPr>
      </w:pPr>
    </w:p>
    <w:p>
      <w:pPr>
        <w:jc w:val="both"/>
        <w:ind w:left="620" w:firstLine="726"/>
        <w:spacing w:after="0"/>
        <w:tabs>
          <w:tab w:leader="none" w:pos="231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for demonstration or promotional equipment, or in which goods are consigned, or sold on a “sale guaranteed”, “sale or return”, “sale on approval”, or other terms if Account Debtor’s payment may be conditional;</w:t>
      </w:r>
    </w:p>
    <w:p>
      <w:pPr>
        <w:spacing w:after="0" w:line="186" w:lineRule="exact"/>
        <w:rPr>
          <w:rFonts w:ascii="Arial" w:cs="Arial" w:eastAsia="Arial" w:hAnsi="Arial"/>
          <w:sz w:val="22"/>
          <w:szCs w:val="22"/>
          <w:color w:val="auto"/>
        </w:rPr>
      </w:pPr>
    </w:p>
    <w:p>
      <w:pPr>
        <w:ind w:left="620" w:firstLine="726"/>
        <w:spacing w:after="0" w:line="250" w:lineRule="auto"/>
        <w:tabs>
          <w:tab w:leader="none" w:pos="225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owing from an Account Debtor where goods or services have not yet been rendered to the Account Debtor (sometimes called memo billings or pre-billings);</w:t>
      </w:r>
    </w:p>
    <w:p>
      <w:pPr>
        <w:spacing w:after="0" w:line="174" w:lineRule="exact"/>
        <w:rPr>
          <w:rFonts w:ascii="Arial" w:cs="Arial" w:eastAsia="Arial" w:hAnsi="Arial"/>
          <w:sz w:val="22"/>
          <w:szCs w:val="22"/>
          <w:color w:val="auto"/>
        </w:rPr>
      </w:pPr>
    </w:p>
    <w:p>
      <w:pPr>
        <w:jc w:val="both"/>
        <w:ind w:left="620" w:firstLine="726"/>
        <w:spacing w:after="0" w:line="297" w:lineRule="auto"/>
        <w:tabs>
          <w:tab w:leader="none" w:pos="22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33" w:lineRule="exact"/>
        <w:rPr>
          <w:rFonts w:ascii="Arial" w:cs="Arial" w:eastAsia="Arial" w:hAnsi="Arial"/>
          <w:sz w:val="19"/>
          <w:szCs w:val="19"/>
          <w:color w:val="auto"/>
        </w:rPr>
      </w:pPr>
    </w:p>
    <w:p>
      <w:pPr>
        <w:jc w:val="both"/>
        <w:ind w:left="620" w:firstLine="726"/>
        <w:spacing w:after="0"/>
        <w:tabs>
          <w:tab w:leader="none" w:pos="225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81" w:name="page82"/>
    <w:bookmarkEnd w:id="81"/>
    <w:p>
      <w:pPr>
        <w:ind w:left="2240" w:hanging="894"/>
        <w:spacing w:after="0"/>
        <w:tabs>
          <w:tab w:leader="none" w:pos="22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Accounts subject to trust provisions, subrogation rights of a bonding company, or a</w:t>
      </w:r>
    </w:p>
    <w:p>
      <w:pPr>
        <w:spacing w:after="0" w:line="19"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22"/>
          <w:szCs w:val="22"/>
          <w:color w:val="auto"/>
        </w:rPr>
        <w:t>statutory trust;</w:t>
      </w:r>
    </w:p>
    <w:p>
      <w:pPr>
        <w:spacing w:after="0" w:line="188" w:lineRule="exact"/>
        <w:rPr>
          <w:rFonts w:ascii="Arial" w:cs="Arial" w:eastAsia="Arial" w:hAnsi="Arial"/>
          <w:sz w:val="21"/>
          <w:szCs w:val="21"/>
          <w:color w:val="auto"/>
        </w:rPr>
      </w:pPr>
    </w:p>
    <w:p>
      <w:pPr>
        <w:jc w:val="both"/>
        <w:ind w:left="620" w:firstLine="726"/>
        <w:spacing w:after="0" w:line="235" w:lineRule="auto"/>
        <w:tabs>
          <w:tab w:leader="none" w:pos="221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87" w:lineRule="exact"/>
        <w:rPr>
          <w:rFonts w:ascii="Arial" w:cs="Arial" w:eastAsia="Arial" w:hAnsi="Arial"/>
          <w:sz w:val="22"/>
          <w:szCs w:val="22"/>
          <w:color w:val="auto"/>
        </w:rPr>
      </w:pPr>
    </w:p>
    <w:p>
      <w:pPr>
        <w:ind w:left="2220" w:hanging="874"/>
        <w:spacing w:after="0"/>
        <w:tabs>
          <w:tab w:leader="none" w:pos="22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for which the Account Debtor has not been invoiced;</w:t>
      </w:r>
    </w:p>
    <w:p>
      <w:pPr>
        <w:spacing w:after="0" w:line="206" w:lineRule="exact"/>
        <w:rPr>
          <w:rFonts w:ascii="Arial" w:cs="Arial" w:eastAsia="Arial" w:hAnsi="Arial"/>
          <w:sz w:val="22"/>
          <w:szCs w:val="22"/>
          <w:color w:val="auto"/>
        </w:rPr>
      </w:pPr>
    </w:p>
    <w:p>
      <w:pPr>
        <w:ind w:left="620" w:firstLine="726"/>
        <w:spacing w:after="0" w:line="250" w:lineRule="auto"/>
        <w:tabs>
          <w:tab w:leader="none" w:pos="22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that represent non-trade receivables or that are derived by means other than in the ordinary course of Borrower’s business;</w:t>
      </w:r>
    </w:p>
    <w:p>
      <w:pPr>
        <w:spacing w:after="0" w:line="174" w:lineRule="exact"/>
        <w:rPr>
          <w:rFonts w:ascii="Arial" w:cs="Arial" w:eastAsia="Arial" w:hAnsi="Arial"/>
          <w:sz w:val="22"/>
          <w:szCs w:val="22"/>
          <w:color w:val="auto"/>
        </w:rPr>
      </w:pPr>
    </w:p>
    <w:p>
      <w:pPr>
        <w:ind w:left="620" w:right="20" w:firstLine="726"/>
        <w:spacing w:after="0" w:line="328" w:lineRule="auto"/>
        <w:tabs>
          <w:tab w:leader="none" w:pos="2251" w:val="left"/>
        </w:tabs>
        <w:numPr>
          <w:ilvl w:val="0"/>
          <w:numId w:val="60"/>
        </w:numPr>
        <w:rPr>
          <w:rFonts w:ascii="Arial" w:cs="Arial" w:eastAsia="Arial" w:hAnsi="Arial"/>
          <w:sz w:val="19"/>
          <w:szCs w:val="19"/>
          <w:color w:val="auto"/>
        </w:rPr>
      </w:pPr>
      <w:r>
        <w:rPr>
          <w:rFonts w:ascii="Arial" w:cs="Arial" w:eastAsia="Arial" w:hAnsi="Arial"/>
          <w:sz w:val="19"/>
          <w:szCs w:val="19"/>
          <w:color w:val="auto"/>
        </w:rPr>
        <w:t>Accounts for which Borrower has permitted Account Debtor’s payment to extend beyond ninety (90) days (including Accounts with a due date that is more than ninety (90) days from invoice date);</w:t>
      </w:r>
    </w:p>
    <w:p>
      <w:pPr>
        <w:spacing w:after="0" w:line="104" w:lineRule="exact"/>
        <w:rPr>
          <w:rFonts w:ascii="Arial" w:cs="Arial" w:eastAsia="Arial" w:hAnsi="Arial"/>
          <w:sz w:val="19"/>
          <w:szCs w:val="19"/>
          <w:color w:val="auto"/>
        </w:rPr>
      </w:pPr>
    </w:p>
    <w:p>
      <w:pPr>
        <w:ind w:left="2240" w:hanging="894"/>
        <w:spacing w:after="0"/>
        <w:tabs>
          <w:tab w:leader="none" w:pos="22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Accounts arising from chargebacks, debit memos or other payment deductions taken by an</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Account Debtor;</w:t>
      </w:r>
    </w:p>
    <w:p>
      <w:pPr>
        <w:spacing w:after="0" w:line="188" w:lineRule="exact"/>
        <w:rPr>
          <w:rFonts w:ascii="Arial" w:cs="Arial" w:eastAsia="Arial" w:hAnsi="Arial"/>
          <w:sz w:val="19"/>
          <w:szCs w:val="19"/>
          <w:color w:val="auto"/>
        </w:rPr>
      </w:pPr>
    </w:p>
    <w:p>
      <w:pPr>
        <w:ind w:left="2300" w:hanging="954"/>
        <w:spacing w:after="0"/>
        <w:tabs>
          <w:tab w:leader="none" w:pos="2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Accounts arising from product returns and/or exchanges (sometimes called “warranty” or</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“RMA” accounts);</w:t>
      </w:r>
    </w:p>
    <w:p>
      <w:pPr>
        <w:spacing w:after="0" w:line="188" w:lineRule="exact"/>
        <w:rPr>
          <w:rFonts w:ascii="Arial" w:cs="Arial" w:eastAsia="Arial" w:hAnsi="Arial"/>
          <w:sz w:val="19"/>
          <w:szCs w:val="19"/>
          <w:color w:val="auto"/>
        </w:rPr>
      </w:pPr>
    </w:p>
    <w:p>
      <w:pPr>
        <w:jc w:val="both"/>
        <w:ind w:left="620" w:firstLine="726"/>
        <w:spacing w:after="0"/>
        <w:tabs>
          <w:tab w:leader="none" w:pos="22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186" w:lineRule="exact"/>
        <w:rPr>
          <w:rFonts w:ascii="Arial" w:cs="Arial" w:eastAsia="Arial" w:hAnsi="Arial"/>
          <w:sz w:val="22"/>
          <w:szCs w:val="22"/>
          <w:color w:val="auto"/>
        </w:rPr>
      </w:pPr>
    </w:p>
    <w:p>
      <w:pPr>
        <w:ind w:left="620" w:right="20" w:firstLine="726"/>
        <w:spacing w:after="0" w:line="250" w:lineRule="auto"/>
        <w:tabs>
          <w:tab w:leader="none" w:pos="22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owing from an Account Debtor with respect to which Borrower has received Deferred Revenue (but only to the extent of such Deferred Revenue);</w:t>
      </w:r>
    </w:p>
    <w:p>
      <w:pPr>
        <w:spacing w:after="0" w:line="174" w:lineRule="exact"/>
        <w:rPr>
          <w:rFonts w:ascii="Arial" w:cs="Arial" w:eastAsia="Arial" w:hAnsi="Arial"/>
          <w:sz w:val="22"/>
          <w:szCs w:val="22"/>
          <w:color w:val="auto"/>
        </w:rPr>
      </w:pPr>
    </w:p>
    <w:p>
      <w:pPr>
        <w:jc w:val="both"/>
        <w:ind w:left="620" w:firstLine="726"/>
        <w:spacing w:after="0"/>
        <w:tabs>
          <w:tab w:leader="none" w:pos="2238" w:val="left"/>
        </w:tabs>
        <w:numPr>
          <w:ilvl w:val="0"/>
          <w:numId w:val="60"/>
        </w:numPr>
        <w:rPr>
          <w:rFonts w:ascii="Arial" w:cs="Arial" w:eastAsia="Arial" w:hAnsi="Arial"/>
          <w:sz w:val="22"/>
          <w:szCs w:val="22"/>
          <w:color w:val="auto"/>
        </w:rPr>
      </w:pPr>
      <w:r>
        <w:rPr>
          <w:rFonts w:ascii="Arial" w:cs="Arial" w:eastAsia="Arial" w:hAnsi="Arial"/>
          <w:sz w:val="22"/>
          <w:szCs w:val="22"/>
          <w:color w:val="auto"/>
        </w:rPr>
        <w:t>Accounts owing from an Account Debtor, whose total obligations to Borrower exceed twenty-five percent (25.0%) of all Accounts (but only to the extent of the amounts that exceed that percentage), unless Bank approves in writing; and</w:t>
      </w:r>
    </w:p>
    <w:p>
      <w:pPr>
        <w:spacing w:after="0" w:line="186" w:lineRule="exact"/>
        <w:rPr>
          <w:sz w:val="20"/>
          <w:szCs w:val="20"/>
          <w:color w:val="auto"/>
        </w:rPr>
      </w:pPr>
    </w:p>
    <w:p>
      <w:pPr>
        <w:ind w:left="620" w:firstLine="726"/>
        <w:spacing w:after="0" w:line="274" w:lineRule="auto"/>
        <w:tabs>
          <w:tab w:leader="none" w:pos="2334" w:val="left"/>
        </w:tabs>
        <w:numPr>
          <w:ilvl w:val="0"/>
          <w:numId w:val="61"/>
        </w:numPr>
        <w:rPr>
          <w:rFonts w:ascii="Arial" w:cs="Arial" w:eastAsia="Arial" w:hAnsi="Arial"/>
          <w:sz w:val="21"/>
          <w:szCs w:val="21"/>
          <w:color w:val="auto"/>
        </w:rPr>
      </w:pPr>
      <w:r>
        <w:rPr>
          <w:rFonts w:ascii="Arial" w:cs="Arial" w:eastAsia="Arial" w:hAnsi="Arial"/>
          <w:sz w:val="21"/>
          <w:szCs w:val="21"/>
          <w:color w:val="auto"/>
        </w:rPr>
        <w:t>Accounts for which Bank in its good faith business judgment determines collection to be doubtful, including, without limitation, accounts represented by “refreshed” or “recycled” invoices.</w:t>
      </w:r>
    </w:p>
    <w:p>
      <w:pPr>
        <w:spacing w:after="0" w:line="1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January 1, 2020.</w:t>
      </w: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82" w:name="page83"/>
    <w:bookmarkEnd w:id="82"/>
    <w:p>
      <w:pPr>
        <w:ind w:left="2460" w:right="1340" w:hanging="725"/>
        <w:spacing w:after="0" w:line="435" w:lineRule="auto"/>
        <w:tabs>
          <w:tab w:leader="none" w:pos="262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new defined terms are hereby inserted alphabetically in Section 13.1: “</w:t>
      </w:r>
      <w:r>
        <w:rPr>
          <w:rFonts w:ascii="Arial" w:cs="Arial" w:eastAsia="Arial" w:hAnsi="Arial"/>
          <w:sz w:val="22"/>
          <w:szCs w:val="22"/>
          <w:b w:val="1"/>
          <w:bCs w:val="1"/>
          <w:color w:val="auto"/>
        </w:rPr>
        <w:t>Administrator</w:t>
      </w:r>
      <w:r>
        <w:rPr>
          <w:rFonts w:ascii="Arial" w:cs="Arial" w:eastAsia="Arial" w:hAnsi="Arial"/>
          <w:sz w:val="22"/>
          <w:szCs w:val="22"/>
          <w:color w:val="auto"/>
        </w:rPr>
        <w:t>” is an individual that is named:</w:t>
      </w:r>
    </w:p>
    <w:p>
      <w:pPr>
        <w:jc w:val="both"/>
        <w:ind w:left="1740" w:firstLine="726"/>
        <w:spacing w:after="0"/>
        <w:tabs>
          <w:tab w:leader="none" w:pos="3358" w:val="left"/>
        </w:tabs>
        <w:numPr>
          <w:ilvl w:val="1"/>
          <w:numId w:val="62"/>
        </w:numPr>
        <w:rPr>
          <w:rFonts w:ascii="Arial" w:cs="Arial" w:eastAsia="Arial" w:hAnsi="Arial"/>
          <w:sz w:val="22"/>
          <w:szCs w:val="22"/>
          <w:color w:val="auto"/>
        </w:rPr>
      </w:pPr>
      <w:r>
        <w:rPr>
          <w:rFonts w:ascii="Arial" w:cs="Arial" w:eastAsia="Arial" w:hAnsi="Arial"/>
          <w:sz w:val="22"/>
          <w:szCs w:val="22"/>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186" w:lineRule="exact"/>
        <w:rPr>
          <w:rFonts w:ascii="Arial" w:cs="Arial" w:eastAsia="Arial" w:hAnsi="Arial"/>
          <w:sz w:val="22"/>
          <w:szCs w:val="22"/>
          <w:color w:val="auto"/>
        </w:rPr>
      </w:pPr>
    </w:p>
    <w:p>
      <w:pPr>
        <w:ind w:left="3360" w:hanging="894"/>
        <w:spacing w:after="0"/>
        <w:tabs>
          <w:tab w:leader="none" w:pos="33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as an Authorized Signer of Borrower in an approval by the Board.</w:t>
      </w:r>
    </w:p>
    <w:p>
      <w:pPr>
        <w:spacing w:after="0" w:line="200"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Information Disclosure Form</w:t>
      </w:r>
      <w:r>
        <w:rPr>
          <w:rFonts w:ascii="Arial" w:cs="Arial" w:eastAsia="Arial" w:hAnsi="Arial"/>
          <w:sz w:val="19"/>
          <w:szCs w:val="19"/>
          <w:color w:val="auto"/>
        </w:rPr>
        <w:t xml:space="preserve">” means the form attached hereto as </w:t>
      </w:r>
      <w:r>
        <w:rPr>
          <w:rFonts w:ascii="Arial" w:cs="Arial" w:eastAsia="Arial" w:hAnsi="Arial"/>
          <w:sz w:val="19"/>
          <w:szCs w:val="19"/>
          <w:u w:val="single" w:color="auto"/>
          <w:color w:val="auto"/>
        </w:rPr>
        <w:t>Exhibit</w:t>
      </w:r>
    </w:p>
    <w:p>
      <w:pPr>
        <w:spacing w:after="0" w:line="49"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E</w:t>
      </w:r>
      <w:r>
        <w:rPr>
          <w:rFonts w:ascii="Arial" w:cs="Arial" w:eastAsia="Arial" w:hAnsi="Arial"/>
          <w:sz w:val="22"/>
          <w:szCs w:val="22"/>
          <w:color w:val="auto"/>
        </w:rPr>
        <w:t>.</w:t>
      </w:r>
    </w:p>
    <w:p>
      <w:pPr>
        <w:spacing w:after="0" w:line="182" w:lineRule="exact"/>
        <w:rPr>
          <w:sz w:val="20"/>
          <w:szCs w:val="20"/>
          <w:color w:val="auto"/>
        </w:rPr>
      </w:pPr>
    </w:p>
    <w:p>
      <w:pPr>
        <w:ind w:left="1740" w:firstLine="73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Base Report</w:t>
      </w:r>
      <w:r>
        <w:rPr>
          <w:rFonts w:ascii="Arial" w:cs="Arial" w:eastAsia="Arial" w:hAnsi="Arial"/>
          <w:sz w:val="22"/>
          <w:szCs w:val="22"/>
          <w:color w:val="auto"/>
        </w:rPr>
        <w:t>” is that certain report of the value of certain Collateral in the form specified by Bank to Borrower from time to time.</w:t>
      </w:r>
    </w:p>
    <w:p>
      <w:pPr>
        <w:spacing w:after="0" w:line="162"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Division</w:t>
      </w:r>
      <w:r>
        <w:rPr>
          <w:rFonts w:ascii="Arial" w:cs="Arial" w:eastAsia="Arial" w:hAnsi="Arial"/>
          <w:sz w:val="19"/>
          <w:szCs w:val="19"/>
          <w:color w:val="auto"/>
        </w:rPr>
        <w:t>” means, in reference to any Person which is an entity, the division of such Person into two</w:t>
      </w:r>
    </w:p>
    <w:p>
      <w:pPr>
        <w:spacing w:after="0" w:line="49" w:lineRule="exact"/>
        <w:rPr>
          <w:sz w:val="20"/>
          <w:szCs w:val="20"/>
          <w:color w:val="auto"/>
        </w:rPr>
      </w:pPr>
    </w:p>
    <w:p>
      <w:pPr>
        <w:jc w:val="both"/>
        <w:ind w:left="1740" w:hanging="5"/>
        <w:spacing w:after="0" w:line="233" w:lineRule="auto"/>
        <w:tabs>
          <w:tab w:leader="none" w:pos="2047" w:val="left"/>
        </w:tabs>
        <w:numPr>
          <w:ilvl w:val="0"/>
          <w:numId w:val="63"/>
        </w:numPr>
        <w:rPr>
          <w:rFonts w:ascii="Arial" w:cs="Arial" w:eastAsia="Arial" w:hAnsi="Arial"/>
          <w:sz w:val="22"/>
          <w:szCs w:val="22"/>
          <w:color w:val="auto"/>
        </w:rPr>
      </w:pPr>
      <w:r>
        <w:rPr>
          <w:rFonts w:ascii="Arial" w:cs="Arial" w:eastAsia="Arial" w:hAnsi="Arial"/>
          <w:sz w:val="22"/>
          <w:szCs w:val="22"/>
          <w:color w:val="auto"/>
        </w:rPr>
        <w:t>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79" w:lineRule="exact"/>
        <w:rPr>
          <w:sz w:val="20"/>
          <w:szCs w:val="20"/>
          <w:color w:val="auto"/>
        </w:rPr>
      </w:pPr>
    </w:p>
    <w:p>
      <w:pPr>
        <w:jc w:val="both"/>
        <w:ind w:left="1740" w:firstLine="731"/>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Affiliate</w:t>
      </w:r>
      <w:r>
        <w:rPr>
          <w:rFonts w:ascii="Arial" w:cs="Arial" w:eastAsia="Arial" w:hAnsi="Arial"/>
          <w:sz w:val="19"/>
          <w:szCs w:val="19"/>
          <w:color w:val="auto"/>
        </w:rPr>
        <w:t>” is any Person (a) more than ten percent (10.0%) of whose aggregate issued and outstanding equity or ownership securities or interests, voting, non-voting or both, are owned or held directly or indirectly, beneficially or of record, by Borrower, and/or (b) whose equity or ownership securities or interests representing more than ten percent (10.0%) of such Person’s total outstanding combined voting power are owned or held directly or indirectly, beneficially or of record, by Borrower.</w:t>
      </w:r>
    </w:p>
    <w:p>
      <w:pPr>
        <w:spacing w:after="0" w:line="143" w:lineRule="exact"/>
        <w:rPr>
          <w:sz w:val="20"/>
          <w:szCs w:val="20"/>
          <w:color w:val="auto"/>
        </w:rPr>
      </w:pPr>
    </w:p>
    <w:p>
      <w:pPr>
        <w:jc w:val="both"/>
        <w:ind w:firstLine="1735"/>
        <w:spacing w:after="0" w:line="243" w:lineRule="auto"/>
        <w:tabs>
          <w:tab w:leader="none" w:pos="261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defined term “</w:t>
      </w:r>
      <w:r>
        <w:rPr>
          <w:rFonts w:ascii="Arial" w:cs="Arial" w:eastAsia="Arial" w:hAnsi="Arial"/>
          <w:sz w:val="22"/>
          <w:szCs w:val="22"/>
          <w:b w:val="1"/>
          <w:bCs w:val="1"/>
          <w:color w:val="auto"/>
        </w:rPr>
        <w:t>Transaction Report</w:t>
      </w:r>
      <w:r>
        <w:rPr>
          <w:rFonts w:ascii="Arial" w:cs="Arial" w:eastAsia="Arial" w:hAnsi="Arial"/>
          <w:sz w:val="22"/>
          <w:szCs w:val="22"/>
          <w:color w:val="auto"/>
        </w:rPr>
        <w:t>” and its definition set forth in Section 13.1 of the Loan Agreement is deleted in its entirety, and all occurrences of and references to such term in the Loan Agreement are hereby deleted and replaced by the defined term “</w:t>
      </w:r>
      <w:r>
        <w:rPr>
          <w:rFonts w:ascii="Arial" w:cs="Arial" w:eastAsia="Arial" w:hAnsi="Arial"/>
          <w:sz w:val="22"/>
          <w:szCs w:val="22"/>
          <w:b w:val="1"/>
          <w:bCs w:val="1"/>
          <w:color w:val="auto"/>
        </w:rPr>
        <w:t>Borrowing Base Report</w:t>
      </w:r>
      <w:r>
        <w:rPr>
          <w:rFonts w:ascii="Arial" w:cs="Arial" w:eastAsia="Arial" w:hAnsi="Arial"/>
          <w:sz w:val="22"/>
          <w:szCs w:val="22"/>
          <w:color w:val="auto"/>
        </w:rPr>
        <w:t>” as defined herein.</w:t>
      </w:r>
    </w:p>
    <w:p>
      <w:pPr>
        <w:spacing w:after="0" w:line="177"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21"/>
          <w:szCs w:val="21"/>
          <w:b w:val="1"/>
          <w:bCs w:val="1"/>
          <w:color w:val="auto"/>
        </w:rPr>
        <w:t>2.15 Exhibit B (Compliance Statement)</w:t>
      </w:r>
      <w:r>
        <w:rPr>
          <w:rFonts w:ascii="Arial" w:cs="Arial" w:eastAsia="Arial" w:hAnsi="Arial"/>
          <w:sz w:val="21"/>
          <w:szCs w:val="21"/>
          <w:color w:val="auto"/>
        </w:rPr>
        <w:t>. The Compliance Statement appearing as</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Exhibit B</w:t>
      </w:r>
      <w:r>
        <w:rPr>
          <w:rFonts w:ascii="Arial" w:cs="Arial" w:eastAsia="Arial" w:hAnsi="Arial"/>
          <w:sz w:val="21"/>
          <w:szCs w:val="21"/>
          <w:b w:val="1"/>
          <w:bCs w:val="1"/>
          <w:color w:val="auto"/>
        </w:rPr>
        <w:t xml:space="preserve"> </w:t>
      </w:r>
      <w:r>
        <w:rPr>
          <w:rFonts w:ascii="Arial" w:cs="Arial" w:eastAsia="Arial" w:hAnsi="Arial"/>
          <w:sz w:val="21"/>
          <w:szCs w:val="21"/>
          <w:color w:val="auto"/>
        </w:rPr>
        <w:t>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Loan Agreement is deleted in its entirety and replaced with the Compliance Statement attached hereto as </w:t>
      </w:r>
      <w:r>
        <w:rPr>
          <w:rFonts w:ascii="Arial" w:cs="Arial" w:eastAsia="Arial" w:hAnsi="Arial"/>
          <w:sz w:val="21"/>
          <w:szCs w:val="21"/>
          <w:b w:val="1"/>
          <w:bCs w:val="1"/>
          <w:u w:val="single" w:color="auto"/>
          <w:color w:val="auto"/>
        </w:rPr>
        <w:t>Schedule A</w:t>
      </w:r>
      <w:r>
        <w:rPr>
          <w:rFonts w:ascii="Arial" w:cs="Arial" w:eastAsia="Arial" w:hAnsi="Arial"/>
          <w:sz w:val="21"/>
          <w:szCs w:val="21"/>
          <w:color w:val="auto"/>
        </w:rPr>
        <w:t>.</w:t>
      </w:r>
    </w:p>
    <w:p>
      <w:pPr>
        <w:spacing w:after="0" w:line="139"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2.16 Exhibit D (Transaction Report)</w:t>
      </w:r>
      <w:r>
        <w:rPr>
          <w:rFonts w:ascii="Arial" w:cs="Arial" w:eastAsia="Arial" w:hAnsi="Arial"/>
          <w:sz w:val="22"/>
          <w:szCs w:val="22"/>
          <w:color w:val="auto"/>
        </w:rPr>
        <w:t>. The Transaction Report (as defined in the Loan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until the date of this Amendment) appearing as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to the Loan Agreement is deleted in its entirety and replaced with the following: “</w:t>
      </w:r>
      <w:r>
        <w:rPr>
          <w:rFonts w:ascii="Arial" w:cs="Arial" w:eastAsia="Arial" w:hAnsi="Arial"/>
          <w:sz w:val="22"/>
          <w:szCs w:val="22"/>
          <w:b w:val="1"/>
          <w:bCs w:val="1"/>
          <w:u w:val="single" w:color="auto"/>
          <w:color w:val="auto"/>
        </w:rPr>
        <w:t>Exhibit D – Intentionally Omitted”</w:t>
      </w:r>
      <w:r>
        <w:rPr>
          <w:rFonts w:ascii="Arial" w:cs="Arial" w:eastAsia="Arial" w:hAnsi="Arial"/>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3" w:name="page84"/>
    <w:bookmarkEnd w:id="83"/>
    <w:p>
      <w:pPr>
        <w:jc w:val="both"/>
        <w:ind w:firstLine="1727"/>
        <w:spacing w:after="0" w:line="289" w:lineRule="auto"/>
        <w:rPr>
          <w:sz w:val="20"/>
          <w:szCs w:val="20"/>
          <w:color w:val="auto"/>
        </w:rPr>
      </w:pPr>
      <w:r>
        <w:rPr>
          <w:rFonts w:ascii="Arial" w:cs="Arial" w:eastAsia="Arial" w:hAnsi="Arial"/>
          <w:sz w:val="19"/>
          <w:szCs w:val="19"/>
          <w:b w:val="1"/>
          <w:bCs w:val="1"/>
          <w:color w:val="auto"/>
        </w:rPr>
        <w:t>2.17 Exhibit E (Beneficial Ownership Information Disclosure Form)</w:t>
      </w:r>
      <w:r>
        <w:rPr>
          <w:rFonts w:ascii="Arial" w:cs="Arial" w:eastAsia="Arial" w:hAnsi="Arial"/>
          <w:sz w:val="19"/>
          <w:szCs w:val="19"/>
          <w:color w:val="auto"/>
        </w:rPr>
        <w:t>. The Loan Agreement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amended by adding a new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xml:space="preserve"> (Beneficial Ownership Information Disclosure Form) to the Loan Agreement in the form attached hereto as </w:t>
      </w:r>
      <w:r>
        <w:rPr>
          <w:rFonts w:ascii="Arial" w:cs="Arial" w:eastAsia="Arial" w:hAnsi="Arial"/>
          <w:sz w:val="19"/>
          <w:szCs w:val="19"/>
          <w:b w:val="1"/>
          <w:bCs w:val="1"/>
          <w:u w:val="single" w:color="auto"/>
          <w:color w:val="auto"/>
        </w:rPr>
        <w:t>Schedule B</w:t>
      </w:r>
      <w:r>
        <w:rPr>
          <w:rFonts w:ascii="Arial" w:cs="Arial" w:eastAsia="Arial" w:hAnsi="Arial"/>
          <w:sz w:val="19"/>
          <w:szCs w:val="19"/>
          <w:color w:val="auto"/>
        </w:rPr>
        <w:t xml:space="preserve">. All references in the Loan Agreement to the Beneficial Ownership Information Disclosure Form shall be deemed to refer to the Beneficial Ownership Information Disclosure Form attached hereto as </w:t>
      </w:r>
      <w:r>
        <w:rPr>
          <w:rFonts w:ascii="Arial" w:cs="Arial" w:eastAsia="Arial" w:hAnsi="Arial"/>
          <w:sz w:val="19"/>
          <w:szCs w:val="19"/>
          <w:b w:val="1"/>
          <w:bCs w:val="1"/>
          <w:u w:val="single" w:color="auto"/>
          <w:color w:val="auto"/>
        </w:rPr>
        <w:t>Schedule B</w:t>
      </w:r>
      <w:r>
        <w:rPr>
          <w:rFonts w:ascii="Arial" w:cs="Arial" w:eastAsia="Arial" w:hAnsi="Arial"/>
          <w:sz w:val="19"/>
          <w:szCs w:val="19"/>
          <w:color w:val="auto"/>
        </w:rPr>
        <w:t>.</w:t>
      </w:r>
    </w:p>
    <w:p>
      <w:pPr>
        <w:spacing w:after="0" w:line="136" w:lineRule="exact"/>
        <w:rPr>
          <w:sz w:val="20"/>
          <w:szCs w:val="20"/>
          <w:color w:val="auto"/>
        </w:rPr>
      </w:pPr>
    </w:p>
    <w:p>
      <w:pPr>
        <w:ind w:left="1680" w:hanging="808"/>
        <w:spacing w:after="0"/>
        <w:tabs>
          <w:tab w:leader="none" w:pos="16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right="20" w:firstLine="872"/>
        <w:spacing w:after="0" w:line="256" w:lineRule="auto"/>
        <w:tabs>
          <w:tab w:leader="none" w:pos="167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Bank as follows:</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162" w:lineRule="exact"/>
        <w:rPr>
          <w:sz w:val="20"/>
          <w:szCs w:val="20"/>
          <w:color w:val="auto"/>
        </w:rPr>
      </w:pPr>
    </w:p>
    <w:p>
      <w:pPr>
        <w:jc w:val="both"/>
        <w:ind w:right="20" w:firstLine="1727"/>
        <w:spacing w:after="0" w:line="334"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The organizational documents of Borrower delivered to Bank on the Effective Date remain true,</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and complete and have not been amended, supplemented or restated and are and continue to be in full force and effect;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jc w:val="both"/>
        <w:ind w:firstLine="872"/>
        <w:spacing w:after="0" w:line="239" w:lineRule="auto"/>
        <w:tabs>
          <w:tab w:leader="none" w:pos="167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disclosures contained in a certain Perfection Certificate dated as of the Effective Date, and acknowledges, confirms and agrees that the disclosures and information Borrower provided to Bank in such Perfection Certificate have not changed, as of the date hereof.</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22"/>
          <w:szCs w:val="22"/>
          <w:b w:val="1"/>
          <w:bCs w:val="1"/>
          <w:color w:val="auto"/>
        </w:rPr>
      </w:pPr>
    </w:p>
    <w:p>
      <w:pPr>
        <w:ind w:firstLine="872"/>
        <w:spacing w:after="0" w:line="256" w:lineRule="auto"/>
        <w:tabs>
          <w:tab w:leader="none" w:pos="167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872"/>
        <w:spacing w:after="0" w:line="237" w:lineRule="auto"/>
        <w:tabs>
          <w:tab w:leader="none" w:pos="167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as of November 2, 2019 upon (a) the due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and delivery to Bank of this Amendment by each party hereto, (b) Borrower’s payment of (i) a fully-earned, non-refundable amendment fee in an amount equal to Six Thousand Two Hundred Fifty Dollars ($6,250) and (ii) Bank’s legal fees and expenses incurred in connection with this Amendment, and (c) the due execution and delivery to Bank of the Beneficial Ownership Information Disclosure 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Sheetal Kapani</w:t>
            </w:r>
          </w:p>
        </w:tc>
      </w:tr>
      <w:tr>
        <w:trPr>
          <w:trHeight w:val="215"/>
        </w:trPr>
        <w:tc>
          <w:tcPr>
            <w:tcW w:w="10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80" w:type="dxa"/>
            <w:vAlign w:val="bottom"/>
          </w:tcPr>
          <w:p>
            <w:pPr>
              <w:spacing w:after="0" w:line="216" w:lineRule="exact"/>
              <w:rPr>
                <w:sz w:val="20"/>
                <w:szCs w:val="20"/>
                <w:color w:val="auto"/>
              </w:rPr>
            </w:pPr>
            <w:r>
              <w:rPr>
                <w:rFonts w:ascii="Arial" w:cs="Arial" w:eastAsia="Arial" w:hAnsi="Arial"/>
                <w:sz w:val="22"/>
                <w:szCs w:val="22"/>
                <w:color w:val="auto"/>
              </w:rPr>
              <w:t>Sheetal Kapani</w:t>
            </w:r>
          </w:p>
        </w:tc>
      </w:tr>
      <w:tr>
        <w:trPr>
          <w:trHeight w:val="274"/>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IRIDEX CORPORATION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Romeo R. Dizon</w:t>
            </w:r>
          </w:p>
        </w:tc>
      </w:tr>
      <w:tr>
        <w:trPr>
          <w:trHeight w:val="215"/>
        </w:trPr>
        <w:tc>
          <w:tcPr>
            <w:tcW w:w="10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80" w:type="dxa"/>
            <w:vAlign w:val="bottom"/>
          </w:tcPr>
          <w:p>
            <w:pPr>
              <w:spacing w:after="0" w:line="216" w:lineRule="exact"/>
              <w:rPr>
                <w:sz w:val="20"/>
                <w:szCs w:val="20"/>
                <w:color w:val="auto"/>
              </w:rPr>
            </w:pPr>
            <w:r>
              <w:rPr>
                <w:rFonts w:ascii="Arial" w:cs="Arial" w:eastAsia="Arial" w:hAnsi="Arial"/>
                <w:sz w:val="22"/>
                <w:szCs w:val="22"/>
                <w:color w:val="auto"/>
              </w:rPr>
              <w:t>Romeo R. Dizon</w:t>
            </w:r>
          </w:p>
        </w:tc>
      </w:tr>
      <w:tr>
        <w:trPr>
          <w:trHeight w:val="274"/>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4580" w:type="dxa"/>
            <w:vAlign w:val="bottom"/>
          </w:tcPr>
          <w:p>
            <w:pPr>
              <w:spacing w:after="0"/>
              <w:rPr>
                <w:sz w:val="20"/>
                <w:szCs w:val="20"/>
                <w:color w:val="auto"/>
              </w:rPr>
            </w:pPr>
            <w:r>
              <w:rPr>
                <w:rFonts w:ascii="Arial" w:cs="Arial" w:eastAsia="Arial" w:hAnsi="Arial"/>
                <w:sz w:val="22"/>
                <w:szCs w:val="22"/>
                <w:color w:val="auto"/>
              </w:rPr>
              <w:t>VP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COMPLIANCE STATEMENT</w:t>
      </w:r>
    </w:p>
    <w:p>
      <w:pPr>
        <w:spacing w:after="0" w:line="399"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TO:</w:t>
            </w:r>
          </w:p>
        </w:tc>
        <w:tc>
          <w:tcPr>
            <w:tcW w:w="4740" w:type="dxa"/>
            <w:vAlign w:val="bottom"/>
          </w:tcPr>
          <w:p>
            <w:pPr>
              <w:ind w:left="180"/>
              <w:spacing w:after="0"/>
              <w:rPr>
                <w:sz w:val="20"/>
                <w:szCs w:val="20"/>
                <w:color w:val="auto"/>
              </w:rPr>
            </w:pPr>
            <w:r>
              <w:rPr>
                <w:rFonts w:ascii="Arial" w:cs="Arial" w:eastAsia="Arial" w:hAnsi="Arial"/>
                <w:sz w:val="22"/>
                <w:szCs w:val="22"/>
                <w:color w:val="auto"/>
              </w:rPr>
              <w:t>SILICON VALLEY BANK</w:t>
            </w:r>
          </w:p>
        </w:tc>
        <w:tc>
          <w:tcPr>
            <w:tcW w:w="3060" w:type="dxa"/>
            <w:vAlign w:val="bottom"/>
            <w:gridSpan w:val="2"/>
          </w:tcPr>
          <w:p>
            <w:pPr>
              <w:ind w:left="2180"/>
              <w:spacing w:after="0"/>
              <w:rPr>
                <w:sz w:val="20"/>
                <w:szCs w:val="20"/>
                <w:color w:val="auto"/>
              </w:rPr>
            </w:pPr>
            <w:r>
              <w:rPr>
                <w:rFonts w:ascii="Arial" w:cs="Arial" w:eastAsia="Arial" w:hAnsi="Arial"/>
                <w:sz w:val="22"/>
                <w:szCs w:val="22"/>
                <w:color w:val="auto"/>
              </w:rPr>
              <w:t>Date: [</w:t>
            </w:r>
          </w:p>
        </w:tc>
        <w:tc>
          <w:tcPr>
            <w:tcW w:w="3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490"/>
        </w:trPr>
        <w:tc>
          <w:tcPr>
            <w:tcW w:w="840" w:type="dxa"/>
            <w:vAlign w:val="bottom"/>
          </w:tcPr>
          <w:p>
            <w:pPr>
              <w:spacing w:after="0"/>
              <w:rPr>
                <w:sz w:val="20"/>
                <w:szCs w:val="20"/>
                <w:color w:val="auto"/>
              </w:rPr>
            </w:pPr>
            <w:r>
              <w:rPr>
                <w:rFonts w:ascii="Arial" w:cs="Arial" w:eastAsia="Arial" w:hAnsi="Arial"/>
                <w:sz w:val="22"/>
                <w:szCs w:val="22"/>
                <w:color w:val="auto"/>
              </w:rPr>
              <w:t>FROM:</w:t>
            </w:r>
          </w:p>
        </w:tc>
        <w:tc>
          <w:tcPr>
            <w:tcW w:w="4740" w:type="dxa"/>
            <w:vAlign w:val="bottom"/>
          </w:tcPr>
          <w:p>
            <w:pPr>
              <w:ind w:left="180"/>
              <w:spacing w:after="0"/>
              <w:rPr>
                <w:sz w:val="20"/>
                <w:szCs w:val="20"/>
                <w:color w:val="auto"/>
              </w:rPr>
            </w:pPr>
            <w:r>
              <w:rPr>
                <w:rFonts w:ascii="Arial" w:cs="Arial" w:eastAsia="Arial" w:hAnsi="Arial"/>
                <w:sz w:val="22"/>
                <w:szCs w:val="22"/>
                <w:color w:val="auto"/>
              </w:rPr>
              <w:t>IRIDEX CORPORATION</w:t>
            </w:r>
          </w:p>
        </w:tc>
        <w:tc>
          <w:tcPr>
            <w:tcW w:w="27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188"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6"/>
          <w:szCs w:val="16"/>
          <w:color w:val="auto"/>
        </w:rPr>
        <w:t>Under the terms and conditions of the Loan and Security Agreement between Borrower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 are the required documents evidencing</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such compliance, setting forth calculations prepared in accordance with GAAP consistently applied from one period to the next except (i) as explained in an accompanying letter or footnotes, and (ii) with respect to unaudited financial statements, for the absence of footnotes, subject to year-end audit adjustments. Capitalized terms used but not otherwise defined herein shall have the meanings given them in the Agreement.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5160" w:type="dxa"/>
            <w:vAlign w:val="bottom"/>
            <w:tcBorders>
              <w:top w:val="single" w:sz="8" w:color="auto"/>
              <w:left w:val="single" w:sz="8" w:color="auto"/>
              <w:right w:val="single" w:sz="8" w:color="auto"/>
            </w:tcBorders>
            <w:gridSpan w:val="2"/>
          </w:tcPr>
          <w:p>
            <w:pPr>
              <w:ind w:left="20"/>
              <w:spacing w:after="0" w:line="189" w:lineRule="exact"/>
              <w:rPr>
                <w:sz w:val="20"/>
                <w:szCs w:val="20"/>
                <w:color w:val="auto"/>
              </w:rPr>
            </w:pPr>
            <w:r>
              <w:rPr>
                <w:rFonts w:ascii="Arial" w:cs="Arial" w:eastAsia="Arial" w:hAnsi="Arial"/>
                <w:sz w:val="18"/>
                <w:szCs w:val="18"/>
                <w:b w:val="1"/>
                <w:bCs w:val="1"/>
                <w:color w:val="auto"/>
              </w:rPr>
              <w:t>Reporting Covenants</w:t>
            </w:r>
          </w:p>
        </w:tc>
        <w:tc>
          <w:tcPr>
            <w:tcW w:w="1800" w:type="dxa"/>
            <w:vAlign w:val="bottom"/>
            <w:tcBorders>
              <w:top w:val="single" w:sz="8" w:color="auto"/>
            </w:tcBorders>
          </w:tcPr>
          <w:p>
            <w:pPr>
              <w:spacing w:after="0"/>
              <w:rPr>
                <w:sz w:val="16"/>
                <w:szCs w:val="16"/>
                <w:color w:val="auto"/>
              </w:rPr>
            </w:pPr>
          </w:p>
        </w:tc>
        <w:tc>
          <w:tcPr>
            <w:tcW w:w="28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Required</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gridSpan w:val="3"/>
          </w:tcPr>
          <w:p>
            <w:pPr>
              <w:jc w:val="center"/>
              <w:ind w:right="520"/>
              <w:spacing w:after="0" w:line="189" w:lineRule="exact"/>
              <w:rPr>
                <w:sz w:val="20"/>
                <w:szCs w:val="20"/>
                <w:color w:val="auto"/>
              </w:rPr>
            </w:pPr>
            <w:r>
              <w:rPr>
                <w:rFonts w:ascii="Arial" w:cs="Arial" w:eastAsia="Arial" w:hAnsi="Arial"/>
                <w:sz w:val="18"/>
                <w:szCs w:val="18"/>
                <w:b w:val="1"/>
                <w:bCs w:val="1"/>
                <w:color w:val="auto"/>
                <w:w w:val="88"/>
              </w:rPr>
              <w:t>Complies</w:t>
            </w:r>
          </w:p>
        </w:tc>
      </w:tr>
      <w:tr>
        <w:trPr>
          <w:trHeight w:val="21"/>
        </w:trPr>
        <w:tc>
          <w:tcPr>
            <w:tcW w:w="164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640" w:type="dxa"/>
            <w:vAlign w:val="bottom"/>
            <w:tcBorders>
              <w:left w:val="single" w:sz="8" w:color="auto"/>
              <w:bottom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r>
      <w:tr>
        <w:trPr>
          <w:trHeight w:val="195"/>
        </w:trPr>
        <w:tc>
          <w:tcPr>
            <w:tcW w:w="51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Monthly financial statements with</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w:t>
            </w:r>
          </w:p>
        </w:tc>
        <w:tc>
          <w:tcPr>
            <w:tcW w:w="160" w:type="dxa"/>
            <w:vAlign w:val="bottom"/>
          </w:tcPr>
          <w:p>
            <w:pPr>
              <w:spacing w:after="0"/>
              <w:rPr>
                <w:sz w:val="16"/>
                <w:szCs w:val="16"/>
                <w:color w:val="auto"/>
              </w:rPr>
            </w:pPr>
          </w:p>
        </w:tc>
        <w:tc>
          <w:tcPr>
            <w:tcW w:w="5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Yes</w:t>
            </w:r>
          </w:p>
        </w:tc>
        <w:tc>
          <w:tcPr>
            <w:tcW w:w="7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5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Compliance Statement</w:t>
            </w:r>
          </w:p>
        </w:tc>
        <w:tc>
          <w:tcPr>
            <w:tcW w:w="1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r>
      <w:tr>
        <w:trPr>
          <w:trHeight w:val="195"/>
        </w:trPr>
        <w:tc>
          <w:tcPr>
            <w:tcW w:w="51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4"/>
              </w:rPr>
              <w:t>Annual financial statement (CPA Audited if required by Board) + CC</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FYE within 180 days if audited; FYE within 60 days if</w:t>
            </w:r>
          </w:p>
        </w:tc>
        <w:tc>
          <w:tcPr>
            <w:tcW w:w="160" w:type="dxa"/>
            <w:vAlign w:val="bottom"/>
          </w:tcPr>
          <w:p>
            <w:pPr>
              <w:spacing w:after="0"/>
              <w:rPr>
                <w:sz w:val="16"/>
                <w:szCs w:val="16"/>
                <w:color w:val="auto"/>
              </w:rPr>
            </w:pPr>
          </w:p>
        </w:tc>
        <w:tc>
          <w:tcPr>
            <w:tcW w:w="5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Yes</w:t>
            </w:r>
          </w:p>
        </w:tc>
        <w:tc>
          <w:tcPr>
            <w:tcW w:w="7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640" w:type="dxa"/>
            <w:vAlign w:val="bottom"/>
            <w:tcBorders>
              <w:left w:val="single" w:sz="8" w:color="auto"/>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company prepared</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r>
      <w:tr>
        <w:trPr>
          <w:trHeight w:val="210"/>
        </w:trPr>
        <w:tc>
          <w:tcPr>
            <w:tcW w:w="5160" w:type="dxa"/>
            <w:vAlign w:val="bottom"/>
            <w:tcBorders>
              <w:left w:val="single" w:sz="8" w:color="auto"/>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Within 5 days after filing with SEC</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Yes</w:t>
            </w:r>
          </w:p>
        </w:tc>
        <w:tc>
          <w:tcPr>
            <w:tcW w:w="7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09"/>
        </w:trPr>
        <w:tc>
          <w:tcPr>
            <w:tcW w:w="5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Detailed general ledger report</w:t>
            </w: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 and with each Advance</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Yes</w:t>
            </w:r>
          </w:p>
        </w:tc>
        <w:tc>
          <w:tcPr>
            <w:tcW w:w="7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5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A/R &amp; A/P Agings</w:t>
            </w: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Yes</w:t>
            </w:r>
          </w:p>
        </w:tc>
        <w:tc>
          <w:tcPr>
            <w:tcW w:w="7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195"/>
        </w:trPr>
        <w:tc>
          <w:tcPr>
            <w:tcW w:w="51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Borrowing Base Report</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 if Streamline Period in effect or no</w:t>
            </w:r>
          </w:p>
        </w:tc>
        <w:tc>
          <w:tcPr>
            <w:tcW w:w="160" w:type="dxa"/>
            <w:vAlign w:val="bottom"/>
          </w:tcPr>
          <w:p>
            <w:pPr>
              <w:spacing w:after="0"/>
              <w:rPr>
                <w:sz w:val="16"/>
                <w:szCs w:val="16"/>
                <w:color w:val="auto"/>
              </w:rPr>
            </w:pPr>
          </w:p>
        </w:tc>
        <w:tc>
          <w:tcPr>
            <w:tcW w:w="5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Yes</w:t>
            </w:r>
          </w:p>
        </w:tc>
        <w:tc>
          <w:tcPr>
            <w:tcW w:w="7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16"/>
        </w:trPr>
        <w:tc>
          <w:tcPr>
            <w:tcW w:w="1640" w:type="dxa"/>
            <w:vAlign w:val="bottom"/>
            <w:tcBorders>
              <w:lef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Obligations under the Revolving Line are outstanding; weekly if</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Streamline Period is not in effect or Obligations under the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r>
      <w:tr>
        <w:trPr>
          <w:trHeight w:val="230"/>
        </w:trPr>
        <w:tc>
          <w:tcPr>
            <w:tcW w:w="1640" w:type="dxa"/>
            <w:vAlign w:val="bottom"/>
            <w:tcBorders>
              <w:left w:val="single" w:sz="8" w:color="auto"/>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Revolving Line are outstanding; and with each Advance</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r>
      <w:tr>
        <w:trPr>
          <w:trHeight w:val="195"/>
        </w:trPr>
        <w:tc>
          <w:tcPr>
            <w:tcW w:w="51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Board Projections</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Within the later of 30 days of Board approval or FYE, and as</w:t>
            </w:r>
          </w:p>
        </w:tc>
        <w:tc>
          <w:tcPr>
            <w:tcW w:w="160" w:type="dxa"/>
            <w:vAlign w:val="bottom"/>
          </w:tcPr>
          <w:p>
            <w:pPr>
              <w:spacing w:after="0"/>
              <w:rPr>
                <w:sz w:val="16"/>
                <w:szCs w:val="16"/>
                <w:color w:val="auto"/>
              </w:rPr>
            </w:pPr>
          </w:p>
        </w:tc>
        <w:tc>
          <w:tcPr>
            <w:tcW w:w="5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Yes</w:t>
            </w:r>
          </w:p>
        </w:tc>
        <w:tc>
          <w:tcPr>
            <w:tcW w:w="7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640" w:type="dxa"/>
            <w:vAlign w:val="bottom"/>
            <w:tcBorders>
              <w:left w:val="single" w:sz="8" w:color="auto"/>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updated</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r>
      <w:tr>
        <w:trPr>
          <w:trHeight w:val="209"/>
        </w:trPr>
        <w:tc>
          <w:tcPr>
            <w:tcW w:w="1640" w:type="dxa"/>
            <w:vAlign w:val="bottom"/>
            <w:tcBorders>
              <w:left w:val="single" w:sz="8" w:color="auto"/>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r>
    </w:tbl>
    <w:p>
      <w:pPr>
        <w:spacing w:after="0" w:line="196"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72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tcPr>
          <w:p>
            <w:pPr>
              <w:spacing w:after="0"/>
              <w:rPr>
                <w:sz w:val="16"/>
                <w:szCs w:val="16"/>
                <w:color w:val="auto"/>
              </w:rPr>
            </w:pPr>
          </w:p>
        </w:tc>
        <w:tc>
          <w:tcPr>
            <w:tcW w:w="56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Streamline Period</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gridSpan w:val="2"/>
          </w:tcPr>
          <w:p>
            <w:pPr>
              <w:jc w:val="center"/>
              <w:ind w:right="580"/>
              <w:spacing w:after="0" w:line="189" w:lineRule="exact"/>
              <w:rPr>
                <w:sz w:val="20"/>
                <w:szCs w:val="20"/>
                <w:color w:val="auto"/>
              </w:rPr>
            </w:pPr>
            <w:r>
              <w:rPr>
                <w:rFonts w:ascii="Arial" w:cs="Arial" w:eastAsia="Arial" w:hAnsi="Arial"/>
                <w:sz w:val="18"/>
                <w:szCs w:val="18"/>
                <w:b w:val="1"/>
                <w:bCs w:val="1"/>
                <w:color w:val="auto"/>
                <w:w w:val="89"/>
              </w:rPr>
              <w:t>Applies</w:t>
            </w:r>
          </w:p>
        </w:tc>
      </w:tr>
      <w:tr>
        <w:trPr>
          <w:trHeight w:val="20"/>
        </w:trPr>
        <w:tc>
          <w:tcPr>
            <w:tcW w:w="72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840" w:type="dxa"/>
            <w:vAlign w:val="bottom"/>
            <w:tcBorders>
              <w:left w:val="single" w:sz="8" w:color="auto"/>
              <w:right w:val="single" w:sz="8" w:color="auto"/>
            </w:tcBorders>
            <w:gridSpan w:val="5"/>
          </w:tcPr>
          <w:p>
            <w:pPr>
              <w:ind w:left="20"/>
              <w:spacing w:after="0" w:line="169" w:lineRule="exact"/>
              <w:rPr>
                <w:sz w:val="20"/>
                <w:szCs w:val="20"/>
                <w:color w:val="auto"/>
              </w:rPr>
            </w:pPr>
            <w:r>
              <w:rPr>
                <w:rFonts w:ascii="Arial" w:cs="Arial" w:eastAsia="Arial" w:hAnsi="Arial"/>
                <w:sz w:val="18"/>
                <w:szCs w:val="18"/>
                <w:color w:val="auto"/>
              </w:rPr>
              <w:t>Net Cash &gt; $3,500,000 for prior 2 calendar months</w:t>
            </w:r>
          </w:p>
        </w:tc>
        <w:tc>
          <w:tcPr>
            <w:tcW w:w="24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580"/>
              <w:spacing w:after="0" w:line="169" w:lineRule="exact"/>
              <w:rPr>
                <w:sz w:val="20"/>
                <w:szCs w:val="20"/>
                <w:color w:val="auto"/>
              </w:rPr>
            </w:pPr>
            <w:r>
              <w:rPr>
                <w:rFonts w:ascii="Arial" w:cs="Arial" w:eastAsia="Arial" w:hAnsi="Arial"/>
                <w:sz w:val="18"/>
                <w:szCs w:val="18"/>
                <w:color w:val="auto"/>
                <w:w w:val="83"/>
              </w:rPr>
              <w:t>Yes</w:t>
            </w:r>
          </w:p>
        </w:tc>
      </w:tr>
      <w:tr>
        <w:trPr>
          <w:trHeight w:val="21"/>
        </w:trPr>
        <w:tc>
          <w:tcPr>
            <w:tcW w:w="72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984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Net Cash &lt; $3,500,000 for prior 2 calendar months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5"/>
              </w:rPr>
              <w:t>No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87" w:name="page88"/>
    <w:bookmarkEnd w:id="87"/>
    <w:p>
      <w:pPr>
        <w:ind w:left="5120"/>
        <w:spacing w:after="0"/>
        <w:rPr>
          <w:sz w:val="20"/>
          <w:szCs w:val="20"/>
          <w:color w:val="auto"/>
        </w:rPr>
      </w:pPr>
      <w:r>
        <w:rPr>
          <w:rFonts w:ascii="Arial" w:cs="Arial" w:eastAsia="Arial" w:hAnsi="Arial"/>
          <w:sz w:val="22"/>
          <w:szCs w:val="22"/>
          <w:b w:val="1"/>
          <w:bCs w:val="1"/>
          <w:u w:val="single" w:color="auto"/>
          <w:color w:val="auto"/>
        </w:rPr>
        <w:t>Schedule B</w:t>
      </w:r>
    </w:p>
    <w:p>
      <w:pPr>
        <w:spacing w:after="0" w:line="206"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ind w:left="2340"/>
        <w:spacing w:after="0"/>
        <w:rPr>
          <w:sz w:val="20"/>
          <w:szCs w:val="20"/>
          <w:color w:val="auto"/>
        </w:rPr>
      </w:pPr>
      <w:r>
        <w:rPr>
          <w:rFonts w:ascii="Arial" w:cs="Arial" w:eastAsia="Arial" w:hAnsi="Arial"/>
          <w:sz w:val="22"/>
          <w:szCs w:val="22"/>
          <w:b w:val="1"/>
          <w:bCs w:val="1"/>
          <w:u w:val="single" w:color="auto"/>
          <w:color w:val="auto"/>
        </w:rPr>
        <w:t>BENEFICIAL OWNERSHIP INFORMATION DISCLOSURE FORM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 IRIDEX CORPORATION, a Delaware corporation</w:t>
      </w:r>
    </w:p>
    <w:p>
      <w:pPr>
        <w:spacing w:after="0" w:line="212" w:lineRule="exact"/>
        <w:rPr>
          <w:sz w:val="20"/>
          <w:szCs w:val="20"/>
          <w:color w:val="auto"/>
        </w:rPr>
      </w:pPr>
    </w:p>
    <w:p>
      <w:pPr>
        <w:ind w:left="1680" w:hanging="808"/>
        <w:spacing w:after="0"/>
        <w:tabs>
          <w:tab w:leader="none" w:pos="16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 the Company any of the following:</w:t>
      </w:r>
    </w:p>
    <w:p>
      <w:pPr>
        <w:spacing w:after="0" w:line="206" w:lineRule="exact"/>
        <w:rPr>
          <w:rFonts w:ascii="Arial" w:cs="Arial" w:eastAsia="Arial" w:hAnsi="Arial"/>
          <w:sz w:val="22"/>
          <w:szCs w:val="22"/>
          <w:color w:val="auto"/>
        </w:rPr>
      </w:pPr>
    </w:p>
    <w:p>
      <w:pPr>
        <w:jc w:val="both"/>
        <w:ind w:left="3460" w:hanging="860"/>
        <w:spacing w:after="0" w:line="257" w:lineRule="auto"/>
        <w:tabs>
          <w:tab w:leader="none" w:pos="34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a public company or an issuer of securities that are registered with the Securities and Exchange Commission under Section 12 of the Securities Exchange Act of 1934 or that is required to file reports under Section 15(d) of that Act;</w:t>
      </w:r>
    </w:p>
    <w:p>
      <w:pPr>
        <w:spacing w:after="0" w:line="169" w:lineRule="exact"/>
        <w:rPr>
          <w:rFonts w:ascii="Arial" w:cs="Arial" w:eastAsia="Arial" w:hAnsi="Arial"/>
          <w:sz w:val="21"/>
          <w:szCs w:val="21"/>
          <w:color w:val="auto"/>
        </w:rPr>
      </w:pPr>
    </w:p>
    <w:p>
      <w:pPr>
        <w:ind w:left="3460" w:hanging="860"/>
        <w:spacing w:after="0" w:line="250" w:lineRule="auto"/>
        <w:tabs>
          <w:tab w:leader="none" w:pos="34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 investment company registered with the Securities and Exchange Commission under the Investment Company Act of 1940;</w:t>
      </w:r>
    </w:p>
    <w:p>
      <w:pPr>
        <w:spacing w:after="0" w:line="174" w:lineRule="exact"/>
        <w:rPr>
          <w:rFonts w:ascii="Arial" w:cs="Arial" w:eastAsia="Arial" w:hAnsi="Arial"/>
          <w:sz w:val="22"/>
          <w:szCs w:val="22"/>
          <w:color w:val="auto"/>
        </w:rPr>
      </w:pPr>
    </w:p>
    <w:p>
      <w:pPr>
        <w:ind w:left="3460" w:hanging="860"/>
        <w:spacing w:after="0" w:line="250" w:lineRule="auto"/>
        <w:tabs>
          <w:tab w:leader="none" w:pos="34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 investment adviser registered with the Securities and Exchange Commission under the Investment Advisers Act of 1940; or</w:t>
      </w:r>
    </w:p>
    <w:p>
      <w:pPr>
        <w:spacing w:after="0" w:line="174" w:lineRule="exact"/>
        <w:rPr>
          <w:rFonts w:ascii="Arial" w:cs="Arial" w:eastAsia="Arial" w:hAnsi="Arial"/>
          <w:sz w:val="22"/>
          <w:szCs w:val="22"/>
          <w:color w:val="auto"/>
        </w:rPr>
      </w:pPr>
    </w:p>
    <w:p>
      <w:pPr>
        <w:ind w:left="3460" w:hanging="860"/>
        <w:spacing w:after="0" w:line="250" w:lineRule="auto"/>
        <w:tabs>
          <w:tab w:leader="none" w:pos="34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 pooled investment vehicle operated or advised by a regulated financial institution (including an SEC-registered investment adviser)?</w:t>
      </w:r>
    </w:p>
    <w:p>
      <w:pPr>
        <w:spacing w:after="0" w:line="148" w:lineRule="exact"/>
        <w:rPr>
          <w:sz w:val="20"/>
          <w:szCs w:val="20"/>
          <w:color w:val="auto"/>
        </w:rPr>
      </w:pPr>
    </w:p>
    <w:p>
      <w:pPr>
        <w:ind w:left="4860"/>
        <w:spacing w:after="0" w:line="253" w:lineRule="exact"/>
        <w:tabs>
          <w:tab w:leader="none" w:pos="5860" w:val="left"/>
          <w:tab w:leader="none" w:pos="6800" w:val="left"/>
        </w:tabs>
        <w:rPr>
          <w:sz w:val="20"/>
          <w:szCs w:val="20"/>
          <w:color w:val="auto"/>
        </w:rPr>
      </w:pPr>
      <w:r>
        <w:rPr>
          <w:rFonts w:ascii="Arial" w:cs="Arial" w:eastAsia="Arial" w:hAnsi="Arial"/>
          <w:sz w:val="22"/>
          <w:szCs w:val="22"/>
          <w:color w:val="auto"/>
        </w:rPr>
        <w:t>Yes</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No</w:t>
      </w:r>
      <w:r>
        <w:rPr>
          <w:rFonts w:ascii="MS PGothic" w:cs="MS PGothic" w:eastAsia="MS PGothic" w:hAnsi="MS PGothic"/>
          <w:sz w:val="19"/>
          <w:szCs w:val="19"/>
          <w:color w:val="auto"/>
        </w:rPr>
        <w:t>☐</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22"/>
          <w:szCs w:val="22"/>
          <w:i w:val="1"/>
          <w:iCs w:val="1"/>
          <w:color w:val="auto"/>
        </w:rPr>
        <w:t>If yes, skip to signature. If no, continue to 2:</w:t>
      </w:r>
    </w:p>
    <w:p>
      <w:pPr>
        <w:spacing w:after="0" w:line="206" w:lineRule="exact"/>
        <w:rPr>
          <w:sz w:val="20"/>
          <w:szCs w:val="20"/>
          <w:color w:val="auto"/>
        </w:rPr>
      </w:pPr>
    </w:p>
    <w:p>
      <w:pPr>
        <w:ind w:left="2320" w:hanging="1448"/>
        <w:spacing w:after="0"/>
        <w:tabs>
          <w:tab w:leader="none" w:pos="23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Is the Company a pooled investment vehicle that is </w:t>
      </w:r>
      <w:r>
        <w:rPr>
          <w:rFonts w:ascii="Arial" w:cs="Arial" w:eastAsia="Arial" w:hAnsi="Arial"/>
          <w:sz w:val="19"/>
          <w:szCs w:val="19"/>
          <w:b w:val="1"/>
          <w:bCs w:val="1"/>
          <w:i w:val="1"/>
          <w:iCs w:val="1"/>
          <w:u w:val="single" w:color="auto"/>
          <w:color w:val="auto"/>
        </w:rPr>
        <w:t>not</w:t>
      </w:r>
      <w:r>
        <w:rPr>
          <w:rFonts w:ascii="Arial" w:cs="Arial" w:eastAsia="Arial" w:hAnsi="Arial"/>
          <w:sz w:val="19"/>
          <w:szCs w:val="19"/>
          <w:color w:val="auto"/>
        </w:rPr>
        <w:t xml:space="preserve"> operated or advised by a regulated financial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institution?</w:t>
      </w:r>
    </w:p>
    <w:p>
      <w:pPr>
        <w:spacing w:after="0" w:line="162" w:lineRule="exact"/>
        <w:rPr>
          <w:sz w:val="20"/>
          <w:szCs w:val="20"/>
          <w:color w:val="auto"/>
        </w:rPr>
      </w:pPr>
    </w:p>
    <w:p>
      <w:pPr>
        <w:ind w:left="4980"/>
        <w:spacing w:after="0" w:line="253" w:lineRule="exact"/>
        <w:tabs>
          <w:tab w:leader="none" w:pos="5980" w:val="left"/>
          <w:tab w:leader="none" w:pos="6920" w:val="left"/>
        </w:tabs>
        <w:rPr>
          <w:sz w:val="20"/>
          <w:szCs w:val="20"/>
          <w:color w:val="auto"/>
        </w:rPr>
      </w:pPr>
      <w:r>
        <w:rPr>
          <w:rFonts w:ascii="Arial" w:cs="Arial" w:eastAsia="Arial" w:hAnsi="Arial"/>
          <w:sz w:val="22"/>
          <w:szCs w:val="22"/>
          <w:color w:val="auto"/>
        </w:rPr>
        <w:t>Yes</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No</w:t>
      </w:r>
      <w:r>
        <w:rPr>
          <w:rFonts w:ascii="MS PGothic" w:cs="MS PGothic" w:eastAsia="MS PGothic" w:hAnsi="MS PGothic"/>
          <w:sz w:val="19"/>
          <w:szCs w:val="19"/>
          <w:color w:val="auto"/>
        </w:rPr>
        <w:t>☐</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22"/>
          <w:szCs w:val="22"/>
          <w:i w:val="1"/>
          <w:iCs w:val="1"/>
          <w:color w:val="auto"/>
        </w:rPr>
        <w:t>If yes, skip to 4 below. If no, continue to 3:</w:t>
      </w:r>
    </w:p>
    <w:p>
      <w:pPr>
        <w:spacing w:after="0" w:line="200" w:lineRule="exact"/>
        <w:rPr>
          <w:sz w:val="20"/>
          <w:szCs w:val="20"/>
          <w:color w:val="auto"/>
        </w:rPr>
      </w:pPr>
    </w:p>
    <w:p>
      <w:pPr>
        <w:jc w:val="both"/>
        <w:ind w:firstLine="872"/>
        <w:spacing w:after="0" w:line="243" w:lineRule="auto"/>
        <w:tabs>
          <w:tab w:leader="none" w:pos="2322"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Does any </w:t>
      </w:r>
      <w:r>
        <w:rPr>
          <w:rFonts w:ascii="Arial" w:cs="Arial" w:eastAsia="Arial" w:hAnsi="Arial"/>
          <w:sz w:val="22"/>
          <w:szCs w:val="22"/>
          <w:b w:val="1"/>
          <w:bCs w:val="1"/>
          <w:u w:val="single" w:color="auto"/>
          <w:color w:val="auto"/>
        </w:rPr>
        <w:t>individual</w:t>
      </w:r>
      <w:r>
        <w:rPr>
          <w:rFonts w:ascii="Arial" w:cs="Arial" w:eastAsia="Arial" w:hAnsi="Arial"/>
          <w:sz w:val="22"/>
          <w:szCs w:val="22"/>
          <w:color w:val="auto"/>
        </w:rPr>
        <w:t xml:space="preserve">, </w:t>
      </w:r>
      <w:r>
        <w:rPr>
          <w:rFonts w:ascii="Arial" w:cs="Arial" w:eastAsia="Arial" w:hAnsi="Arial"/>
          <w:sz w:val="22"/>
          <w:szCs w:val="22"/>
          <w:i w:val="1"/>
          <w:iCs w:val="1"/>
          <w:color w:val="auto"/>
        </w:rPr>
        <w:t>directly or indirectly</w:t>
      </w:r>
      <w:r>
        <w:rPr>
          <w:rFonts w:ascii="Arial" w:cs="Arial" w:eastAsia="Arial" w:hAnsi="Arial"/>
          <w:sz w:val="22"/>
          <w:szCs w:val="22"/>
          <w:color w:val="auto"/>
        </w:rPr>
        <w:t xml:space="preserve"> (for example, if applicable, through such individual’s equity interests in the Company’s parent entity), through any contract, arrangement, understanding, relationship or otherwise, </w:t>
      </w:r>
      <w:r>
        <w:rPr>
          <w:rFonts w:ascii="Arial" w:cs="Arial" w:eastAsia="Arial" w:hAnsi="Arial"/>
          <w:sz w:val="22"/>
          <w:szCs w:val="22"/>
          <w:b w:val="1"/>
          <w:bCs w:val="1"/>
          <w:u w:val="single" w:color="auto"/>
          <w:color w:val="auto"/>
        </w:rPr>
        <w:t>own 25%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equity interests of the Company:</w:t>
      </w:r>
    </w:p>
    <w:p>
      <w:pPr>
        <w:spacing w:after="0" w:line="156" w:lineRule="exact"/>
        <w:rPr>
          <w:sz w:val="20"/>
          <w:szCs w:val="20"/>
          <w:color w:val="auto"/>
        </w:rPr>
      </w:pPr>
    </w:p>
    <w:p>
      <w:pPr>
        <w:ind w:left="3940"/>
        <w:spacing w:after="0" w:line="253" w:lineRule="exact"/>
        <w:tabs>
          <w:tab w:leader="none" w:pos="4940" w:val="left"/>
          <w:tab w:leader="none" w:pos="5900" w:val="left"/>
        </w:tabs>
        <w:rPr>
          <w:sz w:val="20"/>
          <w:szCs w:val="20"/>
          <w:color w:val="auto"/>
        </w:rPr>
      </w:pPr>
      <w:r>
        <w:rPr>
          <w:rFonts w:ascii="Arial" w:cs="Arial" w:eastAsia="Arial" w:hAnsi="Arial"/>
          <w:sz w:val="22"/>
          <w:szCs w:val="22"/>
          <w:color w:val="auto"/>
        </w:rPr>
        <w:t>Yes</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No</w:t>
      </w:r>
      <w:r>
        <w:rPr>
          <w:rFonts w:ascii="MS PGothic" w:cs="MS PGothic" w:eastAsia="MS PGothic" w:hAnsi="MS PGothic"/>
          <w:sz w:val="19"/>
          <w:szCs w:val="19"/>
          <w:color w:val="auto"/>
        </w:rPr>
        <w:t>☐</w:t>
      </w:r>
    </w:p>
    <w:p>
      <w:pPr>
        <w:spacing w:after="0" w:line="246" w:lineRule="exact"/>
        <w:rPr>
          <w:sz w:val="20"/>
          <w:szCs w:val="20"/>
          <w:color w:val="auto"/>
        </w:rPr>
      </w:pPr>
    </w:p>
    <w:p>
      <w:pPr>
        <w:ind w:left="1740"/>
        <w:spacing w:after="0"/>
        <w:rPr>
          <w:sz w:val="20"/>
          <w:szCs w:val="20"/>
          <w:color w:val="auto"/>
        </w:rPr>
      </w:pPr>
      <w:r>
        <w:rPr>
          <w:rFonts w:ascii="Arial" w:cs="Arial" w:eastAsia="Arial" w:hAnsi="Arial"/>
          <w:sz w:val="22"/>
          <w:szCs w:val="22"/>
          <w:i w:val="1"/>
          <w:iCs w:val="1"/>
          <w:color w:val="auto"/>
        </w:rPr>
        <w:t>If yes, complete the following information. If no, continue to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35"/>
        </w:trPr>
        <w:tc>
          <w:tcPr>
            <w:tcW w:w="480" w:type="dxa"/>
            <w:vAlign w:val="bottom"/>
            <w:tcBorders>
              <w:top w:val="single" w:sz="8" w:color="auto"/>
              <w:left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ind w:left="360"/>
              <w:spacing w:after="0" w:line="234" w:lineRule="exact"/>
              <w:rPr>
                <w:sz w:val="20"/>
                <w:szCs w:val="20"/>
                <w:color w:val="auto"/>
              </w:rPr>
            </w:pPr>
            <w:r>
              <w:rPr>
                <w:rFonts w:ascii="Arial" w:cs="Arial" w:eastAsia="Arial" w:hAnsi="Arial"/>
                <w:sz w:val="22"/>
                <w:szCs w:val="22"/>
                <w:color w:val="auto"/>
              </w:rPr>
              <w:t>Name</w:t>
            </w:r>
          </w:p>
        </w:tc>
        <w:tc>
          <w:tcPr>
            <w:tcW w:w="124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2"/>
              </w:rPr>
              <w:t>Date of</w:t>
            </w:r>
          </w:p>
        </w:tc>
        <w:tc>
          <w:tcPr>
            <w:tcW w:w="156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0"/>
              </w:rPr>
              <w:t>Residential</w:t>
            </w:r>
          </w:p>
        </w:tc>
        <w:tc>
          <w:tcPr>
            <w:tcW w:w="224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87"/>
              </w:rPr>
              <w:t>For US Persons,</w:t>
            </w:r>
          </w:p>
        </w:tc>
        <w:tc>
          <w:tcPr>
            <w:tcW w:w="224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0"/>
              </w:rPr>
              <w:t>For Non-US</w:t>
            </w:r>
          </w:p>
        </w:tc>
        <w:tc>
          <w:tcPr>
            <w:tcW w:w="224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86"/>
              </w:rPr>
              <w:t>Percentage of</w:t>
            </w: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8"/>
              </w:rPr>
              <w:t>birth</w:t>
            </w: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4"/>
              </w:rPr>
              <w:t>address</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Social Security</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5"/>
              </w:rPr>
              <w:t>Persons: Type</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ownership</w:t>
            </w: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Number:(non-US</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9"/>
              </w:rPr>
              <w:t>of ID, ID</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6"/>
              </w:rPr>
              <w:t>(if indirect</w:t>
            </w: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persons should</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number,country</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ownership, explain</w:t>
            </w: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provide SSN</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of issuance,</w:t>
            </w:r>
          </w:p>
        </w:tc>
        <w:tc>
          <w:tcPr>
            <w:tcW w:w="22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structure)</w:t>
            </w:r>
          </w:p>
        </w:tc>
      </w:tr>
      <w:tr>
        <w:trPr>
          <w:trHeight w:val="264"/>
        </w:trPr>
        <w:tc>
          <w:tcPr>
            <w:tcW w:w="480" w:type="dxa"/>
            <w:vAlign w:val="bottom"/>
            <w:tcBorders>
              <w:left w:val="single" w:sz="8" w:color="auto"/>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if available)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expiration date</w:t>
            </w:r>
          </w:p>
        </w:tc>
        <w:tc>
          <w:tcPr>
            <w:tcW w:w="2240" w:type="dxa"/>
            <w:vAlign w:val="bottom"/>
            <w:tcBorders>
              <w:bottom w:val="single" w:sz="8" w:color="auto"/>
              <w:right w:val="single" w:sz="8" w:color="auto"/>
            </w:tcBorders>
          </w:tcPr>
          <w:p>
            <w:pPr>
              <w:spacing w:after="0"/>
              <w:rPr>
                <w:sz w:val="22"/>
                <w:szCs w:val="22"/>
                <w:color w:val="auto"/>
              </w:rPr>
            </w:pPr>
          </w:p>
        </w:tc>
      </w:tr>
      <w:tr>
        <w:trPr>
          <w:trHeight w:val="268"/>
        </w:trPr>
        <w:tc>
          <w:tcPr>
            <w:tcW w:w="480" w:type="dxa"/>
            <w:vAlign w:val="bottom"/>
            <w:tcBorders>
              <w:left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w w:val="81"/>
              </w:rPr>
              <w:t>1</w:t>
            </w:r>
          </w:p>
        </w:tc>
        <w:tc>
          <w:tcPr>
            <w:tcW w:w="124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68"/>
        </w:trPr>
        <w:tc>
          <w:tcPr>
            <w:tcW w:w="480" w:type="dxa"/>
            <w:vAlign w:val="bottom"/>
            <w:tcBorders>
              <w:left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w w:val="81"/>
              </w:rPr>
              <w:t>2</w:t>
            </w:r>
          </w:p>
        </w:tc>
        <w:tc>
          <w:tcPr>
            <w:tcW w:w="124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68"/>
        </w:trPr>
        <w:tc>
          <w:tcPr>
            <w:tcW w:w="480" w:type="dxa"/>
            <w:vAlign w:val="bottom"/>
            <w:tcBorders>
              <w:left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w w:val="81"/>
              </w:rPr>
              <w:t>3</w:t>
            </w:r>
          </w:p>
        </w:tc>
        <w:tc>
          <w:tcPr>
            <w:tcW w:w="124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68"/>
        </w:trPr>
        <w:tc>
          <w:tcPr>
            <w:tcW w:w="480" w:type="dxa"/>
            <w:vAlign w:val="bottom"/>
            <w:tcBorders>
              <w:left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w w:val="81"/>
              </w:rPr>
              <w:t>4</w:t>
            </w:r>
          </w:p>
        </w:tc>
        <w:tc>
          <w:tcPr>
            <w:tcW w:w="124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jc w:val="both"/>
        <w:ind w:right="20" w:firstLine="872"/>
        <w:spacing w:after="0" w:line="238" w:lineRule="auto"/>
        <w:tabs>
          <w:tab w:leader="none" w:pos="2322" w:val="left"/>
        </w:tabs>
        <w:numPr>
          <w:ilvl w:val="0"/>
          <w:numId w:val="71"/>
        </w:numPr>
        <w:rPr>
          <w:rFonts w:ascii="Arial" w:cs="Arial" w:eastAsia="Arial" w:hAnsi="Arial"/>
          <w:sz w:val="22"/>
          <w:szCs w:val="22"/>
          <w:color w:val="auto"/>
        </w:rPr>
      </w:pPr>
      <w:r>
        <w:rPr>
          <w:rFonts w:ascii="Arial" w:cs="Arial" w:eastAsia="Arial" w:hAnsi="Arial"/>
          <w:sz w:val="22"/>
          <w:szCs w:val="22"/>
          <w:color w:val="auto"/>
        </w:rPr>
        <w:t>Identify one individual with significant responsibility for managing the Company, i.e., an executive officer or senior manager (e.g., Chief Executive Officer, President, Vice President, Chief Financial Officer, Treasurer, Chief Operating Officer, Managing Member or General Partner) or any other individual who regularly performs similar functions. If appropriate, an individual listed in Section 1 above may also be listed here.</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80" w:type="dxa"/>
            <w:vAlign w:val="bottom"/>
            <w:tcBorders>
              <w:top w:val="single" w:sz="8" w:color="auto"/>
              <w:left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ind w:left="560"/>
              <w:spacing w:after="0" w:line="234" w:lineRule="exact"/>
              <w:rPr>
                <w:sz w:val="20"/>
                <w:szCs w:val="20"/>
                <w:color w:val="auto"/>
              </w:rPr>
            </w:pPr>
            <w:r>
              <w:rPr>
                <w:rFonts w:ascii="Arial" w:cs="Arial" w:eastAsia="Arial" w:hAnsi="Arial"/>
                <w:sz w:val="22"/>
                <w:szCs w:val="22"/>
                <w:color w:val="auto"/>
              </w:rPr>
              <w:t>Name</w:t>
            </w:r>
          </w:p>
        </w:tc>
        <w:tc>
          <w:tcPr>
            <w:tcW w:w="168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0"/>
              </w:rPr>
              <w:t>Date of</w:t>
            </w:r>
          </w:p>
        </w:tc>
        <w:tc>
          <w:tcPr>
            <w:tcW w:w="168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0"/>
              </w:rPr>
              <w:t>Residential</w:t>
            </w:r>
          </w:p>
        </w:tc>
        <w:tc>
          <w:tcPr>
            <w:tcW w:w="278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87"/>
              </w:rPr>
              <w:t>For US Persons, Social</w:t>
            </w:r>
          </w:p>
        </w:tc>
        <w:tc>
          <w:tcPr>
            <w:tcW w:w="296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88"/>
              </w:rPr>
              <w:t>For Non-US Persons:</w:t>
            </w:r>
          </w:p>
        </w:tc>
        <w:tc>
          <w:tcPr>
            <w:tcW w:w="20" w:type="dxa"/>
            <w:vAlign w:val="bottom"/>
          </w:tcPr>
          <w:p>
            <w:pPr>
              <w:spacing w:after="0"/>
              <w:rPr>
                <w:sz w:val="20"/>
                <w:szCs w:val="20"/>
                <w:color w:val="auto"/>
              </w:rPr>
            </w:pP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8"/>
              </w:rPr>
              <w:t>birth</w:t>
            </w:r>
          </w:p>
        </w:tc>
        <w:tc>
          <w:tcPr>
            <w:tcW w:w="16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4"/>
              </w:rPr>
              <w:t>address</w:t>
            </w: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Security Number:</w:t>
            </w:r>
          </w:p>
        </w:tc>
        <w:tc>
          <w:tcPr>
            <w:tcW w:w="2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Type of ID, ID number,</w:t>
            </w:r>
          </w:p>
        </w:tc>
        <w:tc>
          <w:tcPr>
            <w:tcW w:w="20" w:type="dxa"/>
            <w:vAlign w:val="bottom"/>
          </w:tcPr>
          <w:p>
            <w:pPr>
              <w:spacing w:after="0"/>
              <w:rPr>
                <w:sz w:val="21"/>
                <w:szCs w:val="21"/>
                <w:color w:val="auto"/>
              </w:rPr>
            </w:pP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(non-US persons</w:t>
            </w:r>
          </w:p>
        </w:tc>
        <w:tc>
          <w:tcPr>
            <w:tcW w:w="2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country of issuance,</w:t>
            </w:r>
          </w:p>
        </w:tc>
        <w:tc>
          <w:tcPr>
            <w:tcW w:w="20" w:type="dxa"/>
            <w:vAlign w:val="bottom"/>
          </w:tcPr>
          <w:p>
            <w:pPr>
              <w:spacing w:after="0"/>
              <w:rPr>
                <w:sz w:val="21"/>
                <w:szCs w:val="21"/>
                <w:color w:val="auto"/>
              </w:rPr>
            </w:pPr>
          </w:p>
        </w:tc>
      </w:tr>
      <w:tr>
        <w:trPr>
          <w:trHeight w:val="243"/>
        </w:trPr>
        <w:tc>
          <w:tcPr>
            <w:tcW w:w="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should provide SSN if</w:t>
            </w:r>
          </w:p>
        </w:tc>
        <w:tc>
          <w:tcPr>
            <w:tcW w:w="2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expiration date</w:t>
            </w:r>
          </w:p>
        </w:tc>
        <w:tc>
          <w:tcPr>
            <w:tcW w:w="20" w:type="dxa"/>
            <w:vAlign w:val="bottom"/>
          </w:tcPr>
          <w:p>
            <w:pPr>
              <w:spacing w:after="0"/>
              <w:rPr>
                <w:sz w:val="21"/>
                <w:szCs w:val="21"/>
                <w:color w:val="auto"/>
              </w:rPr>
            </w:pPr>
          </w:p>
        </w:tc>
      </w:tr>
      <w:tr>
        <w:trPr>
          <w:trHeight w:val="264"/>
        </w:trPr>
        <w:tc>
          <w:tcPr>
            <w:tcW w:w="480" w:type="dxa"/>
            <w:vAlign w:val="bottom"/>
            <w:tcBorders>
              <w:left w:val="single" w:sz="8" w:color="auto"/>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available)</w:t>
            </w:r>
          </w:p>
        </w:tc>
        <w:tc>
          <w:tcPr>
            <w:tcW w:w="296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8"/>
        </w:trPr>
        <w:tc>
          <w:tcPr>
            <w:tcW w:w="480" w:type="dxa"/>
            <w:vAlign w:val="bottom"/>
            <w:tcBorders>
              <w:left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w w:val="81"/>
              </w:rPr>
              <w:t>1</w:t>
            </w:r>
          </w:p>
        </w:tc>
        <w:tc>
          <w:tcPr>
            <w:tcW w:w="166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2780" w:type="dxa"/>
            <w:vAlign w:val="bottom"/>
            <w:tcBorders>
              <w:right w:val="single" w:sz="8" w:color="auto"/>
            </w:tcBorders>
          </w:tcPr>
          <w:p>
            <w:pPr>
              <w:spacing w:after="0"/>
              <w:rPr>
                <w:sz w:val="23"/>
                <w:szCs w:val="23"/>
                <w:color w:val="auto"/>
              </w:rPr>
            </w:pPr>
          </w:p>
        </w:tc>
        <w:tc>
          <w:tcPr>
            <w:tcW w:w="296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480" w:type="dxa"/>
            <w:vAlign w:val="bottom"/>
            <w:tcBorders>
              <w:left w:val="single" w:sz="8" w:color="auto"/>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202"/>
        </w:trPr>
        <w:tc>
          <w:tcPr>
            <w:tcW w:w="4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89" w:name="page90"/>
    <w:bookmarkEnd w:id="89"/>
    <w:p>
      <w:pPr>
        <w:ind w:firstLine="864"/>
        <w:spacing w:after="0" w:line="250" w:lineRule="auto"/>
        <w:rPr>
          <w:sz w:val="20"/>
          <w:szCs w:val="20"/>
          <w:color w:val="auto"/>
        </w:rPr>
      </w:pPr>
      <w:r>
        <w:rPr>
          <w:rFonts w:ascii="Arial" w:cs="Arial" w:eastAsia="Arial" w:hAnsi="Arial"/>
          <w:sz w:val="22"/>
          <w:szCs w:val="22"/>
          <w:color w:val="auto"/>
        </w:rPr>
        <w:t>The undersigned hereby certifies, to the best of his or her knowledge, that the information set out in this Beneficial Ownership Information Disclosure Form is true, complete and correct.</w:t>
      </w:r>
    </w:p>
    <w:p>
      <w:pPr>
        <w:spacing w:after="0" w:line="202"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Date: December 3, 2019</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64"/>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Romeo R. Dizon</w:t>
            </w:r>
          </w:p>
        </w:tc>
      </w:tr>
      <w:tr>
        <w:trPr>
          <w:trHeight w:val="215"/>
        </w:trPr>
        <w:tc>
          <w:tcPr>
            <w:tcW w:w="10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100" w:type="dxa"/>
            <w:vAlign w:val="bottom"/>
          </w:tcPr>
          <w:p>
            <w:pPr>
              <w:spacing w:after="0" w:line="216" w:lineRule="exact"/>
              <w:rPr>
                <w:sz w:val="20"/>
                <w:szCs w:val="20"/>
                <w:color w:val="auto"/>
              </w:rPr>
            </w:pPr>
            <w:r>
              <w:rPr>
                <w:rFonts w:ascii="Arial" w:cs="Arial" w:eastAsia="Arial" w:hAnsi="Arial"/>
                <w:sz w:val="22"/>
                <w:szCs w:val="22"/>
                <w:color w:val="auto"/>
              </w:rPr>
              <w:t>Romeo R. Dizon</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VP of Finance</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color w:val="auto"/>
              </w:rPr>
              <w:t>Email:</w:t>
            </w:r>
          </w:p>
        </w:tc>
        <w:tc>
          <w:tcPr>
            <w:tcW w:w="4100" w:type="dxa"/>
            <w:vAlign w:val="bottom"/>
          </w:tcPr>
          <w:p>
            <w:pPr>
              <w:spacing w:after="0" w:line="243" w:lineRule="exact"/>
              <w:rPr>
                <w:sz w:val="20"/>
                <w:szCs w:val="20"/>
                <w:color w:val="auto"/>
              </w:rPr>
            </w:pPr>
            <w:r>
              <w:rPr>
                <w:rFonts w:ascii="Arial" w:cs="Arial" w:eastAsia="Arial" w:hAnsi="Arial"/>
                <w:sz w:val="22"/>
                <w:szCs w:val="22"/>
                <w:color w:val="auto"/>
              </w:rPr>
              <w:t>rdizon@iridex.com</w:t>
            </w:r>
          </w:p>
        </w:tc>
      </w:tr>
      <w:tr>
        <w:trPr>
          <w:trHeight w:val="274"/>
        </w:trPr>
        <w:tc>
          <w:tcPr>
            <w:tcW w:w="1040" w:type="dxa"/>
            <w:vAlign w:val="bottom"/>
          </w:tcPr>
          <w:p>
            <w:pPr>
              <w:spacing w:after="0"/>
              <w:rPr>
                <w:sz w:val="20"/>
                <w:szCs w:val="20"/>
                <w:color w:val="auto"/>
              </w:rPr>
            </w:pPr>
            <w:r>
              <w:rPr>
                <w:rFonts w:ascii="Arial" w:cs="Arial" w:eastAsia="Arial" w:hAnsi="Arial"/>
                <w:sz w:val="22"/>
                <w:szCs w:val="22"/>
                <w:color w:val="auto"/>
              </w:rPr>
              <w:t>Phone:</w:t>
            </w:r>
          </w:p>
        </w:tc>
        <w:tc>
          <w:tcPr>
            <w:tcW w:w="4100" w:type="dxa"/>
            <w:vAlign w:val="bottom"/>
          </w:tcPr>
          <w:p>
            <w:pPr>
              <w:spacing w:after="0"/>
              <w:rPr>
                <w:sz w:val="20"/>
                <w:szCs w:val="20"/>
                <w:color w:val="auto"/>
              </w:rPr>
            </w:pPr>
            <w:r>
              <w:rPr>
                <w:rFonts w:ascii="Arial" w:cs="Arial" w:eastAsia="Arial" w:hAnsi="Arial"/>
                <w:sz w:val="22"/>
                <w:szCs w:val="22"/>
                <w:color w:val="auto"/>
              </w:rPr>
              <w:t>650-605-8727</w:t>
            </w:r>
          </w:p>
        </w:tc>
      </w:tr>
    </w:tbl>
    <w:p>
      <w:pPr>
        <w:sectPr>
          <w:pgSz w:w="11900" w:h="16838" w:orient="portrait"/>
          <w:cols w:equalWidth="0" w:num="1">
            <w:col w:w="11240"/>
          </w:cols>
          <w:pgMar w:left="320" w:top="33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10.19.2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SECOND AMENDMENT TO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this 8</w:t>
      </w:r>
      <w:r>
        <w:rPr>
          <w:rFonts w:ascii="Arial" w:cs="Arial" w:eastAsia="Arial" w:hAnsi="Arial"/>
          <w:sz w:val="18"/>
          <w:szCs w:val="18"/>
          <w:color w:val="auto"/>
        </w:rPr>
        <w:t>th</w:t>
      </w:r>
      <w:r>
        <w:rPr>
          <w:rFonts w:ascii="Arial" w:cs="Arial" w:eastAsia="Arial" w:hAnsi="Arial"/>
          <w:sz w:val="22"/>
          <w:szCs w:val="22"/>
          <w:color w:val="auto"/>
        </w:rPr>
        <w:t xml:space="preserve"> day of January, 2020, but is effective as of January 1, 2020, by and between SILICON VALLEY BANK (“</w:t>
      </w:r>
      <w:r>
        <w:rPr>
          <w:rFonts w:ascii="Arial" w:cs="Arial" w:eastAsia="Arial" w:hAnsi="Arial"/>
          <w:sz w:val="22"/>
          <w:szCs w:val="22"/>
          <w:b w:val="1"/>
          <w:bCs w:val="1"/>
          <w:color w:val="auto"/>
        </w:rPr>
        <w:t>Bank</w:t>
      </w:r>
      <w:r>
        <w:rPr>
          <w:rFonts w:ascii="Arial" w:cs="Arial" w:eastAsia="Arial" w:hAnsi="Arial"/>
          <w:sz w:val="22"/>
          <w:szCs w:val="22"/>
          <w:color w:val="auto"/>
        </w:rPr>
        <w:t>”) and IRIDEX CORPORATION,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ind w:firstLine="872"/>
        <w:spacing w:after="0" w:line="328" w:lineRule="auto"/>
        <w:tabs>
          <w:tab w:leader="none" w:pos="1721" w:val="left"/>
        </w:tabs>
        <w:numPr>
          <w:ilvl w:val="0"/>
          <w:numId w:val="72"/>
        </w:numPr>
        <w:rPr>
          <w:rFonts w:ascii="Arial" w:cs="Arial" w:eastAsia="Arial" w:hAnsi="Arial"/>
          <w:sz w:val="19"/>
          <w:szCs w:val="19"/>
          <w:color w:val="auto"/>
        </w:rPr>
      </w:pPr>
      <w:r>
        <w:rPr>
          <w:rFonts w:ascii="Arial" w:cs="Arial" w:eastAsia="Arial" w:hAnsi="Arial"/>
          <w:sz w:val="19"/>
          <w:szCs w:val="19"/>
          <w:color w:val="auto"/>
        </w:rPr>
        <w:t>Bank and Borrower have entered into that certain Loan and Security Agreement dated as of November 2, 2016 (as the same may from time to time be further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720" w:hanging="848"/>
        <w:spacing w:after="0"/>
        <w:tabs>
          <w:tab w:leader="none" w:pos="1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 Agreement.</w:t>
      </w:r>
    </w:p>
    <w:p>
      <w:pPr>
        <w:spacing w:after="0" w:line="206" w:lineRule="exact"/>
        <w:rPr>
          <w:rFonts w:ascii="Arial" w:cs="Arial" w:eastAsia="Arial" w:hAnsi="Arial"/>
          <w:sz w:val="22"/>
          <w:szCs w:val="22"/>
          <w:color w:val="auto"/>
        </w:rPr>
      </w:pPr>
    </w:p>
    <w:p>
      <w:pPr>
        <w:jc w:val="both"/>
        <w:ind w:firstLine="872"/>
        <w:spacing w:after="0"/>
        <w:tabs>
          <w:tab w:leader="none" w:pos="1710" w:val="left"/>
        </w:tabs>
        <w:numPr>
          <w:ilvl w:val="0"/>
          <w:numId w:val="72"/>
        </w:numPr>
        <w:rPr>
          <w:rFonts w:ascii="Arial" w:cs="Arial" w:eastAsia="Arial" w:hAnsi="Arial"/>
          <w:sz w:val="22"/>
          <w:szCs w:val="22"/>
          <w:color w:val="auto"/>
        </w:rPr>
      </w:pPr>
      <w:r>
        <w:rPr>
          <w:rFonts w:ascii="Arial" w:cs="Arial" w:eastAsia="Arial" w:hAnsi="Arial"/>
          <w:sz w:val="22"/>
          <w:szCs w:val="22"/>
          <w:color w:val="auto"/>
        </w:rPr>
        <w:t>Borrower has requested that Bank amend the Loan Agreement to (i) extend the Revolving Line Maturity Date, (ii) decrease the Revolving Line, and (iii) make certain other revisions to the Loan Agreement as more fully set forth herein.</w:t>
      </w:r>
    </w:p>
    <w:p>
      <w:pPr>
        <w:spacing w:after="0" w:line="186" w:lineRule="exact"/>
        <w:rPr>
          <w:rFonts w:ascii="Arial" w:cs="Arial" w:eastAsia="Arial" w:hAnsi="Arial"/>
          <w:sz w:val="22"/>
          <w:szCs w:val="22"/>
          <w:color w:val="auto"/>
        </w:rPr>
      </w:pPr>
    </w:p>
    <w:p>
      <w:pPr>
        <w:ind w:firstLine="872"/>
        <w:spacing w:after="0" w:line="328" w:lineRule="auto"/>
        <w:tabs>
          <w:tab w:leader="none" w:pos="1721" w:val="left"/>
        </w:tabs>
        <w:numPr>
          <w:ilvl w:val="0"/>
          <w:numId w:val="72"/>
        </w:numPr>
        <w:rPr>
          <w:rFonts w:ascii="Arial" w:cs="Arial" w:eastAsia="Arial" w:hAnsi="Arial"/>
          <w:sz w:val="19"/>
          <w:szCs w:val="19"/>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16" w:lineRule="exact"/>
        <w:rPr>
          <w:sz w:val="20"/>
          <w:szCs w:val="20"/>
          <w:color w:val="auto"/>
        </w:rPr>
      </w:pPr>
    </w:p>
    <w:p>
      <w:pPr>
        <w:ind w:right="20" w:firstLine="872"/>
        <w:spacing w:after="0" w:line="256" w:lineRule="auto"/>
        <w:tabs>
          <w:tab w:leader="none" w:pos="1674"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62" w:lineRule="exact"/>
        <w:rPr>
          <w:rFonts w:ascii="Arial" w:cs="Arial" w:eastAsia="Arial" w:hAnsi="Arial"/>
          <w:sz w:val="22"/>
          <w:szCs w:val="22"/>
          <w:b w:val="1"/>
          <w:bCs w:val="1"/>
          <w:color w:val="auto"/>
        </w:rPr>
      </w:pPr>
    </w:p>
    <w:p>
      <w:pPr>
        <w:ind w:left="1680" w:hanging="808"/>
        <w:spacing w:after="0"/>
        <w:tabs>
          <w:tab w:leader="none" w:pos="168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left="1740"/>
        <w:spacing w:after="0"/>
        <w:tabs>
          <w:tab w:leader="none" w:pos="2640" w:val="left"/>
          <w:tab w:leader="none" w:pos="33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b w:val="1"/>
          <w:bCs w:val="1"/>
          <w:color w:val="auto"/>
        </w:rPr>
        <w:t>Fees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Section 2.6(b) of the Loan Agreement is deleted in its entirety and replaced with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following:</w:t>
      </w:r>
    </w:p>
    <w:p>
      <w:pPr>
        <w:spacing w:after="0" w:line="188" w:lineRule="exact"/>
        <w:rPr>
          <w:sz w:val="20"/>
          <w:szCs w:val="20"/>
          <w:color w:val="auto"/>
        </w:rPr>
      </w:pPr>
    </w:p>
    <w:p>
      <w:pPr>
        <w:jc w:val="both"/>
        <w:ind w:left="880" w:firstLine="1586"/>
        <w:spacing w:after="0" w:line="249" w:lineRule="auto"/>
        <w:tabs>
          <w:tab w:leader="none" w:pos="3374"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Termination Fee</w:t>
      </w:r>
      <w:r>
        <w:rPr>
          <w:rFonts w:ascii="Arial" w:cs="Arial" w:eastAsia="Arial" w:hAnsi="Arial"/>
          <w:sz w:val="21"/>
          <w:szCs w:val="21"/>
          <w:color w:val="auto"/>
        </w:rPr>
        <w:t>. Upon termination of this Agreement for any reason prior to the Revolving Line Maturity Date, in addition to the payment of any other amounts then-owing, a termination fee in an amount equal to Eighty Thousand Dollars ($80,000) (the “</w:t>
      </w:r>
      <w:r>
        <w:rPr>
          <w:rFonts w:ascii="Arial" w:cs="Arial" w:eastAsia="Arial" w:hAnsi="Arial"/>
          <w:sz w:val="21"/>
          <w:szCs w:val="21"/>
          <w:b w:val="1"/>
          <w:bCs w:val="1"/>
          <w:color w:val="auto"/>
        </w:rPr>
        <w:t>Termination Fee</w:t>
      </w:r>
      <w:r>
        <w:rPr>
          <w:rFonts w:ascii="Arial" w:cs="Arial" w:eastAsia="Arial" w:hAnsi="Arial"/>
          <w:sz w:val="21"/>
          <w:szCs w:val="21"/>
          <w:color w:val="auto"/>
        </w:rPr>
        <w:t>”). Notwithstanding the foregoing, Bank agrees to waive the Termination Fee if Bank closes on the refinancing and re-documentation of the Revolving Line under this Agreement under another division of Bank (in its sole and exclusive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ind w:firstLine="1727"/>
        <w:spacing w:after="0" w:line="256" w:lineRule="auto"/>
        <w:rPr>
          <w:sz w:val="20"/>
          <w:szCs w:val="20"/>
          <w:color w:val="auto"/>
        </w:rPr>
      </w:pPr>
      <w:r>
        <w:rPr>
          <w:rFonts w:ascii="Arial" w:cs="Arial" w:eastAsia="Arial" w:hAnsi="Arial"/>
          <w:sz w:val="22"/>
          <w:szCs w:val="22"/>
          <w:b w:val="1"/>
          <w:bCs w:val="1"/>
          <w:color w:val="auto"/>
        </w:rPr>
        <w:t>2.2 Definitions</w:t>
      </w:r>
      <w:r>
        <w:rPr>
          <w:rFonts w:ascii="Arial" w:cs="Arial" w:eastAsia="Arial" w:hAnsi="Arial"/>
          <w:sz w:val="22"/>
          <w:szCs w:val="22"/>
          <w:color w:val="auto"/>
        </w:rPr>
        <w:t>. The following terms and their respective definitions set forth in Section 13.1 are</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their entirety and replaced with the following:</w:t>
      </w:r>
    </w:p>
    <w:p>
      <w:pPr>
        <w:spacing w:after="0" w:line="162"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Line</w:t>
      </w:r>
      <w:r>
        <w:rPr>
          <w:rFonts w:ascii="Arial" w:cs="Arial" w:eastAsia="Arial" w:hAnsi="Arial"/>
          <w:sz w:val="21"/>
          <w:szCs w:val="21"/>
          <w:color w:val="auto"/>
        </w:rPr>
        <w:t>” is an aggregate principal amount equal to Eight Million Dollars ($8,000,000).</w:t>
      </w:r>
    </w:p>
    <w:p>
      <w:pPr>
        <w:spacing w:after="0" w:line="218"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January 1, 2021.</w:t>
      </w:r>
    </w:p>
    <w:p>
      <w:pPr>
        <w:spacing w:after="0" w:line="206" w:lineRule="exact"/>
        <w:rPr>
          <w:sz w:val="20"/>
          <w:szCs w:val="20"/>
          <w:color w:val="auto"/>
        </w:rPr>
      </w:pPr>
    </w:p>
    <w:p>
      <w:pPr>
        <w:ind w:left="1680" w:hanging="808"/>
        <w:spacing w:after="0"/>
        <w:tabs>
          <w:tab w:leader="none" w:pos="16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right="20" w:firstLine="872"/>
        <w:spacing w:after="0" w:line="256" w:lineRule="auto"/>
        <w:tabs>
          <w:tab w:leader="none" w:pos="1674"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Bank as follows:</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162" w:lineRule="exact"/>
        <w:rPr>
          <w:sz w:val="20"/>
          <w:szCs w:val="20"/>
          <w:color w:val="auto"/>
        </w:rPr>
      </w:pPr>
    </w:p>
    <w:p>
      <w:pPr>
        <w:jc w:val="both"/>
        <w:ind w:right="20" w:firstLine="1727"/>
        <w:spacing w:after="0" w:line="334"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The organizational documents of Borrower delivered to Bank on the Effective Date remain true,</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and complete and have not been amended, supplemented or restated and are and continue to be in full force and effect;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jc w:val="both"/>
        <w:ind w:firstLine="872"/>
        <w:spacing w:after="0" w:line="239" w:lineRule="auto"/>
        <w:tabs>
          <w:tab w:leader="none" w:pos="1674"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disclosures contained in a certain Perfection Certificate dated as of the Effective Date, and acknowledges, confirms and agrees that the disclosures and information Borrower provided to Bank in such Perfection Certificate have not changed, as of the date hereof.</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22"/>
          <w:szCs w:val="22"/>
          <w:b w:val="1"/>
          <w:bCs w:val="1"/>
          <w:color w:val="auto"/>
        </w:rPr>
      </w:pPr>
    </w:p>
    <w:p>
      <w:pPr>
        <w:ind w:firstLine="872"/>
        <w:spacing w:after="0" w:line="256" w:lineRule="auto"/>
        <w:tabs>
          <w:tab w:leader="none" w:pos="1674"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Bank</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Amendment by each party hereto, and (b) Borrower’s payment of (i) a fully-earned, non-refundable extension fee in an amount equal to Twenty Thousand Dollars ($20,000) and (ii) Bank’s legal fees and expenses incurred in connection with this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3" w:name="page94"/>
    <w:bookmarkEnd w:id="93"/>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Sheetal Kapani</w:t>
            </w:r>
          </w:p>
        </w:tc>
      </w:tr>
      <w:tr>
        <w:trPr>
          <w:trHeight w:val="215"/>
        </w:trPr>
        <w:tc>
          <w:tcPr>
            <w:tcW w:w="8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Sheetal Kapani</w:t>
            </w:r>
          </w:p>
        </w:tc>
      </w:t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IRIDEX CORPORATION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Romeo R. Dizon</w:t>
            </w:r>
          </w:p>
        </w:tc>
      </w:tr>
      <w:tr>
        <w:trPr>
          <w:trHeight w:val="215"/>
        </w:trPr>
        <w:tc>
          <w:tcPr>
            <w:tcW w:w="6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940" w:type="dxa"/>
            <w:vAlign w:val="bottom"/>
          </w:tcPr>
          <w:p>
            <w:pPr>
              <w:spacing w:after="0" w:line="216" w:lineRule="exact"/>
              <w:rPr>
                <w:sz w:val="20"/>
                <w:szCs w:val="20"/>
                <w:color w:val="auto"/>
              </w:rPr>
            </w:pPr>
            <w:r>
              <w:rPr>
                <w:rFonts w:ascii="Arial" w:cs="Arial" w:eastAsia="Arial" w:hAnsi="Arial"/>
                <w:sz w:val="22"/>
                <w:szCs w:val="22"/>
                <w:color w:val="auto"/>
              </w:rPr>
              <w:t>Romeo R. Dizon</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spacing w:after="0"/>
              <w:rPr>
                <w:sz w:val="20"/>
                <w:szCs w:val="20"/>
                <w:color w:val="auto"/>
              </w:rPr>
            </w:pPr>
            <w:r>
              <w:rPr>
                <w:rFonts w:ascii="Arial" w:cs="Arial" w:eastAsia="Arial" w:hAnsi="Arial"/>
                <w:sz w:val="22"/>
                <w:szCs w:val="22"/>
                <w:color w:val="auto"/>
              </w:rPr>
              <w:t>VP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Second Amendment to Loan and Security Agreement]</w:t>
      </w:r>
    </w:p>
    <w:p>
      <w:pPr>
        <w:sectPr>
          <w:pgSz w:w="11900" w:h="16838" w:orient="portrait"/>
          <w:cols w:equalWidth="0" w:num="1">
            <w:col w:w="11220"/>
          </w:cols>
          <w:pgMar w:left="320" w:top="328"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(333-213094) and Form S-8 (333-233628, 333-226358, 333-219448, 333-197934, 333-183513, 333-161630, 333-155598, 333-147866, 333-135822, 333-127716, 333-117885, 333-107700, 333-97541, 333-67480, 333-45736, 333-86091, 333-57573, 333-32161) of our report dated March 13, 2020 relating to the consolidated financial statements of IRIDEX Corporation as of December 28, 2019, which appears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20" w:hanging="500"/>
        <w:spacing w:after="0" w:line="286" w:lineRule="auto"/>
        <w:tabs>
          <w:tab w:leader="none" w:pos="15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and Financial Officer)</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Romeo R. Dizon, certify that:</w:t>
      </w:r>
    </w:p>
    <w:p>
      <w:pPr>
        <w:spacing w:after="0" w:line="117" w:lineRule="exact"/>
        <w:rPr>
          <w:sz w:val="20"/>
          <w:szCs w:val="20"/>
          <w:color w:val="auto"/>
        </w:rPr>
      </w:pPr>
    </w:p>
    <w:p>
      <w:pPr>
        <w:ind w:left="1000" w:hanging="493"/>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Romeo R. Dizon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of Finance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Annual Report of IRIDEX Corporation on Form 10-K for the fiscal year ended December 28, 2019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and Financial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I, Romeo R. Dizon, pursuant to 18 U.S.C. Section 1350, as adopted pursuant to Section 906 of the Sarbanes-Oxley Act of 2002, certify that the Annual Report of IRIDEX Corporation on Form 10-K for the fiscal year ended December 28, 2019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Romeo R. Dizon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of Finance</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2"/>
    </w:lvl>
  </w:abstractNum>
  <w:abstractNum w:abstractNumId="18">
    <w:nsid w:val="684A481A"/>
    <w:multiLevelType w:val="hybridMultilevel"/>
    <w:lvl w:ilvl="0">
      <w:lvlJc w:val="left"/>
      <w:lvlText w:val="(%1)"/>
      <w:numFmt w:val="decimal"/>
      <w:start w:val="3"/>
    </w:lvl>
  </w:abstractNum>
  <w:abstractNum w:abstractNumId="19">
    <w:nsid w:val="579478FE"/>
    <w:multiLevelType w:val="hybridMultilevel"/>
    <w:lvl w:ilvl="0">
      <w:lvlJc w:val="left"/>
      <w:lvlText w:val="%1."/>
      <w:numFmt w:val="lowerLetter"/>
      <w:start w:val="1"/>
    </w:lvl>
  </w:abstractNum>
  <w:abstractNum w:abstractNumId="20">
    <w:nsid w:val="749ABB43"/>
    <w:multiLevelType w:val="hybridMultilevel"/>
    <w:lvl w:ilvl="0">
      <w:lvlJc w:val="left"/>
      <w:lvlText w:val="(%1)"/>
      <w:numFmt w:val="decimal"/>
      <w:start w:val="4"/>
    </w:lvl>
  </w:abstractNum>
  <w:abstractNum w:abstractNumId="21">
    <w:nsid w:val="3DC240FB"/>
    <w:multiLevelType w:val="hybridMultilevel"/>
    <w:lvl w:ilvl="0">
      <w:lvlJc w:val="left"/>
      <w:lvlText w:val="(%1)"/>
      <w:numFmt w:val="decimal"/>
      <w:start w:val="5"/>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lvl w:ilvl="1">
      <w:lvlJc w:val="left"/>
      <w:lvlText w:val="%2."/>
      <w:numFmt w:val="lowerLetter"/>
      <w:start w:val="1"/>
    </w:lvl>
  </w:abstractNum>
  <w:abstractNum w:abstractNumId="24">
    <w:nsid w:val="75C6C33A"/>
    <w:multiLevelType w:val="hybridMultilevel"/>
    <w:lvl w:ilvl="0">
      <w:lvlJc w:val="left"/>
      <w:lvlText w:val="(%1)"/>
      <w:numFmt w:val="decimal"/>
      <w:start w:val="4"/>
    </w:lvl>
    <w:lvl w:ilvl="1">
      <w:lvlJc w:val="left"/>
      <w:lvlText w:val="%2"/>
      <w:numFmt w:val="lowerLetter"/>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3"/>
    </w:lvl>
  </w:abstractNum>
  <w:abstractNum w:abstractNumId="32">
    <w:nsid w:val="275AC794"/>
    <w:multiLevelType w:val="hybridMultilevel"/>
    <w:lvl w:ilvl="0">
      <w:lvlJc w:val="left"/>
      <w:lvlText w:val="(%1)"/>
      <w:numFmt w:val="decimal"/>
      <w:start w:val="8"/>
    </w:lvl>
  </w:abstractNum>
  <w:abstractNum w:abstractNumId="33">
    <w:nsid w:val="39386575"/>
    <w:multiLevelType w:val="hybridMultilevel"/>
    <w:lvl w:ilvl="0">
      <w:lvlJc w:val="left"/>
      <w:lvlText w:val="(%1)"/>
      <w:numFmt w:val="upperLetter"/>
      <w:start w:val="16"/>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upperLetter"/>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1"/>
    </w:lvl>
    <w:lvl w:ilvl="1">
      <w:lvlJc w:val="left"/>
      <w:lvlText w:val="(%2)"/>
      <w:numFmt w:val="lowerLetter"/>
      <w:start w:val="1"/>
    </w:lvl>
  </w:abstractNum>
  <w:abstractNum w:abstractNumId="41">
    <w:nsid w:val="D34B6A8"/>
    <w:multiLevelType w:val="hybridMultilevel"/>
    <w:lvl w:ilvl="0">
      <w:lvlJc w:val="left"/>
      <w:lvlText w:val="(%1)"/>
      <w:numFmt w:val="lowerLetter"/>
      <w:start w:val="2"/>
    </w:lvl>
    <w:lvl w:ilvl="1">
      <w:lvlJc w:val="left"/>
      <w:lvlText w:val="%2"/>
      <w:numFmt w:val="lowerLetter"/>
      <w:start w:val="1"/>
    </w:lvl>
  </w:abstractNum>
  <w:abstractNum w:abstractNumId="42">
    <w:nsid w:val="10233C99"/>
    <w:multiLevelType w:val="hybridMultilevel"/>
    <w:lvl w:ilvl="0">
      <w:lvlJc w:val="left"/>
      <w:lvlText w:val="%1"/>
      <w:numFmt w:val="lowerLetter"/>
      <w:start w:val="1"/>
    </w:lvl>
    <w:lvl w:ilvl="1">
      <w:lvlJc w:val="left"/>
      <w:lvlText w:val="(%2)"/>
      <w:numFmt w:val="lowerLetter"/>
      <w:start w:val="4"/>
    </w:lvl>
  </w:abstractNum>
  <w:abstractNum w:abstractNumId="43">
    <w:nsid w:val="3F6AB60F"/>
    <w:multiLevelType w:val="hybridMultilevel"/>
    <w:lvl w:ilvl="0">
      <w:lvlJc w:val="left"/>
      <w:lvlText w:val="(%1)"/>
      <w:numFmt w:val="lowerLetter"/>
      <w:start w:val="3"/>
    </w:lvl>
    <w:lvl w:ilvl="1">
      <w:lvlJc w:val="left"/>
      <w:lvlText w:val="%2"/>
      <w:numFmt w:val="lowerLetter"/>
      <w:start w:val="1"/>
    </w:lvl>
  </w:abstractNum>
  <w:abstractNum w:abstractNumId="44">
    <w:nsid w:val="61574095"/>
    <w:multiLevelType w:val="hybridMultilevel"/>
    <w:lvl w:ilvl="0">
      <w:lvlJc w:val="left"/>
      <w:lvlText w:val="%1"/>
      <w:numFmt w:val="lowerLetter"/>
      <w:start w:val="1"/>
    </w:lvl>
    <w:lvl w:ilvl="1">
      <w:lvlJc w:val="left"/>
      <w:lvlText w:val="(%2)"/>
      <w:numFmt w:val="lowerLetter"/>
      <w:start w:val="7"/>
    </w:lvl>
  </w:abstractNum>
  <w:abstractNum w:abstractNumId="45">
    <w:nsid w:val="7E0C57B1"/>
    <w:multiLevelType w:val="hybridMultilevel"/>
    <w:lvl w:ilvl="0">
      <w:lvlJc w:val="left"/>
      <w:lvlText w:val="(%1)"/>
      <w:numFmt w:val="lowerLetter"/>
      <w:start w:val="35"/>
    </w:lvl>
    <w:lvl w:ilvl="1">
      <w:lvlJc w:val="left"/>
      <w:lvlText w:val="%2"/>
      <w:numFmt w:val="lowerLetter"/>
      <w:start w:val="1"/>
    </w:lvl>
  </w:abstractNum>
  <w:abstractNum w:abstractNumId="46">
    <w:nsid w:val="77AE35EB"/>
    <w:multiLevelType w:val="hybridMultilevel"/>
    <w:lvl w:ilvl="0">
      <w:lvlJc w:val="left"/>
      <w:lvlText w:val="(%1)"/>
      <w:numFmt w:val="lowerLetter"/>
      <w:start w:val="4"/>
    </w:lvl>
    <w:lvl w:ilvl="1">
      <w:lvlJc w:val="left"/>
      <w:lvlText w:val="(%2)"/>
      <w:numFmt w:val="lowerLetter"/>
      <w:start w:val="12"/>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lvl w:ilvl="1">
      <w:lvlJc w:val="left"/>
      <w:lvlText w:val="(%2)"/>
      <w:numFmt w:val="lowerLetter"/>
      <w:start w:val="3"/>
    </w:lvl>
  </w:abstractNum>
  <w:abstractNum w:abstractNumId="49">
    <w:nsid w:val="5FF87E05"/>
    <w:multiLevelType w:val="hybridMultilevel"/>
    <w:lvl w:ilvl="0">
      <w:lvlJc w:val="left"/>
      <w:lvlText w:val="(%1)"/>
      <w:numFmt w:val="lowerLetter"/>
      <w:start w:val="2"/>
    </w:lvl>
    <w:lvl w:ilvl="1">
      <w:lvlJc w:val="left"/>
      <w:lvlText w:val="%2"/>
      <w:numFmt w:val="lowerLetter"/>
      <w:start w:val="1"/>
    </w:lvl>
  </w:abstractNum>
  <w:abstractNum w:abstractNumId="50">
    <w:nsid w:val="2F305DEF"/>
    <w:multiLevelType w:val="hybridMultilevel"/>
    <w:lvl w:ilvl="0">
      <w:lvlJc w:val="left"/>
      <w:lvlText w:val="%1"/>
      <w:numFmt w:val="lowerLetter"/>
      <w:start w:val="1"/>
    </w:lvl>
    <w:lvl w:ilvl="1">
      <w:lvlJc w:val="left"/>
      <w:lvlText w:val="(%2)"/>
      <w:numFmt w:val="lowerLetter"/>
      <w:start w:val="5"/>
    </w:lvl>
  </w:abstractNum>
  <w:abstractNum w:abstractNumId="51">
    <w:nsid w:val="25A70BF7"/>
    <w:multiLevelType w:val="hybridMultilevel"/>
    <w:lvl w:ilvl="0">
      <w:lvlJc w:val="left"/>
      <w:lvlText w:val="(%1)"/>
      <w:numFmt w:val="lowerLetter"/>
      <w:start w:val="9"/>
    </w:lvl>
    <w:lvl w:ilvl="1">
      <w:lvlJc w:val="left"/>
      <w:lvlText w:val="%2"/>
      <w:numFmt w:val="lowerLetter"/>
      <w:start w:val="1"/>
    </w:lvl>
  </w:abstractNum>
  <w:abstractNum w:abstractNumId="52">
    <w:nsid w:val="1DBABF00"/>
    <w:multiLevelType w:val="hybridMultilevel"/>
    <w:lvl w:ilvl="0">
      <w:lvlJc w:val="left"/>
      <w:lvlText w:val="(%1)"/>
      <w:numFmt w:val="lowerLetter"/>
      <w:start w:val="3"/>
    </w:lvl>
  </w:abstractNum>
  <w:abstractNum w:abstractNumId="53">
    <w:nsid w:val="4AD084E9"/>
    <w:multiLevelType w:val="hybridMultilevel"/>
    <w:lvl w:ilvl="0">
      <w:lvlJc w:val="left"/>
      <w:lvlText w:val="(%1)"/>
      <w:numFmt w:val="lowerLetter"/>
      <w:start w:val="7"/>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4"/>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4"/>
    </w:lvl>
  </w:abstractNum>
  <w:abstractNum w:abstractNumId="59">
    <w:nsid w:val="15014ACB"/>
    <w:multiLevelType w:val="hybridMultilevel"/>
    <w:lvl w:ilvl="0">
      <w:lvlJc w:val="left"/>
      <w:lvlText w:val="(%1)"/>
      <w:numFmt w:val="lowerLetter"/>
      <w:start w:val="17"/>
    </w:lvl>
  </w:abstractNum>
  <w:abstractNum w:abstractNumId="60">
    <w:nsid w:val="5F5E7FD0"/>
    <w:multiLevelType w:val="hybridMultilevel"/>
    <w:lvl w:ilvl="0">
      <w:lvlJc w:val="left"/>
      <w:lvlText w:val="(%1)"/>
      <w:numFmt w:val="lowerLetter"/>
      <w:start w:val="27"/>
    </w:lvl>
  </w:abstractNum>
  <w:abstractNum w:abstractNumId="61">
    <w:nsid w:val="98A3148"/>
    <w:multiLevelType w:val="hybridMultilevel"/>
    <w:lvl w:ilvl="0">
      <w:lvlJc w:val="left"/>
      <w:lvlText w:val="(%1)"/>
      <w:numFmt w:val="lowerLetter"/>
      <w:start w:val="2"/>
    </w:lvl>
    <w:lvl w:ilvl="1">
      <w:lvlJc w:val="left"/>
      <w:lvlText w:val="(%2)"/>
      <w:numFmt w:val="lowerLetter"/>
      <w:start w:val="1"/>
    </w:lvl>
  </w:abstractNum>
  <w:abstractNum w:abstractNumId="62">
    <w:nsid w:val="799D0247"/>
    <w:multiLevelType w:val="hybridMultilevel"/>
    <w:lvl w:ilvl="0">
      <w:lvlJc w:val="left"/>
      <w:lvlText w:val="(%1)"/>
      <w:numFmt w:val="decimal"/>
      <w:start w:val="2"/>
    </w:lvl>
  </w:abstractNum>
  <w:abstractNum w:abstractNumId="63">
    <w:nsid w:val="6B94764"/>
    <w:multiLevelType w:val="hybridMultilevel"/>
    <w:lvl w:ilvl="0">
      <w:lvlJc w:val="left"/>
      <w:lvlText w:val="(%1)"/>
      <w:numFmt w:val="lowerLetter"/>
      <w:start w:val="3"/>
    </w:lvl>
  </w:abstractNum>
  <w:abstractNum w:abstractNumId="64">
    <w:nsid w:val="42C296BD"/>
    <w:multiLevelType w:val="hybridMultilevel"/>
    <w:lvl w:ilvl="0">
      <w:lvlJc w:val="left"/>
      <w:lvlText w:val="%1."/>
      <w:numFmt w:val="decimal"/>
      <w:start w:val="3"/>
    </w:lvl>
  </w:abstractNum>
  <w:abstractNum w:abstractNumId="65">
    <w:nsid w:val="168E121F"/>
    <w:multiLevelType w:val="hybridMultilevel"/>
    <w:lvl w:ilvl="0">
      <w:lvlJc w:val="left"/>
      <w:lvlText w:val="%1."/>
      <w:numFmt w:val="decimal"/>
      <w:start w:val="4"/>
    </w:lvl>
  </w:abstractNum>
  <w:abstractNum w:abstractNumId="66">
    <w:nsid w:val="1EBA5D23"/>
    <w:multiLevelType w:val="hybridMultilevel"/>
    <w:lvl w:ilvl="0">
      <w:lvlJc w:val="left"/>
      <w:lvlText w:val="%1."/>
      <w:numFmt w:val="decimal"/>
      <w:start w:val="5"/>
    </w:lvl>
  </w:abstractNum>
  <w:abstractNum w:abstractNumId="67">
    <w:nsid w:val="661E3F1E"/>
    <w:multiLevelType w:val="hybridMultilevel"/>
    <w:lvl w:ilvl="0">
      <w:lvlJc w:val="left"/>
      <w:lvlText w:val="%1."/>
      <w:numFmt w:val="decimal"/>
      <w:start w:val="1"/>
    </w:lvl>
    <w:lvl w:ilvl="1">
      <w:lvlJc w:val="left"/>
      <w:lvlText w:val="(%2)"/>
      <w:numFmt w:val="lowerRoman"/>
      <w:start w:val="1"/>
    </w:lvl>
  </w:abstractNum>
  <w:abstractNum w:abstractNumId="68">
    <w:nsid w:val="5DC79EA8"/>
    <w:multiLevelType w:val="hybridMultilevel"/>
    <w:lvl w:ilvl="0">
      <w:lvlJc w:val="left"/>
      <w:lvlText w:val="%1."/>
      <w:numFmt w:val="decimal"/>
      <w:start w:val="2"/>
    </w:lvl>
  </w:abstractNum>
  <w:abstractNum w:abstractNumId="69">
    <w:nsid w:val="540A471C"/>
    <w:multiLevelType w:val="hybridMultilevel"/>
    <w:lvl w:ilvl="0">
      <w:lvlJc w:val="left"/>
      <w:lvlText w:val="%1."/>
      <w:numFmt w:val="decimal"/>
      <w:start w:val="3"/>
    </w:lvl>
  </w:abstractNum>
  <w:abstractNum w:abstractNumId="70">
    <w:nsid w:val="7BD3EE7B"/>
    <w:multiLevelType w:val="hybridMultilevel"/>
    <w:lvl w:ilvl="0">
      <w:lvlJc w:val="left"/>
      <w:lvlText w:val="%1."/>
      <w:numFmt w:val="decimal"/>
      <w:start w:val="4"/>
    </w:lvl>
  </w:abstractNum>
  <w:abstractNum w:abstractNumId="71">
    <w:nsid w:val="51D9C564"/>
    <w:multiLevelType w:val="hybridMultilevel"/>
    <w:lvl w:ilvl="0">
      <w:lvlJc w:val="left"/>
      <w:lvlText w:val="%1."/>
      <w:numFmt w:val="upperLetter"/>
      <w:start w:val="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lowerLetter"/>
      <w:start w:val="2"/>
    </w:lvl>
  </w:abstractNum>
  <w:abstractNum w:abstractNumId="74">
    <w:nsid w:val="11447B73"/>
    <w:multiLevelType w:val="hybridMultilevel"/>
    <w:lvl w:ilvl="0">
      <w:lvlJc w:val="left"/>
      <w:lvlText w:val="%1."/>
      <w:numFmt w:val="decimal"/>
      <w:start w:val="3"/>
    </w:lvl>
  </w:abstractNum>
  <w:abstractNum w:abstractNumId="75">
    <w:nsid w:val="42963E5A"/>
    <w:multiLevelType w:val="hybridMultilevel"/>
    <w:lvl w:ilvl="0">
      <w:lvlJc w:val="left"/>
      <w:lvlText w:val="%1."/>
      <w:numFmt w:val="decimal"/>
      <w:start w:val="4"/>
    </w:lvl>
  </w:abstractNum>
  <w:abstractNum w:abstractNumId="76">
    <w:nsid w:val="A0382C5"/>
    <w:multiLevelType w:val="hybridMultilevel"/>
    <w:lvl w:ilvl="0">
      <w:lvlJc w:val="left"/>
      <w:lvlText w:val="%1."/>
      <w:numFmt w:val="decimal"/>
      <w:start w:val="5"/>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92" Type="http://schemas.openxmlformats.org/officeDocument/2006/relationships/hyperlink" Target="http://www.sec.gov/Archives/edgar/data/1006045/000156459019010390/irix-ex31_7.htm" TargetMode="External"/><Relationship Id="rId93" Type="http://schemas.openxmlformats.org/officeDocument/2006/relationships/hyperlink" Target="http://www.sec.gov/Archives/edgar/data/1006045/000089161807000540/f33502exv4w2.htm" TargetMode="External"/><Relationship Id="rId94" Type="http://schemas.openxmlformats.org/officeDocument/2006/relationships/hyperlink" Target="http://www.sec.gov/Archives/edgar/data/1006045/000119312509073387/dex43.htm" TargetMode="External"/><Relationship Id="rId95" Type="http://schemas.openxmlformats.org/officeDocument/2006/relationships/hyperlink" Target="http://www.sec.gov/Archives/edgar/data/1006045/000156459016015763/irix-ex101_303.htm" TargetMode="External"/><Relationship Id="rId96" Type="http://schemas.openxmlformats.org/officeDocument/2006/relationships/hyperlink" Target="http://www.sec.gov/Archives/edgar/data/1006045/000156459016021155/irix-ex102_9.htm" TargetMode="External"/><Relationship Id="rId97" Type="http://schemas.openxmlformats.org/officeDocument/2006/relationships/hyperlink" Target="http://www.sec.gov/Archives/edgar/data/1006045/000119312509070788/dex102.htm" TargetMode="External"/><Relationship Id="rId98" Type="http://schemas.openxmlformats.org/officeDocument/2006/relationships/hyperlink" Target="http://www.sec.gov/Archives/edgar/data/1006045/000156459014004861/irix-ex101_2014092780.htm" TargetMode="External"/><Relationship Id="rId99" Type="http://schemas.openxmlformats.org/officeDocument/2006/relationships/hyperlink" Target="http://www.sec.gov/Archives/edgar/data/1006045/000156459017007969/irix-ex101_6.htm" TargetMode="External"/><Relationship Id="rId100" Type="http://schemas.openxmlformats.org/officeDocument/2006/relationships/hyperlink" Target="http://www.sec.gov/Archives/edgar/data/1006045/000095013404006335/f98194dedef14a.htm#075" TargetMode="External"/><Relationship Id="rId101" Type="http://schemas.openxmlformats.org/officeDocument/2006/relationships/hyperlink" Target="http://www.sec.gov/Archives/edgar/data/1006045/000117494719000804/def14a-22001_irix.htm" TargetMode="External"/><Relationship Id="rId102" Type="http://schemas.openxmlformats.org/officeDocument/2006/relationships/hyperlink" Target="http://www.sec.gov/Archives/edgar/data/1006045/000119312508241322/dex991.htm" TargetMode="External"/><Relationship Id="rId103" Type="http://schemas.openxmlformats.org/officeDocument/2006/relationships/hyperlink" Target="http://www.sec.gov/Archives/edgar/data/1006045/000119312509159297/dex99d5.htm" TargetMode="External"/><Relationship Id="rId104" Type="http://schemas.openxmlformats.org/officeDocument/2006/relationships/hyperlink" Target="http://www.sec.gov/Archives/edgar/data/1006045/000089161807000540/f33502exv10w1.htm" TargetMode="External"/><Relationship Id="rId105" Type="http://schemas.openxmlformats.org/officeDocument/2006/relationships/hyperlink" Target="http://www.sec.gov/Archives/edgar/data/1006045/000119312511210538/dex101.htm" TargetMode="External"/><Relationship Id="rId108" Type="http://schemas.openxmlformats.org/officeDocument/2006/relationships/hyperlink" Target="http://www.sec.gov/Archives/edgar/data/1006045/000119312511210538/dex102.htm" TargetMode="External"/><Relationship Id="rId109" Type="http://schemas.openxmlformats.org/officeDocument/2006/relationships/hyperlink" Target="http://www.sec.gov/Archives/edgar/data/1006045/000119312513129386/d511173dex101.htm" TargetMode="External"/><Relationship Id="rId110" Type="http://schemas.openxmlformats.org/officeDocument/2006/relationships/hyperlink" Target="http://www.sec.gov/Archives/edgar/data/1006045/000156459014000015/irix-ex10_201401046.htm" TargetMode="External"/><Relationship Id="rId111" Type="http://schemas.openxmlformats.org/officeDocument/2006/relationships/hyperlink" Target="http://www.sec.gov/Archives/edgar/data/1006045/000156459015004035/irix-ex101_2015040457.htm" TargetMode="External"/><Relationship Id="rId112" Type="http://schemas.openxmlformats.org/officeDocument/2006/relationships/hyperlink" Target="http://www.sec.gov/Archives/edgar/data/1006045/000156459017024807/irix-ex101_6.htm" TargetMode="External"/><Relationship Id="rId113" Type="http://schemas.openxmlformats.org/officeDocument/2006/relationships/hyperlink" Target="http://www.sec.gov/Archives/edgar/data/1006045/000156459016021155/irix-ex103_7.htm" TargetMode="External"/><Relationship Id="rId114" Type="http://schemas.openxmlformats.org/officeDocument/2006/relationships/hyperlink" Target="http://www.sec.gov/Archives/edgar/data/1006045/000156459016027421/irix-ex101_40.htm" TargetMode="External"/><Relationship Id="rId115" Type="http://schemas.openxmlformats.org/officeDocument/2006/relationships/hyperlink" Target="http://www.sec.gov/Archives/edgar/data/1006045/000156459019022508/irix-ex101_6.htm" TargetMode="External"/><Relationship Id="rId116" Type="http://schemas.openxmlformats.org/officeDocument/2006/relationships/hyperlink" Target="http://www.sec.gov/Archives/edgar/data/1006045/000156459019038138/irix-ex101_7.htm" TargetMode="External"/><Relationship Id="rId117" Type="http://schemas.openxmlformats.org/officeDocument/2006/relationships/hyperlink" Target="http://www.sec.gov/Archives/edgar/data/1006045/000156459019038138/irix-ex102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2020-03-13T16:04:23Z</dcterms:created>
  <dcterms:modified xsi:type="dcterms:W3CDTF">2020-03-13T16:04:23Z</dcterms:modified>
</cp:coreProperties>
</file>