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121920</wp:posOffset>
            </wp:positionV>
            <wp:extent cx="14490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520" w:right="40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29, 2019</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1" w:lineRule="exact"/>
        <w:rPr>
          <w:sz w:val="24"/>
          <w:szCs w:val="24"/>
          <w:color w:val="auto"/>
        </w:rPr>
      </w:pPr>
    </w:p>
    <w:p>
      <w:pPr>
        <w:ind w:left="520" w:right="380" w:hanging="512"/>
        <w:spacing w:after="0" w:line="262" w:lineRule="auto"/>
        <w:tabs>
          <w:tab w:leader="none" w:pos="52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0" w:lineRule="exact"/>
        <w:rPr>
          <w:sz w:val="24"/>
          <w:szCs w:val="24"/>
          <w:color w:val="auto"/>
        </w:rPr>
      </w:pPr>
    </w:p>
    <w:p>
      <w:pPr>
        <w:ind w:left="3500"/>
        <w:spacing w:after="0"/>
        <w:tabs>
          <w:tab w:leader="none" w:pos="68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0-27598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105410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IRIDEX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4" w:lineRule="exact"/>
        <w:rPr>
          <w:sz w:val="24"/>
          <w:szCs w:val="24"/>
          <w:color w:val="auto"/>
        </w:rPr>
      </w:pPr>
    </w:p>
    <w:tbl>
      <w:tblPr>
        <w:tblLayout w:type="fixed"/>
        <w:tblInd w:w="1620" w:type="dxa"/>
        <w:tblCellMar>
          <w:top w:w="0" w:type="dxa"/>
          <w:left w:w="0" w:type="dxa"/>
          <w:bottom w:w="0" w:type="dxa"/>
          <w:right w:w="0" w:type="dxa"/>
        </w:tblCellMar>
      </w:tblPr>
      <w:tr>
        <w:trPr>
          <w:trHeight w:val="214"/>
        </w:trPr>
        <w:tc>
          <w:tcPr>
            <w:tcW w:w="4340" w:type="dxa"/>
            <w:vAlign w:val="bottom"/>
          </w:tcPr>
          <w:p>
            <w:pPr>
              <w:jc w:val="center"/>
              <w:ind w:right="187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380" w:type="dxa"/>
            <w:vAlign w:val="bottom"/>
          </w:tcPr>
          <w:p>
            <w:pPr>
              <w:jc w:val="center"/>
              <w:ind w:left="1861"/>
              <w:spacing w:after="0"/>
              <w:rPr>
                <w:sz w:val="20"/>
                <w:szCs w:val="20"/>
                <w:color w:val="auto"/>
              </w:rPr>
            </w:pPr>
            <w:r>
              <w:rPr>
                <w:rFonts w:ascii="Times New Roman" w:cs="Times New Roman" w:eastAsia="Times New Roman" w:hAnsi="Times New Roman"/>
                <w:sz w:val="18"/>
                <w:szCs w:val="18"/>
                <w:b w:val="1"/>
                <w:bCs w:val="1"/>
                <w:color w:val="auto"/>
              </w:rPr>
              <w:t>77-0210467</w:t>
            </w:r>
          </w:p>
        </w:tc>
      </w:tr>
      <w:tr>
        <w:trPr>
          <w:trHeight w:val="149"/>
        </w:trPr>
        <w:tc>
          <w:tcPr>
            <w:tcW w:w="4340" w:type="dxa"/>
            <w:vAlign w:val="bottom"/>
          </w:tcPr>
          <w:p>
            <w:pPr>
              <w:jc w:val="center"/>
              <w:ind w:right="18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380" w:type="dxa"/>
            <w:vAlign w:val="bottom"/>
          </w:tcPr>
          <w:p>
            <w:pPr>
              <w:jc w:val="center"/>
              <w:ind w:left="18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340" w:type="dxa"/>
            <w:vAlign w:val="bottom"/>
          </w:tcPr>
          <w:p>
            <w:pPr>
              <w:jc w:val="center"/>
              <w:ind w:right="187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380" w:type="dxa"/>
            <w:vAlign w:val="bottom"/>
          </w:tcPr>
          <w:p>
            <w:pPr>
              <w:jc w:val="center"/>
              <w:ind w:left="1881"/>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298"/>
        </w:trPr>
        <w:tc>
          <w:tcPr>
            <w:tcW w:w="4340" w:type="dxa"/>
            <w:vAlign w:val="bottom"/>
          </w:tcPr>
          <w:p>
            <w:pPr>
              <w:jc w:val="center"/>
              <w:ind w:right="1879"/>
              <w:spacing w:after="0"/>
              <w:rPr>
                <w:sz w:val="20"/>
                <w:szCs w:val="20"/>
                <w:color w:val="auto"/>
              </w:rPr>
            </w:pPr>
            <w:r>
              <w:rPr>
                <w:rFonts w:ascii="Times New Roman" w:cs="Times New Roman" w:eastAsia="Times New Roman" w:hAnsi="Times New Roman"/>
                <w:sz w:val="18"/>
                <w:szCs w:val="18"/>
                <w:b w:val="1"/>
                <w:bCs w:val="1"/>
                <w:color w:val="auto"/>
                <w:w w:val="99"/>
              </w:rPr>
              <w:t>1212 Terra Bella Avenue</w:t>
            </w:r>
          </w:p>
        </w:tc>
        <w:tc>
          <w:tcPr>
            <w:tcW w:w="3380" w:type="dxa"/>
            <w:vAlign w:val="bottom"/>
          </w:tcPr>
          <w:p>
            <w:pPr>
              <w:spacing w:after="0"/>
              <w:rPr>
                <w:sz w:val="24"/>
                <w:szCs w:val="24"/>
                <w:color w:val="auto"/>
              </w:rPr>
            </w:pPr>
          </w:p>
        </w:tc>
      </w:tr>
      <w:tr>
        <w:trPr>
          <w:trHeight w:val="214"/>
        </w:trPr>
        <w:tc>
          <w:tcPr>
            <w:tcW w:w="4340" w:type="dxa"/>
            <w:vAlign w:val="bottom"/>
          </w:tcPr>
          <w:p>
            <w:pPr>
              <w:jc w:val="center"/>
              <w:ind w:right="1879"/>
              <w:spacing w:after="0"/>
              <w:rPr>
                <w:sz w:val="20"/>
                <w:szCs w:val="20"/>
                <w:color w:val="auto"/>
              </w:rPr>
            </w:pPr>
            <w:r>
              <w:rPr>
                <w:rFonts w:ascii="Times New Roman" w:cs="Times New Roman" w:eastAsia="Times New Roman" w:hAnsi="Times New Roman"/>
                <w:sz w:val="18"/>
                <w:szCs w:val="18"/>
                <w:b w:val="1"/>
                <w:bCs w:val="1"/>
                <w:color w:val="auto"/>
                <w:w w:val="99"/>
              </w:rPr>
              <w:t>Mountain View, California</w:t>
            </w:r>
          </w:p>
        </w:tc>
        <w:tc>
          <w:tcPr>
            <w:tcW w:w="3380" w:type="dxa"/>
            <w:vAlign w:val="bottom"/>
          </w:tcPr>
          <w:p>
            <w:pPr>
              <w:jc w:val="center"/>
              <w:ind w:left="1861"/>
              <w:spacing w:after="0"/>
              <w:rPr>
                <w:sz w:val="20"/>
                <w:szCs w:val="20"/>
                <w:color w:val="auto"/>
              </w:rPr>
            </w:pPr>
            <w:r>
              <w:rPr>
                <w:rFonts w:ascii="Times New Roman" w:cs="Times New Roman" w:eastAsia="Times New Roman" w:hAnsi="Times New Roman"/>
                <w:sz w:val="18"/>
                <w:szCs w:val="18"/>
                <w:b w:val="1"/>
                <w:bCs w:val="1"/>
                <w:color w:val="auto"/>
              </w:rPr>
              <w:t>94043-1824</w:t>
            </w:r>
          </w:p>
        </w:tc>
      </w:tr>
      <w:tr>
        <w:trPr>
          <w:trHeight w:val="190"/>
        </w:trPr>
        <w:tc>
          <w:tcPr>
            <w:tcW w:w="4340" w:type="dxa"/>
            <w:vAlign w:val="bottom"/>
          </w:tcPr>
          <w:p>
            <w:pPr>
              <w:jc w:val="center"/>
              <w:ind w:right="18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380" w:type="dxa"/>
            <w:vAlign w:val="bottom"/>
          </w:tcPr>
          <w:p>
            <w:pPr>
              <w:jc w:val="center"/>
              <w:ind w:left="18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940-4700</w:t>
      </w:r>
    </w:p>
    <w:p>
      <w:pPr>
        <w:spacing w:after="0" w:line="146"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4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80" w:type="dxa"/>
            <w:vAlign w:val="bottom"/>
            <w:tcBorders>
              <w:top w:val="single" w:sz="8" w:color="auto"/>
            </w:tcBorders>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456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8"/>
              </w:rPr>
              <w:t>Title of Class</w:t>
            </w:r>
          </w:p>
        </w:tc>
        <w:tc>
          <w:tcPr>
            <w:tcW w:w="22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Trading Symbol</w:t>
            </w: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Exchange on Which Registered</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vMerge w:val="continue"/>
          </w:tcPr>
          <w:p>
            <w:pPr>
              <w:spacing w:after="0"/>
              <w:rPr>
                <w:sz w:val="19"/>
                <w:szCs w:val="19"/>
                <w:color w:val="auto"/>
              </w:rPr>
            </w:pPr>
          </w:p>
        </w:tc>
        <w:tc>
          <w:tcPr>
            <w:tcW w:w="680" w:type="dxa"/>
            <w:vAlign w:val="bottom"/>
          </w:tcPr>
          <w:p>
            <w:pPr>
              <w:spacing w:after="0"/>
              <w:rPr>
                <w:sz w:val="19"/>
                <w:szCs w:val="19"/>
                <w:color w:val="auto"/>
              </w:rPr>
            </w:pPr>
          </w:p>
        </w:tc>
        <w:tc>
          <w:tcPr>
            <w:tcW w:w="22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IRIX</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c>
          <w:tcPr>
            <w:tcW w:w="0" w:type="dxa"/>
            <w:vAlign w:val="bottom"/>
          </w:tcPr>
          <w:p>
            <w:pPr>
              <w:spacing w:after="0"/>
              <w:rPr>
                <w:sz w:val="1"/>
                <w:szCs w:val="1"/>
                <w:color w:val="auto"/>
              </w:rPr>
            </w:pPr>
          </w:p>
        </w:tc>
      </w:tr>
    </w:tbl>
    <w:p>
      <w:pPr>
        <w:spacing w:after="0" w:line="71" w:lineRule="exact"/>
        <w:rPr>
          <w:sz w:val="24"/>
          <w:szCs w:val="24"/>
          <w:color w:val="auto"/>
        </w:rPr>
      </w:pPr>
    </w:p>
    <w:p>
      <w:pPr>
        <w:ind w:right="4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4" w:lineRule="exact"/>
        <w:rPr>
          <w:sz w:val="24"/>
          <w:szCs w:val="24"/>
          <w:color w:val="auto"/>
        </w:rPr>
      </w:pPr>
    </w:p>
    <w:p>
      <w:pPr>
        <w:ind w:right="5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70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Accelerated filer</w:t>
            </w:r>
          </w:p>
        </w:tc>
        <w:tc>
          <w:tcPr>
            <w:tcW w:w="1120" w:type="dxa"/>
            <w:vAlign w:val="bottom"/>
          </w:tcPr>
          <w:p>
            <w:pPr>
              <w:ind w:left="9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70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120" w:type="dxa"/>
            <w:vAlign w:val="bottom"/>
          </w:tcPr>
          <w:p>
            <w:pPr>
              <w:ind w:left="9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65"/>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70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line="43"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 w:lineRule="exact"/>
        <w:rPr>
          <w:sz w:val="24"/>
          <w:szCs w:val="24"/>
          <w:color w:val="auto"/>
        </w:rPr>
      </w:pPr>
    </w:p>
    <w:p>
      <w:pPr>
        <w:ind w:right="1760"/>
        <w:spacing w:after="0" w:line="28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shares of common stock, $0.01 par value, issued and outstanding as of July 25, 2019 was 13,757,890.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640080</wp:posOffset>
            </wp:positionV>
            <wp:extent cx="72891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81" w:right="2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6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Items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91"/>
        </w:trPr>
        <w:tc>
          <w:tcPr>
            <w:tcW w:w="29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8"/>
              </w:rPr>
            </w:pPr>
            <w:hyperlink w:anchor="page3">
              <w:r>
                <w:rPr>
                  <w:rFonts w:ascii="Times New Roman" w:cs="Times New Roman" w:eastAsia="Times New Roman" w:hAnsi="Times New Roman"/>
                  <w:sz w:val="18"/>
                  <w:szCs w:val="18"/>
                  <w:color w:val="0000EE"/>
                  <w:w w:val="98"/>
                </w:rPr>
                <w:t>PART I. FINANCIAL INFORMATION</w:t>
              </w:r>
            </w:hyperlink>
          </w:p>
        </w:tc>
        <w:tc>
          <w:tcPr>
            <w:tcW w:w="7740" w:type="dxa"/>
            <w:vAlign w:val="bottom"/>
            <w:gridSpan w:val="12"/>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45"/>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00" w:type="dxa"/>
            <w:vAlign w:val="bottom"/>
          </w:tcPr>
          <w:p>
            <w:pPr>
              <w:spacing w:after="0"/>
              <w:rPr>
                <w:sz w:val="24"/>
                <w:szCs w:val="24"/>
                <w:color w:val="auto"/>
              </w:rPr>
            </w:pPr>
          </w:p>
        </w:tc>
        <w:tc>
          <w:tcPr>
            <w:tcW w:w="9580" w:type="dxa"/>
            <w:vAlign w:val="bottom"/>
            <w:gridSpan w:val="20"/>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Financial Statements (Unaudited)</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45"/>
        </w:trPr>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9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Unaudited Condensed Consolidated Balance Sheets as of June 29, 2019 and December 29, 2018</w:t>
              </w:r>
            </w:hyperlink>
          </w:p>
        </w:tc>
        <w:tc>
          <w:tcPr>
            <w:tcW w:w="2640" w:type="dxa"/>
            <w:vAlign w:val="bottom"/>
            <w:gridSpan w:val="5"/>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45"/>
        </w:trPr>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1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7"/>
              </w:rPr>
            </w:pPr>
            <w:hyperlink w:anchor="page4">
              <w:r>
                <w:rPr>
                  <w:rFonts w:ascii="Times New Roman" w:cs="Times New Roman" w:eastAsia="Times New Roman" w:hAnsi="Times New Roman"/>
                  <w:sz w:val="18"/>
                  <w:szCs w:val="18"/>
                  <w:color w:val="0000EE"/>
                  <w:w w:val="97"/>
                </w:rPr>
                <w:t>Unaudited Condensed Consolidated Statements of Operations for the three and six months ended June 29, 2019 and June 30, 2018</w:t>
              </w:r>
            </w:hyperlink>
          </w:p>
        </w:tc>
        <w:tc>
          <w:tcPr>
            <w:tcW w:w="400" w:type="dxa"/>
            <w:vAlign w:val="bottom"/>
            <w:gridSpan w:val="3"/>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18"/>
        </w:trPr>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580" w:type="dxa"/>
            <w:vAlign w:val="bottom"/>
            <w:gridSpan w:val="20"/>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Unaudited Condensed Consolidated Statements of Comprehensive Loss for the three and six months ended June 29, 2019 and June</w:t>
              </w:r>
            </w:hyperlink>
          </w:p>
        </w:tc>
        <w:tc>
          <w:tcPr>
            <w:tcW w:w="780" w:type="dxa"/>
            <w:vAlign w:val="bottom"/>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w:anchor="page5">
              <w:r>
                <w:rPr>
                  <w:rFonts w:ascii="Times New Roman" w:cs="Times New Roman" w:eastAsia="Times New Roman" w:hAnsi="Times New Roman"/>
                  <w:sz w:val="18"/>
                  <w:szCs w:val="18"/>
                  <w:color w:val="0000EE"/>
                  <w:w w:val="98"/>
                </w:rPr>
                <w:t>30, 2018</w:t>
              </w:r>
            </w:hyperlink>
          </w:p>
        </w:tc>
        <w:tc>
          <w:tcPr>
            <w:tcW w:w="2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66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8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318"/>
        </w:trPr>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580" w:type="dxa"/>
            <w:vAlign w:val="bottom"/>
            <w:gridSpan w:val="20"/>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Unaudited Condensed Consolidated Statements of Stockholder's Equity for the three and six months ended June 29, 2019 and June</w:t>
              </w:r>
            </w:hyperlink>
          </w:p>
        </w:tc>
        <w:tc>
          <w:tcPr>
            <w:tcW w:w="780" w:type="dxa"/>
            <w:vAlign w:val="bottom"/>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w:anchor="page6">
              <w:r>
                <w:rPr>
                  <w:rFonts w:ascii="Times New Roman" w:cs="Times New Roman" w:eastAsia="Times New Roman" w:hAnsi="Times New Roman"/>
                  <w:sz w:val="18"/>
                  <w:szCs w:val="18"/>
                  <w:color w:val="0000EE"/>
                  <w:w w:val="98"/>
                </w:rPr>
                <w:t>30, 2018</w:t>
              </w:r>
            </w:hyperlink>
          </w:p>
        </w:tc>
        <w:tc>
          <w:tcPr>
            <w:tcW w:w="2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66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8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345"/>
        </w:trPr>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580" w:type="dxa"/>
            <w:vAlign w:val="bottom"/>
            <w:gridSpan w:val="20"/>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Unaudited Condensed Consolidated Statements of Cash Flows for the six months ended June 29, 2019 and June 30, 2018</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45"/>
        </w:trPr>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0" w:type="dxa"/>
            <w:vAlign w:val="bottom"/>
            <w:tcBorders>
              <w:top w:val="single" w:sz="8" w:color="0000EE"/>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8">
              <w:r>
                <w:rPr>
                  <w:rFonts w:ascii="Times New Roman" w:cs="Times New Roman" w:eastAsia="Times New Roman" w:hAnsi="Times New Roman"/>
                  <w:sz w:val="18"/>
                  <w:szCs w:val="18"/>
                  <w:color w:val="0000EE"/>
                  <w:w w:val="99"/>
                </w:rPr>
                <w:t>Notes to Unaudited Condensed Consolidated Financial Statements</w:t>
              </w:r>
            </w:hyperlink>
          </w:p>
        </w:tc>
        <w:tc>
          <w:tcPr>
            <w:tcW w:w="3940" w:type="dxa"/>
            <w:vAlign w:val="bottom"/>
            <w:tcBorders>
              <w:top w:val="single" w:sz="8" w:color="0000EE"/>
            </w:tcBorders>
            <w:gridSpan w:val="3"/>
          </w:tcPr>
          <w:p>
            <w:pPr>
              <w:spacing w:after="0"/>
              <w:rPr>
                <w:sz w:val="24"/>
                <w:szCs w:val="24"/>
                <w:color w:val="auto"/>
              </w:rPr>
            </w:pPr>
          </w:p>
        </w:tc>
        <w:tc>
          <w:tcPr>
            <w:tcW w:w="840" w:type="dxa"/>
            <w:vAlign w:val="bottom"/>
            <w:gridSpan w:val="4"/>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45"/>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100" w:type="dxa"/>
            <w:vAlign w:val="bottom"/>
          </w:tcPr>
          <w:p>
            <w:pPr>
              <w:spacing w:after="0"/>
              <w:rPr>
                <w:sz w:val="24"/>
                <w:szCs w:val="24"/>
                <w:color w:val="auto"/>
              </w:rPr>
            </w:pPr>
          </w:p>
        </w:tc>
        <w:tc>
          <w:tcPr>
            <w:tcW w:w="9580" w:type="dxa"/>
            <w:vAlign w:val="bottom"/>
            <w:gridSpan w:val="20"/>
          </w:tcPr>
          <w:p>
            <w:pPr>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Management’s Discussion and Analysis of Financial Condition and Results of Operations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45"/>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100" w:type="dxa"/>
            <w:vAlign w:val="bottom"/>
          </w:tcPr>
          <w:p>
            <w:pPr>
              <w:spacing w:after="0"/>
              <w:rPr>
                <w:sz w:val="24"/>
                <w:szCs w:val="24"/>
                <w:color w:val="auto"/>
              </w:rPr>
            </w:pPr>
          </w:p>
        </w:tc>
        <w:tc>
          <w:tcPr>
            <w:tcW w:w="4320" w:type="dxa"/>
            <w:vAlign w:val="bottom"/>
            <w:tcBorders>
              <w:top w:val="single" w:sz="8" w:color="0000EE"/>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22">
              <w:r>
                <w:rPr>
                  <w:rFonts w:ascii="Times New Roman" w:cs="Times New Roman" w:eastAsia="Times New Roman" w:hAnsi="Times New Roman"/>
                  <w:sz w:val="18"/>
                  <w:szCs w:val="18"/>
                  <w:color w:val="0000EE"/>
                  <w:w w:val="99"/>
                </w:rPr>
                <w:t>Quantitative and Qualitative Disclosures about Market Risk</w:t>
              </w:r>
            </w:hyperlink>
          </w:p>
        </w:tc>
        <w:tc>
          <w:tcPr>
            <w:tcW w:w="2140" w:type="dxa"/>
            <w:vAlign w:val="bottom"/>
            <w:tcBorders>
              <w:top w:val="single" w:sz="8" w:color="0000EE"/>
            </w:tcBorders>
            <w:gridSpan w:val="3"/>
          </w:tcPr>
          <w:p>
            <w:pPr>
              <w:spacing w:after="0"/>
              <w:rPr>
                <w:sz w:val="24"/>
                <w:szCs w:val="24"/>
                <w:color w:val="auto"/>
              </w:rPr>
            </w:pPr>
          </w:p>
        </w:tc>
        <w:tc>
          <w:tcPr>
            <w:tcW w:w="3120" w:type="dxa"/>
            <w:vAlign w:val="bottom"/>
            <w:gridSpan w:val="6"/>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45"/>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00" w:type="dxa"/>
            <w:vAlign w:val="bottom"/>
          </w:tcPr>
          <w:p>
            <w:pPr>
              <w:spacing w:after="0"/>
              <w:rPr>
                <w:sz w:val="24"/>
                <w:szCs w:val="24"/>
                <w:color w:val="auto"/>
              </w:rPr>
            </w:pPr>
          </w:p>
        </w:tc>
        <w:tc>
          <w:tcPr>
            <w:tcW w:w="178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23">
              <w:r>
                <w:rPr>
                  <w:rFonts w:ascii="Times New Roman" w:cs="Times New Roman" w:eastAsia="Times New Roman" w:hAnsi="Times New Roman"/>
                  <w:sz w:val="18"/>
                  <w:szCs w:val="18"/>
                  <w:color w:val="0000EE"/>
                  <w:w w:val="99"/>
                </w:rPr>
                <w:t>Controls and Procedures</w:t>
              </w:r>
            </w:hyperlink>
          </w:p>
        </w:tc>
        <w:tc>
          <w:tcPr>
            <w:tcW w:w="7800" w:type="dxa"/>
            <w:vAlign w:val="bottom"/>
            <w:gridSpan w:val="13"/>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18"/>
        </w:trPr>
        <w:tc>
          <w:tcPr>
            <w:tcW w:w="10640" w:type="dxa"/>
            <w:vAlign w:val="bottom"/>
            <w:gridSpan w:val="23"/>
          </w:tcPr>
          <w:p>
            <w:pPr>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PART II. OTHER INFORMATION</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45"/>
        </w:trPr>
        <w:tc>
          <w:tcPr>
            <w:tcW w:w="96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00" w:type="dxa"/>
            <w:vAlign w:val="bottom"/>
            <w:tcBorders>
              <w:top w:val="single" w:sz="8" w:color="0000EE"/>
            </w:tcBorders>
          </w:tcPr>
          <w:p>
            <w:pPr>
              <w:spacing w:after="0"/>
              <w:rPr>
                <w:sz w:val="24"/>
                <w:szCs w:val="24"/>
                <w:color w:val="auto"/>
              </w:rPr>
            </w:pPr>
          </w:p>
        </w:tc>
        <w:tc>
          <w:tcPr>
            <w:tcW w:w="134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8"/>
                <w:szCs w:val="18"/>
                <w:color w:val="0000EE"/>
                <w:w w:val="98"/>
              </w:rPr>
            </w:pPr>
            <w:hyperlink w:anchor="page24">
              <w:r>
                <w:rPr>
                  <w:rFonts w:ascii="Times New Roman" w:cs="Times New Roman" w:eastAsia="Times New Roman" w:hAnsi="Times New Roman"/>
                  <w:sz w:val="18"/>
                  <w:szCs w:val="18"/>
                  <w:color w:val="0000EE"/>
                  <w:w w:val="98"/>
                </w:rPr>
                <w:t>Legal Proceedings</w:t>
              </w:r>
            </w:hyperlink>
          </w:p>
        </w:tc>
        <w:tc>
          <w:tcPr>
            <w:tcW w:w="180" w:type="dxa"/>
            <w:vAlign w:val="bottom"/>
            <w:tcBorders>
              <w:top w:val="single" w:sz="8" w:color="0000EE"/>
            </w:tcBorders>
          </w:tcPr>
          <w:p>
            <w:pPr>
              <w:spacing w:after="0"/>
              <w:rPr>
                <w:sz w:val="24"/>
                <w:szCs w:val="24"/>
                <w:color w:val="auto"/>
              </w:rPr>
            </w:pPr>
          </w:p>
        </w:tc>
        <w:tc>
          <w:tcPr>
            <w:tcW w:w="8060" w:type="dxa"/>
            <w:vAlign w:val="bottom"/>
            <w:gridSpan w:val="14"/>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45"/>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100" w:type="dxa"/>
            <w:vAlign w:val="bottom"/>
          </w:tcPr>
          <w:p>
            <w:pPr>
              <w:spacing w:after="0"/>
              <w:rPr>
                <w:sz w:val="24"/>
                <w:szCs w:val="24"/>
                <w:color w:val="auto"/>
              </w:rPr>
            </w:pPr>
          </w:p>
        </w:tc>
        <w:tc>
          <w:tcPr>
            <w:tcW w:w="9580" w:type="dxa"/>
            <w:vAlign w:val="bottom"/>
            <w:gridSpan w:val="20"/>
          </w:tcPr>
          <w:p>
            <w:pPr>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Risk Factors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22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45"/>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100" w:type="dxa"/>
            <w:vAlign w:val="bottom"/>
          </w:tcPr>
          <w:p>
            <w:pPr>
              <w:spacing w:after="0"/>
              <w:rPr>
                <w:sz w:val="24"/>
                <w:szCs w:val="24"/>
                <w:color w:val="auto"/>
              </w:rPr>
            </w:pPr>
          </w:p>
        </w:tc>
        <w:tc>
          <w:tcPr>
            <w:tcW w:w="43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39">
              <w:r>
                <w:rPr>
                  <w:rFonts w:ascii="Times New Roman" w:cs="Times New Roman" w:eastAsia="Times New Roman" w:hAnsi="Times New Roman"/>
                  <w:sz w:val="18"/>
                  <w:szCs w:val="18"/>
                  <w:color w:val="0000EE"/>
                  <w:w w:val="99"/>
                </w:rPr>
                <w:t>Unregistered Sales of Equity Securities and Use of Proceeds</w:t>
              </w:r>
            </w:hyperlink>
          </w:p>
        </w:tc>
        <w:tc>
          <w:tcPr>
            <w:tcW w:w="5220" w:type="dxa"/>
            <w:vAlign w:val="bottom"/>
            <w:gridSpan w:val="8"/>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45"/>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100" w:type="dxa"/>
            <w:vAlign w:val="bottom"/>
          </w:tcPr>
          <w:p>
            <w:pPr>
              <w:spacing w:after="0"/>
              <w:rPr>
                <w:sz w:val="24"/>
                <w:szCs w:val="24"/>
                <w:color w:val="auto"/>
              </w:rPr>
            </w:pPr>
          </w:p>
        </w:tc>
        <w:tc>
          <w:tcPr>
            <w:tcW w:w="9580" w:type="dxa"/>
            <w:vAlign w:val="bottom"/>
            <w:gridSpan w:val="20"/>
          </w:tcPr>
          <w:p>
            <w:pPr>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Defaults Upon Senior Securities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45"/>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00" w:type="dxa"/>
            <w:vAlign w:val="bottom"/>
          </w:tcPr>
          <w:p>
            <w:pPr>
              <w:spacing w:after="0"/>
              <w:rPr>
                <w:sz w:val="24"/>
                <w:szCs w:val="24"/>
                <w:color w:val="auto"/>
              </w:rPr>
            </w:pPr>
          </w:p>
        </w:tc>
        <w:tc>
          <w:tcPr>
            <w:tcW w:w="178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39">
              <w:r>
                <w:rPr>
                  <w:rFonts w:ascii="Times New Roman" w:cs="Times New Roman" w:eastAsia="Times New Roman" w:hAnsi="Times New Roman"/>
                  <w:sz w:val="18"/>
                  <w:szCs w:val="18"/>
                  <w:color w:val="0000EE"/>
                  <w:w w:val="99"/>
                </w:rPr>
                <w:t>Mine Safety Disclosures</w:t>
              </w:r>
            </w:hyperlink>
          </w:p>
        </w:tc>
        <w:tc>
          <w:tcPr>
            <w:tcW w:w="540" w:type="dxa"/>
            <w:vAlign w:val="bottom"/>
            <w:tcBorders>
              <w:top w:val="single" w:sz="8" w:color="0000EE"/>
            </w:tcBorders>
            <w:gridSpan w:val="2"/>
          </w:tcPr>
          <w:p>
            <w:pPr>
              <w:spacing w:after="0"/>
              <w:rPr>
                <w:sz w:val="24"/>
                <w:szCs w:val="24"/>
                <w:color w:val="auto"/>
              </w:rPr>
            </w:pPr>
          </w:p>
        </w:tc>
        <w:tc>
          <w:tcPr>
            <w:tcW w:w="7260" w:type="dxa"/>
            <w:vAlign w:val="bottom"/>
            <w:gridSpan w:val="11"/>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45"/>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00" w:type="dxa"/>
            <w:vAlign w:val="bottom"/>
          </w:tcPr>
          <w:p>
            <w:pPr>
              <w:spacing w:after="0"/>
              <w:rPr>
                <w:sz w:val="24"/>
                <w:szCs w:val="24"/>
                <w:color w:val="auto"/>
              </w:rPr>
            </w:pPr>
          </w:p>
        </w:tc>
        <w:tc>
          <w:tcPr>
            <w:tcW w:w="132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8"/>
              </w:rPr>
            </w:pPr>
            <w:hyperlink w:anchor="page39">
              <w:r>
                <w:rPr>
                  <w:rFonts w:ascii="Times New Roman" w:cs="Times New Roman" w:eastAsia="Times New Roman" w:hAnsi="Times New Roman"/>
                  <w:sz w:val="18"/>
                  <w:szCs w:val="18"/>
                  <w:color w:val="0000EE"/>
                  <w:w w:val="98"/>
                </w:rPr>
                <w:t>Other Information</w:t>
              </w:r>
            </w:hyperlink>
          </w:p>
        </w:tc>
        <w:tc>
          <w:tcPr>
            <w:tcW w:w="8260" w:type="dxa"/>
            <w:vAlign w:val="bottom"/>
            <w:gridSpan w:val="16"/>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45"/>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00" w:type="dxa"/>
            <w:vAlign w:val="bottom"/>
          </w:tcPr>
          <w:p>
            <w:pPr>
              <w:spacing w:after="0"/>
              <w:rPr>
                <w:sz w:val="24"/>
                <w:szCs w:val="24"/>
                <w:color w:val="auto"/>
              </w:rPr>
            </w:pPr>
          </w:p>
        </w:tc>
        <w:tc>
          <w:tcPr>
            <w:tcW w:w="9580" w:type="dxa"/>
            <w:vAlign w:val="bottom"/>
            <w:gridSpan w:val="20"/>
          </w:tcPr>
          <w:p>
            <w:pPr>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Exhibits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18"/>
        </w:trPr>
        <w:tc>
          <w:tcPr>
            <w:tcW w:w="960" w:type="dxa"/>
            <w:vAlign w:val="bottom"/>
            <w:gridSpan w:val="2"/>
          </w:tcPr>
          <w:p>
            <w:pPr>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Signature</w:t>
              </w:r>
            </w:hyperlink>
            <w:r>
              <w:rPr>
                <w:rFonts w:ascii="Times New Roman" w:cs="Times New Roman" w:eastAsia="Times New Roman" w:hAnsi="Times New Roman"/>
                <w:sz w:val="18"/>
                <w:szCs w:val="18"/>
                <w:color w:val="000000"/>
              </w:rPr>
              <w:t>s</w:t>
            </w:r>
          </w:p>
        </w:tc>
        <w:tc>
          <w:tcPr>
            <w:tcW w:w="10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0"/>
        </w:trPr>
        <w:tc>
          <w:tcPr>
            <w:tcW w:w="760" w:type="dxa"/>
            <w:vAlign w:val="bottom"/>
            <w:tcBorders>
              <w:right w:val="single" w:sz="8" w:color="auto"/>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IRIDEX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data)</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June 29, 2019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29, 2018 (1)</w:t>
            </w:r>
          </w:p>
        </w:tc>
        <w:tc>
          <w:tcPr>
            <w:tcW w:w="0" w:type="dxa"/>
            <w:vAlign w:val="bottom"/>
          </w:tcPr>
          <w:p>
            <w:pPr>
              <w:spacing w:after="0"/>
              <w:rPr>
                <w:sz w:val="1"/>
                <w:szCs w:val="1"/>
                <w:color w:val="auto"/>
              </w:rPr>
            </w:pPr>
          </w:p>
        </w:tc>
      </w:tr>
      <w:tr>
        <w:trPr>
          <w:trHeight w:val="223"/>
        </w:trPr>
        <w:tc>
          <w:tcPr>
            <w:tcW w:w="6840" w:type="dxa"/>
            <w:vAlign w:val="bottom"/>
            <w:tcBorders>
              <w:top w:val="single" w:sz="8" w:color="CFF0FC"/>
            </w:tcBorders>
            <w:shd w:val="clear" w:color="auto" w:fill="CFF0FC"/>
          </w:tcPr>
          <w:p>
            <w:pPr>
              <w:ind w:left="35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15,633</w:t>
            </w:r>
          </w:p>
        </w:tc>
        <w:tc>
          <w:tcPr>
            <w:tcW w:w="18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$205 as of June 29, 2019 and $213 as of December 29, 2018</w:t>
            </w: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Inventories</w:t>
            </w: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33,283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0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38,485</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41,672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40" w:type="dxa"/>
            <w:vAlign w:val="bottom"/>
            <w:vMerge w:val="restart"/>
          </w:tcPr>
          <w:p>
            <w:pPr>
              <w:ind w:left="190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4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12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1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compensation</w:t>
            </w: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expenses</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warranty</w:t>
            </w: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revenue</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warranty</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Deferred revenue</w:t>
            </w: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0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12,856</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Preferred stock, $0.01 par value, 2,000,000 shares authorized, no shares</w:t>
            </w: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issued and outstanding</w:t>
            </w:r>
          </w:p>
        </w:tc>
        <w:tc>
          <w:tcPr>
            <w:tcW w:w="10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Authorized: 30,000,000 shares;</w:t>
            </w: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Issued and outstanding 13,746,959 and 13,602,052 shares</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as of June 29, 2019 and December 29, 2018, respectively</w:t>
            </w: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72,685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(47,269)</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(41,802)</w:t>
            </w:r>
          </w:p>
        </w:tc>
        <w:tc>
          <w:tcPr>
            <w:tcW w:w="0" w:type="dxa"/>
            <w:vAlign w:val="bottom"/>
          </w:tcPr>
          <w:p>
            <w:pPr>
              <w:spacing w:after="0"/>
              <w:rPr>
                <w:sz w:val="1"/>
                <w:szCs w:val="1"/>
                <w:color w:val="auto"/>
              </w:rPr>
            </w:pPr>
          </w:p>
        </w:tc>
      </w:tr>
      <w:tr>
        <w:trPr>
          <w:trHeight w:val="223"/>
        </w:trPr>
        <w:tc>
          <w:tcPr>
            <w:tcW w:w="6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25,629</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29,961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38,485</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41,672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520" w:right="620" w:hanging="512"/>
        <w:spacing w:after="0" w:line="282"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Derived from the audited consolidated financial statements included in the Annual Report on Form 10-K filed with the SEC for the year ended December 29, 2018.</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IRIDEX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data)</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8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60" w:type="dxa"/>
            <w:vAlign w:val="bottom"/>
            <w:gridSpan w:val="6"/>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56"/>
        </w:trPr>
        <w:tc>
          <w:tcPr>
            <w:tcW w:w="49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tcPr>
          <w:p>
            <w:pPr>
              <w:jc w:val="right"/>
              <w:ind w:right="420"/>
              <w:spacing w:after="0" w:line="155" w:lineRule="exact"/>
              <w:rPr>
                <w:sz w:val="20"/>
                <w:szCs w:val="20"/>
                <w:color w:val="auto"/>
              </w:rPr>
            </w:pPr>
            <w:r>
              <w:rPr>
                <w:rFonts w:ascii="Times New Roman" w:cs="Times New Roman" w:eastAsia="Times New Roman" w:hAnsi="Times New Roman"/>
                <w:sz w:val="14"/>
                <w:szCs w:val="14"/>
                <w:b w:val="1"/>
                <w:bCs w:val="1"/>
                <w:color w:val="auto"/>
              </w:rPr>
              <w:t>June 29, 2019</w:t>
            </w: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71"/>
              <w:spacing w:after="0" w:line="155" w:lineRule="exact"/>
              <w:rPr>
                <w:sz w:val="20"/>
                <w:szCs w:val="20"/>
                <w:color w:val="auto"/>
              </w:rPr>
            </w:pPr>
            <w:r>
              <w:rPr>
                <w:rFonts w:ascii="Times New Roman" w:cs="Times New Roman" w:eastAsia="Times New Roman" w:hAnsi="Times New Roman"/>
                <w:sz w:val="14"/>
                <w:szCs w:val="14"/>
                <w:b w:val="1"/>
                <w:bCs w:val="1"/>
                <w:color w:val="auto"/>
              </w:rPr>
              <w:t>June 30, 2018</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jc w:val="right"/>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June 29, 2019</w:t>
            </w: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91"/>
              <w:spacing w:after="0" w:line="155" w:lineRule="exact"/>
              <w:rPr>
                <w:sz w:val="20"/>
                <w:szCs w:val="20"/>
                <w:color w:val="auto"/>
              </w:rPr>
            </w:pPr>
            <w:r>
              <w:rPr>
                <w:rFonts w:ascii="Times New Roman" w:cs="Times New Roman" w:eastAsia="Times New Roman" w:hAnsi="Times New Roman"/>
                <w:sz w:val="14"/>
                <w:szCs w:val="14"/>
                <w:b w:val="1"/>
                <w:bCs w:val="1"/>
                <w:color w:val="auto"/>
              </w:rPr>
              <w:t>June 30, 2018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9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9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10,426</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10,304</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21,021</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19,813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9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5,877</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6,036</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12,215</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9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4,549</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Sales and marketing</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9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7,017</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7,550</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14,310</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9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 before provision for income taxes</w:t>
            </w: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(3,280)</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(5,467)</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(0.18)</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(0.28)</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(0.40)</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(0.59)</w:t>
            </w:r>
          </w:p>
        </w:tc>
        <w:tc>
          <w:tcPr>
            <w:tcW w:w="0" w:type="dxa"/>
            <w:vAlign w:val="bottom"/>
          </w:tcPr>
          <w:p>
            <w:pPr>
              <w:spacing w:after="0"/>
              <w:rPr>
                <w:sz w:val="1"/>
                <w:szCs w:val="1"/>
                <w:color w:val="auto"/>
              </w:rPr>
            </w:pPr>
          </w:p>
        </w:tc>
      </w:tr>
      <w:tr>
        <w:trPr>
          <w:trHeight w:val="20"/>
        </w:trPr>
        <w:tc>
          <w:tcPr>
            <w:tcW w:w="4980" w:type="dxa"/>
            <w:vAlign w:val="bottom"/>
            <w:tcBorders>
              <w:top w:val="single" w:sz="8" w:color="CFF0FC"/>
              <w:bottom w:val="single" w:sz="8" w:color="CFF0FC"/>
            </w:tcBorders>
            <w:vMerge w:val="restart"/>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9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FF0FC"/>
            </w:tcBorders>
            <w:vMerge w:val="continue"/>
          </w:tcPr>
          <w:p>
            <w:pPr>
              <w:spacing w:after="0"/>
              <w:rPr>
                <w:sz w:val="21"/>
                <w:szCs w:val="21"/>
                <w:color w:val="auto"/>
              </w:rPr>
            </w:pPr>
          </w:p>
        </w:tc>
        <w:tc>
          <w:tcPr>
            <w:tcW w:w="96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26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4980" w:type="dxa"/>
            <w:vAlign w:val="bottom"/>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Weighted average shares used in computing net loss</w:t>
            </w:r>
          </w:p>
        </w:tc>
        <w:tc>
          <w:tcPr>
            <w:tcW w:w="9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per common share:</w:t>
            </w:r>
          </w:p>
        </w:tc>
        <w:tc>
          <w:tcPr>
            <w:tcW w:w="9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9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960" w:type="dxa"/>
            <w:vAlign w:val="bottom"/>
            <w:tcBorders>
              <w:bottom w:val="single" w:sz="8" w:color="CFF0FC"/>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13,648</w:t>
            </w:r>
          </w:p>
        </w:tc>
        <w:tc>
          <w:tcPr>
            <w:tcW w:w="260" w:type="dxa"/>
            <w:vAlign w:val="bottom"/>
            <w:tcBorders>
              <w:bottom w:val="single" w:sz="8" w:color="CFF0FC"/>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11,644</w:t>
            </w:r>
          </w:p>
        </w:tc>
        <w:tc>
          <w:tcPr>
            <w:tcW w:w="14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13,639</w:t>
            </w:r>
          </w:p>
        </w:tc>
        <w:tc>
          <w:tcPr>
            <w:tcW w:w="16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11,636</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9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9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13,648</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11,644</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13,639</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IRIDEX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8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6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56"/>
        </w:trPr>
        <w:tc>
          <w:tcPr>
            <w:tcW w:w="59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jc w:val="right"/>
              <w:ind w:right="400"/>
              <w:spacing w:after="0" w:line="155" w:lineRule="exact"/>
              <w:rPr>
                <w:sz w:val="20"/>
                <w:szCs w:val="20"/>
                <w:color w:val="auto"/>
              </w:rPr>
            </w:pPr>
            <w:r>
              <w:rPr>
                <w:rFonts w:ascii="Times New Roman" w:cs="Times New Roman" w:eastAsia="Times New Roman" w:hAnsi="Times New Roman"/>
                <w:sz w:val="14"/>
                <w:szCs w:val="14"/>
                <w:b w:val="1"/>
                <w:bCs w:val="1"/>
                <w:color w:val="auto"/>
              </w:rPr>
              <w:t>June 29, 2019</w:t>
            </w:r>
          </w:p>
        </w:tc>
        <w:tc>
          <w:tcPr>
            <w:tcW w:w="1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74"/>
              <w:spacing w:after="0" w:line="155" w:lineRule="exact"/>
              <w:rPr>
                <w:sz w:val="20"/>
                <w:szCs w:val="20"/>
                <w:color w:val="auto"/>
              </w:rPr>
            </w:pPr>
            <w:r>
              <w:rPr>
                <w:rFonts w:ascii="Times New Roman" w:cs="Times New Roman" w:eastAsia="Times New Roman" w:hAnsi="Times New Roman"/>
                <w:sz w:val="14"/>
                <w:szCs w:val="14"/>
                <w:b w:val="1"/>
                <w:bCs w:val="1"/>
                <w:color w:val="auto"/>
              </w:rPr>
              <w:t>June 30, 2018</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tcPr>
          <w:p>
            <w:pPr>
              <w:jc w:val="right"/>
              <w:ind w:right="420"/>
              <w:spacing w:after="0" w:line="155" w:lineRule="exact"/>
              <w:rPr>
                <w:sz w:val="20"/>
                <w:szCs w:val="20"/>
                <w:color w:val="auto"/>
              </w:rPr>
            </w:pPr>
            <w:r>
              <w:rPr>
                <w:rFonts w:ascii="Times New Roman" w:cs="Times New Roman" w:eastAsia="Times New Roman" w:hAnsi="Times New Roman"/>
                <w:sz w:val="14"/>
                <w:szCs w:val="14"/>
                <w:b w:val="1"/>
                <w:bCs w:val="1"/>
                <w:color w:val="auto"/>
              </w:rPr>
              <w:t>June 29, 2019</w:t>
            </w:r>
          </w:p>
        </w:tc>
        <w:tc>
          <w:tcPr>
            <w:tcW w:w="1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94"/>
              <w:spacing w:after="0" w:line="155" w:lineRule="exact"/>
              <w:rPr>
                <w:sz w:val="20"/>
                <w:szCs w:val="20"/>
                <w:color w:val="auto"/>
              </w:rPr>
            </w:pPr>
            <w:r>
              <w:rPr>
                <w:rFonts w:ascii="Times New Roman" w:cs="Times New Roman" w:eastAsia="Times New Roman" w:hAnsi="Times New Roman"/>
                <w:sz w:val="14"/>
                <w:szCs w:val="14"/>
                <w:b w:val="1"/>
                <w:bCs w:val="1"/>
                <w:color w:val="auto"/>
              </w:rPr>
              <w:t>June 30, 2018</w:t>
            </w:r>
          </w:p>
        </w:tc>
        <w:tc>
          <w:tcPr>
            <w:tcW w:w="100" w:type="dxa"/>
            <w:vAlign w:val="bottom"/>
          </w:tcPr>
          <w:p>
            <w:pPr>
              <w:spacing w:after="0"/>
              <w:rPr>
                <w:sz w:val="13"/>
                <w:szCs w:val="13"/>
                <w:color w:val="auto"/>
              </w:rPr>
            </w:pPr>
          </w:p>
        </w:tc>
      </w:tr>
      <w:tr>
        <w:trPr>
          <w:trHeight w:val="223"/>
        </w:trPr>
        <w:tc>
          <w:tcPr>
            <w:tcW w:w="59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(3,280)</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(5,467)</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r>
      <w:tr>
        <w:trPr>
          <w:trHeight w:val="223"/>
        </w:trPr>
        <w:tc>
          <w:tcPr>
            <w:tcW w:w="59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IRIDEX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00" w:type="dxa"/>
            <w:vAlign w:val="bottom"/>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 the three months ended June 29, 2019</w:t>
            </w:r>
          </w:p>
        </w:tc>
        <w:tc>
          <w:tcPr>
            <w:tcW w:w="2360" w:type="dxa"/>
            <w:vAlign w:val="bottom"/>
            <w:gridSpan w:val="4"/>
            <w:vMerge w:val="restart"/>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1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800" w:type="dxa"/>
            <w:vAlign w:val="bottom"/>
            <w:vMerge w:val="continue"/>
          </w:tcPr>
          <w:p>
            <w:pPr>
              <w:spacing w:after="0"/>
              <w:rPr>
                <w:sz w:val="15"/>
                <w:szCs w:val="15"/>
                <w:color w:val="auto"/>
              </w:rPr>
            </w:pPr>
          </w:p>
        </w:tc>
        <w:tc>
          <w:tcPr>
            <w:tcW w:w="2360" w:type="dxa"/>
            <w:vAlign w:val="bottom"/>
            <w:tcBorders>
              <w:bottom w:val="single" w:sz="8" w:color="auto"/>
            </w:tcBorders>
            <w:gridSpan w:val="4"/>
            <w:vMerge w:val="continue"/>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800" w:type="dxa"/>
            <w:vAlign w:val="bottom"/>
          </w:tcPr>
          <w:p>
            <w:pPr>
              <w:spacing w:after="0"/>
              <w:rPr>
                <w:sz w:val="13"/>
                <w:szCs w:val="13"/>
                <w:color w:val="auto"/>
              </w:rPr>
            </w:pPr>
          </w:p>
        </w:tc>
        <w:tc>
          <w:tcPr>
            <w:tcW w:w="1060" w:type="dxa"/>
            <w:vAlign w:val="bottom"/>
          </w:tcPr>
          <w:p>
            <w:pPr>
              <w:jc w:val="right"/>
              <w:ind w:right="242"/>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ind w:right="222"/>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3"/>
                <w:szCs w:val="13"/>
                <w:color w:val="auto"/>
              </w:rPr>
            </w:pPr>
          </w:p>
        </w:tc>
        <w:tc>
          <w:tcPr>
            <w:tcW w:w="1180" w:type="dxa"/>
            <w:vAlign w:val="bottom"/>
            <w:gridSpan w:val="2"/>
          </w:tcPr>
          <w:p>
            <w:pPr>
              <w:jc w:val="center"/>
              <w:ind w:right="340"/>
              <w:spacing w:after="0" w:line="155" w:lineRule="exact"/>
              <w:rPr>
                <w:sz w:val="20"/>
                <w:szCs w:val="20"/>
                <w:color w:val="auto"/>
              </w:rPr>
            </w:pPr>
            <w:r>
              <w:rPr>
                <w:rFonts w:ascii="Times New Roman" w:cs="Times New Roman" w:eastAsia="Times New Roman" w:hAnsi="Times New Roman"/>
                <w:sz w:val="14"/>
                <w:szCs w:val="14"/>
                <w:b w:val="1"/>
                <w:bCs w:val="1"/>
                <w:color w:val="auto"/>
                <w:w w:val="99"/>
              </w:rPr>
              <w:t>Income</w:t>
            </w:r>
          </w:p>
        </w:tc>
        <w:tc>
          <w:tcPr>
            <w:tcW w:w="100" w:type="dxa"/>
            <w:vAlign w:val="bottom"/>
          </w:tcPr>
          <w:p>
            <w:pPr>
              <w:spacing w:after="0"/>
              <w:rPr>
                <w:sz w:val="13"/>
                <w:szCs w:val="13"/>
                <w:color w:val="auto"/>
              </w:rPr>
            </w:pPr>
          </w:p>
        </w:tc>
        <w:tc>
          <w:tcPr>
            <w:tcW w:w="112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gridSpan w:val="2"/>
          </w:tcPr>
          <w:p>
            <w:pPr>
              <w:jc w:val="right"/>
              <w:ind w:right="50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8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Balances, March 30, 2019</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13,633,639</w:t>
            </w: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72,070</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(44,850)</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27,443</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under stock option plan</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Employee stock-based compensation expense</w:t>
            </w: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Release of restricted stock, net of taxes paid</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113,318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22"/>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3"/>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(2,419)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(2,419)</w:t>
            </w:r>
          </w:p>
        </w:tc>
        <w:tc>
          <w:tcPr>
            <w:tcW w:w="0" w:type="dxa"/>
            <w:vAlign w:val="bottom"/>
          </w:tcPr>
          <w:p>
            <w:pPr>
              <w:spacing w:after="0"/>
              <w:rPr>
                <w:sz w:val="1"/>
                <w:szCs w:val="1"/>
                <w:color w:val="auto"/>
              </w:rPr>
            </w:pPr>
          </w:p>
        </w:tc>
      </w:tr>
      <w:tr>
        <w:trPr>
          <w:trHeight w:val="210"/>
        </w:trPr>
        <w:tc>
          <w:tcPr>
            <w:tcW w:w="38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Balances, June 29, 2019</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13,746,959</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72,685</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(47,269)</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25,629</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3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24"/>
                <w:szCs w:val="24"/>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800" w:type="dxa"/>
            <w:vAlign w:val="bottom"/>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 the six months ended June 29, 2019</w:t>
            </w:r>
          </w:p>
        </w:tc>
        <w:tc>
          <w:tcPr>
            <w:tcW w:w="2360" w:type="dxa"/>
            <w:vAlign w:val="bottom"/>
            <w:gridSpan w:val="4"/>
            <w:vMerge w:val="restart"/>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1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800" w:type="dxa"/>
            <w:vAlign w:val="bottom"/>
            <w:vMerge w:val="continue"/>
          </w:tcPr>
          <w:p>
            <w:pPr>
              <w:spacing w:after="0"/>
              <w:rPr>
                <w:sz w:val="15"/>
                <w:szCs w:val="15"/>
                <w:color w:val="auto"/>
              </w:rPr>
            </w:pPr>
          </w:p>
        </w:tc>
        <w:tc>
          <w:tcPr>
            <w:tcW w:w="2360" w:type="dxa"/>
            <w:vAlign w:val="bottom"/>
            <w:tcBorders>
              <w:bottom w:val="single" w:sz="8" w:color="auto"/>
            </w:tcBorders>
            <w:gridSpan w:val="4"/>
            <w:vMerge w:val="continue"/>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800" w:type="dxa"/>
            <w:vAlign w:val="bottom"/>
          </w:tcPr>
          <w:p>
            <w:pPr>
              <w:spacing w:after="0"/>
              <w:rPr>
                <w:sz w:val="13"/>
                <w:szCs w:val="13"/>
                <w:color w:val="auto"/>
              </w:rPr>
            </w:pPr>
          </w:p>
        </w:tc>
        <w:tc>
          <w:tcPr>
            <w:tcW w:w="1060" w:type="dxa"/>
            <w:vAlign w:val="bottom"/>
          </w:tcPr>
          <w:p>
            <w:pPr>
              <w:jc w:val="right"/>
              <w:ind w:right="242"/>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ind w:right="222"/>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3"/>
                <w:szCs w:val="13"/>
                <w:color w:val="auto"/>
              </w:rPr>
            </w:pPr>
          </w:p>
        </w:tc>
        <w:tc>
          <w:tcPr>
            <w:tcW w:w="1180" w:type="dxa"/>
            <w:vAlign w:val="bottom"/>
            <w:gridSpan w:val="2"/>
          </w:tcPr>
          <w:p>
            <w:pPr>
              <w:jc w:val="center"/>
              <w:ind w:right="340"/>
              <w:spacing w:after="0" w:line="155" w:lineRule="exact"/>
              <w:rPr>
                <w:sz w:val="20"/>
                <w:szCs w:val="20"/>
                <w:color w:val="auto"/>
              </w:rPr>
            </w:pPr>
            <w:r>
              <w:rPr>
                <w:rFonts w:ascii="Times New Roman" w:cs="Times New Roman" w:eastAsia="Times New Roman" w:hAnsi="Times New Roman"/>
                <w:sz w:val="14"/>
                <w:szCs w:val="14"/>
                <w:b w:val="1"/>
                <w:bCs w:val="1"/>
                <w:color w:val="auto"/>
                <w:w w:val="99"/>
              </w:rPr>
              <w:t>Income</w:t>
            </w:r>
          </w:p>
        </w:tc>
        <w:tc>
          <w:tcPr>
            <w:tcW w:w="100" w:type="dxa"/>
            <w:vAlign w:val="bottom"/>
          </w:tcPr>
          <w:p>
            <w:pPr>
              <w:spacing w:after="0"/>
              <w:rPr>
                <w:sz w:val="13"/>
                <w:szCs w:val="13"/>
                <w:color w:val="auto"/>
              </w:rPr>
            </w:pPr>
          </w:p>
        </w:tc>
        <w:tc>
          <w:tcPr>
            <w:tcW w:w="112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gridSpan w:val="2"/>
          </w:tcPr>
          <w:p>
            <w:pPr>
              <w:jc w:val="right"/>
              <w:ind w:right="50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8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Balances, December 29, 2018</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13,602,052</w:t>
            </w: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71,548</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(41,802)</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29,961</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under stock option plan</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Employee stock-based compensation expense</w:t>
            </w: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Release of restricted stock, net of taxes paid</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144,697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222"/>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3"/>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(5,467)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(5,467)</w:t>
            </w:r>
          </w:p>
        </w:tc>
        <w:tc>
          <w:tcPr>
            <w:tcW w:w="0" w:type="dxa"/>
            <w:vAlign w:val="bottom"/>
          </w:tcPr>
          <w:p>
            <w:pPr>
              <w:spacing w:after="0"/>
              <w:rPr>
                <w:sz w:val="1"/>
                <w:szCs w:val="1"/>
                <w:color w:val="auto"/>
              </w:rPr>
            </w:pPr>
          </w:p>
        </w:tc>
      </w:tr>
      <w:tr>
        <w:trPr>
          <w:trHeight w:val="210"/>
        </w:trPr>
        <w:tc>
          <w:tcPr>
            <w:tcW w:w="38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Balances, June 29, 2019</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13,746,959</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72,685</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(47,269)</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25,629</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3"/>
        </w:trPr>
        <w:tc>
          <w:tcPr>
            <w:tcW w:w="3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24"/>
                <w:szCs w:val="24"/>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800" w:type="dxa"/>
            <w:vAlign w:val="bottom"/>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 the three months ended June 30, 2018</w:t>
            </w:r>
          </w:p>
        </w:tc>
        <w:tc>
          <w:tcPr>
            <w:tcW w:w="2360" w:type="dxa"/>
            <w:vAlign w:val="bottom"/>
            <w:gridSpan w:val="4"/>
            <w:vMerge w:val="restart"/>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1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800" w:type="dxa"/>
            <w:vAlign w:val="bottom"/>
            <w:vMerge w:val="continue"/>
          </w:tcPr>
          <w:p>
            <w:pPr>
              <w:spacing w:after="0"/>
              <w:rPr>
                <w:sz w:val="15"/>
                <w:szCs w:val="15"/>
                <w:color w:val="auto"/>
              </w:rPr>
            </w:pPr>
          </w:p>
        </w:tc>
        <w:tc>
          <w:tcPr>
            <w:tcW w:w="2360" w:type="dxa"/>
            <w:vAlign w:val="bottom"/>
            <w:tcBorders>
              <w:bottom w:val="single" w:sz="8" w:color="auto"/>
            </w:tcBorders>
            <w:gridSpan w:val="4"/>
            <w:vMerge w:val="continue"/>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800" w:type="dxa"/>
            <w:vAlign w:val="bottom"/>
          </w:tcPr>
          <w:p>
            <w:pPr>
              <w:spacing w:after="0"/>
              <w:rPr>
                <w:sz w:val="13"/>
                <w:szCs w:val="13"/>
                <w:color w:val="auto"/>
              </w:rPr>
            </w:pPr>
          </w:p>
        </w:tc>
        <w:tc>
          <w:tcPr>
            <w:tcW w:w="1060" w:type="dxa"/>
            <w:vAlign w:val="bottom"/>
          </w:tcPr>
          <w:p>
            <w:pPr>
              <w:jc w:val="right"/>
              <w:ind w:right="242"/>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ind w:right="222"/>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3"/>
                <w:szCs w:val="13"/>
                <w:color w:val="auto"/>
              </w:rPr>
            </w:pPr>
          </w:p>
        </w:tc>
        <w:tc>
          <w:tcPr>
            <w:tcW w:w="1180" w:type="dxa"/>
            <w:vAlign w:val="bottom"/>
            <w:gridSpan w:val="2"/>
          </w:tcPr>
          <w:p>
            <w:pPr>
              <w:jc w:val="center"/>
              <w:ind w:right="340"/>
              <w:spacing w:after="0" w:line="155" w:lineRule="exact"/>
              <w:rPr>
                <w:sz w:val="20"/>
                <w:szCs w:val="20"/>
                <w:color w:val="auto"/>
              </w:rPr>
            </w:pPr>
            <w:r>
              <w:rPr>
                <w:rFonts w:ascii="Times New Roman" w:cs="Times New Roman" w:eastAsia="Times New Roman" w:hAnsi="Times New Roman"/>
                <w:sz w:val="14"/>
                <w:szCs w:val="14"/>
                <w:b w:val="1"/>
                <w:bCs w:val="1"/>
                <w:color w:val="auto"/>
                <w:w w:val="99"/>
              </w:rPr>
              <w:t>Income</w:t>
            </w:r>
          </w:p>
        </w:tc>
        <w:tc>
          <w:tcPr>
            <w:tcW w:w="100" w:type="dxa"/>
            <w:vAlign w:val="bottom"/>
          </w:tcPr>
          <w:p>
            <w:pPr>
              <w:spacing w:after="0"/>
              <w:rPr>
                <w:sz w:val="13"/>
                <w:szCs w:val="13"/>
                <w:color w:val="auto"/>
              </w:rPr>
            </w:pPr>
          </w:p>
        </w:tc>
        <w:tc>
          <w:tcPr>
            <w:tcW w:w="112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gridSpan w:val="2"/>
          </w:tcPr>
          <w:p>
            <w:pPr>
              <w:jc w:val="right"/>
              <w:ind w:right="50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8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Balances, March 31, 2018</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11,637,361</w:t>
            </w: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59,698</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(32,592)</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27,255</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under stock option plan</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Employee stock-based compensation expense</w:t>
            </w: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Release of restricted stock, net of taxes paid</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16,477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22"/>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(3,280)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(3,280)</w:t>
            </w:r>
          </w:p>
        </w:tc>
        <w:tc>
          <w:tcPr>
            <w:tcW w:w="0" w:type="dxa"/>
            <w:vAlign w:val="bottom"/>
          </w:tcPr>
          <w:p>
            <w:pPr>
              <w:spacing w:after="0"/>
              <w:rPr>
                <w:sz w:val="1"/>
                <w:szCs w:val="1"/>
                <w:color w:val="auto"/>
              </w:rPr>
            </w:pPr>
          </w:p>
        </w:tc>
      </w:tr>
      <w:tr>
        <w:trPr>
          <w:trHeight w:val="210"/>
        </w:trPr>
        <w:tc>
          <w:tcPr>
            <w:tcW w:w="38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Balances, June 30, 2018</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11,663,838</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60,138</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(35,872)</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24,433</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3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24"/>
                <w:szCs w:val="24"/>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800" w:type="dxa"/>
            <w:vAlign w:val="bottom"/>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 the six months ended June 30, 2018</w:t>
            </w:r>
          </w:p>
        </w:tc>
        <w:tc>
          <w:tcPr>
            <w:tcW w:w="2360" w:type="dxa"/>
            <w:vAlign w:val="bottom"/>
            <w:gridSpan w:val="4"/>
            <w:vMerge w:val="restart"/>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1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800" w:type="dxa"/>
            <w:vAlign w:val="bottom"/>
            <w:vMerge w:val="continue"/>
          </w:tcPr>
          <w:p>
            <w:pPr>
              <w:spacing w:after="0"/>
              <w:rPr>
                <w:sz w:val="15"/>
                <w:szCs w:val="15"/>
                <w:color w:val="auto"/>
              </w:rPr>
            </w:pPr>
          </w:p>
        </w:tc>
        <w:tc>
          <w:tcPr>
            <w:tcW w:w="2360" w:type="dxa"/>
            <w:vAlign w:val="bottom"/>
            <w:tcBorders>
              <w:bottom w:val="single" w:sz="8" w:color="auto"/>
            </w:tcBorders>
            <w:gridSpan w:val="4"/>
            <w:vMerge w:val="continue"/>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800" w:type="dxa"/>
            <w:vAlign w:val="bottom"/>
          </w:tcPr>
          <w:p>
            <w:pPr>
              <w:spacing w:after="0"/>
              <w:rPr>
                <w:sz w:val="13"/>
                <w:szCs w:val="13"/>
                <w:color w:val="auto"/>
              </w:rPr>
            </w:pPr>
          </w:p>
        </w:tc>
        <w:tc>
          <w:tcPr>
            <w:tcW w:w="1060" w:type="dxa"/>
            <w:vAlign w:val="bottom"/>
          </w:tcPr>
          <w:p>
            <w:pPr>
              <w:jc w:val="right"/>
              <w:ind w:right="242"/>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ind w:right="222"/>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3"/>
                <w:szCs w:val="13"/>
                <w:color w:val="auto"/>
              </w:rPr>
            </w:pPr>
          </w:p>
        </w:tc>
        <w:tc>
          <w:tcPr>
            <w:tcW w:w="1180" w:type="dxa"/>
            <w:vAlign w:val="bottom"/>
            <w:gridSpan w:val="2"/>
          </w:tcPr>
          <w:p>
            <w:pPr>
              <w:jc w:val="center"/>
              <w:ind w:right="340"/>
              <w:spacing w:after="0" w:line="155" w:lineRule="exact"/>
              <w:rPr>
                <w:sz w:val="20"/>
                <w:szCs w:val="20"/>
                <w:color w:val="auto"/>
              </w:rPr>
            </w:pPr>
            <w:r>
              <w:rPr>
                <w:rFonts w:ascii="Times New Roman" w:cs="Times New Roman" w:eastAsia="Times New Roman" w:hAnsi="Times New Roman"/>
                <w:sz w:val="14"/>
                <w:szCs w:val="14"/>
                <w:b w:val="1"/>
                <w:bCs w:val="1"/>
                <w:color w:val="auto"/>
                <w:w w:val="99"/>
              </w:rPr>
              <w:t>Income</w:t>
            </w:r>
          </w:p>
        </w:tc>
        <w:tc>
          <w:tcPr>
            <w:tcW w:w="100" w:type="dxa"/>
            <w:vAlign w:val="bottom"/>
          </w:tcPr>
          <w:p>
            <w:pPr>
              <w:spacing w:after="0"/>
              <w:rPr>
                <w:sz w:val="13"/>
                <w:szCs w:val="13"/>
                <w:color w:val="auto"/>
              </w:rPr>
            </w:pPr>
          </w:p>
        </w:tc>
        <w:tc>
          <w:tcPr>
            <w:tcW w:w="112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gridSpan w:val="2"/>
          </w:tcPr>
          <w:p>
            <w:pPr>
              <w:jc w:val="right"/>
              <w:ind w:right="50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8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Balances, December 30, 2017</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11,596,274</w:t>
            </w: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59,385</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(28,989)</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30,522</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under stock option plan</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16,250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Employee stock-based compensation expense</w:t>
            </w: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Release of restricted stock, net of taxes paid</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51,314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222"/>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(6,883)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(6,883)</w:t>
            </w:r>
          </w:p>
        </w:tc>
        <w:tc>
          <w:tcPr>
            <w:tcW w:w="0" w:type="dxa"/>
            <w:vAlign w:val="bottom"/>
          </w:tcPr>
          <w:p>
            <w:pPr>
              <w:spacing w:after="0"/>
              <w:rPr>
                <w:sz w:val="1"/>
                <w:szCs w:val="1"/>
                <w:color w:val="auto"/>
              </w:rPr>
            </w:pPr>
          </w:p>
        </w:tc>
      </w:tr>
      <w:tr>
        <w:trPr>
          <w:trHeight w:val="210"/>
        </w:trPr>
        <w:tc>
          <w:tcPr>
            <w:tcW w:w="38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Balances, June 30, 2018</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11,663,838</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60,138</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(35,872)</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24,433</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IRIDEX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340" w:type="dxa"/>
            <w:vAlign w:val="bottom"/>
            <w:gridSpan w:val="6"/>
          </w:tcPr>
          <w:p>
            <w:pPr>
              <w:jc w:val="right"/>
              <w:ind w:right="12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56"/>
        </w:trPr>
        <w:tc>
          <w:tcPr>
            <w:tcW w:w="78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gridSpan w:val="2"/>
          </w:tcPr>
          <w:p>
            <w:pPr>
              <w:jc w:val="right"/>
              <w:ind w:right="560"/>
              <w:spacing w:after="0" w:line="155" w:lineRule="exact"/>
              <w:rPr>
                <w:sz w:val="20"/>
                <w:szCs w:val="20"/>
                <w:color w:val="auto"/>
              </w:rPr>
            </w:pPr>
            <w:r>
              <w:rPr>
                <w:rFonts w:ascii="Times New Roman" w:cs="Times New Roman" w:eastAsia="Times New Roman" w:hAnsi="Times New Roman"/>
                <w:sz w:val="14"/>
                <w:szCs w:val="14"/>
                <w:b w:val="1"/>
                <w:bCs w:val="1"/>
                <w:color w:val="auto"/>
              </w:rPr>
              <w:t>June 29, 2019</w:t>
            </w:r>
          </w:p>
        </w:tc>
        <w:tc>
          <w:tcPr>
            <w:tcW w:w="1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291"/>
              <w:spacing w:after="0" w:line="155" w:lineRule="exact"/>
              <w:rPr>
                <w:sz w:val="20"/>
                <w:szCs w:val="20"/>
                <w:color w:val="auto"/>
              </w:rPr>
            </w:pPr>
            <w:r>
              <w:rPr>
                <w:rFonts w:ascii="Times New Roman" w:cs="Times New Roman" w:eastAsia="Times New Roman" w:hAnsi="Times New Roman"/>
                <w:sz w:val="14"/>
                <w:szCs w:val="14"/>
                <w:b w:val="1"/>
                <w:bCs w:val="1"/>
                <w:color w:val="auto"/>
              </w:rPr>
              <w:t>June 30, 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22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(5,467)</w:t>
            </w:r>
          </w:p>
        </w:tc>
        <w:tc>
          <w:tcPr>
            <w:tcW w:w="3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(6,883)</w:t>
            </w: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earn-out liability</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30"/>
        </w:trPr>
        <w:tc>
          <w:tcPr>
            <w:tcW w:w="78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long-term assets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Accrued compensation</w:t>
            </w:r>
          </w:p>
        </w:tc>
        <w:tc>
          <w:tcPr>
            <w:tcW w:w="22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(505)</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Accrued warranty</w:t>
            </w:r>
          </w:p>
        </w:tc>
        <w:tc>
          <w:tcPr>
            <w:tcW w:w="22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(809)</w:t>
            </w: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(242)</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2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30"/>
        </w:trPr>
        <w:tc>
          <w:tcPr>
            <w:tcW w:w="78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Payment on earn-out liability</w:t>
            </w:r>
          </w:p>
        </w:tc>
        <w:tc>
          <w:tcPr>
            <w:tcW w:w="22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23"/>
        </w:trPr>
        <w:tc>
          <w:tcPr>
            <w:tcW w:w="7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Proceeds from stock option exercises</w:t>
            </w:r>
          </w:p>
        </w:tc>
        <w:tc>
          <w:tcPr>
            <w:tcW w:w="2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Taxes paid related to net share settlements of equity awards</w:t>
            </w:r>
          </w:p>
        </w:tc>
        <w:tc>
          <w:tcPr>
            <w:tcW w:w="22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23"/>
        </w:trPr>
        <w:tc>
          <w:tcPr>
            <w:tcW w:w="7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Effect of foreign exchange rate changes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21,194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21,707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15,633</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16,045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paid during the period for income taxes</w:t>
            </w: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activities: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Transfer of inventory to property and equipment</w:t>
            </w: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IRIDEX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21"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IRIDEX Corporation (“IRIDEX”, the “Company”, “we”, “our”, or “us”) have been prepared in accordance with accounting principles generally accepted in the United States (“U.S. GAAP”) for interim financial information and pursuant to the instructions to Form 10-Q and Article 10-01 of Regulation S-X. Accordingly, they do not include all of the information and footnotes required by U.S. GAAP for complete financial statements. In the opinion of management, all adjustments, consisting of normal recurring adjustments, considered necessary for a fair presentation of the financial statements have been included.</w:t>
      </w:r>
    </w:p>
    <w:p>
      <w:pPr>
        <w:spacing w:after="0" w:line="76"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should be read in conjunction with the audited consolidated financial statements and notes thereto, together with management’s discussion and analysis of the Company’s financial condition and results of operations, contained in our Annual Report on Form 10-K for the fiscal year ended December 29, 2018, which was filed with the Securities and Exchange Commission (“SEC”) on March 29, 2019, as amended by Form 10-K/A on April 29, 2019. The results of operations for the three and six months ended June 29, 2019 and June 30, 2018 are not necessarily indicative of the results for the fiscal year ending December 28, 2019 or any future interim period. The three and six months ended June 29, 2019 and June 30, 2018, each had 13 weeks and 26 weeks, respectively. For purposes of reporting the financial results, the Company’s fiscal years end on the Saturday closest to the end of December. Periodically, the Company includes a 53rd week to a year in order to end that year on the Saturday closest to the end of December.</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21" w:lineRule="exact"/>
        <w:rPr>
          <w:sz w:val="20"/>
          <w:szCs w:val="20"/>
          <w:color w:val="auto"/>
        </w:rPr>
      </w:pPr>
    </w:p>
    <w:p>
      <w:pPr>
        <w:ind w:right="200" w:firstLine="518"/>
        <w:spacing w:after="0" w:line="282" w:lineRule="auto"/>
        <w:rPr>
          <w:sz w:val="20"/>
          <w:szCs w:val="20"/>
          <w:color w:val="auto"/>
        </w:rPr>
      </w:pPr>
      <w:r>
        <w:rPr>
          <w:rFonts w:ascii="Times New Roman" w:cs="Times New Roman" w:eastAsia="Times New Roman" w:hAnsi="Times New Roman"/>
          <w:sz w:val="18"/>
          <w:szCs w:val="18"/>
          <w:color w:val="auto"/>
        </w:rPr>
        <w:t>The Company’s significant accounting policies are disclosed in our Annual Report on Form 10-K for the year ended December 29, 2018, which was filed with the SEC on March 29, 2019, as amended by Form 10-K/A on April 29, 2019.</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Statement Presentation.</w:t>
      </w:r>
    </w:p>
    <w:p>
      <w:pPr>
        <w:spacing w:after="0" w:line="119" w:lineRule="exact"/>
        <w:rPr>
          <w:sz w:val="20"/>
          <w:szCs w:val="20"/>
          <w:color w:val="auto"/>
        </w:rPr>
      </w:pPr>
    </w:p>
    <w:p>
      <w:pPr>
        <w:ind w:right="220" w:firstLine="518"/>
        <w:spacing w:after="0" w:line="282"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the Company and our wholly owned subsidiaries. All significant intercompany accounts and transactions have been eliminated in consolidation.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ind w:right="380" w:firstLine="518"/>
        <w:spacing w:after="0" w:line="258"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us to make estimates and judgments that affect the reported amounts of assets, liabilities, revenues, and expenses and the related disclosure of contingent assets and liabilities.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In addition, any change in these estimates or their related assumptions could have an adverse effect on our operating results.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9" w:lineRule="exact"/>
        <w:rPr>
          <w:sz w:val="20"/>
          <w:szCs w:val="20"/>
          <w:color w:val="auto"/>
        </w:rPr>
      </w:pPr>
    </w:p>
    <w:p>
      <w:pPr>
        <w:ind w:right="160" w:firstLine="518"/>
        <w:spacing w:after="0" w:line="266" w:lineRule="auto"/>
        <w:rPr>
          <w:sz w:val="20"/>
          <w:szCs w:val="20"/>
          <w:color w:val="auto"/>
        </w:rPr>
      </w:pPr>
      <w:r>
        <w:rPr>
          <w:rFonts w:ascii="Times New Roman" w:cs="Times New Roman" w:eastAsia="Times New Roman" w:hAnsi="Times New Roman"/>
          <w:sz w:val="18"/>
          <w:szCs w:val="18"/>
          <w:color w:val="auto"/>
        </w:rPr>
        <w:t>Our revenues arise from the sale of laser consoles, delivery devices, consumables, service, and support activities. We also derive revenue from royalties from third parties which are typically based on licensees’ net sales of products that utilize our technology. Our revenue is recognized in accordance with Accounting Standards Codification (“ASC”) 606, “Revenue from Contracts with Customers.”</w:t>
      </w:r>
    </w:p>
    <w:p>
      <w:pPr>
        <w:spacing w:after="0" w:line="68" w:lineRule="exact"/>
        <w:rPr>
          <w:sz w:val="20"/>
          <w:szCs w:val="20"/>
          <w:color w:val="auto"/>
        </w:rPr>
      </w:pPr>
    </w:p>
    <w:p>
      <w:pPr>
        <w:ind w:right="420" w:firstLine="518"/>
        <w:spacing w:after="0" w:line="282" w:lineRule="auto"/>
        <w:rPr>
          <w:sz w:val="20"/>
          <w:szCs w:val="20"/>
          <w:color w:val="auto"/>
        </w:rPr>
      </w:pPr>
      <w:r>
        <w:rPr>
          <w:rFonts w:ascii="Times New Roman" w:cs="Times New Roman" w:eastAsia="Times New Roman" w:hAnsi="Times New Roman"/>
          <w:sz w:val="18"/>
          <w:szCs w:val="18"/>
          <w:color w:val="auto"/>
        </w:rPr>
        <w:t>The Company has the following revenue transaction types: (1) Product Sale Only, (2) LAP Programs, (3) Extended Warranty, (4) System Repairs (outside of warranty) and (5) Royalty Revenue.</w:t>
      </w:r>
    </w:p>
    <w:p>
      <w:pPr>
        <w:spacing w:after="0" w:line="54" w:lineRule="exact"/>
        <w:rPr>
          <w:sz w:val="20"/>
          <w:szCs w:val="20"/>
          <w:color w:val="auto"/>
        </w:rPr>
      </w:pPr>
    </w:p>
    <w:p>
      <w:pPr>
        <w:ind w:left="1040" w:right="140" w:hanging="519"/>
        <w:spacing w:after="0" w:line="258"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Sale Only: The Company’s products consist of laser consoles, delivery devices and consumable instrumentation, including laser probes. The Company’s products are currently sold for use by ophthalmologists specializing in the treatment of glaucoma and retinal diseases. Inside the United States and Germany, the products are sold directly to the end users. In other countries outside of the United States and Germany, the Company utilizes independent, third-party distributors to market and sell the Company’s products. There is no continuing obligation subsequent to the shipment to the distributors.</w:t>
      </w:r>
    </w:p>
    <w:p>
      <w:pPr>
        <w:spacing w:after="0" w:line="75" w:lineRule="exact"/>
        <w:rPr>
          <w:rFonts w:ascii="Times New Roman" w:cs="Times New Roman" w:eastAsia="Times New Roman" w:hAnsi="Times New Roman"/>
          <w:sz w:val="18"/>
          <w:szCs w:val="18"/>
          <w:color w:val="auto"/>
        </w:rPr>
      </w:pPr>
    </w:p>
    <w:p>
      <w:pPr>
        <w:ind w:left="10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recognizes revenue from product sale at a point in time. When a system or disposables are sold, the Company recognizes revenue using the five-step model: (1) identifying the contract with the customer, (2) identifying the performance obligations in the contract, (3) determining expected transaction price, (4) allocating the transaction price to the distinct performance obligations in the contract, and (5) recognizing revenue when (or as) the performance obligations are satisfied.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8" w:name="page9"/>
    <w:bookmarkEnd w:id="8"/>
    <w:p>
      <w:pPr>
        <w:ind w:left="1040" w:right="100" w:hanging="519"/>
        <w:spacing w:after="0" w:line="256"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LAP Programs: The Company sometimes enters into Laser Advantage Program (LAP) contracts with customers. Under the LAP program, the system is given away free of charge and title is transferred after the customer purchases the minimum required number of boxes of probes (classified as disposables). Customers with older machines have the ability to trade in their old machines for the most current laser equipment offered in the program (G6 Laser) and receive a discount on the program’s minimum purchase requirements. Under ASC 606, this non-cash consideration must be included in the transaction price. However, the Company has determined that there is no value associated with the old machine and the trade in is essentially offered to encourage customers to purchase more consumables under the program.</w:t>
      </w:r>
    </w:p>
    <w:p>
      <w:pPr>
        <w:spacing w:after="0" w:line="79" w:lineRule="exact"/>
        <w:rPr>
          <w:rFonts w:ascii="Times New Roman" w:cs="Times New Roman" w:eastAsia="Times New Roman" w:hAnsi="Times New Roman"/>
          <w:sz w:val="18"/>
          <w:szCs w:val="18"/>
          <w:color w:val="auto"/>
        </w:rPr>
      </w:pPr>
    </w:p>
    <w:p>
      <w:pPr>
        <w:ind w:left="1040" w:right="1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recognizes revenue from product sales under LAP programs at a point in time. The Company allocates the transaction price of the distinct performance obligations in the contract by determining stand-alone selling price using historical pricing net of any variable consideration or discounts to specifically allocate to a particular performance obligation.</w:t>
      </w:r>
    </w:p>
    <w:p>
      <w:pPr>
        <w:spacing w:after="0" w:line="68" w:lineRule="exact"/>
        <w:rPr>
          <w:rFonts w:ascii="Times New Roman" w:cs="Times New Roman" w:eastAsia="Times New Roman" w:hAnsi="Times New Roman"/>
          <w:sz w:val="18"/>
          <w:szCs w:val="18"/>
          <w:color w:val="auto"/>
        </w:rPr>
      </w:pPr>
    </w:p>
    <w:p>
      <w:pPr>
        <w:ind w:left="1040" w:right="80" w:hanging="519"/>
        <w:spacing w:after="0" w:line="261"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Warranty: The Company offers a standard 2 year warranty on all system sales (5 years on the laser heads for its IQ 532/577 laser consoles). The Company also offers an extended warranty which is sold to customers in incremental, one-year warranty periods which begin subsequent to the expiration of the standard 2 year warranty. The customer can opt to purchase the extended warranty at the time of the system sale or after the initial system sale.</w:t>
      </w:r>
    </w:p>
    <w:p>
      <w:pPr>
        <w:spacing w:after="0" w:line="71" w:lineRule="exact"/>
        <w:rPr>
          <w:rFonts w:ascii="Times New Roman" w:cs="Times New Roman" w:eastAsia="Times New Roman" w:hAnsi="Times New Roman"/>
          <w:sz w:val="18"/>
          <w:szCs w:val="18"/>
          <w:color w:val="auto"/>
        </w:rPr>
      </w:pPr>
    </w:p>
    <w:p>
      <w:pPr>
        <w:ind w:left="1040" w:right="2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recognizes revenue from extended warranty ratably over the warranty period. Revenue recognition for the sale of an extended warranty is largely dependent on the timing of the sale as follows:</w:t>
      </w:r>
    </w:p>
    <w:p>
      <w:pPr>
        <w:spacing w:after="0" w:line="54" w:lineRule="exact"/>
        <w:rPr>
          <w:sz w:val="20"/>
          <w:szCs w:val="20"/>
          <w:color w:val="auto"/>
        </w:rPr>
      </w:pPr>
    </w:p>
    <w:p>
      <w:pPr>
        <w:ind w:left="1040" w:right="20" w:hanging="519"/>
        <w:spacing w:after="0" w:line="266"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Warranty Sale in Conjunction with System Sale: If the customer opts to purchase an extended warranty at the time of the system sale, the Company allocates the transaction price of the distinct performance obligations in the contract by determining stand-alone selling price using historical pricing net of any variable consideration or discounts to specifically allocate to a particular performance obligation.</w:t>
      </w:r>
    </w:p>
    <w:p>
      <w:pPr>
        <w:spacing w:after="0" w:line="68" w:lineRule="exact"/>
        <w:rPr>
          <w:rFonts w:ascii="Times New Roman" w:cs="Times New Roman" w:eastAsia="Times New Roman" w:hAnsi="Times New Roman"/>
          <w:sz w:val="18"/>
          <w:szCs w:val="18"/>
          <w:color w:val="auto"/>
        </w:rPr>
      </w:pPr>
    </w:p>
    <w:p>
      <w:pPr>
        <w:ind w:left="1040" w:hanging="519"/>
        <w:spacing w:after="0" w:line="255"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Warranty Sale Subsequent to System Sale: If the customer opts to purchase an extended warranty after the initial system sale, the Company determines the amount of time that has elapsed since the initial system sale. If the extended warranty is purchased within 60 days of the initial sale, the Company considers this sale to be an additional element of the original sale and allocates the transaction price of the distinct performance obligations in the contract by determining stand-alone selling price using historical pricing net of any variable consideration or discounts to specifically allocate to a particular performance obligation. If the extended warranty is purchased subsequent to sixty days after the initial sale, the sale of the extended warranty is deemed a separate contract and is deferred at the selling price and recognized ratably over the extended warranty period as the performance obligation is satisfied.</w:t>
      </w:r>
    </w:p>
    <w:p>
      <w:pPr>
        <w:spacing w:after="0" w:line="81" w:lineRule="exact"/>
        <w:rPr>
          <w:sz w:val="20"/>
          <w:szCs w:val="20"/>
          <w:color w:val="auto"/>
        </w:rPr>
      </w:pPr>
    </w:p>
    <w:p>
      <w:pPr>
        <w:ind w:left="1040" w:right="480" w:hanging="519"/>
        <w:spacing w:after="0" w:line="282"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Repairs (outside of warranty): Customers will occasionally request repairs from the Company subsequent to the expiration of the standard warranty and outside of an extended warranty contract.</w:t>
      </w:r>
    </w:p>
    <w:p>
      <w:pPr>
        <w:spacing w:after="0" w:line="53" w:lineRule="exact"/>
        <w:rPr>
          <w:rFonts w:ascii="Times New Roman" w:cs="Times New Roman" w:eastAsia="Times New Roman" w:hAnsi="Times New Roman"/>
          <w:sz w:val="18"/>
          <w:szCs w:val="18"/>
          <w:color w:val="auto"/>
        </w:rPr>
      </w:pPr>
    </w:p>
    <w:p>
      <w:pPr>
        <w:ind w:left="1040" w:right="1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recognizes revenue from system repairs (outside of warranty) at a point in time. When the customer request repairs from the Company subsequent to the expiration of the standard warranty and outside of an extended warranty contracts, these repair contracts are considered separate from the initial sale, and as such, revenue is recognized as the repair services are rendered and the performance obligation satisfied.</w:t>
      </w:r>
    </w:p>
    <w:p>
      <w:pPr>
        <w:spacing w:after="0" w:line="71" w:lineRule="exact"/>
        <w:rPr>
          <w:rFonts w:ascii="Times New Roman" w:cs="Times New Roman" w:eastAsia="Times New Roman" w:hAnsi="Times New Roman"/>
          <w:sz w:val="18"/>
          <w:szCs w:val="18"/>
          <w:color w:val="auto"/>
        </w:rPr>
      </w:pPr>
    </w:p>
    <w:p>
      <w:pPr>
        <w:ind w:left="1040" w:right="160" w:hanging="519"/>
        <w:spacing w:after="0" w:line="282"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Royalty Revenue: The Company has royalty agreements with two customers related to sale of the Company’s intellectual property. Under the terms of these agreements, the customer is to remit a percentage of sales to the Company.</w:t>
      </w:r>
    </w:p>
    <w:p>
      <w:pPr>
        <w:spacing w:after="0" w:line="53" w:lineRule="exact"/>
        <w:rPr>
          <w:rFonts w:ascii="Times New Roman" w:cs="Times New Roman" w:eastAsia="Times New Roman" w:hAnsi="Times New Roman"/>
          <w:sz w:val="18"/>
          <w:szCs w:val="18"/>
          <w:color w:val="auto"/>
        </w:rPr>
      </w:pPr>
    </w:p>
    <w:p>
      <w:pPr>
        <w:ind w:left="1040" w:right="8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these arrangements are for sales-based licenses of intellectual property, for which the guidance in paragraph ASC 606-10-55-65 applies, the Company recognizes revenue only as the subsequent sale occurs. However, the Company notes that such sales being reported by the licensee with a quarter in arrear, such revenue is recognized at the time it is reported and paid by the licensee given that any estimated variable consideration would have to be fully constrained due to the unpredictability of such estimate and the unavoidable risk that it may lead to significant revenue reversals.</w:t>
      </w:r>
    </w:p>
    <w:p>
      <w:pPr>
        <w:spacing w:after="0" w:line="76" w:lineRule="exact"/>
        <w:rPr>
          <w:sz w:val="20"/>
          <w:szCs w:val="20"/>
          <w:color w:val="auto"/>
        </w:rPr>
      </w:pPr>
    </w:p>
    <w:p>
      <w:pPr>
        <w:ind w:right="160" w:firstLine="518"/>
        <w:spacing w:after="0" w:line="266" w:lineRule="auto"/>
        <w:rPr>
          <w:sz w:val="20"/>
          <w:szCs w:val="20"/>
          <w:color w:val="auto"/>
        </w:rPr>
      </w:pPr>
      <w:r>
        <w:rPr>
          <w:rFonts w:ascii="Times New Roman" w:cs="Times New Roman" w:eastAsia="Times New Roman" w:hAnsi="Times New Roman"/>
          <w:sz w:val="18"/>
          <w:szCs w:val="18"/>
          <w:color w:val="auto"/>
        </w:rPr>
        <w:t>The Company elected the practical expedient allowing it to not recognize as a contract asset the commission paid to its salesforce on the sale of its products as an incremental cost of obtaining a contract with a customer but rather recognize such commission as expense when incurred as the amortization period of the asset that the Company would have otherwise recognized is one year or less.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9"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We determine if an arrangement is a lease at inception. Operating leases are included in Operating lease right-of-use (“ROU”) assets, net and Operating lease liabilities in our condensed consolidated balance sheets. As of the adoption date of ASC 842 and as of June 29, 2019, the Company was not a party to finance lease arrangements.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9" w:name="page10"/>
    <w:bookmarkEnd w:id="9"/>
    <w:p>
      <w:pPr>
        <w:ind w:firstLine="518"/>
        <w:spacing w:after="0" w:line="256" w:lineRule="auto"/>
        <w:rPr>
          <w:sz w:val="20"/>
          <w:szCs w:val="20"/>
          <w:color w:val="auto"/>
        </w:rPr>
      </w:pPr>
      <w:r>
        <w:rPr>
          <w:rFonts w:ascii="Times New Roman" w:cs="Times New Roman" w:eastAsia="Times New Roman" w:hAnsi="Times New Roman"/>
          <w:sz w:val="18"/>
          <w:szCs w:val="18"/>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As most of our leases do not provide an implicit rate, we use our incremental borrowing rate based on the information available at commencement date in determining the present value of lease payments. We use the implicit rate when readily determinable. The operating lease ROU asset also includes any lease payments made and excludes lease incentives. Our lease terms may include options to extend or terminate the lease when it is reasonably certain that we will exercise that option. Lease expense for lease payments is recognized on a straight-line basis over the lease term.</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Under the available practical expedient, we account for the lease and non-lease components as a single lease component.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119" w:lineRule="exact"/>
        <w:rPr>
          <w:sz w:val="20"/>
          <w:szCs w:val="20"/>
          <w:color w:val="auto"/>
        </w:rPr>
      </w:pPr>
    </w:p>
    <w:p>
      <w:pPr>
        <w:ind w:right="260" w:firstLine="518"/>
        <w:spacing w:after="0" w:line="282" w:lineRule="auto"/>
        <w:rPr>
          <w:sz w:val="20"/>
          <w:szCs w:val="20"/>
          <w:color w:val="auto"/>
        </w:rPr>
      </w:pPr>
      <w:r>
        <w:rPr>
          <w:rFonts w:ascii="Times New Roman" w:cs="Times New Roman" w:eastAsia="Times New Roman" w:hAnsi="Times New Roman"/>
          <w:sz w:val="18"/>
          <w:szCs w:val="18"/>
          <w:color w:val="auto"/>
        </w:rPr>
        <w:t>Our cash and cash equivalents are deposited in demand and money market accounts. Deposits held with banks may exceed the amount of insurance provided on such deposits. Generally, these deposits may be redeemed upon demand and therefore, bear minimal risk.</w:t>
      </w:r>
    </w:p>
    <w:p>
      <w:pPr>
        <w:spacing w:after="0" w:line="54"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We market our products to distributors and end-users throughout the world. Sales to international distributors are generally made on open credit terms and letters of credit. Management performs ongoing credit evaluations of our customers and maintains an allowance for potential credit losses. Historically, we have not experienced any significant losses related to individual customers or a group of customers in any particular geographic area. For the three and six months ended June 29, 2019 and June 30, 2018, no single customer accounted for more than 10% of total revenues. As of June 29, 2019, no customer accounted for over 10% of our accounts receivable. As of December 29, 2018, no customer accounted for more than 10% of our accounts receivable.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Taxes Collected from Customers and Remitted to Governmental Authorities.</w:t>
      </w:r>
    </w:p>
    <w:p>
      <w:pPr>
        <w:spacing w:after="0" w:line="119" w:lineRule="exact"/>
        <w:rPr>
          <w:sz w:val="20"/>
          <w:szCs w:val="20"/>
          <w:color w:val="auto"/>
        </w:rPr>
      </w:pPr>
    </w:p>
    <w:p>
      <w:pPr>
        <w:ind w:right="200" w:firstLine="518"/>
        <w:spacing w:after="0" w:line="282" w:lineRule="auto"/>
        <w:rPr>
          <w:sz w:val="20"/>
          <w:szCs w:val="20"/>
          <w:color w:val="auto"/>
        </w:rPr>
      </w:pPr>
      <w:r>
        <w:rPr>
          <w:rFonts w:ascii="Times New Roman" w:cs="Times New Roman" w:eastAsia="Times New Roman" w:hAnsi="Times New Roman"/>
          <w:sz w:val="18"/>
          <w:szCs w:val="18"/>
          <w:color w:val="auto"/>
        </w:rPr>
        <w:t>Taxes collected from customers and remitted to governmental authorities are recognized on a net basis in the accompanying condensed consolidated statements of operations.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Shipping and Handling Costs.</w:t>
      </w:r>
    </w:p>
    <w:p>
      <w:pPr>
        <w:spacing w:after="0" w:line="119" w:lineRule="exact"/>
        <w:rPr>
          <w:sz w:val="20"/>
          <w:szCs w:val="20"/>
          <w:color w:val="auto"/>
        </w:rPr>
      </w:pPr>
    </w:p>
    <w:p>
      <w:pPr>
        <w:ind w:right="60" w:firstLine="518"/>
        <w:spacing w:after="0" w:line="282" w:lineRule="auto"/>
        <w:rPr>
          <w:sz w:val="20"/>
          <w:szCs w:val="20"/>
          <w:color w:val="auto"/>
        </w:rPr>
      </w:pPr>
      <w:r>
        <w:rPr>
          <w:rFonts w:ascii="Times New Roman" w:cs="Times New Roman" w:eastAsia="Times New Roman" w:hAnsi="Times New Roman"/>
          <w:sz w:val="18"/>
          <w:szCs w:val="18"/>
          <w:color w:val="auto"/>
        </w:rPr>
        <w:t>Our shipping and handling costs billed to customers are included in revenues and the associated expense is recorded in cost of revenues for all periods presented.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119" w:lineRule="exact"/>
        <w:rPr>
          <w:sz w:val="20"/>
          <w:szCs w:val="20"/>
          <w:color w:val="auto"/>
        </w:rPr>
      </w:pPr>
    </w:p>
    <w:p>
      <w:pPr>
        <w:ind w:right="140" w:firstLine="518"/>
        <w:spacing w:after="0" w:line="282" w:lineRule="auto"/>
        <w:rPr>
          <w:sz w:val="20"/>
          <w:szCs w:val="20"/>
          <w:color w:val="auto"/>
        </w:rPr>
      </w:pPr>
      <w:r>
        <w:rPr>
          <w:rFonts w:ascii="Times New Roman" w:cs="Times New Roman" w:eastAsia="Times New Roman" w:hAnsi="Times New Roman"/>
          <w:sz w:val="18"/>
          <w:szCs w:val="18"/>
          <w:color w:val="auto"/>
        </w:rPr>
        <w:t>Deferred revenue represents contract liabilities. Revenue related to extended service contracts is deferred and recognized on a straight-line basis over the period of the applicable service contract. Costs associated with these service arrangements are recognized as incurred.</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of the changes in the Company’s deferred revenue balance for the six months ended June 29, 2019 and June 30, 2018 is as follows:</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23"/>
        </w:trPr>
        <w:tc>
          <w:tcPr>
            <w:tcW w:w="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29, 2019</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June 30, 2018</w:t>
            </w:r>
          </w:p>
        </w:tc>
      </w:tr>
      <w:tr>
        <w:trPr>
          <w:trHeight w:val="223"/>
        </w:trPr>
        <w:tc>
          <w:tcPr>
            <w:tcW w:w="20" w:type="dxa"/>
            <w:vAlign w:val="bottom"/>
          </w:tcPr>
          <w:p>
            <w:pPr>
              <w:spacing w:after="0"/>
              <w:rPr>
                <w:sz w:val="19"/>
                <w:szCs w:val="19"/>
                <w:color w:val="auto"/>
              </w:rPr>
            </w:pPr>
          </w:p>
        </w:tc>
        <w:tc>
          <w:tcPr>
            <w:tcW w:w="39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06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ind w:right="1199"/>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Additions to deferral</w:t>
            </w:r>
          </w:p>
        </w:tc>
        <w:tc>
          <w:tcPr>
            <w:tcW w:w="10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recognized</w:t>
            </w:r>
          </w:p>
        </w:tc>
        <w:tc>
          <w:tcPr>
            <w:tcW w:w="10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(1,227)</w:t>
            </w: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(993)</w:t>
            </w:r>
          </w:p>
        </w:tc>
      </w:tr>
      <w:tr>
        <w:trPr>
          <w:trHeight w:val="223"/>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060" w:type="dxa"/>
            <w:vAlign w:val="bottom"/>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2,316</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portion of deferred revenue</w:t>
            </w:r>
          </w:p>
        </w:tc>
        <w:tc>
          <w:tcPr>
            <w:tcW w:w="1060" w:type="dxa"/>
            <w:vAlign w:val="bottom"/>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80" w:type="dxa"/>
            <w:vAlign w:val="bottom"/>
            <w:shd w:val="clear" w:color="auto" w:fill="CFF0FC"/>
          </w:tcPr>
          <w:p>
            <w:pPr>
              <w:spacing w:after="0"/>
              <w:rPr>
                <w:sz w:val="19"/>
                <w:szCs w:val="19"/>
                <w:color w:val="auto"/>
              </w:rPr>
            </w:pPr>
          </w:p>
        </w:tc>
      </w:tr>
      <w:tr>
        <w:trPr>
          <w:trHeight w:val="223"/>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portion of deferred revenue</w:t>
            </w:r>
          </w:p>
        </w:tc>
        <w:tc>
          <w:tcPr>
            <w:tcW w:w="1060" w:type="dxa"/>
            <w:vAlign w:val="bottom"/>
          </w:tcPr>
          <w:p>
            <w:pPr>
              <w:spacing w:after="0"/>
              <w:rPr>
                <w:sz w:val="19"/>
                <w:szCs w:val="19"/>
                <w:color w:val="auto"/>
              </w:rPr>
            </w:pPr>
          </w:p>
        </w:tc>
        <w:tc>
          <w:tcPr>
            <w:tcW w:w="1360" w:type="dxa"/>
            <w:vAlign w:val="bottom"/>
            <w:tcBorders>
              <w:bottom w:val="single" w:sz="8" w:color="auto"/>
            </w:tcBorders>
          </w:tcPr>
          <w:p>
            <w:pPr>
              <w:jc w:val="right"/>
              <w:ind w:right="1199"/>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ind w:right="260" w:firstLine="518"/>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29, 2019 and June 30, 2018, approximately $0.8 million and $0.9 million were recognized pertaining to amounts deferred as of December 29, 2018 and December 30, 2017, respectively.</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Warranty.</w:t>
      </w:r>
    </w:p>
    <w:p>
      <w:pPr>
        <w:spacing w:after="0" w:line="119" w:lineRule="exact"/>
        <w:rPr>
          <w:sz w:val="20"/>
          <w:szCs w:val="20"/>
          <w:color w:val="auto"/>
        </w:rPr>
      </w:pPr>
    </w:p>
    <w:p>
      <w:pPr>
        <w:ind w:right="140" w:firstLine="518"/>
        <w:spacing w:after="0" w:line="258" w:lineRule="auto"/>
        <w:rPr>
          <w:sz w:val="20"/>
          <w:szCs w:val="20"/>
          <w:color w:val="auto"/>
        </w:rPr>
      </w:pPr>
      <w:r>
        <w:rPr>
          <w:rFonts w:ascii="Times New Roman" w:cs="Times New Roman" w:eastAsia="Times New Roman" w:hAnsi="Times New Roman"/>
          <w:sz w:val="18"/>
          <w:szCs w:val="18"/>
          <w:color w:val="auto"/>
        </w:rPr>
        <w:t>The Company currently provides a two year full warranty on its products. In addition, the Company offers a five year warranty on the laser heads for its IQ 532/577 laser consoles. The associated costs of these warranties are accrued for upon shipment of the products. In March 2018, we have reversed the warranty expense associated with products shipped outside of the United States that were accrued in December 2017 as these reserves are no longer deemed required. The Company’s warranty policy is applicable to products which are considered defective in their performance or fail to meet the product specifications. Warranty costs are reflected in the statement of operations as cost of revenues.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10" w:name="page11"/>
    <w:bookmarkEnd w:id="10"/>
    <w:p>
      <w:pPr>
        <w:ind w:left="520"/>
        <w:spacing w:after="0"/>
        <w:rPr>
          <w:sz w:val="20"/>
          <w:szCs w:val="20"/>
          <w:color w:val="auto"/>
        </w:rPr>
      </w:pPr>
      <w:r>
        <w:rPr>
          <w:rFonts w:ascii="Times New Roman" w:cs="Times New Roman" w:eastAsia="Times New Roman" w:hAnsi="Times New Roman"/>
          <w:sz w:val="18"/>
          <w:szCs w:val="18"/>
          <w:color w:val="auto"/>
        </w:rPr>
        <w:t>A reconciliation of the changes in the Company’s warranty liability for the six months ended June 29, 2019 and June 30, 2018 is as follows:</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29, 2019</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June 30, 2018</w:t>
            </w:r>
          </w:p>
        </w:tc>
      </w:tr>
      <w:tr>
        <w:trPr>
          <w:trHeight w:val="223"/>
        </w:trPr>
        <w:tc>
          <w:tcPr>
            <w:tcW w:w="20" w:type="dxa"/>
            <w:vAlign w:val="bottom"/>
          </w:tcPr>
          <w:p>
            <w:pPr>
              <w:spacing w:after="0"/>
              <w:rPr>
                <w:sz w:val="19"/>
                <w:szCs w:val="19"/>
                <w:color w:val="auto"/>
              </w:rPr>
            </w:pPr>
          </w:p>
        </w:tc>
        <w:tc>
          <w:tcPr>
            <w:tcW w:w="50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380" w:type="dxa"/>
            <w:vAlign w:val="bottom"/>
            <w:tcBorders>
              <w:top w:val="single" w:sz="8" w:color="auto"/>
            </w:tcBorders>
            <w:shd w:val="clear" w:color="auto" w:fill="CFF0FC"/>
          </w:tcPr>
          <w:p>
            <w:pPr>
              <w:jc w:val="right"/>
              <w:ind w:right="1219"/>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Accruals for product warranties</w:t>
            </w:r>
          </w:p>
        </w:tc>
        <w:tc>
          <w:tcPr>
            <w:tcW w:w="13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warranty claims</w:t>
            </w:r>
          </w:p>
        </w:tc>
        <w:tc>
          <w:tcPr>
            <w:tcW w:w="13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(531)</w:t>
            </w:r>
          </w:p>
        </w:tc>
      </w:tr>
      <w:tr>
        <w:trPr>
          <w:trHeight w:val="230"/>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Adjustment to pre-existing warranties</w:t>
            </w:r>
          </w:p>
        </w:tc>
        <w:tc>
          <w:tcPr>
            <w:tcW w:w="138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(445)</w:t>
            </w:r>
          </w:p>
        </w:tc>
      </w:tr>
      <w:tr>
        <w:trPr>
          <w:trHeight w:val="223"/>
        </w:trPr>
        <w:tc>
          <w:tcPr>
            <w:tcW w:w="20" w:type="dxa"/>
            <w:vAlign w:val="bottom"/>
          </w:tcPr>
          <w:p>
            <w:pPr>
              <w:spacing w:after="0"/>
              <w:rPr>
                <w:sz w:val="19"/>
                <w:szCs w:val="19"/>
                <w:color w:val="auto"/>
              </w:rPr>
            </w:pPr>
          </w:p>
        </w:tc>
        <w:tc>
          <w:tcPr>
            <w:tcW w:w="50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380" w:type="dxa"/>
            <w:vAlign w:val="bottom"/>
            <w:tcBorders>
              <w:top w:val="single" w:sz="8" w:color="auto"/>
              <w:bottom w:val="single" w:sz="8" w:color="auto"/>
            </w:tcBorders>
            <w:shd w:val="clear" w:color="auto" w:fill="CFF0FC"/>
          </w:tcPr>
          <w:p>
            <w:pPr>
              <w:jc w:val="right"/>
              <w:ind w:right="1219"/>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Reclassifications.</w:t>
      </w:r>
    </w:p>
    <w:p>
      <w:pPr>
        <w:spacing w:after="0" w:line="119" w:lineRule="exact"/>
        <w:rPr>
          <w:sz w:val="20"/>
          <w:szCs w:val="20"/>
          <w:color w:val="auto"/>
        </w:rPr>
      </w:pPr>
    </w:p>
    <w:p>
      <w:pPr>
        <w:ind w:right="540" w:firstLine="518"/>
        <w:spacing w:after="0" w:line="282" w:lineRule="auto"/>
        <w:rPr>
          <w:sz w:val="20"/>
          <w:szCs w:val="20"/>
          <w:color w:val="auto"/>
        </w:rPr>
      </w:pPr>
      <w:r>
        <w:rPr>
          <w:rFonts w:ascii="Times New Roman" w:cs="Times New Roman" w:eastAsia="Times New Roman" w:hAnsi="Times New Roman"/>
          <w:sz w:val="18"/>
          <w:szCs w:val="18"/>
          <w:color w:val="auto"/>
        </w:rPr>
        <w:t>Certain reclassifications have been made to the prior year financial statements included in these condensed consolidated financial statements to conform to the current year presentation. The reclassifications had no impact on previously reported net loss or accumulated deficit.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Standards.</w:t>
      </w:r>
    </w:p>
    <w:p>
      <w:pPr>
        <w:spacing w:after="0" w:line="119" w:lineRule="exact"/>
        <w:rPr>
          <w:sz w:val="20"/>
          <w:szCs w:val="20"/>
          <w:color w:val="auto"/>
        </w:rPr>
      </w:pPr>
    </w:p>
    <w:p>
      <w:pPr>
        <w:ind w:firstLine="518"/>
        <w:spacing w:after="0" w:line="252" w:lineRule="auto"/>
        <w:rPr>
          <w:sz w:val="20"/>
          <w:szCs w:val="20"/>
          <w:color w:val="auto"/>
        </w:rPr>
      </w:pPr>
      <w:r>
        <w:rPr>
          <w:rFonts w:ascii="Times New Roman" w:cs="Times New Roman" w:eastAsia="Times New Roman" w:hAnsi="Times New Roman"/>
          <w:sz w:val="18"/>
          <w:szCs w:val="18"/>
          <w:color w:val="auto"/>
        </w:rPr>
        <w:t>In February 2016, the Financial Accounting Standards Board (“FASB”) issued Accounting Standards Update (“ASU”) 2016-02, “Leases,” which, along with amendments issued in 2018, modified lessee accounting guidance under Topic 840. This new standard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ASU 2016-02 is effective for fiscal years beginning after December 15, 2018, including interim periods within those fiscal years. Early adoption is permitted. In July 2018, the FASB issued ASU No. 2018-11 which provides an alternative transition method that allows entities to apply the new leases standard at the adoption date and recognize a cumulative-effect adjustment to the opening balance of retained earnings in the period of adoption. The Company has adopted the requirements of ASU 2016-02 on December 30, 2018, the first day of its fiscal year 2019, using the optional transition method. The Company elected not to reassess whether any expired or existing contracts are or contain leases, not to reassess the lease classification for any expired or existing leases, not to reassess initial direct costs for any existing leases and not to separate non-lease components from lease components and instead account for each separate lease component and the non-lease components associated with that lease component as a single lease component for new or modified leases. At adoption date, there was an increase in assets of $4.0 million and liabilities of $4.5 million due to the recognition of the required right-of-use asset and corresponding liability for all lease obligations that are currently classified as operating leases with the difference of $0.5 million related to existing deferred rent that reduced the ROU asset recorded. The standard did not have an impact in our condensed consolidated statements of operations.</w:t>
      </w:r>
    </w:p>
    <w:p>
      <w:pPr>
        <w:spacing w:after="0" w:line="91"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In August 2018, the FASB issued ASU 2018-13, “Fair Value Measurement (Topic 820): Disclosure Framework – Changes to the Disclosure Requirements for Fair Value Measurement,” which removes, modifies and adds certain disclosure requirements on fair value measurements. The new guidance is effective for fiscal years, and interim periods within those fiscal years, beginning after December 15, 2019. Early adoption is permitted. The early adoption of this standard in fiscal year 2019 did not have a material impact on our consolidated financial statements.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Inventories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the Company’s inventories as of June 29, 2019 and December 29, 2018 are as follows:</w:t>
      </w:r>
    </w:p>
    <w:p>
      <w:pPr>
        <w:spacing w:after="0" w:line="327"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29, 2019</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29, 2018</w:t>
            </w:r>
          </w:p>
        </w:tc>
      </w:tr>
      <w:tr>
        <w:trPr>
          <w:trHeight w:val="223"/>
        </w:trPr>
        <w:tc>
          <w:tcPr>
            <w:tcW w:w="20" w:type="dxa"/>
            <w:vAlign w:val="bottom"/>
          </w:tcPr>
          <w:p>
            <w:pPr>
              <w:spacing w:after="0"/>
              <w:rPr>
                <w:sz w:val="19"/>
                <w:szCs w:val="19"/>
                <w:color w:val="auto"/>
              </w:rPr>
            </w:pPr>
          </w:p>
        </w:tc>
        <w:tc>
          <w:tcPr>
            <w:tcW w:w="50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400" w:type="dxa"/>
            <w:vAlign w:val="bottom"/>
            <w:tcBorders>
              <w:top w:val="single" w:sz="8" w:color="auto"/>
            </w:tcBorders>
            <w:shd w:val="clear" w:color="auto" w:fill="CFF0FC"/>
          </w:tcPr>
          <w:p>
            <w:pPr>
              <w:jc w:val="right"/>
              <w:ind w:right="1239"/>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2,552</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4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40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5,044</w:t>
            </w:r>
          </w:p>
        </w:tc>
        <w:tc>
          <w:tcPr>
            <w:tcW w:w="80" w:type="dxa"/>
            <w:vAlign w:val="bottom"/>
            <w:shd w:val="clear" w:color="auto" w:fill="CFF0FC"/>
          </w:tcPr>
          <w:p>
            <w:pPr>
              <w:spacing w:after="0"/>
              <w:rPr>
                <w:sz w:val="19"/>
                <w:szCs w:val="19"/>
                <w:color w:val="auto"/>
              </w:rPr>
            </w:pPr>
          </w:p>
        </w:tc>
      </w:tr>
      <w:tr>
        <w:trPr>
          <w:trHeight w:val="223"/>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inventories</w:t>
            </w:r>
          </w:p>
        </w:tc>
        <w:tc>
          <w:tcPr>
            <w:tcW w:w="1400" w:type="dxa"/>
            <w:vAlign w:val="bottom"/>
            <w:tcBorders>
              <w:bottom w:val="single" w:sz="8" w:color="auto"/>
            </w:tcBorders>
          </w:tcPr>
          <w:p>
            <w:pPr>
              <w:jc w:val="right"/>
              <w:ind w:right="1239"/>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8,974</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8,794</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Goodwill and Intangible Assets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carrying value of goodwill was $0.5 million as of June 29, 2019 and December 29, 2018.</w:t>
      </w:r>
    </w:p>
    <w:p>
      <w:pPr>
        <w:spacing w:after="0" w:line="117" w:lineRule="exact"/>
        <w:rPr>
          <w:sz w:val="20"/>
          <w:szCs w:val="20"/>
          <w:color w:val="auto"/>
        </w:rPr>
      </w:pPr>
    </w:p>
    <w:p>
      <w:pPr>
        <w:ind w:right="100" w:firstLine="518"/>
        <w:spacing w:after="0" w:line="256"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the net tangible and identifiable intangible assets acquired in a business combination. The Company reviews goodwill for impairment on an annual basis or whenever events or changes in circumstances indicate the carrying value may not be recoverable. The Company performs an annual impairment test by comparing the fair value of a reporting unit with its carrying amount. An impairment charge should be recognized for the amount by which the carrying amount exceed the reporting unit’s fair value; however, the loss recognized should not exceed the total amount of goodwill allocated to that reporting unit. In addition, income tax effects from any tax deductible goodwill carrying amount of the reporting unit</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29" w:right="279" w:bottom="1440" w:gutter="0" w:footer="0" w:header="0"/>
        </w:sectPr>
      </w:pPr>
    </w:p>
    <w:bookmarkStart w:id="11" w:name="page12"/>
    <w:bookmarkEnd w:id="11"/>
    <w:p>
      <w:pPr>
        <w:ind w:right="40"/>
        <w:spacing w:after="0" w:line="256" w:lineRule="auto"/>
        <w:rPr>
          <w:sz w:val="20"/>
          <w:szCs w:val="20"/>
          <w:color w:val="auto"/>
        </w:rPr>
      </w:pPr>
      <w:r>
        <w:rPr>
          <w:rFonts w:ascii="Times New Roman" w:cs="Times New Roman" w:eastAsia="Times New Roman" w:hAnsi="Times New Roman"/>
          <w:sz w:val="18"/>
          <w:szCs w:val="18"/>
          <w:color w:val="auto"/>
        </w:rPr>
        <w:t>should be considered when measuring the goodwill impairment loss, if applicable. The Company has determined that it has a single reporting unit for purposes of performing its goodwill impairment test. As the Company uses the market approach to assess impairment, its common stock price is an important component of the fair value calculation. If the Company’s stock price continues to experience significant price and volume fluctuations, this will impact the fair value of the reporting unit and can lead to potential impairment in future periods. The Company performed its annual impairment test during the second quarter of fiscal year 2019 and determined that its goodwill was not impaired. As of June 29, 2019, the Company had not identified any factors that indicated there was an impairment of its goodwill and determined that no additional impairment analysis was then required.</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components of gross and net intangible asset balances (in thousands):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6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29, 2019</w:t>
            </w:r>
          </w:p>
        </w:tc>
        <w:tc>
          <w:tcPr>
            <w:tcW w:w="8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29, 2018</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460" w:type="dxa"/>
            <w:vAlign w:val="bottom"/>
          </w:tcPr>
          <w:p>
            <w:pPr>
              <w:spacing w:after="0"/>
              <w:rPr>
                <w:sz w:val="11"/>
                <w:szCs w:val="11"/>
                <w:color w:val="auto"/>
              </w:rPr>
            </w:pPr>
          </w:p>
        </w:tc>
        <w:tc>
          <w:tcPr>
            <w:tcW w:w="124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2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0" w:type="dxa"/>
            <w:vAlign w:val="bottom"/>
          </w:tcPr>
          <w:p>
            <w:pPr>
              <w:jc w:val="center"/>
              <w:ind w:left="108"/>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0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60" w:type="dxa"/>
            <w:vAlign w:val="bottom"/>
          </w:tcPr>
          <w:p>
            <w:pPr>
              <w:spacing w:after="0"/>
              <w:rPr>
                <w:sz w:val="11"/>
                <w:szCs w:val="11"/>
                <w:color w:val="auto"/>
              </w:rPr>
            </w:pPr>
          </w:p>
        </w:tc>
        <w:tc>
          <w:tcPr>
            <w:tcW w:w="1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60" w:type="dxa"/>
            <w:vAlign w:val="bottom"/>
            <w:gridSpan w:val="2"/>
            <w:vMerge w:val="continue"/>
          </w:tcPr>
          <w:p>
            <w:pPr>
              <w:spacing w:after="0"/>
              <w:rPr>
                <w:sz w:val="12"/>
                <w:szCs w:val="12"/>
                <w:color w:val="auto"/>
              </w:rPr>
            </w:pPr>
          </w:p>
        </w:tc>
        <w:tc>
          <w:tcPr>
            <w:tcW w:w="800" w:type="dxa"/>
            <w:vAlign w:val="bottom"/>
          </w:tcPr>
          <w:p>
            <w:pPr>
              <w:jc w:val="center"/>
              <w:ind w:left="128"/>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73"/>
        </w:trPr>
        <w:tc>
          <w:tcPr>
            <w:tcW w:w="246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800" w:type="dxa"/>
            <w:vAlign w:val="bottom"/>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Amortization Life</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23"/>
        </w:trPr>
        <w:tc>
          <w:tcPr>
            <w:tcW w:w="24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6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92</w:t>
            </w:r>
          </w:p>
        </w:tc>
        <w:tc>
          <w:tcPr>
            <w:tcW w:w="26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5.75 Years</w:t>
            </w:r>
          </w:p>
        </w:tc>
        <w:tc>
          <w:tcPr>
            <w:tcW w:w="14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6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6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six months ended June 29, 2019 and June 30, 2018, amortization expense totaled $8 thousand for each period.</w:t>
      </w:r>
    </w:p>
    <w:p>
      <w:pPr>
        <w:spacing w:after="0" w:line="117" w:lineRule="exact"/>
        <w:rPr>
          <w:sz w:val="20"/>
          <w:szCs w:val="20"/>
          <w:color w:val="auto"/>
        </w:rPr>
      </w:pPr>
    </w:p>
    <w:p>
      <w:pPr>
        <w:ind w:right="640" w:firstLine="518"/>
        <w:spacing w:after="0" w:line="282" w:lineRule="auto"/>
        <w:rPr>
          <w:sz w:val="20"/>
          <w:szCs w:val="20"/>
          <w:color w:val="auto"/>
        </w:rPr>
      </w:pPr>
      <w:r>
        <w:rPr>
          <w:rFonts w:ascii="Times New Roman" w:cs="Times New Roman" w:eastAsia="Times New Roman" w:hAnsi="Times New Roman"/>
          <w:sz w:val="18"/>
          <w:szCs w:val="18"/>
          <w:color w:val="auto"/>
        </w:rPr>
        <w:t>The amortization of customer relationships was charged to sales and marketing expense and the amortization of patents was charged to cost of revenues. Future estimated amortization expense (in thousands):</w:t>
      </w:r>
    </w:p>
    <w:p>
      <w:pPr>
        <w:spacing w:after="0" w:line="207"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Fiscal Year:</w:t>
            </w:r>
          </w:p>
        </w:tc>
        <w:tc>
          <w:tcPr>
            <w:tcW w:w="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2019 (six months)</w:t>
            </w:r>
          </w:p>
        </w:tc>
        <w:tc>
          <w:tcPr>
            <w:tcW w:w="920" w:type="dxa"/>
            <w:vAlign w:val="bottom"/>
            <w:gridSpan w:val="2"/>
          </w:tcPr>
          <w:p>
            <w:pPr>
              <w:jc w:val="right"/>
              <w:ind w:right="78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2020</w:t>
            </w:r>
          </w:p>
        </w:tc>
        <w:tc>
          <w:tcPr>
            <w:tcW w:w="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FF0FC"/>
          </w:tcPr>
          <w:p>
            <w:pPr>
              <w:spacing w:after="0"/>
              <w:rPr>
                <w:sz w:val="19"/>
                <w:szCs w:val="19"/>
                <w:color w:val="auto"/>
              </w:rPr>
            </w:pPr>
          </w:p>
        </w:tc>
      </w:tr>
      <w:tr>
        <w:trPr>
          <w:trHeight w:val="223"/>
        </w:trPr>
        <w:tc>
          <w:tcPr>
            <w:tcW w:w="5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8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121"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80" w:lineRule="exact"/>
        <w:rPr>
          <w:sz w:val="20"/>
          <w:szCs w:val="20"/>
          <w:color w:val="auto"/>
        </w:rPr>
      </w:pPr>
    </w:p>
    <w:p>
      <w:pPr>
        <w:ind w:left="1040" w:hanging="519"/>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(unadjusted) in active markets that are accessible at the measurement date for assets or liabilities.</w:t>
      </w:r>
    </w:p>
    <w:p>
      <w:pPr>
        <w:spacing w:after="0" w:line="117" w:lineRule="exact"/>
        <w:rPr>
          <w:rFonts w:ascii="Times New Roman" w:cs="Times New Roman" w:eastAsia="Times New Roman" w:hAnsi="Times New Roman"/>
          <w:sz w:val="18"/>
          <w:szCs w:val="18"/>
          <w:color w:val="auto"/>
        </w:rPr>
      </w:pPr>
    </w:p>
    <w:p>
      <w:pPr>
        <w:ind w:left="1040" w:hanging="519"/>
        <w:spacing w:after="0" w:line="258"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Directly or indirectly observable inputs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from actively quoted markets for substantially the full term of the financial instrument.</w:t>
      </w:r>
    </w:p>
    <w:p>
      <w:pPr>
        <w:spacing w:after="0" w:line="75" w:lineRule="exact"/>
        <w:rPr>
          <w:rFonts w:ascii="Times New Roman" w:cs="Times New Roman" w:eastAsia="Times New Roman" w:hAnsi="Times New Roman"/>
          <w:sz w:val="18"/>
          <w:szCs w:val="18"/>
          <w:color w:val="auto"/>
        </w:rPr>
      </w:pPr>
    </w:p>
    <w:p>
      <w:pPr>
        <w:ind w:left="1040" w:right="200" w:hanging="519"/>
        <w:spacing w:after="0" w:line="266"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that are supported by little or no market activity and reflect the use of significant management judgment. These values are generally determined using pricing models for which the assumptions utilize management’s estimates of market participant assumptions.</w:t>
      </w:r>
    </w:p>
    <w:p>
      <w:pPr>
        <w:spacing w:after="0" w:line="68" w:lineRule="exact"/>
        <w:rPr>
          <w:sz w:val="20"/>
          <w:szCs w:val="20"/>
          <w:color w:val="auto"/>
        </w:rPr>
      </w:pPr>
    </w:p>
    <w:p>
      <w:pPr>
        <w:ind w:right="40" w:firstLine="518"/>
        <w:spacing w:after="0" w:line="282" w:lineRule="auto"/>
        <w:rPr>
          <w:sz w:val="20"/>
          <w:szCs w:val="20"/>
          <w:color w:val="auto"/>
        </w:rPr>
      </w:pPr>
      <w:r>
        <w:rPr>
          <w:rFonts w:ascii="Times New Roman" w:cs="Times New Roman" w:eastAsia="Times New Roman" w:hAnsi="Times New Roman"/>
          <w:sz w:val="18"/>
          <w:szCs w:val="18"/>
          <w:color w:val="auto"/>
        </w:rPr>
        <w:t>In determining fair value, the Company utilizes valuation techniques that maximize the use of observable inputs and minimize the use of unobservable inputs to the extent possible, as well as considers counterparty credit risk in its assessment of fair value.</w:t>
      </w:r>
    </w:p>
    <w:p>
      <w:pPr>
        <w:spacing w:after="0" w:line="54" w:lineRule="exact"/>
        <w:rPr>
          <w:sz w:val="20"/>
          <w:szCs w:val="20"/>
          <w:color w:val="auto"/>
        </w:rPr>
      </w:pPr>
    </w:p>
    <w:p>
      <w:pPr>
        <w:ind w:right="280" w:firstLine="518"/>
        <w:spacing w:after="0" w:line="282" w:lineRule="auto"/>
        <w:rPr>
          <w:sz w:val="20"/>
          <w:szCs w:val="20"/>
          <w:color w:val="auto"/>
        </w:rPr>
      </w:pPr>
      <w:r>
        <w:rPr>
          <w:rFonts w:ascii="Times New Roman" w:cs="Times New Roman" w:eastAsia="Times New Roman" w:hAnsi="Times New Roman"/>
          <w:sz w:val="18"/>
          <w:szCs w:val="18"/>
          <w:color w:val="auto"/>
        </w:rPr>
        <w:t>The carrying amounts of the Company’s financial assets and liabilities, including cash and cash equivalents, accounts receivable, accounts payable, and accrued expenses as of June 29, 2019 and December 29, 2018, approximate fair value because of the short maturity of these instruments.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2" w:name="page13"/>
    <w:bookmarkEnd w:id="12"/>
    <w:p>
      <w:pPr>
        <w:ind w:right="220" w:firstLine="518"/>
        <w:spacing w:after="0" w:line="282" w:lineRule="auto"/>
        <w:rPr>
          <w:sz w:val="20"/>
          <w:szCs w:val="20"/>
          <w:color w:val="auto"/>
        </w:rPr>
      </w:pPr>
      <w:r>
        <w:rPr>
          <w:rFonts w:ascii="Times New Roman" w:cs="Times New Roman" w:eastAsia="Times New Roman" w:hAnsi="Times New Roman"/>
          <w:sz w:val="18"/>
          <w:szCs w:val="18"/>
          <w:color w:val="auto"/>
        </w:rPr>
        <w:t>As of June 29, 2019 and December 29, 2018, financial assets and liabilities measured and recognized at fair value on a recurring basis and classified under the appropriate level of the fair value hierarchy as described above were as follows: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As of June 29, 2019</w:t>
            </w: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As of December 29, 2018</w:t>
            </w: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4"/>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5"/>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16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ind w:right="156"/>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ind w:right="156"/>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216"/>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ind w:right="136"/>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3"/>
                <w:szCs w:val="13"/>
                <w:color w:val="auto"/>
              </w:rPr>
            </w:pPr>
          </w:p>
        </w:tc>
        <w:tc>
          <w:tcPr>
            <w:tcW w:w="740" w:type="dxa"/>
            <w:vAlign w:val="bottom"/>
          </w:tcPr>
          <w:p>
            <w:pPr>
              <w:jc w:val="right"/>
              <w:ind w:right="236"/>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1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4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Money market funds</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14,350</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14,350</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20,708</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w:t>
            </w: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Earn-out liability</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40" w:type="dxa"/>
            <w:vAlign w:val="bottom"/>
          </w:tcPr>
          <w:p>
            <w:pPr>
              <w:spacing w:after="0"/>
              <w:rPr>
                <w:sz w:val="20"/>
                <w:szCs w:val="20"/>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The Company’s Level 1 financial assets are money market funds whose fair values are based on quoted market prices. The Company does not have any Level 2 financial assets or liabilities. The fair value of the earn-out liability arising from the acquisition of RetinaLabs, Inc. is classified within Level 3 of the fair value hierarchy since it is based on significant unobservable inputs. The significant unobservable inputs include projected royalties and discount rates to present value the payments. A significant increase (decrease) in the projected royalty payments in isolation could result in a significantly higher (lower) fair value measurement and a significant increase (decrease) in the discount rate in isolation could result in a significantly lower (higher) fair value measurement. The fair value of the earn-out liability is calculated on a quarterly basis by the Company based on a collaborative effort of the Company’s operations, finance and accounting groups as additional information becomes available. Any change in the fair value adjustment is recorded in the statement of operations of that period.</w:t>
      </w:r>
    </w:p>
    <w:p>
      <w:pPr>
        <w:spacing w:after="0" w:line="77" w:lineRule="exact"/>
        <w:rPr>
          <w:sz w:val="20"/>
          <w:szCs w:val="20"/>
          <w:color w:val="auto"/>
        </w:rPr>
      </w:pPr>
    </w:p>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tables present quantitative information about the inputs and valuation methodologies used for our fair value measurements classified in Level 3 of the fair value hierarchy as of June 29, 2019 and December 29, 2018.</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9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1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3620" w:type="dxa"/>
            <w:vAlign w:val="bottom"/>
            <w:vMerge w:val="restart"/>
          </w:tcPr>
          <w:p>
            <w:pPr>
              <w:ind w:left="1200"/>
              <w:spacing w:after="0"/>
              <w:rPr>
                <w:sz w:val="20"/>
                <w:szCs w:val="20"/>
                <w:color w:val="auto"/>
              </w:rPr>
            </w:pPr>
            <w:r>
              <w:rPr>
                <w:rFonts w:ascii="Times New Roman" w:cs="Times New Roman" w:eastAsia="Times New Roman" w:hAnsi="Times New Roman"/>
                <w:sz w:val="14"/>
                <w:szCs w:val="14"/>
                <w:b w:val="1"/>
                <w:bCs w:val="1"/>
                <w:color w:val="auto"/>
              </w:rPr>
              <w:t>As of June 29, 2019</w:t>
            </w:r>
          </w:p>
        </w:tc>
        <w:tc>
          <w:tcPr>
            <w:tcW w:w="120" w:type="dxa"/>
            <w:vAlign w:val="bottom"/>
            <w:vMerge w:val="restart"/>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19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2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3"/>
        </w:trPr>
        <w:tc>
          <w:tcPr>
            <w:tcW w:w="36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5"/>
                <w:szCs w:val="15"/>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Technique</w:t>
            </w:r>
          </w:p>
        </w:tc>
        <w:tc>
          <w:tcPr>
            <w:tcW w:w="140" w:type="dxa"/>
            <w:vAlign w:val="bottom"/>
          </w:tcPr>
          <w:p>
            <w:pPr>
              <w:spacing w:after="0"/>
              <w:rPr>
                <w:sz w:val="15"/>
                <w:szCs w:val="15"/>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Input</w:t>
            </w:r>
          </w:p>
        </w:tc>
        <w:tc>
          <w:tcPr>
            <w:tcW w:w="140" w:type="dxa"/>
            <w:vAlign w:val="bottom"/>
          </w:tcPr>
          <w:p>
            <w:pPr>
              <w:spacing w:after="0"/>
              <w:rPr>
                <w:sz w:val="15"/>
                <w:szCs w:val="15"/>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(range)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291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1"/>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Projected royalties</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Earn-out liability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40" w:type="dxa"/>
            <w:vAlign w:val="bottom"/>
          </w:tcPr>
          <w:p>
            <w:pPr>
              <w:spacing w:after="0"/>
              <w:rPr>
                <w:sz w:val="20"/>
                <w:szCs w:val="20"/>
                <w:color w:val="auto"/>
              </w:rPr>
            </w:pPr>
          </w:p>
        </w:tc>
        <w:tc>
          <w:tcPr>
            <w:tcW w:w="19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Discounted cash flow</w:t>
            </w:r>
          </w:p>
        </w:tc>
        <w:tc>
          <w:tcPr>
            <w:tcW w:w="19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(in thousands)</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$999</w:t>
            </w:r>
          </w:p>
        </w:tc>
        <w:tc>
          <w:tcPr>
            <w:tcW w:w="0" w:type="dxa"/>
            <w:vAlign w:val="bottom"/>
          </w:tcPr>
          <w:p>
            <w:pPr>
              <w:spacing w:after="0"/>
              <w:rPr>
                <w:sz w:val="1"/>
                <w:szCs w:val="1"/>
                <w:color w:val="auto"/>
              </w:rPr>
            </w:pPr>
          </w:p>
        </w:tc>
      </w:tr>
      <w:tr>
        <w:trPr>
          <w:trHeight w:val="205"/>
        </w:trPr>
        <w:tc>
          <w:tcPr>
            <w:tcW w:w="3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2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Discount rate</w:t>
            </w:r>
          </w:p>
        </w:tc>
        <w:tc>
          <w:tcPr>
            <w:tcW w:w="140" w:type="dxa"/>
            <w:vAlign w:val="bottom"/>
          </w:tcPr>
          <w:p>
            <w:pPr>
              <w:spacing w:after="0"/>
              <w:rPr>
                <w:sz w:val="17"/>
                <w:szCs w:val="17"/>
                <w:color w:val="auto"/>
              </w:rPr>
            </w:pPr>
          </w:p>
        </w:tc>
        <w:tc>
          <w:tcPr>
            <w:tcW w:w="226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rPr>
              <w:t>10.29%</w:t>
            </w:r>
          </w:p>
        </w:tc>
        <w:tc>
          <w:tcPr>
            <w:tcW w:w="0" w:type="dxa"/>
            <w:vAlign w:val="bottom"/>
          </w:tcPr>
          <w:p>
            <w:pPr>
              <w:spacing w:after="0"/>
              <w:rPr>
                <w:sz w:val="1"/>
                <w:szCs w:val="1"/>
                <w:color w:val="auto"/>
              </w:rPr>
            </w:pPr>
          </w:p>
        </w:tc>
      </w:tr>
      <w:tr>
        <w:trPr>
          <w:trHeight w:val="234"/>
        </w:trPr>
        <w:tc>
          <w:tcPr>
            <w:tcW w:w="3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(10.20% - 27.00%)</w:t>
            </w:r>
          </w:p>
        </w:tc>
        <w:tc>
          <w:tcPr>
            <w:tcW w:w="0" w:type="dxa"/>
            <w:vAlign w:val="bottom"/>
          </w:tcPr>
          <w:p>
            <w:pPr>
              <w:spacing w:after="0"/>
              <w:rPr>
                <w:sz w:val="1"/>
                <w:szCs w:val="1"/>
                <w:color w:val="auto"/>
              </w:rPr>
            </w:pPr>
          </w:p>
        </w:tc>
      </w:tr>
      <w:tr>
        <w:trPr>
          <w:trHeight w:val="367"/>
        </w:trPr>
        <w:tc>
          <w:tcPr>
            <w:tcW w:w="3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9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1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3740" w:type="dxa"/>
            <w:vAlign w:val="bottom"/>
            <w:gridSpan w:val="2"/>
            <w:vMerge w:val="restart"/>
          </w:tcPr>
          <w:p>
            <w:pPr>
              <w:ind w:left="1040"/>
              <w:spacing w:after="0"/>
              <w:rPr>
                <w:sz w:val="20"/>
                <w:szCs w:val="20"/>
                <w:color w:val="auto"/>
              </w:rPr>
            </w:pPr>
            <w:r>
              <w:rPr>
                <w:rFonts w:ascii="Times New Roman" w:cs="Times New Roman" w:eastAsia="Times New Roman" w:hAnsi="Times New Roman"/>
                <w:sz w:val="14"/>
                <w:szCs w:val="14"/>
                <w:b w:val="1"/>
                <w:bCs w:val="1"/>
                <w:color w:val="auto"/>
              </w:rPr>
              <w:t>As of December 29, 2018</w:t>
            </w:r>
          </w:p>
        </w:tc>
        <w:tc>
          <w:tcPr>
            <w:tcW w:w="1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19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2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3"/>
        </w:trPr>
        <w:tc>
          <w:tcPr>
            <w:tcW w:w="37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Technique</w:t>
            </w:r>
          </w:p>
        </w:tc>
        <w:tc>
          <w:tcPr>
            <w:tcW w:w="1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Input</w:t>
            </w: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(range)</w:t>
            </w:r>
          </w:p>
        </w:tc>
        <w:tc>
          <w:tcPr>
            <w:tcW w:w="0" w:type="dxa"/>
            <w:vAlign w:val="bottom"/>
          </w:tcPr>
          <w:p>
            <w:pPr>
              <w:spacing w:after="0"/>
              <w:rPr>
                <w:sz w:val="1"/>
                <w:szCs w:val="1"/>
                <w:color w:val="auto"/>
              </w:rPr>
            </w:pPr>
          </w:p>
        </w:tc>
      </w:tr>
      <w:tr>
        <w:trPr>
          <w:trHeight w:val="205"/>
        </w:trPr>
        <w:tc>
          <w:tcPr>
            <w:tcW w:w="36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8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820" w:type="dxa"/>
            <w:vAlign w:val="bottom"/>
            <w:tcBorders>
              <w:top w:val="single" w:sz="8" w:color="auto"/>
            </w:tcBorders>
            <w:shd w:val="clear" w:color="auto" w:fill="CFF0FC"/>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Projected royalties</w:t>
            </w:r>
          </w:p>
        </w:tc>
        <w:tc>
          <w:tcPr>
            <w:tcW w:w="140" w:type="dxa"/>
            <w:vAlign w:val="bottom"/>
            <w:tcBorders>
              <w:top w:val="single" w:sz="8" w:color="CFF0FC"/>
            </w:tcBorders>
            <w:shd w:val="clear" w:color="auto" w:fill="CFF0FC"/>
          </w:tcPr>
          <w:p>
            <w:pPr>
              <w:spacing w:after="0"/>
              <w:rPr>
                <w:sz w:val="17"/>
                <w:szCs w:val="17"/>
                <w:color w:val="auto"/>
              </w:rPr>
            </w:pPr>
          </w:p>
        </w:tc>
        <w:tc>
          <w:tcPr>
            <w:tcW w:w="226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Earn-out liability</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40" w:type="dxa"/>
            <w:vAlign w:val="bottom"/>
            <w:shd w:val="clear" w:color="auto" w:fill="CFF0FC"/>
          </w:tcPr>
          <w:p>
            <w:pPr>
              <w:spacing w:after="0"/>
              <w:rPr>
                <w:sz w:val="20"/>
                <w:szCs w:val="20"/>
                <w:color w:val="auto"/>
              </w:rPr>
            </w:pPr>
          </w:p>
        </w:tc>
        <w:tc>
          <w:tcPr>
            <w:tcW w:w="196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9"/>
              </w:rPr>
              <w:t>Discounted cash flow</w:t>
            </w:r>
          </w:p>
        </w:tc>
        <w:tc>
          <w:tcPr>
            <w:tcW w:w="196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rPr>
              <w:t>(in thousands)</w:t>
            </w:r>
          </w:p>
        </w:tc>
        <w:tc>
          <w:tcPr>
            <w:tcW w:w="2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$1,245</w:t>
            </w:r>
          </w:p>
        </w:tc>
        <w:tc>
          <w:tcPr>
            <w:tcW w:w="0" w:type="dxa"/>
            <w:vAlign w:val="bottom"/>
          </w:tcPr>
          <w:p>
            <w:pPr>
              <w:spacing w:after="0"/>
              <w:rPr>
                <w:sz w:val="1"/>
                <w:szCs w:val="1"/>
                <w:color w:val="auto"/>
              </w:rPr>
            </w:pPr>
          </w:p>
        </w:tc>
      </w:tr>
      <w:tr>
        <w:trPr>
          <w:trHeight w:val="205"/>
        </w:trPr>
        <w:tc>
          <w:tcPr>
            <w:tcW w:w="3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2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Discount rate</w:t>
            </w:r>
          </w:p>
        </w:tc>
        <w:tc>
          <w:tcPr>
            <w:tcW w:w="140" w:type="dxa"/>
            <w:vAlign w:val="bottom"/>
          </w:tcPr>
          <w:p>
            <w:pPr>
              <w:spacing w:after="0"/>
              <w:rPr>
                <w:sz w:val="17"/>
                <w:szCs w:val="17"/>
                <w:color w:val="auto"/>
              </w:rPr>
            </w:pPr>
          </w:p>
        </w:tc>
        <w:tc>
          <w:tcPr>
            <w:tcW w:w="226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rPr>
              <w:t>10.33%</w:t>
            </w:r>
          </w:p>
        </w:tc>
        <w:tc>
          <w:tcPr>
            <w:tcW w:w="0" w:type="dxa"/>
            <w:vAlign w:val="bottom"/>
          </w:tcPr>
          <w:p>
            <w:pPr>
              <w:spacing w:after="0"/>
              <w:rPr>
                <w:sz w:val="1"/>
                <w:szCs w:val="1"/>
                <w:color w:val="auto"/>
              </w:rPr>
            </w:pPr>
          </w:p>
        </w:tc>
      </w:tr>
      <w:tr>
        <w:trPr>
          <w:trHeight w:val="234"/>
        </w:trPr>
        <w:tc>
          <w:tcPr>
            <w:tcW w:w="3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(10.20% - 27.00%)</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180" w:firstLine="518"/>
        <w:spacing w:after="0" w:line="282" w:lineRule="auto"/>
        <w:rPr>
          <w:sz w:val="20"/>
          <w:szCs w:val="20"/>
          <w:color w:val="auto"/>
        </w:rPr>
      </w:pPr>
      <w:r>
        <w:rPr>
          <w:rFonts w:ascii="Times New Roman" w:cs="Times New Roman" w:eastAsia="Times New Roman" w:hAnsi="Times New Roman"/>
          <w:sz w:val="18"/>
          <w:szCs w:val="18"/>
          <w:color w:val="auto"/>
        </w:rPr>
        <w:t>A reconciliation of the changes in the Company’s earn-out liability (Level 3 liability) for the six months ended June 29, 2019 and June 30, 2018 is as follows:</w:t>
      </w:r>
    </w:p>
    <w:p>
      <w:pPr>
        <w:spacing w:after="0" w:line="263"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3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80" w:type="dxa"/>
            <w:vAlign w:val="bottom"/>
            <w:gridSpan w:val="5"/>
          </w:tcPr>
          <w:p>
            <w:pPr>
              <w:jc w:val="right"/>
              <w:ind w:right="13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56"/>
        </w:trPr>
        <w:tc>
          <w:tcPr>
            <w:tcW w:w="358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gridSpan w:val="2"/>
          </w:tcPr>
          <w:p>
            <w:pPr>
              <w:jc w:val="right"/>
              <w:ind w:right="700"/>
              <w:spacing w:after="0" w:line="155" w:lineRule="exact"/>
              <w:rPr>
                <w:sz w:val="20"/>
                <w:szCs w:val="20"/>
                <w:color w:val="auto"/>
              </w:rPr>
            </w:pPr>
            <w:r>
              <w:rPr>
                <w:rFonts w:ascii="Times New Roman" w:cs="Times New Roman" w:eastAsia="Times New Roman" w:hAnsi="Times New Roman"/>
                <w:sz w:val="14"/>
                <w:szCs w:val="14"/>
                <w:b w:val="1"/>
                <w:bCs w:val="1"/>
                <w:color w:val="auto"/>
              </w:rPr>
              <w:t>June 29, 2019</w:t>
            </w:r>
          </w:p>
        </w:tc>
        <w:tc>
          <w:tcPr>
            <w:tcW w:w="26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jc w:val="right"/>
              <w:ind w:right="354"/>
              <w:spacing w:after="0" w:line="155" w:lineRule="exact"/>
              <w:rPr>
                <w:sz w:val="20"/>
                <w:szCs w:val="20"/>
                <w:color w:val="auto"/>
              </w:rPr>
            </w:pPr>
            <w:r>
              <w:rPr>
                <w:rFonts w:ascii="Times New Roman" w:cs="Times New Roman" w:eastAsia="Times New Roman" w:hAnsi="Times New Roman"/>
                <w:sz w:val="14"/>
                <w:szCs w:val="14"/>
                <w:b w:val="1"/>
                <w:bCs w:val="1"/>
                <w:color w:val="auto"/>
              </w:rPr>
              <w:t>June 30, 2018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5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beginning of the period</w:t>
            </w:r>
          </w:p>
        </w:tc>
        <w:tc>
          <w:tcPr>
            <w:tcW w:w="6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Payments against earn-out</w:t>
            </w: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(199)</w:t>
            </w:r>
          </w:p>
        </w:tc>
        <w:tc>
          <w:tcPr>
            <w:tcW w:w="260" w:type="dxa"/>
            <w:vAlign w:val="bottom"/>
          </w:tcPr>
          <w:p>
            <w:pPr>
              <w:spacing w:after="0"/>
              <w:rPr>
                <w:sz w:val="19"/>
                <w:szCs w:val="19"/>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earn-out liability</w:t>
            </w:r>
          </w:p>
        </w:tc>
        <w:tc>
          <w:tcPr>
            <w:tcW w:w="6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the end of the period</w:t>
            </w:r>
          </w:p>
        </w:tc>
        <w:tc>
          <w:tcPr>
            <w:tcW w:w="6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160" w:firstLine="518"/>
        <w:spacing w:after="0" w:line="282" w:lineRule="auto"/>
        <w:rPr>
          <w:sz w:val="20"/>
          <w:szCs w:val="20"/>
          <w:color w:val="auto"/>
        </w:rPr>
      </w:pPr>
      <w:r>
        <w:rPr>
          <w:rFonts w:ascii="Times New Roman" w:cs="Times New Roman" w:eastAsia="Times New Roman" w:hAnsi="Times New Roman"/>
          <w:sz w:val="18"/>
          <w:szCs w:val="18"/>
          <w:color w:val="auto"/>
        </w:rPr>
        <w:t>The earn-out liability is included in accrued expenses and other long-term liabilities in the condensed consolidated balance sheets. Any change in the fair value adjustment is recorded to other expense in the condensed consolidated statements of operations.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6.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 Commitments.</w:t>
      </w:r>
    </w:p>
    <w:p>
      <w:pPr>
        <w:spacing w:after="0" w:line="119" w:lineRule="exact"/>
        <w:rPr>
          <w:sz w:val="20"/>
          <w:szCs w:val="20"/>
          <w:color w:val="auto"/>
        </w:rPr>
      </w:pPr>
    </w:p>
    <w:p>
      <w:pPr>
        <w:ind w:right="180" w:firstLine="518"/>
        <w:spacing w:after="0" w:line="266" w:lineRule="auto"/>
        <w:rPr>
          <w:sz w:val="20"/>
          <w:szCs w:val="20"/>
          <w:color w:val="auto"/>
        </w:rPr>
      </w:pPr>
      <w:r>
        <w:rPr>
          <w:rFonts w:ascii="Times New Roman" w:cs="Times New Roman" w:eastAsia="Times New Roman" w:hAnsi="Times New Roman"/>
          <w:sz w:val="18"/>
          <w:szCs w:val="18"/>
          <w:color w:val="auto"/>
        </w:rPr>
        <w:t>Our operating lease commitments consist primarily of our facility lease and various office and computer equipment leases. Operating lease expenses for the six months ended June 29, 2019 and June 30, 2018 were approximately $0.7 million. The weighted average discount rate used in calculating the present value of lease payments was 5.4%. As of June 29, 2019, the weighted average remaining lease term for our operating leases was 2.7 years.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represents maturities of operating lease liabilities as of June 29, 2019 (in thousands):</w:t>
      </w: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5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73"/>
        </w:trPr>
        <w:tc>
          <w:tcPr>
            <w:tcW w:w="75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Lease Payments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2019 (6 months)</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23"/>
        </w:trPr>
        <w:tc>
          <w:tcPr>
            <w:tcW w:w="7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Commitments.</w:t>
      </w:r>
    </w:p>
    <w:p>
      <w:pPr>
        <w:spacing w:after="0" w:line="119" w:lineRule="exact"/>
        <w:rPr>
          <w:sz w:val="20"/>
          <w:szCs w:val="20"/>
          <w:color w:val="auto"/>
        </w:rPr>
      </w:pPr>
    </w:p>
    <w:p>
      <w:pPr>
        <w:ind w:right="120" w:firstLine="518"/>
        <w:spacing w:after="0" w:line="266" w:lineRule="auto"/>
        <w:rPr>
          <w:sz w:val="20"/>
          <w:szCs w:val="20"/>
          <w:color w:val="auto"/>
        </w:rPr>
      </w:pPr>
      <w:r>
        <w:rPr>
          <w:rFonts w:ascii="Times New Roman" w:cs="Times New Roman" w:eastAsia="Times New Roman" w:hAnsi="Times New Roman"/>
          <w:sz w:val="18"/>
          <w:szCs w:val="18"/>
          <w:color w:val="auto"/>
        </w:rPr>
        <w:t>Our purchase commitments consist primarily of non-cancellable purchase commitments with vendors to manufacture certain components and ophthalmic instrumentation. As of June 29, 2019, our future minimum payments through fiscal year 2020 for our purchase commitments was approximately $11.6 million.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Indemnities.</w:t>
      </w:r>
    </w:p>
    <w:p>
      <w:pPr>
        <w:spacing w:after="0" w:line="119"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We enter into standard indemnification arrangements in the ordinary course of business. Pursuant to these arrangements, we indemnify, hold harmless, and agree to reimburse the indemnified parties for losses suffered or incurred by the indemnified parties (generally our business partners or customers) in connection with any trade secret, copyright, patent or other intellectual property infringement claim by any third-party with respect to our products. The term of these indemnification agreements is generally perpetual any time after the execution of the agreement. The maximum potential amount of future payments the we could be required to make under these agreements is not determinable. We have never incurred costs to defend lawsuits or settle claims related to these indemnification agreements. As a result, we believe the estimated fair value of these agreements is minimal.</w:t>
      </w:r>
    </w:p>
    <w:p>
      <w:pPr>
        <w:spacing w:after="0" w:line="80" w:lineRule="exact"/>
        <w:rPr>
          <w:sz w:val="20"/>
          <w:szCs w:val="20"/>
          <w:color w:val="auto"/>
        </w:rPr>
      </w:pPr>
    </w:p>
    <w:p>
      <w:pPr>
        <w:ind w:right="120" w:firstLine="518"/>
        <w:spacing w:after="0" w:line="258" w:lineRule="auto"/>
        <w:rPr>
          <w:sz w:val="20"/>
          <w:szCs w:val="20"/>
          <w:color w:val="auto"/>
        </w:rPr>
      </w:pPr>
      <w:r>
        <w:rPr>
          <w:rFonts w:ascii="Times New Roman" w:cs="Times New Roman" w:eastAsia="Times New Roman" w:hAnsi="Times New Roman"/>
          <w:sz w:val="18"/>
          <w:szCs w:val="18"/>
          <w:color w:val="auto"/>
        </w:rPr>
        <w:t>We have entered into indemnification agreements with our directors and officers that may require us to indemnify our directors and officers against liabilities that may arise by reason of their status or service as directors or officers, other than liabilities arising from willful misconduct of a culpable nature. These agreements also require us to advance their expenses incurred as a result of any proceeding against them as to which they could be indemnified and to make good faith determination whether or not it is practicable for us to obtain directors and officers insurance. We currently have directors and officers liability insurance.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From time to time, we may be involved in legal proceedings arising in the ordinary course of business. Although the results of litigation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82" w:lineRule="exact"/>
        <w:rPr>
          <w:sz w:val="20"/>
          <w:szCs w:val="20"/>
          <w:color w:val="auto"/>
        </w:rPr>
      </w:pPr>
    </w:p>
    <w:p>
      <w:pPr>
        <w:ind w:right="7100" w:firstLine="8"/>
        <w:spacing w:after="0" w:line="378" w:lineRule="auto"/>
        <w:tabs>
          <w:tab w:leader="none" w:pos="1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and Stock-Based Compensation Stock-Based Compensation</w:t>
      </w: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The Company accounts for stock-based compensation granted to employees and directors, including employees stock option awards, restricted stock and restricted stock units in accordance with ASC 718</w:t>
      </w:r>
      <w:r>
        <w:rPr>
          <w:rFonts w:ascii="Times New Roman" w:cs="Times New Roman" w:eastAsia="Times New Roman" w:hAnsi="Times New Roman"/>
          <w:sz w:val="18"/>
          <w:szCs w:val="18"/>
          <w:i w:val="1"/>
          <w:iCs w:val="1"/>
          <w:color w:val="auto"/>
        </w:rPr>
        <w:t>, “Compensation – Stock Compensation”</w:t>
      </w:r>
      <w:r>
        <w:rPr>
          <w:rFonts w:ascii="Times New Roman" w:cs="Times New Roman" w:eastAsia="Times New Roman" w:hAnsi="Times New Roman"/>
          <w:sz w:val="18"/>
          <w:szCs w:val="18"/>
          <w:color w:val="auto"/>
        </w:rPr>
        <w:t xml:space="preserve"> (“ASC 718”). Accordingly, stock-based compensation cost is measured at grant date, based on the fair value of the award, and is recognized as expense over the employee’s service period. The Company recognizes compensation expense on a ratable basis over the requisite service period of the award.</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14" w:name="page15"/>
    <w:bookmarkEnd w:id="14"/>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The Company values options using the Black-Scholes option pricing model. Restricted stock and time-based restricted stock units are valued at the grant date fair value of the underlying common shares. Performance-based restricted stock units and performance-based stock options with market conditions are valued using the Monte Carlo simulation model. The Black-Scholes option pricing model requires the use of highly subjective and complex assumptions which determine the fair value of stock-based awards, including the option’s expected term and the price volatility of the underlying stock. The Monte Carlo simulation model incorporates assumptions for the holding period, risk-free interest rate, stock price volatility and dividend yield.</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2008 Equity Incentive Plan.</w:t>
      </w:r>
    </w:p>
    <w:p>
      <w:pPr>
        <w:spacing w:after="0" w:line="119" w:lineRule="exact"/>
        <w:rPr>
          <w:sz w:val="20"/>
          <w:szCs w:val="20"/>
          <w:color w:val="auto"/>
        </w:rPr>
      </w:pPr>
    </w:p>
    <w:p>
      <w:pPr>
        <w:ind w:right="120" w:firstLine="518"/>
        <w:spacing w:after="0" w:line="282" w:lineRule="auto"/>
        <w:rPr>
          <w:sz w:val="20"/>
          <w:szCs w:val="20"/>
          <w:color w:val="auto"/>
        </w:rPr>
      </w:pPr>
      <w:r>
        <w:rPr>
          <w:rFonts w:ascii="Times New Roman" w:cs="Times New Roman" w:eastAsia="Times New Roman" w:hAnsi="Times New Roman"/>
          <w:sz w:val="18"/>
          <w:szCs w:val="18"/>
          <w:color w:val="auto"/>
        </w:rPr>
        <w:t>The terms of awards granted during the six months ended June 29, 2019 were consistent with those described in the consolidated financial statements included in our Annual Report on Form 10-K for the year ended December 29, 2018.</w:t>
      </w:r>
    </w:p>
    <w:p>
      <w:pPr>
        <w:spacing w:after="0" w:line="54" w:lineRule="exact"/>
        <w:rPr>
          <w:sz w:val="20"/>
          <w:szCs w:val="20"/>
          <w:color w:val="auto"/>
        </w:rPr>
      </w:pPr>
    </w:p>
    <w:p>
      <w:pPr>
        <w:ind w:right="18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shows stock-based compensation expenses included in the condensed consolidated statements of operations for the three and six months ended June 29, 2019 and June 30, 2018:</w:t>
      </w:r>
    </w:p>
    <w:p>
      <w:pPr>
        <w:spacing w:after="0" w:line="263"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0" w:type="dxa"/>
            <w:vAlign w:val="bottom"/>
            <w:gridSpan w:val="4"/>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4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56"/>
        </w:trPr>
        <w:tc>
          <w:tcPr>
            <w:tcW w:w="3660" w:type="dxa"/>
            <w:vAlign w:val="bottom"/>
            <w:tcBorders>
              <w:bottom w:val="single" w:sz="8" w:color="CFF0FC"/>
            </w:tcBorders>
            <w:vMerge w:val="continue"/>
          </w:tcPr>
          <w:p>
            <w:pPr>
              <w:spacing w:after="0"/>
              <w:rPr>
                <w:sz w:val="13"/>
                <w:szCs w:val="13"/>
                <w:color w:val="auto"/>
              </w:rPr>
            </w:pPr>
          </w:p>
        </w:tc>
        <w:tc>
          <w:tcPr>
            <w:tcW w:w="170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5"/>
              <w:spacing w:after="0" w:line="155" w:lineRule="exact"/>
              <w:rPr>
                <w:sz w:val="20"/>
                <w:szCs w:val="20"/>
                <w:color w:val="auto"/>
              </w:rPr>
            </w:pPr>
            <w:r>
              <w:rPr>
                <w:rFonts w:ascii="Times New Roman" w:cs="Times New Roman" w:eastAsia="Times New Roman" w:hAnsi="Times New Roman"/>
                <w:sz w:val="14"/>
                <w:szCs w:val="14"/>
                <w:b w:val="1"/>
                <w:bCs w:val="1"/>
                <w:color w:val="auto"/>
              </w:rPr>
              <w:t>June 29, 2019</w:t>
            </w:r>
          </w:p>
        </w:tc>
        <w:tc>
          <w:tcPr>
            <w:tcW w:w="20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3"/>
              <w:spacing w:after="0" w:line="155" w:lineRule="exact"/>
              <w:rPr>
                <w:sz w:val="20"/>
                <w:szCs w:val="20"/>
                <w:color w:val="auto"/>
              </w:rPr>
            </w:pPr>
            <w:r>
              <w:rPr>
                <w:rFonts w:ascii="Times New Roman" w:cs="Times New Roman" w:eastAsia="Times New Roman" w:hAnsi="Times New Roman"/>
                <w:sz w:val="14"/>
                <w:szCs w:val="14"/>
                <w:b w:val="1"/>
                <w:bCs w:val="1"/>
                <w:color w:val="auto"/>
              </w:rPr>
              <w:t>June 30, 2018</w:t>
            </w:r>
          </w:p>
        </w:tc>
        <w:tc>
          <w:tcPr>
            <w:tcW w:w="20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5"/>
              <w:spacing w:after="0" w:line="155" w:lineRule="exact"/>
              <w:rPr>
                <w:sz w:val="20"/>
                <w:szCs w:val="20"/>
                <w:color w:val="auto"/>
              </w:rPr>
            </w:pPr>
            <w:r>
              <w:rPr>
                <w:rFonts w:ascii="Times New Roman" w:cs="Times New Roman" w:eastAsia="Times New Roman" w:hAnsi="Times New Roman"/>
                <w:sz w:val="14"/>
                <w:szCs w:val="14"/>
                <w:b w:val="1"/>
                <w:bCs w:val="1"/>
                <w:color w:val="auto"/>
              </w:rPr>
              <w:t>June 29, 2019</w:t>
            </w:r>
          </w:p>
        </w:tc>
        <w:tc>
          <w:tcPr>
            <w:tcW w:w="22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53"/>
              <w:spacing w:after="0" w:line="155" w:lineRule="exact"/>
              <w:rPr>
                <w:sz w:val="20"/>
                <w:szCs w:val="20"/>
                <w:color w:val="auto"/>
              </w:rPr>
            </w:pPr>
            <w:r>
              <w:rPr>
                <w:rFonts w:ascii="Times New Roman" w:cs="Times New Roman" w:eastAsia="Times New Roman" w:hAnsi="Times New Roman"/>
                <w:sz w:val="14"/>
                <w:szCs w:val="14"/>
                <w:b w:val="1"/>
                <w:bCs w:val="1"/>
                <w:color w:val="auto"/>
              </w:rPr>
              <w:t>June 30, 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70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7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7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60" w:type="dxa"/>
            <w:vAlign w:val="bottom"/>
            <w:shd w:val="clear" w:color="auto" w:fill="CFF0FC"/>
          </w:tcPr>
          <w:p>
            <w:pPr>
              <w:spacing w:after="0"/>
              <w:rPr>
                <w:sz w:val="20"/>
                <w:szCs w:val="20"/>
                <w:color w:val="auto"/>
              </w:rPr>
            </w:pP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FF0FC"/>
            </w:tcBorders>
          </w:tcPr>
          <w:p>
            <w:pPr>
              <w:spacing w:after="0" w:line="20" w:lineRule="exact"/>
              <w:rPr>
                <w:sz w:val="1"/>
                <w:szCs w:val="1"/>
                <w:color w:val="auto"/>
              </w:rPr>
            </w:pPr>
          </w:p>
        </w:tc>
        <w:tc>
          <w:tcPr>
            <w:tcW w:w="17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Stock-based compensation expense capitalized to inventory was immaterial for the six months ended June 29, 2019 and June 30, 2018.</w:t>
      </w:r>
    </w:p>
    <w:p>
      <w:pPr>
        <w:spacing w:after="0" w:line="117" w:lineRule="exact"/>
        <w:rPr>
          <w:sz w:val="20"/>
          <w:szCs w:val="20"/>
          <w:color w:val="auto"/>
        </w:rPr>
      </w:pPr>
    </w:p>
    <w:p>
      <w:pPr>
        <w:ind w:right="160" w:firstLine="518"/>
        <w:spacing w:after="0" w:line="282" w:lineRule="auto"/>
        <w:rPr>
          <w:sz w:val="20"/>
          <w:szCs w:val="20"/>
          <w:color w:val="auto"/>
        </w:rPr>
      </w:pPr>
      <w:r>
        <w:rPr>
          <w:rFonts w:ascii="Times New Roman" w:cs="Times New Roman" w:eastAsia="Times New Roman" w:hAnsi="Times New Roman"/>
          <w:sz w:val="18"/>
          <w:szCs w:val="18"/>
          <w:color w:val="auto"/>
        </w:rPr>
        <w:t>Occasionally, the Company will grant stock-based instruments to non-employees. During the six months ended June 29, 2019 and June 30, 2018, the amount of stock-based compensation related to non-employee options was not material.</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Stock Options.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stock options information during the six months ended June 29, 2019:</w:t>
      </w: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jc w:val="center"/>
              <w:ind w:left="264"/>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66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2"/>
                <w:szCs w:val="12"/>
                <w:color w:val="auto"/>
              </w:rPr>
            </w:pPr>
          </w:p>
        </w:tc>
        <w:tc>
          <w:tcPr>
            <w:tcW w:w="1200" w:type="dxa"/>
            <w:vAlign w:val="bottom"/>
          </w:tcPr>
          <w:p>
            <w:pPr>
              <w:jc w:val="center"/>
              <w:ind w:left="264"/>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jc w:val="center"/>
              <w:ind w:left="244"/>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66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5"/>
                <w:szCs w:val="15"/>
                <w:color w:val="auto"/>
              </w:rPr>
            </w:pPr>
          </w:p>
        </w:tc>
        <w:tc>
          <w:tcPr>
            <w:tcW w:w="1200" w:type="dxa"/>
            <w:vAlign w:val="bottom"/>
          </w:tcPr>
          <w:p>
            <w:pPr>
              <w:jc w:val="center"/>
              <w:ind w:left="244"/>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29, 2018</w:t>
            </w: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844,898</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ind w:right="1024"/>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8.84</w:t>
            </w: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731,700</w:t>
            </w:r>
          </w:p>
        </w:tc>
        <w:tc>
          <w:tcPr>
            <w:tcW w:w="160" w:type="dxa"/>
            <w:vAlign w:val="bottom"/>
          </w:tcPr>
          <w:p>
            <w:pPr>
              <w:spacing w:after="0"/>
              <w:rPr>
                <w:sz w:val="19"/>
                <w:szCs w:val="19"/>
                <w:color w:val="auto"/>
              </w:rPr>
            </w:pPr>
          </w:p>
        </w:tc>
        <w:tc>
          <w:tcPr>
            <w:tcW w:w="1280" w:type="dxa"/>
            <w:vAlign w:val="bottom"/>
            <w:gridSpan w:val="2"/>
          </w:tcPr>
          <w:p>
            <w:pPr>
              <w:jc w:val="right"/>
              <w:ind w:right="1024"/>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4.90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c>
          <w:tcPr>
            <w:tcW w:w="1280" w:type="dxa"/>
            <w:vAlign w:val="bottom"/>
            <w:gridSpan w:val="2"/>
            <w:shd w:val="clear" w:color="auto" w:fill="CFF0FC"/>
          </w:tcPr>
          <w:p>
            <w:pPr>
              <w:jc w:val="right"/>
              <w:ind w:right="1024"/>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3.49</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Canceled or forfeited</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(170,911)</w:t>
            </w:r>
          </w:p>
        </w:tc>
        <w:tc>
          <w:tcPr>
            <w:tcW w:w="1280" w:type="dxa"/>
            <w:vAlign w:val="bottom"/>
            <w:gridSpan w:val="2"/>
          </w:tcPr>
          <w:p>
            <w:pPr>
              <w:jc w:val="right"/>
              <w:ind w:right="1024"/>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9.68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June 29, 2019</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1,405,477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80" w:type="dxa"/>
            <w:vAlign w:val="bottom"/>
            <w:tcBorders>
              <w:top w:val="single" w:sz="8" w:color="CFF0FC"/>
              <w:bottom w:val="single" w:sz="8" w:color="CFF0FC"/>
            </w:tcBorders>
            <w:gridSpan w:val="2"/>
            <w:shd w:val="clear" w:color="auto" w:fill="CFF0FC"/>
          </w:tcPr>
          <w:p>
            <w:pPr>
              <w:jc w:val="right"/>
              <w:ind w:right="1024"/>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6.68</w:t>
            </w:r>
          </w:p>
        </w:tc>
        <w:tc>
          <w:tcPr>
            <w:tcW w:w="500" w:type="dxa"/>
            <w:vAlign w:val="bottom"/>
            <w:tcBorders>
              <w:top w:val="single" w:sz="8" w:color="CFF0FC"/>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240" w:firstLine="518"/>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 of the options granted was $1.76 and $2.32 per share for the three months ended June 29, 2019 and June 30, 2018, respectively.</w:t>
      </w:r>
    </w:p>
    <w:p>
      <w:pPr>
        <w:spacing w:after="0" w:line="54"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The Company uses the Black-Scholes option-pricing model to estimate fair value of stock-based awards (options) with the following weighted average assumptions:</w:t>
      </w:r>
    </w:p>
    <w:p>
      <w:pPr>
        <w:spacing w:after="0" w:line="263"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320" w:type="dxa"/>
            <w:vAlign w:val="bottom"/>
          </w:tcPr>
          <w:p>
            <w:pPr>
              <w:spacing w:after="0"/>
              <w:rPr>
                <w:sz w:val="15"/>
                <w:szCs w:val="15"/>
                <w:color w:val="auto"/>
              </w:rPr>
            </w:pPr>
          </w:p>
        </w:tc>
        <w:tc>
          <w:tcPr>
            <w:tcW w:w="2500" w:type="dxa"/>
            <w:vAlign w:val="bottom"/>
            <w:gridSpan w:val="4"/>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60" w:type="dxa"/>
            <w:vAlign w:val="bottom"/>
            <w:gridSpan w:val="4"/>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56"/>
        </w:trPr>
        <w:tc>
          <w:tcPr>
            <w:tcW w:w="5320" w:type="dxa"/>
            <w:vAlign w:val="bottom"/>
            <w:tcBorders>
              <w:bottom w:val="single" w:sz="8" w:color="CFF0FC"/>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June 29, 2019</w:t>
            </w:r>
          </w:p>
        </w:tc>
        <w:tc>
          <w:tcPr>
            <w:tcW w:w="300" w:type="dxa"/>
            <w:vAlign w:val="bottom"/>
            <w:tcBorders>
              <w:top w:val="single" w:sz="8" w:color="auto"/>
              <w:bottom w:val="single" w:sz="8" w:color="CFF0FC"/>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14"/>
              <w:spacing w:after="0" w:line="155" w:lineRule="exact"/>
              <w:rPr>
                <w:sz w:val="20"/>
                <w:szCs w:val="20"/>
                <w:color w:val="auto"/>
              </w:rPr>
            </w:pPr>
            <w:r>
              <w:rPr>
                <w:rFonts w:ascii="Times New Roman" w:cs="Times New Roman" w:eastAsia="Times New Roman" w:hAnsi="Times New Roman"/>
                <w:sz w:val="14"/>
                <w:szCs w:val="14"/>
                <w:b w:val="1"/>
                <w:bCs w:val="1"/>
                <w:color w:val="auto"/>
              </w:rPr>
              <w:t>June 30, 2018</w:t>
            </w:r>
          </w:p>
        </w:tc>
        <w:tc>
          <w:tcPr>
            <w:tcW w:w="260" w:type="dxa"/>
            <w:vAlign w:val="bottom"/>
            <w:tcBorders>
              <w:bottom w:val="single" w:sz="8" w:color="CFF0FC"/>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16"/>
              <w:spacing w:after="0" w:line="155" w:lineRule="exact"/>
              <w:rPr>
                <w:sz w:val="20"/>
                <w:szCs w:val="20"/>
                <w:color w:val="auto"/>
              </w:rPr>
            </w:pPr>
            <w:r>
              <w:rPr>
                <w:rFonts w:ascii="Times New Roman" w:cs="Times New Roman" w:eastAsia="Times New Roman" w:hAnsi="Times New Roman"/>
                <w:sz w:val="14"/>
                <w:szCs w:val="14"/>
                <w:b w:val="1"/>
                <w:bCs w:val="1"/>
                <w:color w:val="auto"/>
              </w:rPr>
              <w:t>June 29, 2019</w:t>
            </w:r>
          </w:p>
        </w:tc>
        <w:tc>
          <w:tcPr>
            <w:tcW w:w="260" w:type="dxa"/>
            <w:vAlign w:val="bottom"/>
            <w:tcBorders>
              <w:top w:val="single" w:sz="8" w:color="auto"/>
              <w:bottom w:val="single" w:sz="8" w:color="CFF0FC"/>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June 30, 2018</w:t>
            </w:r>
          </w:p>
        </w:tc>
        <w:tc>
          <w:tcPr>
            <w:tcW w:w="300" w:type="dxa"/>
            <w:vAlign w:val="bottom"/>
            <w:tcBorders>
              <w:bottom w:val="single" w:sz="8" w:color="CFF0FC"/>
            </w:tcBorders>
          </w:tcPr>
          <w:p>
            <w:pPr>
              <w:spacing w:after="0"/>
              <w:rPr>
                <w:sz w:val="13"/>
                <w:szCs w:val="13"/>
                <w:color w:val="auto"/>
              </w:rPr>
            </w:pPr>
          </w:p>
        </w:tc>
      </w:tr>
      <w:tr>
        <w:trPr>
          <w:trHeight w:val="223"/>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risk free interest rate</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1.74%</w:t>
            </w: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2.65%</w:t>
            </w: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1.76%</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2.60%</w:t>
            </w:r>
          </w:p>
        </w:tc>
      </w:tr>
      <w:tr>
        <w:trPr>
          <w:trHeight w:val="230"/>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4.55 years</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4.55 years</w:t>
            </w: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4.55 years</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4.55 years</w:t>
            </w:r>
          </w:p>
        </w:tc>
      </w:tr>
      <w:tr>
        <w:trPr>
          <w:trHeight w:val="23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2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Average volatility</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w:t>
            </w:r>
          </w:p>
        </w:tc>
      </w:tr>
    </w:tbl>
    <w:p>
      <w:pPr>
        <w:spacing w:after="0" w:line="220" w:lineRule="exact"/>
        <w:rPr>
          <w:sz w:val="20"/>
          <w:szCs w:val="20"/>
          <w:color w:val="auto"/>
        </w:rPr>
      </w:pPr>
    </w:p>
    <w:p>
      <w:pPr>
        <w:ind w:right="360" w:firstLine="518"/>
        <w:spacing w:after="0" w:line="282" w:lineRule="auto"/>
        <w:rPr>
          <w:sz w:val="20"/>
          <w:szCs w:val="20"/>
          <w:color w:val="auto"/>
        </w:rPr>
      </w:pPr>
      <w:r>
        <w:rPr>
          <w:rFonts w:ascii="Times New Roman" w:cs="Times New Roman" w:eastAsia="Times New Roman" w:hAnsi="Times New Roman"/>
          <w:sz w:val="18"/>
          <w:szCs w:val="18"/>
          <w:color w:val="auto"/>
        </w:rPr>
        <w:t>Performance stock options granted with market conditions are valued using a Monte Carlo simulation model in combination with a Black-Scholes option pricing model.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15" w:name="page16"/>
    <w:bookmarkEnd w:id="15"/>
    <w:p>
      <w:pPr>
        <w:ind w:firstLine="518"/>
        <w:spacing w:after="0" w:line="273" w:lineRule="auto"/>
        <w:rPr>
          <w:sz w:val="20"/>
          <w:szCs w:val="20"/>
          <w:color w:val="auto"/>
        </w:rPr>
      </w:pPr>
      <w:r>
        <w:rPr>
          <w:rFonts w:ascii="Times New Roman" w:cs="Times New Roman" w:eastAsia="Times New Roman" w:hAnsi="Times New Roman"/>
          <w:sz w:val="17"/>
          <w:szCs w:val="17"/>
          <w:color w:val="auto"/>
        </w:rPr>
        <w:t>Option-pricing models require the input of various subjective assumptions, including the option’s expected life and the price volatility of the underlying stock. The expected stock price volatility is based on analysis of the Company’s stock price history over a period commensurate with the expected term of the options, trading volume of the Company’s stock, look-back volatilities and Company specific events that affected volatility in a prior period. The expected term of employee stock options represents the weighted average period the stock options are expected to remain outstanding and is based on the history of exercises and cancellations on all past option grants made by the Company, the contractual term, the vesting period and the expected remaining term of the outstanding options. The risk-free interest rate is based on the U.S. Treasury interest rates whose term is consistent with the expected life of the stock options. No dividend yield is included as the Company has not issued any dividends and does not anticipate issuing any dividends in the future.</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Information regarding stock options outstanding, vested, expected to vest, and exercisable as of June 29, 2019 is summarized below:</w:t>
      </w:r>
    </w:p>
    <w:p>
      <w:pPr>
        <w:spacing w:after="0" w:line="24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360" w:type="dxa"/>
            <w:vAlign w:val="bottom"/>
            <w:vMerge w:val="restart"/>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73"/>
        </w:trPr>
        <w:tc>
          <w:tcPr>
            <w:tcW w:w="4000" w:type="dxa"/>
            <w:vAlign w:val="bottom"/>
          </w:tcPr>
          <w:p>
            <w:pPr>
              <w:spacing w:after="0"/>
              <w:rPr>
                <w:sz w:val="15"/>
                <w:szCs w:val="15"/>
                <w:color w:val="auto"/>
              </w:rPr>
            </w:pPr>
          </w:p>
        </w:tc>
        <w:tc>
          <w:tcPr>
            <w:tcW w:w="136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223"/>
        </w:trPr>
        <w:tc>
          <w:tcPr>
            <w:tcW w:w="40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outstanding</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1,405,477</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24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Options vested and expected to vest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1,227,921</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exercisable</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442,940</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2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The aggregate intrinsic value in the table above represents the pre-tax intrinsic value, based on the Company’s closing price as of June 29, 2019, that would have been received by option holders had all option holders exercised their stock options as of that date. This amount changes based on the fair market value of the Company’s common stock. The total intrinsic value of options exercised for the six months ended June 29, 2019 and June 30, 2018 was approximately $0 thousand and $48 thousand, respectively.</w:t>
      </w:r>
    </w:p>
    <w:p>
      <w:pPr>
        <w:spacing w:after="0" w:line="72" w:lineRule="exact"/>
        <w:rPr>
          <w:sz w:val="20"/>
          <w:szCs w:val="20"/>
          <w:color w:val="auto"/>
        </w:rPr>
      </w:pPr>
    </w:p>
    <w:p>
      <w:pPr>
        <w:ind w:right="260" w:firstLine="518"/>
        <w:spacing w:after="0" w:line="282" w:lineRule="auto"/>
        <w:rPr>
          <w:sz w:val="20"/>
          <w:szCs w:val="20"/>
          <w:color w:val="auto"/>
        </w:rPr>
      </w:pPr>
      <w:r>
        <w:rPr>
          <w:rFonts w:ascii="Times New Roman" w:cs="Times New Roman" w:eastAsia="Times New Roman" w:hAnsi="Times New Roman"/>
          <w:sz w:val="18"/>
          <w:szCs w:val="18"/>
          <w:color w:val="auto"/>
        </w:rPr>
        <w:t>As of June 29, 2019, there was $3.7 million of total unrecognized compensation cost, net of expected forfeitures, related to non-vested stock-based compensation arrangements. The cost is expected to be recognized over a weighted average period of 3.31 years.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Restricted Stock Units and Awards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Information regarding the restricted stock units (“RSUs”) activity for the six months ended June 29, 2019 is summarized below:</w:t>
      </w:r>
    </w:p>
    <w:p>
      <w:pPr>
        <w:sectPr>
          <w:pgSz w:w="11900" w:h="16838" w:orient="portrait"/>
          <w:cols w:equalWidth="0" w:num="1">
            <w:col w:w="11360"/>
          </w:cols>
          <w:pgMar w:left="240" w:top="229" w:right="29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7"/>
          <w:szCs w:val="17"/>
          <w:color w:val="auto"/>
        </w:rPr>
        <w:t>Outstanding as of December 29,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-128905</wp:posOffset>
            </wp:positionV>
            <wp:extent cx="4347845"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347845" cy="154305"/>
                    </a:xfrm>
                    <a:prstGeom prst="rect">
                      <a:avLst/>
                    </a:prstGeom>
                    <a:noFill/>
                  </pic:spPr>
                </pic:pic>
              </a:graphicData>
            </a:graphic>
          </wp:anchor>
        </w:drawing>
      </w:r>
    </w:p>
    <w:p>
      <w:pPr>
        <w:spacing w:after="0" w:line="1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Restricted stock units granted</w:t>
      </w:r>
    </w:p>
    <w:p>
      <w:pPr>
        <w:spacing w:after="0" w:line="23"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Restricted stock units released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-130810</wp:posOffset>
            </wp:positionV>
            <wp:extent cx="4347845"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347845" cy="146050"/>
                    </a:xfrm>
                    <a:prstGeom prst="rect">
                      <a:avLst/>
                    </a:prstGeom>
                    <a:noFill/>
                  </pic:spPr>
                </pic:pic>
              </a:graphicData>
            </a:graphic>
          </wp:anchor>
        </w:drawing>
      </w:r>
    </w:p>
    <w:p>
      <w:pPr>
        <w:spacing w:after="0" w:line="3"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Restricted stock units 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14605</wp:posOffset>
            </wp:positionV>
            <wp:extent cx="4347845"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347845" cy="163195"/>
                    </a:xfrm>
                    <a:prstGeom prst="rect">
                      <a:avLst/>
                    </a:prstGeom>
                    <a:noFill/>
                  </pic:spPr>
                </pic:pic>
              </a:graphicData>
            </a:graphic>
          </wp:anchor>
        </w:drawing>
      </w:r>
    </w:p>
    <w:p>
      <w:pPr>
        <w:spacing w:after="0" w:line="11"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Outstanding as of June 29, 2019</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 Shares</w:t>
      </w:r>
    </w:p>
    <w:p>
      <w:pPr>
        <w:spacing w:after="0" w:line="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597,121</w:t>
      </w:r>
    </w:p>
    <w:p>
      <w:pPr>
        <w:spacing w:after="0" w:line="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jc w:val="right"/>
        <w:ind w:right="2240"/>
        <w:spacing w:after="0"/>
        <w:rPr>
          <w:sz w:val="20"/>
          <w:szCs w:val="20"/>
          <w:color w:val="auto"/>
        </w:rPr>
      </w:pPr>
      <w:r>
        <w:rPr>
          <w:rFonts w:ascii="Times New Roman" w:cs="Times New Roman" w:eastAsia="Times New Roman" w:hAnsi="Times New Roman"/>
          <w:sz w:val="18"/>
          <w:szCs w:val="18"/>
          <w:color w:val="auto"/>
        </w:rPr>
        <w:t>(166,916)</w:t>
      </w:r>
    </w:p>
    <w:p>
      <w:pPr>
        <w:spacing w:after="0" w:line="23" w:lineRule="exact"/>
        <w:rPr>
          <w:sz w:val="20"/>
          <w:szCs w:val="20"/>
          <w:color w:val="auto"/>
        </w:rPr>
      </w:pPr>
    </w:p>
    <w:p>
      <w:pPr>
        <w:jc w:val="right"/>
        <w:ind w:right="2240"/>
        <w:spacing w:after="0"/>
        <w:rPr>
          <w:sz w:val="20"/>
          <w:szCs w:val="20"/>
          <w:color w:val="auto"/>
        </w:rPr>
      </w:pPr>
      <w:r>
        <w:rPr>
          <w:rFonts w:ascii="Times New Roman" w:cs="Times New Roman" w:eastAsia="Times New Roman" w:hAnsi="Times New Roman"/>
          <w:sz w:val="18"/>
          <w:szCs w:val="18"/>
          <w:color w:val="auto"/>
        </w:rPr>
        <w:t>(172,441)</w:t>
      </w:r>
    </w:p>
    <w:p>
      <w:pPr>
        <w:spacing w:after="0" w:line="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257,764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wp:posOffset>
            </wp:positionH>
            <wp:positionV relativeFrom="paragraph">
              <wp:posOffset>34290</wp:posOffset>
            </wp:positionV>
            <wp:extent cx="728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38" w:lineRule="exact"/>
        <w:rPr>
          <w:sz w:val="20"/>
          <w:szCs w:val="20"/>
          <w:color w:val="auto"/>
        </w:rPr>
      </w:pPr>
    </w:p>
    <w:p>
      <w:pPr>
        <w:sectPr>
          <w:pgSz w:w="11900" w:h="16838" w:orient="portrait"/>
          <w:cols w:equalWidth="0" w:num="2">
            <w:col w:w="7480" w:space="720"/>
            <w:col w:w="3160"/>
          </w:cols>
          <w:pgMar w:left="240" w:top="229" w:right="299" w:bottom="1440" w:gutter="0" w:footer="0" w:header="0"/>
          <w:type w:val="continuous"/>
        </w:sectPr>
      </w:pPr>
    </w:p>
    <w:p>
      <w:pPr>
        <w:ind w:firstLine="518"/>
        <w:spacing w:after="0" w:line="263" w:lineRule="auto"/>
        <w:rPr>
          <w:sz w:val="20"/>
          <w:szCs w:val="20"/>
          <w:color w:val="auto"/>
        </w:rPr>
      </w:pPr>
      <w:r>
        <w:rPr>
          <w:rFonts w:ascii="Times New Roman" w:cs="Times New Roman" w:eastAsia="Times New Roman" w:hAnsi="Times New Roman"/>
          <w:sz w:val="18"/>
          <w:szCs w:val="18"/>
          <w:color w:val="auto"/>
        </w:rPr>
        <w:t xml:space="preserve">The Company calculates its interim tax provision in accordance with the provisions of ASC 740-270, </w:t>
      </w:r>
      <w:r>
        <w:rPr>
          <w:rFonts w:ascii="Times New Roman" w:cs="Times New Roman" w:eastAsia="Times New Roman" w:hAnsi="Times New Roman"/>
          <w:sz w:val="18"/>
          <w:szCs w:val="18"/>
          <w:i w:val="1"/>
          <w:iCs w:val="1"/>
          <w:color w:val="auto"/>
        </w:rPr>
        <w:t>Income Taxes; Interim Reporting</w:t>
      </w:r>
      <w:r>
        <w:rPr>
          <w:rFonts w:ascii="Times New Roman" w:cs="Times New Roman" w:eastAsia="Times New Roman" w:hAnsi="Times New Roman"/>
          <w:sz w:val="18"/>
          <w:szCs w:val="18"/>
          <w:color w:val="auto"/>
        </w:rPr>
        <w:t>. For interim periods, the Company estimates its annual effective income tax rate and applies the estimated rate to the year-to-date income or loss before income taxes. The Company also computes the tax provision or benefit related to items reported separately and recognizes the items net of their related tax effect in the interim periods in which they occur. The Company also recognizes the effect of changes in enacted tax laws or rates in the interim periods in which the changes occur. The Company recorded a provision for income tax of $15 thousand and $8 thousand for the six months ended June 29, 2019 and June 30, 2018, respectively.</w:t>
      </w:r>
    </w:p>
    <w:p>
      <w:pPr>
        <w:spacing w:after="0" w:line="1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229" w:right="29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color w:val="auto"/>
        </w:rPr>
        <w:t>Deferred Income Taxes.</w:t>
      </w:r>
    </w:p>
    <w:p>
      <w:pPr>
        <w:spacing w:after="0" w:line="117" w:lineRule="exact"/>
        <w:rPr>
          <w:sz w:val="20"/>
          <w:szCs w:val="20"/>
          <w:color w:val="auto"/>
        </w:rPr>
      </w:pPr>
    </w:p>
    <w:p>
      <w:pPr>
        <w:ind w:right="80" w:firstLine="518"/>
        <w:spacing w:after="0" w:line="257" w:lineRule="auto"/>
        <w:rPr>
          <w:sz w:val="20"/>
          <w:szCs w:val="20"/>
          <w:color w:val="auto"/>
        </w:rPr>
      </w:pPr>
      <w:r>
        <w:rPr>
          <w:rFonts w:ascii="Times New Roman" w:cs="Times New Roman" w:eastAsia="Times New Roman" w:hAnsi="Times New Roman"/>
          <w:sz w:val="18"/>
          <w:szCs w:val="18"/>
          <w:color w:val="auto"/>
        </w:rPr>
        <w:t xml:space="preserve">The Company accounts for income taxes in accordance with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which requires that deferred tax assets and liabilities be recognized using enacted tax rates for the effect of temporary differences between the book and tax bases of recorded assets and liabilities. ASC 740 also requires that deferred tax assets be reduced by a valuation allowance if it is more likely than not that some or all of the deferred tax assets will not be realized. As of the fourth quarter of fiscal year 2018, based on the Company’s recent history of losses and its forecasted losses, management believes on the more likely than not basis that a full valuation allowance is required. Accordingly, in the first quarter of fiscal year 2019, the Company continued to provide a full valuation allowance on its federal and states deferred tax assets.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Uncertain Tax Positions.</w:t>
      </w:r>
    </w:p>
    <w:p>
      <w:pPr>
        <w:spacing w:after="0" w:line="119" w:lineRule="exact"/>
        <w:rPr>
          <w:sz w:val="20"/>
          <w:szCs w:val="20"/>
          <w:color w:val="auto"/>
        </w:rPr>
      </w:pPr>
    </w:p>
    <w:p>
      <w:pPr>
        <w:ind w:right="300" w:firstLine="518"/>
        <w:spacing w:after="0" w:line="313" w:lineRule="auto"/>
        <w:rPr>
          <w:sz w:val="20"/>
          <w:szCs w:val="20"/>
          <w:color w:val="auto"/>
        </w:rPr>
      </w:pPr>
      <w:r>
        <w:rPr>
          <w:rFonts w:ascii="Times New Roman" w:cs="Times New Roman" w:eastAsia="Times New Roman" w:hAnsi="Times New Roman"/>
          <w:sz w:val="17"/>
          <w:szCs w:val="17"/>
          <w:color w:val="auto"/>
        </w:rPr>
        <w:t>The Company accounts for its uncertain tax positions in accordance with ASC 740. As of December 29, 2018, the Company had $1.2 million of unrecognized tax benefits, none of the unrecognized tax benefits would result in a change in the Company’s effective tax rate if recognized in future years.</w:t>
      </w:r>
    </w:p>
    <w:p>
      <w:pPr>
        <w:spacing w:after="0" w:line="30" w:lineRule="exact"/>
        <w:rPr>
          <w:sz w:val="20"/>
          <w:szCs w:val="20"/>
          <w:color w:val="auto"/>
        </w:rPr>
      </w:pPr>
    </w:p>
    <w:p>
      <w:pPr>
        <w:ind w:right="720" w:firstLine="518"/>
        <w:spacing w:after="0" w:line="282" w:lineRule="auto"/>
        <w:rPr>
          <w:sz w:val="20"/>
          <w:szCs w:val="20"/>
          <w:color w:val="auto"/>
        </w:rPr>
      </w:pPr>
      <w:r>
        <w:rPr>
          <w:rFonts w:ascii="Times New Roman" w:cs="Times New Roman" w:eastAsia="Times New Roman" w:hAnsi="Times New Roman"/>
          <w:sz w:val="18"/>
          <w:szCs w:val="18"/>
          <w:color w:val="auto"/>
        </w:rPr>
        <w:t>The Company is not aware of any other uncertain tax positions that could result in significant additional payments, accruals, or other material deviation in this estimate during the fiscal year.</w:t>
      </w:r>
    </w:p>
    <w:p>
      <w:pPr>
        <w:spacing w:after="0" w:line="54" w:lineRule="exact"/>
        <w:rPr>
          <w:sz w:val="20"/>
          <w:szCs w:val="20"/>
          <w:color w:val="auto"/>
        </w:rPr>
      </w:pPr>
    </w:p>
    <w:p>
      <w:pPr>
        <w:ind w:right="140" w:firstLine="518"/>
        <w:spacing w:after="0" w:line="282" w:lineRule="auto"/>
        <w:rPr>
          <w:sz w:val="20"/>
          <w:szCs w:val="20"/>
          <w:color w:val="auto"/>
        </w:rPr>
      </w:pPr>
      <w:r>
        <w:rPr>
          <w:rFonts w:ascii="Times New Roman" w:cs="Times New Roman" w:eastAsia="Times New Roman" w:hAnsi="Times New Roman"/>
          <w:sz w:val="18"/>
          <w:szCs w:val="18"/>
          <w:color w:val="auto"/>
        </w:rPr>
        <w:t>The Company is subject to United States federal income tax as well as to income taxes in state jurisdictions. The Company’s federal and state income tax returns are open to examination by tax authorities for three years and three-to-five years, respectively.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Computation of Basic and Diluted Net Loss Per Common Share</w:t>
      </w:r>
    </w:p>
    <w:p>
      <w:pPr>
        <w:spacing w:after="0" w:line="121" w:lineRule="exact"/>
        <w:rPr>
          <w:sz w:val="20"/>
          <w:szCs w:val="20"/>
          <w:color w:val="auto"/>
        </w:rPr>
      </w:pPr>
    </w:p>
    <w:p>
      <w:pPr>
        <w:ind w:right="140" w:firstLine="518"/>
        <w:spacing w:after="0" w:line="258" w:lineRule="auto"/>
        <w:rPr>
          <w:sz w:val="20"/>
          <w:szCs w:val="20"/>
          <w:color w:val="auto"/>
        </w:rPr>
      </w:pPr>
      <w:r>
        <w:rPr>
          <w:rFonts w:ascii="Times New Roman" w:cs="Times New Roman" w:eastAsia="Times New Roman" w:hAnsi="Times New Roman"/>
          <w:sz w:val="18"/>
          <w:szCs w:val="18"/>
          <w:color w:val="auto"/>
        </w:rPr>
        <w:t>Basic and diluted net loss per share is based upon the weighted average number of common shares outstanding during the period. Common stock equivalents consist of incremental common shares issuable upon the exercise of stock options, and the release (vesting) of restricted stock units and awards and are calculated under the treasury stock method. Common stock equivalent shares from unexercised stock options, and unvested restricted stock units and awards are excluded from the computation for periods in which we incur a net loss or if the exercise price of such options is greater than the average market price of our common stock for the period as their effect would be anti-dilutive.</w:t>
      </w:r>
    </w:p>
    <w:p>
      <w:pPr>
        <w:spacing w:after="0" w:line="76" w:lineRule="exact"/>
        <w:rPr>
          <w:sz w:val="20"/>
          <w:szCs w:val="20"/>
          <w:color w:val="auto"/>
        </w:rPr>
      </w:pPr>
    </w:p>
    <w:p>
      <w:pPr>
        <w:ind w:right="360" w:firstLine="518"/>
        <w:spacing w:after="0" w:line="261" w:lineRule="auto"/>
        <w:rPr>
          <w:sz w:val="20"/>
          <w:szCs w:val="20"/>
          <w:color w:val="auto"/>
        </w:rPr>
      </w:pPr>
      <w:r>
        <w:rPr>
          <w:rFonts w:ascii="Times New Roman" w:cs="Times New Roman" w:eastAsia="Times New Roman" w:hAnsi="Times New Roman"/>
          <w:sz w:val="18"/>
          <w:szCs w:val="18"/>
          <w:color w:val="auto"/>
        </w:rPr>
        <w:t>For the three months ended June 29, 2019 and June 30, 2018, potential shares from stock options, RSUs and Restricted Stock Awards (“RSAs”) totaling 1,156,722 and 1,101,396 shares, respectively, were excluded from the computation of diluted weighted average shares outstanding. For the six months ended June 29, 2019 and June 30, 2018, potential shares from stock options, RSUs and Restricted Stock Awards (“RSAs”) totaling 1,133,684 and 1,081,395 shares, respectively, were excluded from the computation of diluted weighted average shares outstanding.</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of the numerator and denominator of basic and diluted net loss per common share is provided as follows: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0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4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40" w:type="dxa"/>
            <w:vAlign w:val="bottom"/>
            <w:gridSpan w:val="6"/>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10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jc w:val="right"/>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June 29, 2019</w:t>
            </w: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33"/>
              <w:spacing w:after="0" w:line="155" w:lineRule="exact"/>
              <w:rPr>
                <w:sz w:val="20"/>
                <w:szCs w:val="20"/>
                <w:color w:val="auto"/>
              </w:rPr>
            </w:pPr>
            <w:r>
              <w:rPr>
                <w:rFonts w:ascii="Times New Roman" w:cs="Times New Roman" w:eastAsia="Times New Roman" w:hAnsi="Times New Roman"/>
                <w:sz w:val="14"/>
                <w:szCs w:val="14"/>
                <w:b w:val="1"/>
                <w:bCs w:val="1"/>
                <w:color w:val="auto"/>
              </w:rPr>
              <w:t>June 30, 2018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jc w:val="right"/>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June 29, 2019</w:t>
            </w: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33"/>
              <w:spacing w:after="0" w:line="155" w:lineRule="exact"/>
              <w:rPr>
                <w:sz w:val="20"/>
                <w:szCs w:val="20"/>
                <w:color w:val="auto"/>
              </w:rPr>
            </w:pPr>
            <w:r>
              <w:rPr>
                <w:rFonts w:ascii="Times New Roman" w:cs="Times New Roman" w:eastAsia="Times New Roman" w:hAnsi="Times New Roman"/>
                <w:sz w:val="14"/>
                <w:szCs w:val="14"/>
                <w:b w:val="1"/>
                <w:bCs w:val="1"/>
                <w:color w:val="auto"/>
              </w:rPr>
              <w:t>June 30, 2018</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8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4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(2,419)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(3,280)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(5,467)</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(6,883)</w:t>
            </w: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5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8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Weighted average shares of common stock (basic)</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Weighted average shares of common stock (diluted)</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Per share data:</w:t>
            </w: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4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Basic net loss per share</w:t>
            </w:r>
          </w:p>
        </w:tc>
        <w:tc>
          <w:tcPr>
            <w:tcW w:w="8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(0.59)</w:t>
            </w: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52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Diluted net loss per share</w:t>
            </w:r>
          </w:p>
        </w:tc>
        <w:tc>
          <w:tcPr>
            <w:tcW w:w="8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8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8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5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27" w:right="2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10. Business Segments</w:t>
      </w:r>
    </w:p>
    <w:p>
      <w:pPr>
        <w:spacing w:after="0" w:line="121" w:lineRule="exact"/>
        <w:rPr>
          <w:sz w:val="20"/>
          <w:szCs w:val="20"/>
          <w:color w:val="auto"/>
        </w:rPr>
      </w:pPr>
    </w:p>
    <w:p>
      <w:pPr>
        <w:ind w:right="80" w:firstLine="518"/>
        <w:spacing w:after="0" w:line="282" w:lineRule="auto"/>
        <w:rPr>
          <w:sz w:val="20"/>
          <w:szCs w:val="20"/>
          <w:color w:val="auto"/>
        </w:rPr>
      </w:pPr>
      <w:r>
        <w:rPr>
          <w:rFonts w:ascii="Times New Roman" w:cs="Times New Roman" w:eastAsia="Times New Roman" w:hAnsi="Times New Roman"/>
          <w:sz w:val="18"/>
          <w:szCs w:val="18"/>
          <w:color w:val="auto"/>
        </w:rPr>
        <w:t>The Company operates in one segment, ophthalmology. The Company develops, manufactures and markets medical devices. Our revenues arise from the sale of consoles, delivery devices, consumables, service, and support activities.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Revenue information shown by product group is as follows:</w:t>
      </w:r>
    </w:p>
    <w:p>
      <w:pPr>
        <w:spacing w:after="0" w:line="327"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0" w:type="dxa"/>
            <w:vAlign w:val="bottom"/>
            <w:gridSpan w:val="4"/>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gridSpan w:val="6"/>
          </w:tcPr>
          <w:p>
            <w:pPr>
              <w:ind w:left="4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56"/>
        </w:trPr>
        <w:tc>
          <w:tcPr>
            <w:tcW w:w="3160" w:type="dxa"/>
            <w:vAlign w:val="bottom"/>
            <w:vMerge w:val="continue"/>
          </w:tcPr>
          <w:p>
            <w:pPr>
              <w:spacing w:after="0"/>
              <w:rPr>
                <w:sz w:val="13"/>
                <w:szCs w:val="13"/>
                <w:color w:val="auto"/>
              </w:rPr>
            </w:pPr>
          </w:p>
        </w:tc>
        <w:tc>
          <w:tcPr>
            <w:tcW w:w="2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16"/>
              <w:spacing w:after="0" w:line="155" w:lineRule="exact"/>
              <w:rPr>
                <w:sz w:val="20"/>
                <w:szCs w:val="20"/>
                <w:color w:val="auto"/>
              </w:rPr>
            </w:pPr>
            <w:r>
              <w:rPr>
                <w:rFonts w:ascii="Times New Roman" w:cs="Times New Roman" w:eastAsia="Times New Roman" w:hAnsi="Times New Roman"/>
                <w:sz w:val="14"/>
                <w:szCs w:val="14"/>
                <w:b w:val="1"/>
                <w:bCs w:val="1"/>
                <w:color w:val="auto"/>
              </w:rPr>
              <w:t>June 29, 2019</w:t>
            </w: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34"/>
              <w:spacing w:after="0" w:line="155" w:lineRule="exact"/>
              <w:rPr>
                <w:sz w:val="20"/>
                <w:szCs w:val="20"/>
                <w:color w:val="auto"/>
              </w:rPr>
            </w:pPr>
            <w:r>
              <w:rPr>
                <w:rFonts w:ascii="Times New Roman" w:cs="Times New Roman" w:eastAsia="Times New Roman" w:hAnsi="Times New Roman"/>
                <w:sz w:val="14"/>
                <w:szCs w:val="14"/>
                <w:b w:val="1"/>
                <w:bCs w:val="1"/>
                <w:color w:val="auto"/>
                <w:w w:val="98"/>
              </w:rPr>
              <w:t>June 30, 2018</w:t>
            </w:r>
          </w:p>
        </w:tc>
        <w:tc>
          <w:tcPr>
            <w:tcW w:w="3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June 29, 2019</w:t>
            </w: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34"/>
              <w:spacing w:after="0" w:line="155" w:lineRule="exact"/>
              <w:rPr>
                <w:sz w:val="20"/>
                <w:szCs w:val="20"/>
                <w:color w:val="auto"/>
              </w:rPr>
            </w:pPr>
            <w:r>
              <w:rPr>
                <w:rFonts w:ascii="Times New Roman" w:cs="Times New Roman" w:eastAsia="Times New Roman" w:hAnsi="Times New Roman"/>
                <w:sz w:val="14"/>
                <w:szCs w:val="14"/>
                <w:b w:val="1"/>
                <w:bCs w:val="1"/>
                <w:color w:val="auto"/>
                <w:w w:val="98"/>
              </w:rPr>
              <w:t>June 30, 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1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G6</w:t>
            </w:r>
          </w:p>
        </w:tc>
        <w:tc>
          <w:tcPr>
            <w:tcW w:w="2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3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6,457</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Retina</w:t>
            </w:r>
          </w:p>
        </w:tc>
        <w:tc>
          <w:tcPr>
            <w:tcW w:w="2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5,577</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Other(1)</w:t>
            </w:r>
          </w:p>
        </w:tc>
        <w:tc>
          <w:tcPr>
            <w:tcW w:w="21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3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3,717</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1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10,426</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10,304</w:t>
            </w:r>
          </w:p>
        </w:tc>
        <w:tc>
          <w:tcPr>
            <w:tcW w:w="3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21,021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80" w:right="740" w:firstLine="2"/>
        <w:spacing w:after="0" w:line="276" w:lineRule="auto"/>
        <w:tabs>
          <w:tab w:leader="none" w:pos="8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Incudes service contract revenues of $296 and $293 and $604 and $597 recognized during the three and six months ended June 29, 2019 and June 30, 2018, respectively. Other also includes revenues from paid service, royalty, freight and legacy G probes.</w:t>
      </w:r>
    </w:p>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Revenue information shown by geographic region, based on the sales destination, is as follows:</w:t>
      </w:r>
    </w:p>
    <w:p>
      <w:pPr>
        <w:spacing w:after="0" w:line="327"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0" w:type="dxa"/>
            <w:vAlign w:val="bottom"/>
            <w:gridSpan w:val="4"/>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56"/>
        </w:trPr>
        <w:tc>
          <w:tcPr>
            <w:tcW w:w="3260" w:type="dxa"/>
            <w:vAlign w:val="bottom"/>
            <w:tcBorders>
              <w:bottom w:val="single" w:sz="8" w:color="CFF0FC"/>
            </w:tcBorders>
            <w:vMerge w:val="continue"/>
          </w:tcPr>
          <w:p>
            <w:pPr>
              <w:spacing w:after="0"/>
              <w:rPr>
                <w:sz w:val="13"/>
                <w:szCs w:val="13"/>
                <w:color w:val="auto"/>
              </w:rPr>
            </w:pPr>
          </w:p>
        </w:tc>
        <w:tc>
          <w:tcPr>
            <w:tcW w:w="200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15"/>
              <w:spacing w:after="0" w:line="155" w:lineRule="exact"/>
              <w:rPr>
                <w:sz w:val="20"/>
                <w:szCs w:val="20"/>
                <w:color w:val="auto"/>
              </w:rPr>
            </w:pPr>
            <w:r>
              <w:rPr>
                <w:rFonts w:ascii="Times New Roman" w:cs="Times New Roman" w:eastAsia="Times New Roman" w:hAnsi="Times New Roman"/>
                <w:sz w:val="14"/>
                <w:szCs w:val="14"/>
                <w:b w:val="1"/>
                <w:bCs w:val="1"/>
                <w:color w:val="auto"/>
              </w:rPr>
              <w:t>June 29, 2019</w:t>
            </w:r>
          </w:p>
        </w:tc>
        <w:tc>
          <w:tcPr>
            <w:tcW w:w="22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3"/>
              <w:spacing w:after="0" w:line="155" w:lineRule="exact"/>
              <w:rPr>
                <w:sz w:val="20"/>
                <w:szCs w:val="20"/>
                <w:color w:val="auto"/>
              </w:rPr>
            </w:pPr>
            <w:r>
              <w:rPr>
                <w:rFonts w:ascii="Times New Roman" w:cs="Times New Roman" w:eastAsia="Times New Roman" w:hAnsi="Times New Roman"/>
                <w:sz w:val="14"/>
                <w:szCs w:val="14"/>
                <w:b w:val="1"/>
                <w:bCs w:val="1"/>
                <w:color w:val="auto"/>
                <w:w w:val="98"/>
              </w:rPr>
              <w:t>June 30, 2018</w:t>
            </w:r>
          </w:p>
        </w:tc>
        <w:tc>
          <w:tcPr>
            <w:tcW w:w="32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15"/>
              <w:spacing w:after="0" w:line="155" w:lineRule="exact"/>
              <w:rPr>
                <w:sz w:val="20"/>
                <w:szCs w:val="20"/>
                <w:color w:val="auto"/>
              </w:rPr>
            </w:pPr>
            <w:r>
              <w:rPr>
                <w:rFonts w:ascii="Times New Roman" w:cs="Times New Roman" w:eastAsia="Times New Roman" w:hAnsi="Times New Roman"/>
                <w:sz w:val="14"/>
                <w:szCs w:val="14"/>
                <w:b w:val="1"/>
                <w:bCs w:val="1"/>
                <w:color w:val="auto"/>
              </w:rPr>
              <w:t>June 29, 2019</w:t>
            </w:r>
          </w:p>
        </w:tc>
        <w:tc>
          <w:tcPr>
            <w:tcW w:w="22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3"/>
              <w:spacing w:after="0" w:line="155" w:lineRule="exact"/>
              <w:rPr>
                <w:sz w:val="20"/>
                <w:szCs w:val="20"/>
                <w:color w:val="auto"/>
              </w:rPr>
            </w:pPr>
            <w:r>
              <w:rPr>
                <w:rFonts w:ascii="Times New Roman" w:cs="Times New Roman" w:eastAsia="Times New Roman" w:hAnsi="Times New Roman"/>
                <w:sz w:val="14"/>
                <w:szCs w:val="14"/>
                <w:b w:val="1"/>
                <w:bCs w:val="1"/>
                <w:color w:val="auto"/>
                <w:w w:val="98"/>
              </w:rPr>
              <w:t>June 30, 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00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5,114</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10,529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2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 of Americas</w:t>
            </w:r>
          </w:p>
        </w:tc>
        <w:tc>
          <w:tcPr>
            <w:tcW w:w="2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Asia/Pacific Rim</w:t>
            </w:r>
          </w:p>
        </w:tc>
        <w:tc>
          <w:tcPr>
            <w:tcW w:w="20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3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4,056</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0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10,426</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10,304</w:t>
            </w:r>
          </w:p>
        </w:tc>
        <w:tc>
          <w:tcPr>
            <w:tcW w:w="3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21,021</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19,813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Revenues are attributed to countries based on location of end customers.</w:t>
      </w:r>
    </w:p>
    <w:p>
      <w:pPr>
        <w:spacing w:after="0" w:line="117"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Other than the United States, no individual country accounted for more than 10% of the Company’s revenues during the three and six months ended June 29, 2019 and June 30, 2018. The United States accounted for 51.1% and 49.6% of revenues for the three months ended June 29, 2019 and June 30, 2018, respectively. International sales accounted for 48.9% and 50.4% of revenues for the three months ended June 29, 2019 and June 30, 2018, respectively. For the six months ended June 29, 2019 and June 30, 2018, the United States accounted for 50.1% and 50.3% of revenues, respectively. For the six months ended June 29, 2019 and June 30, 2018, international sales accounted for 49.9% and 49.7% of revenues, respectively.</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firstLine="518"/>
        <w:spacing w:after="0" w:line="219" w:lineRule="exact"/>
        <w:rPr>
          <w:sz w:val="20"/>
          <w:szCs w:val="20"/>
          <w:color w:val="auto"/>
        </w:rPr>
      </w:pPr>
      <w:r>
        <w:rPr>
          <w:rFonts w:ascii="Times New Roman" w:cs="Times New Roman" w:eastAsia="Times New Roman" w:hAnsi="Times New Roman"/>
          <w:sz w:val="18"/>
          <w:szCs w:val="18"/>
          <w:i w:val="1"/>
          <w:iCs w:val="1"/>
          <w:color w:val="auto"/>
        </w:rPr>
        <w:t>This Quarterly Report on Form 10-Q contains certain forward-looking statements within the meaning of Section 27A of the Securities Act of 1933, as amended, and Section 21E of the Securities Exchange Act of 1934, as amended. These statements are based on management’s beliefs and assumptions and on information currently available to management. These statements include statements concerning future demand and order levels for the Company's products, future operating expenses, changes in personnel, product development and intellectual property related matters, the adoption and effect of Company products on its results, the markets in which the Company operates, usage and efficacy of the Company's products, the Company’s future financial results, the impact of the Company’s adoption of new or revised accounting standards, and the Company's strategic plans and objectives. In some cases, forward-looking statements can be identified by terminology, such as “may,” “will,” “should,” “expects,” “plans,” “anticipates,” “believes,” “estimates,” “predicts,” “intends,” “potential,” “continue,” or the negative of such terms or other comparable terminology, although not all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contain these words.</w:t>
      </w:r>
    </w:p>
    <w:p>
      <w:pPr>
        <w:spacing w:after="0" w:line="89" w:lineRule="exact"/>
        <w:rPr>
          <w:sz w:val="20"/>
          <w:szCs w:val="20"/>
          <w:color w:val="auto"/>
        </w:rPr>
      </w:pPr>
    </w:p>
    <w:p>
      <w:pPr>
        <w:ind w:right="40" w:firstLine="518"/>
        <w:spacing w:after="0" w:line="277" w:lineRule="auto"/>
        <w:rPr>
          <w:sz w:val="20"/>
          <w:szCs w:val="20"/>
          <w:color w:val="auto"/>
        </w:rPr>
      </w:pPr>
      <w:r>
        <w:rPr>
          <w:rFonts w:ascii="Times New Roman" w:cs="Times New Roman" w:eastAsia="Times New Roman" w:hAnsi="Times New Roman"/>
          <w:sz w:val="17"/>
          <w:szCs w:val="17"/>
          <w:i w:val="1"/>
          <w:iCs w:val="1"/>
          <w:color w:val="auto"/>
        </w:rPr>
        <w:t>These statements involve known and unknown risks, uncertainties and other factors which may cause our actual results, performance or achievements to differ materially from those expressed or implied by such forward-looking statements. The reader is strongly urged to read the information contained under Item 1A of Part II of this Quarterly Report on Form 10-Q for a more detailed description of these significant risks and uncertainties. The reader is cautioned not to place undue reliance on these forward-looking statements, which reflect management’s analysis only as of the date of this Quarterly Report on Form 10-Q. We undertake no obligation to update such forward-looking statements to reflect events or circumstances occurring after the date of this report.</w:t>
      </w:r>
    </w:p>
    <w:p>
      <w:pPr>
        <w:spacing w:after="0" w:line="60" w:lineRule="exact"/>
        <w:rPr>
          <w:sz w:val="20"/>
          <w:szCs w:val="20"/>
          <w:color w:val="auto"/>
        </w:rPr>
      </w:pPr>
    </w:p>
    <w:p>
      <w:pPr>
        <w:ind w:right="460" w:firstLine="518"/>
        <w:spacing w:after="0" w:line="284" w:lineRule="auto"/>
        <w:rPr>
          <w:sz w:val="20"/>
          <w:szCs w:val="20"/>
          <w:color w:val="auto"/>
        </w:rPr>
      </w:pPr>
      <w:r>
        <w:rPr>
          <w:rFonts w:ascii="Times New Roman" w:cs="Times New Roman" w:eastAsia="Times New Roman" w:hAnsi="Times New Roman"/>
          <w:sz w:val="18"/>
          <w:szCs w:val="18"/>
          <w:i w:val="1"/>
          <w:iCs w:val="1"/>
          <w:color w:val="auto"/>
        </w:rPr>
        <w:t>As used in this Quarterly Report on Form 10-Q, the terms “Company,” “IRIDEX,” “we,” “us” and “our” refer to IRIDEX Corporation, and its consolidated subsidiaries.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IRIDEX Corporation is an ophthalmic medical technology company focused on the development and commercialization of breakthrough products and procedures used to treat sight-threatening eye conditions, including glaucoma and retinal diseases. Certain of our products are powered by our proprietary MicroPulse technology, which is a method of delivering laser energy using a mode which chops the continuous wave laser beam into short, microsecond-long laser pulses. Our products consist of laser consoles, delivery devices and consumable instrumentation, including laser probes.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laser consoles consist of the following product lines:</w:t>
      </w:r>
    </w:p>
    <w:p>
      <w:pPr>
        <w:spacing w:after="0" w:line="113" w:lineRule="exact"/>
        <w:rPr>
          <w:sz w:val="20"/>
          <w:szCs w:val="20"/>
          <w:color w:val="auto"/>
        </w:rPr>
      </w:pPr>
    </w:p>
    <w:p>
      <w:pPr>
        <w:ind w:left="1040" w:hanging="5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Glaucoma </w:t>
      </w:r>
      <w:r>
        <w:rPr>
          <w:rFonts w:ascii="Times New Roman" w:cs="Times New Roman" w:eastAsia="Times New Roman" w:hAnsi="Times New Roman"/>
          <w:sz w:val="18"/>
          <w:szCs w:val="18"/>
          <w:color w:val="auto"/>
        </w:rPr>
        <w:t>– This product line includes our Cyclo G6 laser system used for the treatment of glaucoma;</w:t>
      </w:r>
    </w:p>
    <w:p>
      <w:pPr>
        <w:spacing w:after="0" w:line="117" w:lineRule="exact"/>
        <w:rPr>
          <w:rFonts w:ascii="Times New Roman" w:cs="Times New Roman" w:eastAsia="Times New Roman" w:hAnsi="Times New Roman"/>
          <w:sz w:val="18"/>
          <w:szCs w:val="18"/>
          <w:color w:val="auto"/>
        </w:rPr>
      </w:pPr>
    </w:p>
    <w:p>
      <w:pPr>
        <w:ind w:left="1040" w:right="460" w:hanging="519"/>
        <w:spacing w:after="0" w:line="286"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Medical Retina </w:t>
      </w:r>
      <w:r>
        <w:rPr>
          <w:rFonts w:ascii="Times New Roman" w:cs="Times New Roman" w:eastAsia="Times New Roman" w:hAnsi="Times New Roman"/>
          <w:sz w:val="18"/>
          <w:szCs w:val="18"/>
          <w:color w:val="auto"/>
        </w:rPr>
        <w:t>– Our medical retina product line includes our IQ 532 and IQ 577 laser photocoagulation systems, which are used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treatment of diabetic macular edema and other retinal diseases; and</w:t>
      </w:r>
    </w:p>
    <w:p>
      <w:pPr>
        <w:spacing w:after="0" w:line="46" w:lineRule="exact"/>
        <w:rPr>
          <w:rFonts w:ascii="Times New Roman" w:cs="Times New Roman" w:eastAsia="Times New Roman" w:hAnsi="Times New Roman"/>
          <w:sz w:val="18"/>
          <w:szCs w:val="18"/>
          <w:color w:val="auto"/>
        </w:rPr>
      </w:pPr>
    </w:p>
    <w:p>
      <w:pPr>
        <w:ind w:left="1040" w:right="280" w:hanging="519"/>
        <w:spacing w:after="0" w:line="268"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Surgical Retina </w:t>
      </w:r>
      <w:r>
        <w:rPr>
          <w:rFonts w:ascii="Times New Roman" w:cs="Times New Roman" w:eastAsia="Times New Roman" w:hAnsi="Times New Roman"/>
          <w:sz w:val="18"/>
          <w:szCs w:val="18"/>
          <w:color w:val="auto"/>
        </w:rPr>
        <w:t>– Our surgical retina line of products includes our OcuLight TX, OcuLight SL, OcuLight SLx, OcuLight GL and OcuLight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GLx laser photocoagulation systems. These systems are often used in vitrectomy procedures, which are used to treat proliferative diabetic retinopathy, macular holes, retinal tears and detachments.</w:t>
      </w:r>
    </w:p>
    <w:p>
      <w:pPr>
        <w:spacing w:after="0" w:line="67" w:lineRule="exact"/>
        <w:rPr>
          <w:sz w:val="20"/>
          <w:szCs w:val="20"/>
          <w:color w:val="auto"/>
        </w:rPr>
      </w:pPr>
    </w:p>
    <w:p>
      <w:pPr>
        <w:ind w:right="440" w:firstLine="518"/>
        <w:spacing w:after="0" w:line="313" w:lineRule="auto"/>
        <w:rPr>
          <w:sz w:val="20"/>
          <w:szCs w:val="20"/>
          <w:color w:val="auto"/>
        </w:rPr>
      </w:pPr>
      <w:r>
        <w:rPr>
          <w:rFonts w:ascii="Times New Roman" w:cs="Times New Roman" w:eastAsia="Times New Roman" w:hAnsi="Times New Roman"/>
          <w:sz w:val="17"/>
          <w:szCs w:val="17"/>
          <w:color w:val="auto"/>
        </w:rPr>
        <w:t>Our business generates recurring revenues through sales of consumable products, predominantly single-use laser probe devices and other instrumentation, as well as repair, servicing and extended service contracts for our laser systems. Our laser probes consist of the following product lines:</w:t>
      </w:r>
    </w:p>
    <w:p>
      <w:pPr>
        <w:spacing w:after="0" w:line="26" w:lineRule="exact"/>
        <w:rPr>
          <w:sz w:val="20"/>
          <w:szCs w:val="20"/>
          <w:color w:val="auto"/>
        </w:rPr>
      </w:pPr>
    </w:p>
    <w:p>
      <w:pPr>
        <w:ind w:left="1040" w:hanging="519"/>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Glaucoma </w:t>
      </w:r>
      <w:r>
        <w:rPr>
          <w:rFonts w:ascii="Times New Roman" w:cs="Times New Roman" w:eastAsia="Times New Roman" w:hAnsi="Times New Roman"/>
          <w:sz w:val="18"/>
          <w:szCs w:val="18"/>
          <w:color w:val="auto"/>
        </w:rPr>
        <w:t>– Probes used in our glaucoma product line include our patented MicroPulse P3 (“MP3”) probe and G-Probe;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Surgical Retina </w:t>
      </w:r>
      <w:r>
        <w:rPr>
          <w:rFonts w:ascii="Times New Roman" w:cs="Times New Roman" w:eastAsia="Times New Roman" w:hAnsi="Times New Roman"/>
          <w:sz w:val="18"/>
          <w:szCs w:val="18"/>
          <w:color w:val="auto"/>
        </w:rPr>
        <w:t>– Our surgical retina probes include our EndoProbe family of products used in vitrectomy procedures.</w:t>
      </w:r>
    </w:p>
    <w:p>
      <w:pPr>
        <w:spacing w:after="0" w:line="121"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Ophthalmologists typically use our laser systems in hospital operating room (“OR”) and ambulatory surgical centers (“ASCs”), as well as their offices and clinics. In the ORs and ASCs, ophthalmologists use our laser systems with either an indirect laser ophthalmoscope or a consumable, single use MP3 probe, G-Probe or EndoProbe.</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products are sold in the United States predominantly through a direct sales force and internationally primarily through independent distributors.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established direct sales capabilities in Germany in 2017.</w:t>
      </w:r>
    </w:p>
    <w:p>
      <w:pPr>
        <w:spacing w:after="0" w:line="99" w:lineRule="exact"/>
        <w:rPr>
          <w:sz w:val="20"/>
          <w:szCs w:val="20"/>
          <w:color w:val="auto"/>
        </w:rPr>
      </w:pPr>
    </w:p>
    <w:p>
      <w:pPr>
        <w:ind w:right="140" w:firstLine="518"/>
        <w:spacing w:after="0" w:line="258" w:lineRule="auto"/>
        <w:rPr>
          <w:sz w:val="20"/>
          <w:szCs w:val="20"/>
          <w:color w:val="auto"/>
        </w:rPr>
      </w:pPr>
      <w:r>
        <w:rPr>
          <w:rFonts w:ascii="Times New Roman" w:cs="Times New Roman" w:eastAsia="Times New Roman" w:hAnsi="Times New Roman"/>
          <w:sz w:val="18"/>
          <w:szCs w:val="18"/>
          <w:color w:val="auto"/>
        </w:rPr>
        <w:t>Sales to international distributors are made on open credit terms or letters of credit and are currently denominated in U.S. dollars and accordingly, are not subject to risks associated with currency fluctuations. However, increases in the value of the U.S. dollars against any local currencies could cause our products to become relatively more expensive to customers in a particular country or region, leading to reduced revenue or profitability in that country or region. Sales to direct end users transacted through our German office will be denominated in Euros and will be subject to risks associated with the currency fluctuations.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9" w:name="page20"/>
    <w:bookmarkEnd w:id="19"/>
    <w:p>
      <w:pPr>
        <w:jc w:val="both"/>
        <w:ind w:right="20" w:firstLine="518"/>
        <w:spacing w:after="0" w:line="266" w:lineRule="auto"/>
        <w:rPr>
          <w:sz w:val="20"/>
          <w:szCs w:val="20"/>
          <w:color w:val="auto"/>
        </w:rPr>
      </w:pPr>
      <w:r>
        <w:rPr>
          <w:rFonts w:ascii="Times New Roman" w:cs="Times New Roman" w:eastAsia="Times New Roman" w:hAnsi="Times New Roman"/>
          <w:sz w:val="18"/>
          <w:szCs w:val="18"/>
          <w:color w:val="auto"/>
        </w:rPr>
        <w:t>Cost of revenues consists primarily of our direct manufacturing costs which includes the cost of components and sub-systems, assembling, packaging, shipping and testing components at our facility, direct labor and associated overhead; warranty, royalty and amortization of intangible assets and depot service costs. For certain of our products, we are responsible for the cost of the fully assembled product that is manufactured by a third-party.</w:t>
      </w:r>
    </w:p>
    <w:p>
      <w:pPr>
        <w:spacing w:after="0" w:line="68"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personnel costs, materials to support new product development and research support provided to clinicians at medical institutions developing new applications which utilize our products and regulatory expenses. Research and development costs have been expensed as incurred.</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Sales and marketing expenses consist primarily of costs of personnel, sales commissions, travel expenses, advertising and promotional expenses.</w:t>
      </w:r>
    </w:p>
    <w:p>
      <w:pPr>
        <w:spacing w:after="0" w:line="117" w:lineRule="exact"/>
        <w:rPr>
          <w:sz w:val="20"/>
          <w:szCs w:val="20"/>
          <w:color w:val="auto"/>
        </w:rPr>
      </w:pPr>
    </w:p>
    <w:p>
      <w:pPr>
        <w:ind w:right="300" w:firstLine="518"/>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primarily of costs of personnel, legal, accounting and other public company costs, insurance and other expenses not allocated to other departments.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certain operating data as a percentage of revenues:</w:t>
      </w:r>
    </w:p>
    <w:p>
      <w:pPr>
        <w:spacing w:after="0" w:line="327"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580" w:type="dxa"/>
            <w:vAlign w:val="bottom"/>
          </w:tcPr>
          <w:p>
            <w:pPr>
              <w:spacing w:after="0"/>
              <w:rPr>
                <w:sz w:val="15"/>
                <w:szCs w:val="15"/>
                <w:color w:val="auto"/>
              </w:rPr>
            </w:pPr>
          </w:p>
        </w:tc>
        <w:tc>
          <w:tcPr>
            <w:tcW w:w="3580" w:type="dxa"/>
            <w:vAlign w:val="bottom"/>
            <w:gridSpan w:val="4"/>
          </w:tcPr>
          <w:p>
            <w:pPr>
              <w:jc w:val="right"/>
              <w:ind w:right="1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120" w:type="dxa"/>
            <w:vAlign w:val="bottom"/>
            <w:gridSpan w:val="4"/>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56"/>
        </w:trPr>
        <w:tc>
          <w:tcPr>
            <w:tcW w:w="3580" w:type="dxa"/>
            <w:vAlign w:val="bottom"/>
            <w:tcBorders>
              <w:bottom w:val="single" w:sz="8" w:color="CFF0FC"/>
            </w:tcBorders>
          </w:tcPr>
          <w:p>
            <w:pPr>
              <w:spacing w:after="0"/>
              <w:rPr>
                <w:sz w:val="13"/>
                <w:szCs w:val="13"/>
                <w:color w:val="auto"/>
              </w:rPr>
            </w:pPr>
          </w:p>
        </w:tc>
        <w:tc>
          <w:tcPr>
            <w:tcW w:w="1400" w:type="dxa"/>
            <w:vAlign w:val="bottom"/>
            <w:tcBorders>
              <w:top w:val="single" w:sz="8" w:color="auto"/>
              <w:bottom w:val="single" w:sz="8" w:color="auto"/>
            </w:tcBorders>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June 29, 2019</w:t>
            </w:r>
          </w:p>
        </w:tc>
        <w:tc>
          <w:tcPr>
            <w:tcW w:w="400" w:type="dxa"/>
            <w:vAlign w:val="bottom"/>
            <w:tcBorders>
              <w:top w:val="single" w:sz="8" w:color="auto"/>
              <w:bottom w:val="single" w:sz="8" w:color="CFF0FC"/>
            </w:tcBorders>
          </w:tcPr>
          <w:p>
            <w:pPr>
              <w:spacing w:after="0"/>
              <w:rPr>
                <w:sz w:val="13"/>
                <w:szCs w:val="13"/>
                <w:color w:val="auto"/>
              </w:rPr>
            </w:pPr>
          </w:p>
        </w:tc>
        <w:tc>
          <w:tcPr>
            <w:tcW w:w="1400" w:type="dxa"/>
            <w:vAlign w:val="bottom"/>
            <w:tcBorders>
              <w:top w:val="single" w:sz="8" w:color="auto"/>
              <w:bottom w:val="single" w:sz="8" w:color="auto"/>
            </w:tcBorders>
          </w:tcPr>
          <w:p>
            <w:pPr>
              <w:jc w:val="right"/>
              <w:ind w:right="211"/>
              <w:spacing w:after="0" w:line="155" w:lineRule="exact"/>
              <w:rPr>
                <w:sz w:val="20"/>
                <w:szCs w:val="20"/>
                <w:color w:val="auto"/>
              </w:rPr>
            </w:pPr>
            <w:r>
              <w:rPr>
                <w:rFonts w:ascii="Times New Roman" w:cs="Times New Roman" w:eastAsia="Times New Roman" w:hAnsi="Times New Roman"/>
                <w:sz w:val="14"/>
                <w:szCs w:val="14"/>
                <w:b w:val="1"/>
                <w:bCs w:val="1"/>
                <w:color w:val="auto"/>
              </w:rPr>
              <w:t>June 30, 2018</w:t>
            </w:r>
          </w:p>
        </w:tc>
        <w:tc>
          <w:tcPr>
            <w:tcW w:w="380" w:type="dxa"/>
            <w:vAlign w:val="bottom"/>
            <w:tcBorders>
              <w:bottom w:val="single" w:sz="8" w:color="CFF0FC"/>
            </w:tcBorders>
          </w:tcPr>
          <w:p>
            <w:pPr>
              <w:spacing w:after="0"/>
              <w:rPr>
                <w:sz w:val="13"/>
                <w:szCs w:val="13"/>
                <w:color w:val="auto"/>
              </w:rPr>
            </w:pPr>
          </w:p>
        </w:tc>
        <w:tc>
          <w:tcPr>
            <w:tcW w:w="1240" w:type="dxa"/>
            <w:vAlign w:val="bottom"/>
            <w:tcBorders>
              <w:top w:val="single" w:sz="8" w:color="auto"/>
              <w:bottom w:val="single" w:sz="8" w:color="auto"/>
            </w:tcBorders>
          </w:tcPr>
          <w:p>
            <w:pPr>
              <w:ind w:left="200"/>
              <w:spacing w:after="0" w:line="155" w:lineRule="exact"/>
              <w:rPr>
                <w:sz w:val="20"/>
                <w:szCs w:val="20"/>
                <w:color w:val="auto"/>
              </w:rPr>
            </w:pPr>
            <w:r>
              <w:rPr>
                <w:rFonts w:ascii="Times New Roman" w:cs="Times New Roman" w:eastAsia="Times New Roman" w:hAnsi="Times New Roman"/>
                <w:sz w:val="14"/>
                <w:szCs w:val="14"/>
                <w:b w:val="1"/>
                <w:bCs w:val="1"/>
                <w:color w:val="auto"/>
              </w:rPr>
              <w:t>June 29, 2019</w:t>
            </w:r>
          </w:p>
        </w:tc>
        <w:tc>
          <w:tcPr>
            <w:tcW w:w="400" w:type="dxa"/>
            <w:vAlign w:val="bottom"/>
            <w:tcBorders>
              <w:top w:val="single" w:sz="8" w:color="auto"/>
              <w:bottom w:val="single" w:sz="8" w:color="CFF0FC"/>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131"/>
              <w:spacing w:after="0" w:line="155" w:lineRule="exact"/>
              <w:rPr>
                <w:sz w:val="20"/>
                <w:szCs w:val="20"/>
                <w:color w:val="auto"/>
              </w:rPr>
            </w:pPr>
            <w:r>
              <w:rPr>
                <w:rFonts w:ascii="Times New Roman" w:cs="Times New Roman" w:eastAsia="Times New Roman" w:hAnsi="Times New Roman"/>
                <w:sz w:val="14"/>
                <w:szCs w:val="14"/>
                <w:b w:val="1"/>
                <w:bCs w:val="1"/>
                <w:color w:val="auto"/>
              </w:rPr>
              <w:t>June 30, 2018</w:t>
            </w:r>
          </w:p>
        </w:tc>
        <w:tc>
          <w:tcPr>
            <w:tcW w:w="2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100.0%</w:t>
            </w:r>
          </w:p>
        </w:tc>
        <w:tc>
          <w:tcPr>
            <w:tcW w:w="1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1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56.4%</w:t>
            </w:r>
          </w:p>
        </w:tc>
        <w:tc>
          <w:tcPr>
            <w:tcW w:w="1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58.6%</w:t>
            </w: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58.1%</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58.7%</w:t>
            </w:r>
          </w:p>
        </w:tc>
        <w:tc>
          <w:tcPr>
            <w:tcW w:w="0" w:type="dxa"/>
            <w:vAlign w:val="bottom"/>
          </w:tcPr>
          <w:p>
            <w:pPr>
              <w:spacing w:after="0"/>
              <w:rPr>
                <w:sz w:val="1"/>
                <w:szCs w:val="1"/>
                <w:color w:val="auto"/>
              </w:rPr>
            </w:pPr>
          </w:p>
        </w:tc>
      </w:tr>
      <w:tr>
        <w:trPr>
          <w:trHeight w:val="20"/>
        </w:trPr>
        <w:tc>
          <w:tcPr>
            <w:tcW w:w="35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40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80" w:type="dxa"/>
            <w:vAlign w:val="bottom"/>
            <w:vMerge w:val="continue"/>
            <w:shd w:val="clear" w:color="auto" w:fill="CFF0FC"/>
          </w:tcPr>
          <w:p>
            <w:pPr>
              <w:spacing w:after="0"/>
              <w:rPr>
                <w:sz w:val="19"/>
                <w:szCs w:val="19"/>
                <w:color w:val="auto"/>
              </w:rPr>
            </w:pPr>
          </w:p>
        </w:tc>
        <w:tc>
          <w:tcPr>
            <w:tcW w:w="1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43.6%</w:t>
            </w:r>
          </w:p>
        </w:tc>
        <w:tc>
          <w:tcPr>
            <w:tcW w:w="1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41.4%</w:t>
            </w:r>
          </w:p>
        </w:tc>
        <w:tc>
          <w:tcPr>
            <w:tcW w:w="1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41.9%</w:t>
            </w: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223"/>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8.9%</w:t>
            </w:r>
          </w:p>
        </w:tc>
        <w:tc>
          <w:tcPr>
            <w:tcW w:w="1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8.7%</w:t>
            </w:r>
          </w:p>
        </w:tc>
        <w:tc>
          <w:tcPr>
            <w:tcW w:w="1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9.0%</w:t>
            </w: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33.2%</w:t>
            </w:r>
          </w:p>
        </w:tc>
        <w:tc>
          <w:tcPr>
            <w:tcW w:w="1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40.5%</w:t>
            </w: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35.9%</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25.2%</w:t>
            </w:r>
          </w:p>
        </w:tc>
        <w:tc>
          <w:tcPr>
            <w:tcW w:w="1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24.1%</w:t>
            </w:r>
          </w:p>
        </w:tc>
        <w:tc>
          <w:tcPr>
            <w:tcW w:w="1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23.2%</w:t>
            </w: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80" w:type="dxa"/>
            <w:vAlign w:val="bottom"/>
            <w:vMerge w:val="continue"/>
          </w:tcPr>
          <w:p>
            <w:pPr>
              <w:spacing w:after="0"/>
              <w:rPr>
                <w:sz w:val="19"/>
                <w:szCs w:val="19"/>
                <w:color w:val="auto"/>
              </w:rPr>
            </w:pP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67.3%</w:t>
            </w:r>
          </w:p>
        </w:tc>
        <w:tc>
          <w:tcPr>
            <w:tcW w:w="1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73.3%</w:t>
            </w: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68.1%</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76.2%</w:t>
            </w:r>
          </w:p>
        </w:tc>
        <w:tc>
          <w:tcPr>
            <w:tcW w:w="0" w:type="dxa"/>
            <w:vAlign w:val="bottom"/>
          </w:tcPr>
          <w:p>
            <w:pPr>
              <w:spacing w:after="0"/>
              <w:rPr>
                <w:sz w:val="1"/>
                <w:szCs w:val="1"/>
                <w:color w:val="auto"/>
              </w:rPr>
            </w:pPr>
          </w:p>
        </w:tc>
      </w:tr>
      <w:tr>
        <w:trPr>
          <w:trHeight w:val="20"/>
        </w:trPr>
        <w:tc>
          <w:tcPr>
            <w:tcW w:w="35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40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80" w:type="dxa"/>
            <w:vAlign w:val="bottom"/>
            <w:vMerge w:val="continue"/>
            <w:shd w:val="clear" w:color="auto" w:fill="CFF0FC"/>
          </w:tcPr>
          <w:p>
            <w:pPr>
              <w:spacing w:after="0"/>
              <w:rPr>
                <w:sz w:val="19"/>
                <w:szCs w:val="19"/>
                <w:color w:val="auto"/>
              </w:rPr>
            </w:pPr>
          </w:p>
        </w:tc>
        <w:tc>
          <w:tcPr>
            <w:tcW w:w="1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(23.7%)</w:t>
            </w:r>
          </w:p>
        </w:tc>
        <w:tc>
          <w:tcPr>
            <w:tcW w:w="1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(31.9%)</w:t>
            </w:r>
          </w:p>
        </w:tc>
        <w:tc>
          <w:tcPr>
            <w:tcW w:w="1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(26.2%)</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0.6%</w:t>
            </w:r>
          </w:p>
        </w:tc>
        <w:tc>
          <w:tcPr>
            <w:tcW w:w="1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0.1%</w:t>
            </w: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0.3%</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05"/>
        </w:trPr>
        <w:tc>
          <w:tcPr>
            <w:tcW w:w="3580" w:type="dxa"/>
            <w:vAlign w:val="bottom"/>
            <w:tcBorders>
              <w:top w:val="single" w:sz="8" w:color="CFF0FC"/>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Loss from operations before provision for</w:t>
            </w:r>
          </w:p>
        </w:tc>
        <w:tc>
          <w:tcPr>
            <w:tcW w:w="1400" w:type="dxa"/>
            <w:vAlign w:val="bottom"/>
            <w:tcBorders>
              <w:top w:val="single" w:sz="8" w:color="auto"/>
            </w:tcBorders>
            <w:shd w:val="clear" w:color="auto" w:fill="CFF0FC"/>
          </w:tcPr>
          <w:p>
            <w:pPr>
              <w:spacing w:after="0"/>
              <w:rPr>
                <w:sz w:val="17"/>
                <w:szCs w:val="17"/>
                <w:color w:val="auto"/>
              </w:rPr>
            </w:pPr>
          </w:p>
        </w:tc>
        <w:tc>
          <w:tcPr>
            <w:tcW w:w="400" w:type="dxa"/>
            <w:vAlign w:val="bottom"/>
            <w:tcBorders>
              <w:top w:val="single" w:sz="8" w:color="CFF0FC"/>
            </w:tcBorders>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CFF0FC"/>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400" w:type="dxa"/>
            <w:vAlign w:val="bottom"/>
            <w:tcBorders>
              <w:top w:val="single" w:sz="8" w:color="CFF0FC"/>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(23.1%)</w:t>
            </w:r>
          </w:p>
        </w:tc>
        <w:tc>
          <w:tcPr>
            <w:tcW w:w="1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(31.8%)</w:t>
            </w:r>
          </w:p>
        </w:tc>
        <w:tc>
          <w:tcPr>
            <w:tcW w:w="1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(25.9%)</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w:t>
            </w:r>
          </w:p>
        </w:tc>
        <w:tc>
          <w:tcPr>
            <w:tcW w:w="1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0.1%</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5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40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80" w:type="dxa"/>
            <w:vAlign w:val="bottom"/>
            <w:vMerge w:val="continue"/>
            <w:shd w:val="clear" w:color="auto" w:fill="CFF0FC"/>
          </w:tcPr>
          <w:p>
            <w:pPr>
              <w:spacing w:after="0"/>
              <w:rPr>
                <w:sz w:val="19"/>
                <w:szCs w:val="19"/>
                <w:color w:val="auto"/>
              </w:rPr>
            </w:pPr>
          </w:p>
        </w:tc>
        <w:tc>
          <w:tcPr>
            <w:tcW w:w="1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(23.2%)</w:t>
            </w:r>
          </w:p>
        </w:tc>
        <w:tc>
          <w:tcPr>
            <w:tcW w:w="1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(31.8%)</w:t>
            </w:r>
          </w:p>
        </w:tc>
        <w:tc>
          <w:tcPr>
            <w:tcW w:w="1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(26.0%)</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0"/>
        </w:trPr>
        <w:tc>
          <w:tcPr>
            <w:tcW w:w="358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The following comparisons are between the three months ended June 29, 2019 and June 30, 2018:</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61"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80" w:type="dxa"/>
            <w:vAlign w:val="bottom"/>
            <w:gridSpan w:val="2"/>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4"/>
                <w:szCs w:val="14"/>
                <w:color w:val="auto"/>
              </w:rPr>
            </w:pPr>
          </w:p>
        </w:tc>
        <w:tc>
          <w:tcPr>
            <w:tcW w:w="17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73"/>
        </w:trPr>
        <w:tc>
          <w:tcPr>
            <w:tcW w:w="378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June 29, 2019</w:t>
            </w:r>
          </w:p>
        </w:tc>
        <w:tc>
          <w:tcPr>
            <w:tcW w:w="24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June 30, 2018</w:t>
            </w:r>
          </w:p>
        </w:tc>
        <w:tc>
          <w:tcPr>
            <w:tcW w:w="22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Change in $</w:t>
            </w:r>
          </w:p>
        </w:tc>
        <w:tc>
          <w:tcPr>
            <w:tcW w:w="220" w:type="dxa"/>
            <w:vAlign w:val="bottom"/>
            <w:tcBorders>
              <w:bottom w:val="single" w:sz="8" w:color="CFF0FC"/>
            </w:tcBorders>
          </w:tcPr>
          <w:p>
            <w:pPr>
              <w:spacing w:after="0"/>
              <w:rPr>
                <w:sz w:val="15"/>
                <w:szCs w:val="15"/>
                <w:color w:val="auto"/>
              </w:rPr>
            </w:pPr>
          </w:p>
        </w:tc>
        <w:tc>
          <w:tcPr>
            <w:tcW w:w="13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Change in %</w:t>
            </w:r>
          </w:p>
        </w:tc>
        <w:tc>
          <w:tcPr>
            <w:tcW w:w="240" w:type="dxa"/>
            <w:vAlign w:val="bottom"/>
            <w:tcBorders>
              <w:bottom w:val="single" w:sz="8" w:color="CFF0FC"/>
            </w:tcBorders>
          </w:tcPr>
          <w:p>
            <w:pPr>
              <w:spacing w:after="0"/>
              <w:rPr>
                <w:sz w:val="15"/>
                <w:szCs w:val="15"/>
                <w:color w:val="auto"/>
              </w:rPr>
            </w:pPr>
          </w:p>
        </w:tc>
      </w:tr>
      <w:tr>
        <w:trPr>
          <w:trHeight w:val="223"/>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G6</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11.2%</w:t>
            </w:r>
          </w:p>
        </w:tc>
      </w:tr>
      <w:tr>
        <w:trPr>
          <w:trHeight w:val="23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Retina</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(329)</w:t>
            </w: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w:t>
            </w:r>
          </w:p>
        </w:tc>
      </w:tr>
      <w:tr>
        <w:trPr>
          <w:trHeight w:val="230"/>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r>
      <w:tr>
        <w:trPr>
          <w:trHeight w:val="223"/>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10,426</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10,304</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20" w:type="dxa"/>
            <w:vAlign w:val="bottom"/>
          </w:tcPr>
          <w:p>
            <w:pPr>
              <w:spacing w:after="0"/>
              <w:rPr>
                <w:sz w:val="19"/>
                <w:szCs w:val="19"/>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3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25"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Our total revenues increased by $0.1 million, or 1.2%, from $10.3 million to $10.4 million for the second quarter of fiscal year 2019. The increase is primarily due to an increase in our G6 products and other revenues, partially offset by a decrease in our retina products. Revenues from G6 products increased 11.2% driven by increases in both domestic and international sales. Revenues from retina products decreased 5.9% driven by a decrease in international sales. Other revenues, comprising of service, royalty, freight and legacy G probes, increased 6.7% due mainly to an increase in our legacy G probes, service and royalty revenues.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 and Gross Margin.</w:t>
      </w:r>
    </w:p>
    <w:p>
      <w:pPr>
        <w:spacing w:after="0" w:line="119" w:lineRule="exact"/>
        <w:rPr>
          <w:sz w:val="20"/>
          <w:szCs w:val="20"/>
          <w:color w:val="auto"/>
        </w:rPr>
      </w:pPr>
    </w:p>
    <w:p>
      <w:pPr>
        <w:jc w:val="both"/>
        <w:ind w:right="80" w:firstLine="518"/>
        <w:spacing w:after="0" w:line="266" w:lineRule="auto"/>
        <w:rPr>
          <w:sz w:val="20"/>
          <w:szCs w:val="20"/>
          <w:color w:val="auto"/>
        </w:rPr>
      </w:pPr>
      <w:r>
        <w:rPr>
          <w:rFonts w:ascii="Times New Roman" w:cs="Times New Roman" w:eastAsia="Times New Roman" w:hAnsi="Times New Roman"/>
          <w:sz w:val="18"/>
          <w:szCs w:val="18"/>
          <w:color w:val="auto"/>
        </w:rPr>
        <w:t>Gross profit increased by $0.3 million, or 6.6%, from $4.3 million to $4.5 million for the second quarter of fiscal 2019. Gross margin increased by 2.2 percentage points from 41.4% to 43.6%. The increase in gross margin was primarily attributable to a decrease in manufacturing overhead spending, partially offset by an increase in manufacturing overhead variances that included an adjustment to warranty expense.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0" w:name="page21"/>
    <w:bookmarkEnd w:id="20"/>
    <w:p>
      <w:pPr>
        <w:ind w:right="320" w:firstLine="518"/>
        <w:spacing w:after="0" w:line="282" w:lineRule="auto"/>
        <w:rPr>
          <w:sz w:val="20"/>
          <w:szCs w:val="20"/>
          <w:color w:val="auto"/>
        </w:rPr>
      </w:pPr>
      <w:r>
        <w:rPr>
          <w:rFonts w:ascii="Times New Roman" w:cs="Times New Roman" w:eastAsia="Times New Roman" w:hAnsi="Times New Roman"/>
          <w:sz w:val="18"/>
          <w:szCs w:val="18"/>
          <w:color w:val="auto"/>
        </w:rPr>
        <w:t>Gross margins are expected to fluctuate due to changes in the relative proportion of domestic and international sales, the product mix of sales, introduction of new products, manufacturing variances, total unit volume changes that lead to greater or lesser production efficiencies and other factors.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Research and development (“R&amp;D”) expenses were flat at $0.9 million compared to the similar period last fiscal year.</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19" w:lineRule="exact"/>
        <w:rPr>
          <w:sz w:val="20"/>
          <w:szCs w:val="20"/>
          <w:color w:val="auto"/>
        </w:rPr>
      </w:pPr>
    </w:p>
    <w:p>
      <w:pPr>
        <w:ind w:right="200" w:firstLine="518"/>
        <w:spacing w:after="0" w:line="282" w:lineRule="auto"/>
        <w:rPr>
          <w:sz w:val="20"/>
          <w:szCs w:val="20"/>
          <w:color w:val="auto"/>
        </w:rPr>
      </w:pPr>
      <w:r>
        <w:rPr>
          <w:rFonts w:ascii="Times New Roman" w:cs="Times New Roman" w:eastAsia="Times New Roman" w:hAnsi="Times New Roman"/>
          <w:sz w:val="18"/>
          <w:szCs w:val="18"/>
          <w:color w:val="auto"/>
        </w:rPr>
        <w:t>Sales and marketing expenses decreased by $0.7 million, or 16.9%, from $4.2 million to $3.5 million. The decrease was primarily attributable to a decrease in salaries and related costs due to a decrease in headcount, lower commission expense and lower sales and marketing programs expenses.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by $0.1 million, or 5.8%, from $2.5 million to $2.6 million. The increase in spending was primarily attributable to an increase in severance costs, partially offset by decreases in bonus accrual, legal expenses and salaries and related costs due to a decrease in headcount.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ind w:right="20" w:firstLine="518"/>
        <w:spacing w:after="0" w:line="282" w:lineRule="auto"/>
        <w:rPr>
          <w:sz w:val="20"/>
          <w:szCs w:val="20"/>
          <w:color w:val="auto"/>
        </w:rPr>
      </w:pPr>
      <w:r>
        <w:rPr>
          <w:rFonts w:ascii="Times New Roman" w:cs="Times New Roman" w:eastAsia="Times New Roman" w:hAnsi="Times New Roman"/>
          <w:sz w:val="18"/>
          <w:szCs w:val="18"/>
          <w:color w:val="auto"/>
        </w:rPr>
        <w:t>Other income, net amounted to $58 thousand, compared to other income, net of $6 thousand. Other income (expense), net, consisted primarily of the change in expense associated with the re-measurement of contingent liabilities, partially offset by interest income.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recorded an income tax provision of $9 thousand and $4 thousand, respectively.</w:t>
      </w:r>
    </w:p>
    <w:p>
      <w:pPr>
        <w:spacing w:after="0" w:line="1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The following comparisons are between the six months ended June 29, 2019 and June 30, 2018:</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61"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4"/>
                <w:szCs w:val="14"/>
                <w:color w:val="auto"/>
              </w:rPr>
            </w:pPr>
          </w:p>
        </w:tc>
        <w:tc>
          <w:tcPr>
            <w:tcW w:w="128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3"/>
        </w:trPr>
        <w:tc>
          <w:tcPr>
            <w:tcW w:w="396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June 29, 2019</w:t>
            </w:r>
          </w:p>
        </w:tc>
        <w:tc>
          <w:tcPr>
            <w:tcW w:w="22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June 30, 2018</w:t>
            </w:r>
          </w:p>
        </w:tc>
        <w:tc>
          <w:tcPr>
            <w:tcW w:w="24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Change in $</w:t>
            </w:r>
          </w:p>
        </w:tc>
        <w:tc>
          <w:tcPr>
            <w:tcW w:w="240" w:type="dxa"/>
            <w:vAlign w:val="bottom"/>
            <w:tcBorders>
              <w:bottom w:val="single" w:sz="8" w:color="CFF0FC"/>
            </w:tcBorders>
          </w:tcPr>
          <w:p>
            <w:pPr>
              <w:spacing w:after="0"/>
              <w:rPr>
                <w:sz w:val="15"/>
                <w:szCs w:val="15"/>
                <w:color w:val="auto"/>
              </w:rPr>
            </w:pPr>
          </w:p>
        </w:tc>
        <w:tc>
          <w:tcPr>
            <w:tcW w:w="13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Change in %</w:t>
            </w:r>
          </w:p>
        </w:tc>
        <w:tc>
          <w:tcPr>
            <w:tcW w:w="180" w:type="dxa"/>
            <w:vAlign w:val="bottom"/>
            <w:tcBorders>
              <w:bottom w:val="single" w:sz="8" w:color="CFF0FC"/>
            </w:tcBorders>
          </w:tcPr>
          <w:p>
            <w:pPr>
              <w:spacing w:after="0"/>
              <w:rPr>
                <w:sz w:val="15"/>
                <w:szCs w:val="15"/>
                <w:color w:val="auto"/>
              </w:rPr>
            </w:pPr>
          </w:p>
        </w:tc>
      </w:tr>
      <w:tr>
        <w:trPr>
          <w:trHeight w:val="223"/>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G6</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2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10.3%</w:t>
            </w:r>
          </w:p>
        </w:tc>
      </w:tr>
      <w:tr>
        <w:trPr>
          <w:trHeight w:val="230"/>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Retina</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3,717</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7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w:t>
            </w:r>
          </w:p>
        </w:tc>
      </w:tr>
      <w:tr>
        <w:trPr>
          <w:trHeight w:val="223"/>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21,021</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19,813</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6.1%</w:t>
            </w:r>
          </w:p>
        </w:tc>
      </w:tr>
      <w:tr>
        <w:trPr>
          <w:trHeight w:val="20"/>
        </w:trPr>
        <w:tc>
          <w:tcPr>
            <w:tcW w:w="39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25"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Our total revenues increased by $1.2 million, or 6.1%, from $19.8 million to $21.0 million. The increase is primarily due to an increase in our G6 products, retina products and other revenues. Revenues from G6 products increased 10.3% driven primarily by an increase in international sales. Revenues from retina products increased 3.4% driven primarily by an increase in domestic sales. Other revenues, comprising of service, royalty, freight and legacy G probes, increased 7.1% due mainly to an increase in our legacy G probes, service and royalty revenues.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 and Gross Margin.</w:t>
      </w:r>
    </w:p>
    <w:p>
      <w:pPr>
        <w:spacing w:after="0" w:line="119" w:lineRule="exact"/>
        <w:rPr>
          <w:sz w:val="20"/>
          <w:szCs w:val="20"/>
          <w:color w:val="auto"/>
        </w:rPr>
      </w:pPr>
    </w:p>
    <w:p>
      <w:pPr>
        <w:ind w:right="180" w:firstLine="518"/>
        <w:spacing w:after="0" w:line="266" w:lineRule="auto"/>
        <w:rPr>
          <w:sz w:val="20"/>
          <w:szCs w:val="20"/>
          <w:color w:val="auto"/>
        </w:rPr>
      </w:pPr>
      <w:r>
        <w:rPr>
          <w:rFonts w:ascii="Times New Roman" w:cs="Times New Roman" w:eastAsia="Times New Roman" w:hAnsi="Times New Roman"/>
          <w:sz w:val="18"/>
          <w:szCs w:val="18"/>
          <w:color w:val="auto"/>
        </w:rPr>
        <w:t>Gross profit increased by $0.6 million, or 7.5%, from $8.2 million to $8.8 million. Gross margin increased by 0.6 percentage points from 41.3% to 41.9%. The increase in gross margin was primarily attributable to a decrease in manufacturing overhead spending, partially offset by an increase in manufacturing overhead variances that included an adjustment to warranty expense.</w:t>
      </w:r>
    </w:p>
    <w:p>
      <w:pPr>
        <w:spacing w:after="0" w:line="68" w:lineRule="exact"/>
        <w:rPr>
          <w:sz w:val="20"/>
          <w:szCs w:val="20"/>
          <w:color w:val="auto"/>
        </w:rPr>
      </w:pPr>
    </w:p>
    <w:p>
      <w:pPr>
        <w:ind w:right="320" w:firstLine="518"/>
        <w:spacing w:after="0" w:line="282" w:lineRule="auto"/>
        <w:rPr>
          <w:sz w:val="20"/>
          <w:szCs w:val="20"/>
          <w:color w:val="auto"/>
        </w:rPr>
      </w:pPr>
      <w:r>
        <w:rPr>
          <w:rFonts w:ascii="Times New Roman" w:cs="Times New Roman" w:eastAsia="Times New Roman" w:hAnsi="Times New Roman"/>
          <w:sz w:val="18"/>
          <w:szCs w:val="18"/>
          <w:color w:val="auto"/>
        </w:rPr>
        <w:t>Gross margins are expected to fluctuate due to changes in the relative proportion of domestic and international sales, the product mix of sales, introduction of new products, manufacturing variances, total unit volume changes that lead to greater or lesser production efficiencies and other factors.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Research and development (“R&amp;D”) expenses decreased by $0.1 million, or 5.9%, from $2.0 million to $1.9 million. The decrease in spending was primarily attributable to a decrease in regulatory fees and general engineering expenses.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19" w:lineRule="exact"/>
        <w:rPr>
          <w:sz w:val="20"/>
          <w:szCs w:val="20"/>
          <w:color w:val="auto"/>
        </w:rPr>
      </w:pPr>
    </w:p>
    <w:p>
      <w:pPr>
        <w:ind w:right="300" w:firstLine="518"/>
        <w:spacing w:after="0" w:line="282" w:lineRule="auto"/>
        <w:rPr>
          <w:sz w:val="20"/>
          <w:szCs w:val="20"/>
          <w:color w:val="auto"/>
        </w:rPr>
      </w:pPr>
      <w:r>
        <w:rPr>
          <w:rFonts w:ascii="Times New Roman" w:cs="Times New Roman" w:eastAsia="Times New Roman" w:hAnsi="Times New Roman"/>
          <w:sz w:val="18"/>
          <w:szCs w:val="18"/>
          <w:color w:val="auto"/>
        </w:rPr>
        <w:t>Sales and marketing expenses decreased by $0.7 million, or 8.1%, from $8.2 million to $7.6 million. The decrease was primarily attributable to a decrease in salaries and related costs due to a decrease in headcount, lower commission expense and lower sales and marketing programs expenses.</w:t>
      </w:r>
    </w:p>
    <w:p>
      <w:pPr>
        <w:spacing w:after="0" w:line="16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229" w:right="3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General and administrative expenses were flat at $4.9 million compared to similar period last year.</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ind w:right="80" w:firstLine="518"/>
        <w:spacing w:after="0" w:line="282" w:lineRule="auto"/>
        <w:rPr>
          <w:sz w:val="20"/>
          <w:szCs w:val="20"/>
          <w:color w:val="auto"/>
        </w:rPr>
      </w:pPr>
      <w:r>
        <w:rPr>
          <w:rFonts w:ascii="Times New Roman" w:cs="Times New Roman" w:eastAsia="Times New Roman" w:hAnsi="Times New Roman"/>
          <w:sz w:val="18"/>
          <w:szCs w:val="18"/>
          <w:color w:val="auto"/>
        </w:rPr>
        <w:t>Other income, net amounted to $52 thousand, compared to other income, net of $24 thousand. Other income (expense), net, consisted primarily of the change in expense associated with the re-measurement of contingent liabilities, partially offset by interest income.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recorded an income tax provision of $15 thousand and $8 thousand, respectively.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and Capital Resources.</w:t>
      </w:r>
    </w:p>
    <w:p>
      <w:pPr>
        <w:spacing w:after="0" w:line="119" w:lineRule="exact"/>
        <w:rPr>
          <w:sz w:val="20"/>
          <w:szCs w:val="20"/>
          <w:color w:val="auto"/>
        </w:rPr>
      </w:pPr>
    </w:p>
    <w:p>
      <w:pPr>
        <w:ind w:right="440" w:firstLine="518"/>
        <w:spacing w:after="0" w:line="282" w:lineRule="auto"/>
        <w:rPr>
          <w:sz w:val="20"/>
          <w:szCs w:val="20"/>
          <w:color w:val="auto"/>
        </w:rPr>
      </w:pPr>
      <w:r>
        <w:rPr>
          <w:rFonts w:ascii="Times New Roman" w:cs="Times New Roman" w:eastAsia="Times New Roman" w:hAnsi="Times New Roman"/>
          <w:sz w:val="18"/>
          <w:szCs w:val="18"/>
          <w:color w:val="auto"/>
        </w:rPr>
        <w:t>Liquidity is our ability to generate sufficient cash flows from operating activities to meet our obligations and commitments. In addition, liquidity includes the ability to obtain appropriate financing or to raise capital.</w:t>
      </w:r>
    </w:p>
    <w:p>
      <w:pPr>
        <w:spacing w:after="0" w:line="54"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As of June 29, 2019, we had cash and cash equivalents of $15.6 million and working capital of $23.5 million compared to cash and cash equivalents of $21.2 million and working capital of $29.1 million as of December 29, 2018.</w:t>
      </w:r>
    </w:p>
    <w:p>
      <w:pPr>
        <w:spacing w:after="0" w:line="54"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$5.2 million in the six months ended June 29, 2019 compared to $5.1 million in the six months ended June 30, 2018. The increase in net cash used in operating activities was primarily due to changes in working capital, driven by higher vendor payments and higher bonus payouts, partially offset by higher cash collections.</w:t>
      </w:r>
    </w:p>
    <w:p>
      <w:pPr>
        <w:spacing w:after="0" w:line="68"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For the six months ended June 29, 2019, net cash used in investing activities was $0.3 million, which consisted of $0.1 million on capital expenditures and $0.2 million for payment of the contingent earn-out liability. Net cash used in investing activities for the six months ended June 30, 2018 was $0.6 million, which consisted of $0.4 million on capital expenditures and $0.2 million for payment of the contingent earn-out liability.</w:t>
      </w:r>
    </w:p>
    <w:p>
      <w:pPr>
        <w:spacing w:after="0" w:line="68" w:lineRule="exact"/>
        <w:rPr>
          <w:sz w:val="20"/>
          <w:szCs w:val="20"/>
          <w:color w:val="auto"/>
        </w:rPr>
      </w:pPr>
    </w:p>
    <w:p>
      <w:pPr>
        <w:ind w:right="40" w:firstLine="518"/>
        <w:spacing w:after="0" w:line="282" w:lineRule="auto"/>
        <w:rPr>
          <w:sz w:val="20"/>
          <w:szCs w:val="20"/>
          <w:color w:val="auto"/>
        </w:rPr>
      </w:pPr>
      <w:r>
        <w:rPr>
          <w:rFonts w:ascii="Times New Roman" w:cs="Times New Roman" w:eastAsia="Times New Roman" w:hAnsi="Times New Roman"/>
          <w:sz w:val="18"/>
          <w:szCs w:val="18"/>
          <w:color w:val="auto"/>
        </w:rPr>
        <w:t>For the six months ended June 29, 2019 and June 30, 2018, net cash used in financing activities was $0.1 million, which consisted primarily of payroll taxes related to net share settlement of equity awards.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our existing cash and cash equivalents will be sufficient to meet our anticipated cash needs over the next 12 months.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119" w:lineRule="exact"/>
        <w:rPr>
          <w:sz w:val="20"/>
          <w:szCs w:val="20"/>
          <w:color w:val="auto"/>
        </w:rPr>
      </w:pPr>
    </w:p>
    <w:p>
      <w:pPr>
        <w:ind w:right="520" w:firstLine="518"/>
        <w:spacing w:after="0" w:line="282" w:lineRule="auto"/>
        <w:rPr>
          <w:sz w:val="20"/>
          <w:szCs w:val="20"/>
          <w:color w:val="auto"/>
        </w:rPr>
      </w:pPr>
      <w:r>
        <w:rPr>
          <w:rFonts w:ascii="Times New Roman" w:cs="Times New Roman" w:eastAsia="Times New Roman" w:hAnsi="Times New Roman"/>
          <w:sz w:val="18"/>
          <w:szCs w:val="18"/>
          <w:color w:val="auto"/>
        </w:rPr>
        <w:t>We do not have any off-balance sheet arrangements that have or are reasonably likely to have a material current or future effect on our financial condition, changes in financial condition, revenues or expenses, results of operations, liquidity, capital expenditures or capital resources.</w:t>
      </w:r>
    </w:p>
    <w:p>
      <w:pPr>
        <w:spacing w:after="0" w:line="54"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The Company has adopted the requirements of Accounting Standards Update 2016-02 on December 30, 2018, the first day of its fiscal year 2019, using the optional transition method. At adoption date, there was an increase in assets of $4.0 million and liabilities of $4.5 million due to the recognition of the required right-of-use (“ROU”) asset and corresponding liability for all lease obligations that are currently classified as operating leases with the difference of $0.5 million related to existing deferred rent that reduced the ROU asset recorded. The implementation of this standard did not have an impact in our condensed consolidated statements of operations.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121"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IRIDEX Corporation was incorporated in California in February 1989 as IRIS Medical Instruments, Inc. In November 1995, we changed our name to IRIDEX Corporation and reincorporated in Delaware. Our executive offices are located at 1212 Terra Bella Avenue, Mountain View, California 94043-1824, and our telephone number is (650) 940-4700. We can also be reached at our website at www.IRIDEX.com. Investors and others should note that we announce material financial information to our investors using SEC filings, press releases, our investor relations website, public conference calls and webcasts. We use these channels as well as social media to communicate with investors, customers and the public about our company, our products and other issues. It is possible that the information we post on social media channels could be deemed to be material information. We encourage investors, our customers, and others interested in our company to review the information we post on our Facebook page (www.facebook.com/IRIDEX) and Twitter feed (https://twitter.com/IRIDEX). Any information on, or that can be accessed through, our website and social media channels is not part of this report.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 about Market Risk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a “smaller reporting company,” as defined in Rule 12b-2 of the Exchange Act, we are not required to provide the information called for by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27" w:right="2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Rules 13a-15(e) or 15d-15(e) under the Exchange Act,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Principal Executive and Financial Officer and our Principal Accounting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78"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As required by SEC Rule 13a-15(b), we carried out an evaluation, under the supervision and with the participation of our management, including our Principal Executive and Financial Officer and our Principal Accounting Officer, of the effectiveness of the design and operation of our disclosure controls and procedures as of June 29, 2019. Based on the foregoing, our Principal Executive and Financial Officer and our Principal Accounting Officer concluded that our disclosure controls and procedures were effective at the reasonable assurance level.</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ind w:right="500" w:firstLine="518"/>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that occurred during the period covered by this Form 10-Q that have materially affected, or are reasonably likely to materially affect, our internal control over financial reporting.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From time to time, we may be involved in legal proceedings arising in the ordinary course of business. Although the results of litigation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That May Affect Future Results</w:t>
      </w:r>
    </w:p>
    <w:p>
      <w:pPr>
        <w:spacing w:after="0" w:line="121" w:lineRule="exact"/>
        <w:rPr>
          <w:sz w:val="20"/>
          <w:szCs w:val="20"/>
          <w:color w:val="auto"/>
        </w:rPr>
      </w:pPr>
    </w:p>
    <w:p>
      <w:pPr>
        <w:ind w:right="240" w:firstLine="518"/>
        <w:spacing w:after="0" w:line="266" w:lineRule="auto"/>
        <w:rPr>
          <w:sz w:val="20"/>
          <w:szCs w:val="20"/>
          <w:color w:val="auto"/>
        </w:rPr>
      </w:pPr>
      <w:r>
        <w:rPr>
          <w:rFonts w:ascii="Times New Roman" w:cs="Times New Roman" w:eastAsia="Times New Roman" w:hAnsi="Times New Roman"/>
          <w:sz w:val="18"/>
          <w:szCs w:val="18"/>
          <w:color w:val="auto"/>
        </w:rPr>
        <w:t>In addition to the other information contained in this Quarterly Report Form 10-Q, we have identified the following risks and uncertainties that may have a material adverse effect on our business, common stock price, financial condition or results of operations. You should carefully consider the risks described below before making an investment decision.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117" w:lineRule="exact"/>
        <w:rPr>
          <w:sz w:val="20"/>
          <w:szCs w:val="20"/>
          <w:color w:val="auto"/>
        </w:rPr>
      </w:pPr>
    </w:p>
    <w:p>
      <w:pPr>
        <w:ind w:right="14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quality control and other production issues that could materially and adversely impact our sales and financial results and the acceptance of our products.</w:t>
      </w:r>
    </w:p>
    <w:p>
      <w:pPr>
        <w:spacing w:after="0" w:line="51" w:lineRule="exact"/>
        <w:rPr>
          <w:sz w:val="20"/>
          <w:szCs w:val="20"/>
          <w:color w:val="auto"/>
        </w:rPr>
      </w:pPr>
    </w:p>
    <w:p>
      <w:pPr>
        <w:ind w:right="220" w:firstLine="518"/>
        <w:spacing w:after="0" w:line="282" w:lineRule="auto"/>
        <w:rPr>
          <w:sz w:val="20"/>
          <w:szCs w:val="20"/>
          <w:color w:val="auto"/>
        </w:rPr>
      </w:pPr>
      <w:r>
        <w:rPr>
          <w:rFonts w:ascii="Times New Roman" w:cs="Times New Roman" w:eastAsia="Times New Roman" w:hAnsi="Times New Roman"/>
          <w:sz w:val="18"/>
          <w:szCs w:val="18"/>
          <w:color w:val="auto"/>
        </w:rPr>
        <w:t>The manufacture of our infrared and visible laser consoles and related delivery devices is a highly complex and precise process. We may experience manufacturing difficulties, quality control issues or assembly constraints.</w:t>
      </w:r>
    </w:p>
    <w:p>
      <w:pPr>
        <w:spacing w:after="0" w:line="54"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If our sales increase substantially, we may need to increase our production capacity and may not be able to do so in a timely, effective or cost-efficient manner. We may not be able to manufacture sufficient quantities of our products, which may require that we qualify other manufacturers for our products. Furthermore, we may experience delays, disruptions, capacity constraints or quality control problems in our manufacturing operations.</w:t>
      </w:r>
    </w:p>
    <w:p>
      <w:pPr>
        <w:spacing w:after="0" w:line="68" w:lineRule="exact"/>
        <w:rPr>
          <w:sz w:val="20"/>
          <w:szCs w:val="20"/>
          <w:color w:val="auto"/>
        </w:rPr>
      </w:pPr>
    </w:p>
    <w:p>
      <w:pPr>
        <w:ind w:right="100" w:firstLine="518"/>
        <w:spacing w:after="0" w:line="255" w:lineRule="auto"/>
        <w:rPr>
          <w:sz w:val="20"/>
          <w:szCs w:val="20"/>
          <w:color w:val="auto"/>
        </w:rPr>
      </w:pPr>
      <w:r>
        <w:rPr>
          <w:rFonts w:ascii="Times New Roman" w:cs="Times New Roman" w:eastAsia="Times New Roman" w:hAnsi="Times New Roman"/>
          <w:sz w:val="18"/>
          <w:szCs w:val="18"/>
          <w:color w:val="auto"/>
        </w:rPr>
        <w:t>In the past several years, we have experienced supply chain, production and training issues as we have expanded our product lines and sales volumes, and may experience similar issues in the future as we continue to grow our business. These issues have caused, and may in the future cause, us to reduce or delay the shipment of our products and incur costs to service or replace products already shipped to customers. We have also incurred, and may in the future incur, additional costs to rectify or prevent similar issues in the future. Our efforts to address these supply chain, production and training issues may not be successful, and if we are unable to address these issues in a timely and cost-effective manner, product shipments to our customers could be delayed, our sales levels may suffer and manufacturing and operational costs may increase, any of which would negatively impact our business, results of operations and financial condition.</w:t>
      </w:r>
    </w:p>
    <w:p>
      <w:pPr>
        <w:spacing w:after="0" w:line="77" w:lineRule="exact"/>
        <w:rPr>
          <w:sz w:val="20"/>
          <w:szCs w:val="20"/>
          <w:color w:val="auto"/>
        </w:rPr>
      </w:pPr>
    </w:p>
    <w:p>
      <w:pPr>
        <w:ind w:right="52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our laser systems are complex in design and may contain defects that are not detected until deployed by our customers, which could increase our costs and reduce our revenues.</w:t>
      </w:r>
    </w:p>
    <w:p>
      <w:pPr>
        <w:spacing w:after="0" w:line="51"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Laser systems are inherently complex in design and require regular maintenance. The manufacture of our lasers, laser products and systems involves a highly complex and precise process. As a result of the technical complexity of our products, changes in our or our suppliers’ manufacturing processes or the inadvertent use of defective materials by us or our suppliers could result in a material adverse effect on our ability to achieve acceptable manufacturing yields and product reliability. To the extent that we do not achieve such yields or product reliability, our business, operating results, financial condition and customer relationships would be adversely affected. We provide warranties on certain of our product sales, and allowances for estimated warranty costs are recorded during the period of sale. The determination of such allowances requires us to make estimates of failure rates and expected costs to repair or replace the products under warranty. We currently establish warranty reserves based on historical warranty costs. If actual return rates and/or repair and replacement costs differ significantly from our estimates, adjustments to recognize additional cost of revenues may be required in future periods.</w:t>
      </w:r>
    </w:p>
    <w:p>
      <w:pPr>
        <w:spacing w:after="0" w:line="77"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Our customers may discover defects in our products after the products have been fully deployed and operated under peak stress conditions. In addition, some of our products are combined with products from other vendors, which may contain defects. As a result, should problems occur, it may be difficult to identify the source of the problem. If we are unable to identify and fix defects or other problems, we could experience, among other things:</w:t>
      </w:r>
    </w:p>
    <w:p>
      <w:pPr>
        <w:spacing w:after="0" w:line="68" w:lineRule="exact"/>
        <w:rPr>
          <w:sz w:val="20"/>
          <w:szCs w:val="20"/>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customers;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of product returns and warranty expenses;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brand reputation;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attract new customers or achieve market acceptance;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development and engineering resources;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actions by our customers.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4" w:name="page25"/>
    <w:bookmarkEnd w:id="24"/>
    <w:p>
      <w:pPr>
        <w:ind w:left="520"/>
        <w:spacing w:after="0"/>
        <w:rPr>
          <w:sz w:val="20"/>
          <w:szCs w:val="20"/>
          <w:color w:val="auto"/>
        </w:rPr>
      </w:pPr>
      <w:r>
        <w:rPr>
          <w:rFonts w:ascii="Times New Roman" w:cs="Times New Roman" w:eastAsia="Times New Roman" w:hAnsi="Times New Roman"/>
          <w:sz w:val="18"/>
          <w:szCs w:val="18"/>
          <w:color w:val="auto"/>
        </w:rPr>
        <w:t>The occurrence of any one or more of the foregoing factors could seriously harm our business, financial condition and results of operations.</w:t>
      </w:r>
    </w:p>
    <w:p>
      <w:pPr>
        <w:spacing w:after="0" w:line="113" w:lineRule="exact"/>
        <w:rPr>
          <w:sz w:val="20"/>
          <w:szCs w:val="20"/>
          <w:color w:val="auto"/>
        </w:rPr>
      </w:pPr>
    </w:p>
    <w:p>
      <w:pPr>
        <w:ind w:right="22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our direct and independent sales forces and network of international distributors to sell our products and any failure to maintain our sales force and distributor relationships could harm our business.</w:t>
      </w:r>
    </w:p>
    <w:p>
      <w:pPr>
        <w:spacing w:after="0" w:line="51"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Our ability to sell our products and generate revenues depends upon our direct and independent sales forces within the United States, direct sales force in Germany and relationships with independent international distributors. Currently our direct and independent sales forces within the United States consist of approximately 20 employees and one independent representative, respectively and our direct sales force in Germany consists of 3 employees. Our international independent distributors are managed by a team of 6 people. We generally grant our distributors exclusive territories for the sale of our products in specified countries. The amount and timing of resources dedicated by our distributors to the sales of our products is not within our control. Our international sales are largely dependent on the efforts of these third parties. If any distributor breaches the terms of its distribution agreement with us or fails to generate sales of our products, we may be forced to replace the distributor and our ability to sell our products into that exclusive sales territory would be adversely affected.</w:t>
      </w:r>
    </w:p>
    <w:p>
      <w:pPr>
        <w:spacing w:after="0" w:line="77" w:lineRule="exact"/>
        <w:rPr>
          <w:sz w:val="20"/>
          <w:szCs w:val="20"/>
          <w:color w:val="auto"/>
        </w:rPr>
      </w:pPr>
    </w:p>
    <w:p>
      <w:pPr>
        <w:ind w:right="60" w:firstLine="518"/>
        <w:spacing w:after="0" w:line="256" w:lineRule="auto"/>
        <w:rPr>
          <w:sz w:val="20"/>
          <w:szCs w:val="20"/>
          <w:color w:val="auto"/>
        </w:rPr>
      </w:pPr>
      <w:r>
        <w:rPr>
          <w:rFonts w:ascii="Times New Roman" w:cs="Times New Roman" w:eastAsia="Times New Roman" w:hAnsi="Times New Roman"/>
          <w:sz w:val="18"/>
          <w:szCs w:val="18"/>
          <w:color w:val="auto"/>
        </w:rPr>
        <w:t>We do not have any long-term employment contracts with the members of our direct sales force. We may be unable to replace our direct sales force personnel with individuals of equivalent technical expertise and qualifications, which may harm our revenues and our ability to maintain market share. Similarly, our independent and distributor agreements are generally terminable at will by either party and independents and distributors may terminate their relationships with us, which would affect our sales and results of operations. As we establish our direct sales capabilities in Germany, we may be unable to recruit and retain qualified personnel in this region. Any loss of the members of our existing direct or indirect sales organizations, or any failure to execute on our plans to further develop our sales function, could have an adverse impact on our business, results of operations and financial condition.</w:t>
      </w:r>
    </w:p>
    <w:p>
      <w:pPr>
        <w:spacing w:after="0" w:line="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Growth in our sales and marketing organization may create operational challenges without immediately offsetting benefits.</w:t>
      </w:r>
    </w:p>
    <w:p>
      <w:pPr>
        <w:spacing w:after="0" w:line="121"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We have increased and continue to increase our internal sales and marketing functions. This growth may place a significant strain on our management, operating and financial systems and our sales, marketing, training and administrative resources. As a result of our growth, our operating costs may escalate even faster than planned, and some of our internal systems may need to be enhanced or replaced. For example, if we are unable to provide adequate training for our expanding sales force, our ability to fully utilize new sales and marketing resources may be adversely impacted, we could suffer reputational harm and our ability to maintain our installed base of customers may be negatively impacted. If we cannot effectively manage our expanding operations and our costs, we may not be able to grow effectively or we may grow at a slower pace, and our business could be adversely affected.</w:t>
      </w:r>
    </w:p>
    <w:p>
      <w:pPr>
        <w:spacing w:after="0" w:line="80" w:lineRule="exact"/>
        <w:rPr>
          <w:sz w:val="20"/>
          <w:szCs w:val="20"/>
          <w:color w:val="auto"/>
        </w:rPr>
      </w:pPr>
    </w:p>
    <w:p>
      <w:pPr>
        <w:ind w:right="160" w:firstLine="518"/>
        <w:spacing w:after="0" w:line="261" w:lineRule="auto"/>
        <w:rPr>
          <w:sz w:val="20"/>
          <w:szCs w:val="20"/>
          <w:color w:val="auto"/>
        </w:rPr>
      </w:pPr>
      <w:r>
        <w:rPr>
          <w:rFonts w:ascii="Times New Roman" w:cs="Times New Roman" w:eastAsia="Times New Roman" w:hAnsi="Times New Roman"/>
          <w:sz w:val="18"/>
          <w:szCs w:val="18"/>
          <w:color w:val="auto"/>
        </w:rPr>
        <w:t>It can take six months or longer before our internal sales representatives are fully trained and productive in selling our solution to prospective clients. This ramp period presents a number of operational challenges as the cost of recruiting, hiring and carrying new sales representatives cannot be offset by the revenue such new sales representatives produce until after they complete their ramp periods. If we cannot reliably develop our sales representatives to a productive level, or if we lose productive representatives in whom we have heavily invested, our future growth rates and revenue will suffer.</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depend on international sales for a significant portion of our operating results.</w:t>
      </w:r>
    </w:p>
    <w:p>
      <w:pPr>
        <w:spacing w:after="0" w:line="121"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We derive, and expect to continue to derive, a large portion of our revenues from international sales. For the second quarter of fiscal year 2019, our international sales were $5.1 million, or 48.9% of total revenues. We anticipate that international sales will continue to account for a significant portion of our revenues in the foreseeable future. All of our international revenues and costs for the fiscal quarter ended June 29, 2019 have been denominated in U.S. dollars except for a sale transacted through our German subsidiary. As a result, an increase in the value of the U.S. dollar relative to foreign currencies makes our U.S. dollar-denominated products more expensive and thus less competitive in foreign markets and may negatively affect our reported revenue in any particular reporting period. Our international operations and sales are subject to a number of risks and potential costs, including:</w:t>
      </w:r>
    </w:p>
    <w:p>
      <w:pPr>
        <w:spacing w:after="0" w:line="80" w:lineRule="exact"/>
        <w:rPr>
          <w:sz w:val="20"/>
          <w:szCs w:val="20"/>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and production issues;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our international channel of distributors;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collection periods;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recessions in global economies and availability of credit;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sanctions and embargoes;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international conflicts, terrorist and military activity, civil unrest;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certification requirements, including continued ability to use the “CE” mark in Europe, and other local regulatory requirements;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5" w:name="page26"/>
    <w:bookmarkEnd w:id="25"/>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local product preferences and product requirements;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differences;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foreign medical reimbursement and coverage policies and programs;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or limited protections of intellectual property rights in jurisdictions outside the United States;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protectionist, adverse and changing foreign governmental laws and regulations;</w:t>
      </w:r>
    </w:p>
    <w:p>
      <w:pPr>
        <w:spacing w:after="0" w:line="117" w:lineRule="exact"/>
        <w:rPr>
          <w:rFonts w:ascii="Times New Roman" w:cs="Times New Roman" w:eastAsia="Times New Roman" w:hAnsi="Times New Roman"/>
          <w:sz w:val="18"/>
          <w:szCs w:val="18"/>
          <w:color w:val="auto"/>
        </w:rPr>
      </w:pPr>
    </w:p>
    <w:p>
      <w:pPr>
        <w:ind w:left="1040" w:right="440" w:hanging="519"/>
        <w:spacing w:after="0" w:line="282"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risk of our employees failing to comply with both U.S. and foreign laws, including anti-trust regulations, the U.S. Foreign Corrupt Practices Act, the U.K. Bribery Act of 2010 and any trade regulations designed to ensure fair trade practices; and</w:t>
      </w:r>
    </w:p>
    <w:p>
      <w:pPr>
        <w:spacing w:after="0" w:line="53" w:lineRule="exact"/>
        <w:rPr>
          <w:rFonts w:ascii="Times New Roman" w:cs="Times New Roman" w:eastAsia="Times New Roman" w:hAnsi="Times New Roman"/>
          <w:sz w:val="18"/>
          <w:szCs w:val="18"/>
          <w:color w:val="auto"/>
        </w:rPr>
      </w:pPr>
    </w:p>
    <w:p>
      <w:pPr>
        <w:ind w:left="1040" w:right="500" w:hanging="519"/>
        <w:spacing w:after="0" w:line="282"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costs and risks of non-compliance with multiple regulatory regimes governing the production, marketing, sale and use of our products.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one or more of these factors stated above could have a material adverse effect on our business, financial condition or results of operations.</w:t>
      </w:r>
    </w:p>
    <w:p>
      <w:pPr>
        <w:spacing w:after="0" w:line="117"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As we expand our existing international operations, we may encounter new risks in addition to the above factors. For example, as we focus on building our international sales and distribution networks in new geographic regions, we must continue to develop relationships with qualified local distributors and trading companies. If we are not successful in developing these relationships, we may not be able to grow sales in these geographic regions. These or other similar risks could adversely affect our revenues, profitability and the price of our common stock.</w:t>
      </w:r>
    </w:p>
    <w:p>
      <w:pPr>
        <w:spacing w:after="0" w:line="68" w:lineRule="exact"/>
        <w:rPr>
          <w:sz w:val="20"/>
          <w:szCs w:val="20"/>
          <w:color w:val="auto"/>
        </w:rPr>
      </w:pPr>
    </w:p>
    <w:p>
      <w:pPr>
        <w:ind w:right="6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develop and successfully introduce new products and applications or fail to improve our existing products, our business prospects and operating results may suffer.</w:t>
      </w:r>
    </w:p>
    <w:p>
      <w:pPr>
        <w:spacing w:after="0" w:line="51"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Our ability to generate incremental revenue growth will depend, in part, on the successful outcome of research and development activities, which may include clinical trials that lead to the development of new products and new applications using our products. Our research and development process is expensive, prolonged, and entails considerable uncertainty. Due to the complexities and uncertainties associated with ophthalmic research and development, products we are currently developing may not complete the development process or obtain the regulatory approvals required to market such products successfully.</w:t>
      </w:r>
    </w:p>
    <w:p>
      <w:pPr>
        <w:spacing w:after="0" w:line="76" w:lineRule="exact"/>
        <w:rPr>
          <w:sz w:val="20"/>
          <w:szCs w:val="20"/>
          <w:color w:val="auto"/>
        </w:rPr>
      </w:pPr>
    </w:p>
    <w:p>
      <w:pPr>
        <w:ind w:right="200" w:firstLine="518"/>
        <w:spacing w:after="0" w:line="256" w:lineRule="auto"/>
        <w:rPr>
          <w:sz w:val="20"/>
          <w:szCs w:val="20"/>
          <w:color w:val="auto"/>
        </w:rPr>
      </w:pPr>
      <w:r>
        <w:rPr>
          <w:rFonts w:ascii="Times New Roman" w:cs="Times New Roman" w:eastAsia="Times New Roman" w:hAnsi="Times New Roman"/>
          <w:sz w:val="18"/>
          <w:szCs w:val="18"/>
          <w:color w:val="auto"/>
        </w:rPr>
        <w:t>Successful commercialization of new products and new applications will require that we effectively transfer production processes from research and development to manufacturing and effectively coordinate with our suppliers. In addition, we must successfully sell and achieve market acceptance of new products and applications and enhanced versions of existing products. The extent of, and rate at which, market acceptance and penetration are achieved by future products is a function of many variables, which include, among other things, price, safety, efficacy, reliability, marketing and sales efforts, the development of new applications for these products, the availability of third-party reimbursement of procedures using our new products, the existence of competing products and general economic conditions affecting purchasing patterns.</w:t>
      </w:r>
    </w:p>
    <w:p>
      <w:pPr>
        <w:spacing w:after="0" w:line="80" w:lineRule="exact"/>
        <w:rPr>
          <w:sz w:val="20"/>
          <w:szCs w:val="20"/>
          <w:color w:val="auto"/>
        </w:rPr>
      </w:pPr>
    </w:p>
    <w:p>
      <w:pPr>
        <w:ind w:right="140" w:firstLine="518"/>
        <w:spacing w:after="0" w:line="289" w:lineRule="auto"/>
        <w:rPr>
          <w:sz w:val="20"/>
          <w:szCs w:val="20"/>
          <w:color w:val="auto"/>
        </w:rPr>
      </w:pPr>
      <w:r>
        <w:rPr>
          <w:rFonts w:ascii="Times New Roman" w:cs="Times New Roman" w:eastAsia="Times New Roman" w:hAnsi="Times New Roman"/>
          <w:sz w:val="17"/>
          <w:szCs w:val="17"/>
          <w:color w:val="auto"/>
        </w:rPr>
        <w:t>Our ability to market and sell new products is subject to government regulation, including approval or clearance by the FDA and foreign government agencies. Any failure in our ability to successfully develop and introduce new products or enhanced versions of existing products and achieve market acceptance of new products and new applications could have a material adverse effect on our operating results and would cause our net revenues to decline.</w:t>
      </w:r>
    </w:p>
    <w:p>
      <w:pPr>
        <w:spacing w:after="0" w:line="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associated with worldwide economic slowdowns and related uncertainties.</w:t>
      </w:r>
    </w:p>
    <w:p>
      <w:pPr>
        <w:spacing w:after="0" w:line="121"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We are subject to macro-economic fluctuations in the U.S. and worldwide economy. Concerns about consumer and investor confidence, volatile corporate profits and reduced capital spending, international conflicts, terrorist and military activity, civil unrest and pandemic illness could reduce customer orders or cause customer order cancellations. In addition, political and social turmoil related to international conflicts and terrorist acts may put further pressure on economic conditions in the United States and abroad.</w:t>
      </w:r>
    </w:p>
    <w:p>
      <w:pPr>
        <w:spacing w:after="0" w:line="72"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Weak economic conditions and declines in consumer spending and consumption may harm our operating results. Purchases of our products are often discretionary. During uncertain economic times, customers or potential customers may delay, reduce or forego their purchases of our products and services, which may impact our business in a number of ways, including lower prices for our products and services and reducing or delaying sales. There could be a number of follow-on effects from economic uncertainty on our business, including insolvency of key suppliers resulting in product delays, delays in customer payments of outstanding accounts receivable and/or customer insolvencies, counterparty failures negatively impacting our operations, and increasing expense or inability to obtain future financing.</w:t>
      </w:r>
    </w:p>
    <w:p>
      <w:pPr>
        <w:spacing w:after="0" w:line="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If economic uncertainty persisted, or if the economy entered a prolonged period of decelerating growth, our results of operations may be harmed.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6" w:name="page27"/>
    <w:bookmarkEnd w:id="26"/>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from quarter to quarter and year to year.</w:t>
      </w:r>
    </w:p>
    <w:p>
      <w:pPr>
        <w:spacing w:after="0" w:line="121" w:lineRule="exact"/>
        <w:rPr>
          <w:sz w:val="20"/>
          <w:szCs w:val="20"/>
          <w:color w:val="auto"/>
        </w:rPr>
      </w:pPr>
    </w:p>
    <w:p>
      <w:pPr>
        <w:ind w:right="80" w:firstLine="518"/>
        <w:spacing w:after="0" w:line="282" w:lineRule="auto"/>
        <w:rPr>
          <w:sz w:val="20"/>
          <w:szCs w:val="20"/>
          <w:color w:val="auto"/>
        </w:rPr>
      </w:pPr>
      <w:r>
        <w:rPr>
          <w:rFonts w:ascii="Times New Roman" w:cs="Times New Roman" w:eastAsia="Times New Roman" w:hAnsi="Times New Roman"/>
          <w:sz w:val="18"/>
          <w:szCs w:val="18"/>
          <w:color w:val="auto"/>
        </w:rPr>
        <w:t>Our sales and operating results may vary significantly from quarter to quarter and from year to year in the future. Our operating results are affected by a number of factors, many of which are beyond our control. Factors contributing to these fluctuations include the following:</w:t>
      </w:r>
    </w:p>
    <w:p>
      <w:pPr>
        <w:spacing w:after="0" w:line="54" w:lineRule="exact"/>
        <w:rPr>
          <w:sz w:val="20"/>
          <w:szCs w:val="20"/>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prices at which we can sell our products, including the impact of changes in exchange rates;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uncertainties and political concerns;</w:t>
      </w:r>
    </w:p>
    <w:p>
      <w:pPr>
        <w:spacing w:after="0" w:line="117" w:lineRule="exact"/>
        <w:rPr>
          <w:rFonts w:ascii="Times New Roman" w:cs="Times New Roman" w:eastAsia="Times New Roman" w:hAnsi="Times New Roman"/>
          <w:sz w:val="18"/>
          <w:szCs w:val="18"/>
          <w:color w:val="auto"/>
        </w:rPr>
      </w:pPr>
    </w:p>
    <w:p>
      <w:pPr>
        <w:ind w:left="1040" w:right="180" w:hanging="519"/>
        <w:spacing w:after="0" w:line="282"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products, product enhancements and new applications by our competitors, including new drugs, entry of new competitors into our markets, pricing pressures and other competitive factors;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delays or reductions in product shipments, or product recalls, resulting from manufacturing, distribution or other operational issues;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introduction and market acceptance of new products, product enhancements and new applications;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demand for our existing line of ophthalmology products;</w:t>
      </w:r>
    </w:p>
    <w:p>
      <w:pPr>
        <w:spacing w:after="0" w:line="117" w:lineRule="exact"/>
        <w:rPr>
          <w:rFonts w:ascii="Times New Roman" w:cs="Times New Roman" w:eastAsia="Times New Roman" w:hAnsi="Times New Roman"/>
          <w:sz w:val="18"/>
          <w:szCs w:val="18"/>
          <w:color w:val="auto"/>
        </w:rPr>
      </w:pPr>
    </w:p>
    <w:p>
      <w:pPr>
        <w:ind w:left="1040" w:hanging="519"/>
        <w:spacing w:after="0" w:line="282"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availability of components and subassemblies, including the willingness and ability of our sole or limited source suppliers to timely deliver components at the times and prices that we have planned;</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sales volumes at a level sufficient to cover fixed manufacturing and operating costs;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product mix within ophthalmology products and foreign and domestic sales;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regulatory approvals and changes in domestic and foreign regulatory requirements;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 and highly variable sales cycle;</w:t>
      </w:r>
    </w:p>
    <w:p>
      <w:pPr>
        <w:spacing w:after="0" w:line="117" w:lineRule="exact"/>
        <w:rPr>
          <w:rFonts w:ascii="Times New Roman" w:cs="Times New Roman" w:eastAsia="Times New Roman" w:hAnsi="Times New Roman"/>
          <w:sz w:val="18"/>
          <w:szCs w:val="18"/>
          <w:color w:val="auto"/>
        </w:rPr>
      </w:pPr>
    </w:p>
    <w:p>
      <w:pPr>
        <w:ind w:left="1040" w:right="140" w:hanging="519"/>
        <w:spacing w:after="0" w:line="282"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customers’ or potential customers’ budgets as a result of, among other things, reimbursement policies of government programs and private insurers for treatments that use our products;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variances in shipment volumes as a result of product, supply chain and training issues;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product innovation costs.</w:t>
      </w:r>
    </w:p>
    <w:p>
      <w:pPr>
        <w:spacing w:after="0" w:line="117" w:lineRule="exact"/>
        <w:rPr>
          <w:sz w:val="20"/>
          <w:szCs w:val="20"/>
          <w:color w:val="auto"/>
        </w:rPr>
      </w:pPr>
    </w:p>
    <w:p>
      <w:pPr>
        <w:ind w:right="720" w:firstLine="518"/>
        <w:spacing w:after="0" w:line="282" w:lineRule="auto"/>
        <w:rPr>
          <w:sz w:val="20"/>
          <w:szCs w:val="20"/>
          <w:color w:val="auto"/>
        </w:rPr>
      </w:pPr>
      <w:r>
        <w:rPr>
          <w:rFonts w:ascii="Times New Roman" w:cs="Times New Roman" w:eastAsia="Times New Roman" w:hAnsi="Times New Roman"/>
          <w:sz w:val="18"/>
          <w:szCs w:val="18"/>
          <w:color w:val="auto"/>
        </w:rPr>
        <w:t>In addition to these factors, our quarterly results have been, and are expected to continue to be, affected by seasonal factors. For example, our European sales during the third quarter are generally lower due to many businesses being closed for the summer vacation season.</w:t>
      </w:r>
    </w:p>
    <w:p>
      <w:pPr>
        <w:spacing w:after="0" w:line="54" w:lineRule="exact"/>
        <w:rPr>
          <w:sz w:val="20"/>
          <w:szCs w:val="20"/>
          <w:color w:val="auto"/>
        </w:rPr>
      </w:pPr>
    </w:p>
    <w:p>
      <w:pPr>
        <w:ind w:right="160" w:firstLine="518"/>
        <w:spacing w:after="0" w:line="255" w:lineRule="auto"/>
        <w:rPr>
          <w:sz w:val="20"/>
          <w:szCs w:val="20"/>
          <w:color w:val="auto"/>
        </w:rPr>
      </w:pPr>
      <w:r>
        <w:rPr>
          <w:rFonts w:ascii="Times New Roman" w:cs="Times New Roman" w:eastAsia="Times New Roman" w:hAnsi="Times New Roman"/>
          <w:sz w:val="18"/>
          <w:szCs w:val="18"/>
          <w:color w:val="auto"/>
        </w:rPr>
        <w:t>Our expense levels are based, in part, on expected future sales. If sales levels in a particular quarter do not meet expectations, we may be unable to adjust operating expenses quickly enough to compensate for the shortfall of sales, and our results of operations may be adversely affected. In addition, we have historically made a significant portion of each quarter’s product shipments near the end of the quarter. If that pattern continues, any delays in shipment of products could have a material adverse effect on results of operations for such quarters. Due to these and other factors, we believe that quarter to quarter and year to year comparisons of our past operating results may not be meaningful. You should not rely on our results for any quarter or year as an indication of our future performance. Our operating results in future quarters and years may be below expectations, which would likely cause the price of our common stock to fall.</w:t>
      </w:r>
    </w:p>
    <w:p>
      <w:pPr>
        <w:spacing w:after="0" w:line="77" w:lineRule="exact"/>
        <w:rPr>
          <w:sz w:val="20"/>
          <w:szCs w:val="20"/>
          <w:color w:val="auto"/>
        </w:rPr>
      </w:pPr>
    </w:p>
    <w:p>
      <w:pPr>
        <w:ind w:right="46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continued market acceptance of our existing products and any decline in sales of our existing products would adversely affect our business and results of operations.</w:t>
      </w:r>
    </w:p>
    <w:p>
      <w:pPr>
        <w:spacing w:after="0" w:line="51" w:lineRule="exact"/>
        <w:rPr>
          <w:sz w:val="20"/>
          <w:szCs w:val="20"/>
          <w:color w:val="auto"/>
        </w:rPr>
      </w:pPr>
    </w:p>
    <w:p>
      <w:pPr>
        <w:ind w:right="440" w:firstLine="518"/>
        <w:spacing w:after="0" w:line="282" w:lineRule="auto"/>
        <w:rPr>
          <w:sz w:val="20"/>
          <w:szCs w:val="20"/>
          <w:color w:val="auto"/>
        </w:rPr>
      </w:pPr>
      <w:r>
        <w:rPr>
          <w:rFonts w:ascii="Times New Roman" w:cs="Times New Roman" w:eastAsia="Times New Roman" w:hAnsi="Times New Roman"/>
          <w:sz w:val="18"/>
          <w:szCs w:val="18"/>
          <w:color w:val="auto"/>
        </w:rPr>
        <w:t>We currently market visible and infrared medical laser systems and delivery devices to the ophthalmology market. We believe that continued and increased sales, if any, of these medical laser systems is dependent upon a number of factors including the following:</w:t>
      </w:r>
    </w:p>
    <w:p>
      <w:pPr>
        <w:spacing w:after="0" w:line="54" w:lineRule="exact"/>
        <w:rPr>
          <w:sz w:val="20"/>
          <w:szCs w:val="20"/>
          <w:color w:val="auto"/>
        </w:rPr>
      </w:pPr>
    </w:p>
    <w:p>
      <w:pPr>
        <w:ind w:left="1040" w:right="1020" w:hanging="519"/>
        <w:spacing w:after="0" w:line="282"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product performance, features, ease of use, scalability and durability, including with respect to our MicroPulse laser photocoagulation systems;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recommendations and opinions by ophthalmologists, other clinicians, and their associated opinion leaders;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and clinical study outcomes;</w:t>
      </w:r>
    </w:p>
    <w:p>
      <w:pPr>
        <w:spacing w:after="0" w:line="117" w:lineRule="exact"/>
        <w:rPr>
          <w:rFonts w:ascii="Times New Roman" w:cs="Times New Roman" w:eastAsia="Times New Roman" w:hAnsi="Times New Roman"/>
          <w:sz w:val="18"/>
          <w:szCs w:val="18"/>
          <w:color w:val="auto"/>
        </w:rPr>
      </w:pPr>
    </w:p>
    <w:p>
      <w:pPr>
        <w:ind w:left="1040" w:right="480" w:hanging="519"/>
        <w:spacing w:after="0" w:line="282"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of our products and prices of competing products and technologies, particularly in light of the current macro-economic environment where healthcare systems and healthcare operators are becoming increasingly price sensitive;</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competing products, technologies and alternative treatments;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of reimbursement for treatments administered with our products.</w:t>
      </w:r>
    </w:p>
    <w:p>
      <w:pPr>
        <w:spacing w:after="0" w:line="117"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In addition, we derive a meaningful portion of our sales in the form of recurring revenues from selling consumable instrumentation, including our MP3 and EndoProbe devices. Our ability to increase recurring revenues from the sale of consumable products will depend primarily upon the features of our current products and product innovation, the quality of, ease of use and prices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27" w:name="page28"/>
    <w:bookmarkEnd w:id="27"/>
    <w:p>
      <w:pPr>
        <w:ind w:right="20"/>
        <w:spacing w:after="0" w:line="261" w:lineRule="auto"/>
        <w:rPr>
          <w:sz w:val="20"/>
          <w:szCs w:val="20"/>
          <w:color w:val="auto"/>
        </w:rPr>
      </w:pPr>
      <w:r>
        <w:rPr>
          <w:rFonts w:ascii="Times New Roman" w:cs="Times New Roman" w:eastAsia="Times New Roman" w:hAnsi="Times New Roman"/>
          <w:sz w:val="18"/>
          <w:szCs w:val="18"/>
          <w:color w:val="auto"/>
        </w:rPr>
        <w:t>of our products, including the relationship to prices of competing products. The level of our service revenues will depend on the quality of service we provide and the responsiveness and the willingness of our customers to request our services rather than purchase competing products or services. Any significant decline in market acceptance of our products or our revenues derived from the sales of laser consoles, delivery devices, consumables or services may have a material adverse effect on our business, results of operations and financial condition.</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face strong competition in our markets and expect the level of competition to grow in the foreseeable future.</w:t>
      </w:r>
    </w:p>
    <w:p>
      <w:pPr>
        <w:spacing w:after="0" w:line="121"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Competition in the market for laser systems and delivery devices used for ophthalmic treatment procedures is intense and is expected to increase. This market is also characterized by technological innovation and change. We compete by providing features and services that are valued by our customers such as: enhanced product performance and clinical outcomes, ease of use, durability, versatility, customer training services and rapid repair of equipment.</w:t>
      </w:r>
    </w:p>
    <w:p>
      <w:pPr>
        <w:spacing w:after="0" w:line="68"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Our principal ophthalmic laser competitors are Alcon Inc. (Novartis AG), Bausch and Lomb (Valeant), Carl Zeiss Meditec AG, Ellex Medical Lasers, Ltd., Lumenis Ltd., Nidek Co. Ltd., Quantel Medical SA, and Topcon Corporation. We also compete with alternative glaucoma surgical device companies such as Alcon, Allergan, Glaukos, New World Medical and Ivantis. Pharmaceuticals represent alternative treatments to our laser procedures. Some of our principal pharmaceutical competitors are Alcon, Allergan, OSI Pharmaceuticals (Astellas), Pfizer, Regeneron, Roche (Genentech) and Valeant Pharmaceuticals. Some of our competitors have substantially greater financial, engineering, product development, manufacturing, marketing and technical resources than we do. Some companies also have greater name recognition than us and long-standing customer relationships. In addition, other medical device companies, academic and research institutions, or others, may develop new technologies or therapies, including medical devices, surgical procedures or pharmacological treatments and obtain regulatory approval for products utilizing such techniques that are more effective in treating the conditions targeted by us, or are less expensive than our current or future products. Our technologies and products could be rendered obsolete by such developments. Any such developments could have a material adverse effect on our business, financial condition and results of operations.</w:t>
      </w:r>
    </w:p>
    <w:p>
      <w:pPr>
        <w:spacing w:after="0" w:line="74" w:lineRule="exact"/>
        <w:rPr>
          <w:sz w:val="20"/>
          <w:szCs w:val="20"/>
          <w:color w:val="auto"/>
        </w:rPr>
      </w:pPr>
    </w:p>
    <w:p>
      <w:pPr>
        <w:ind w:right="26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be adversely affected by uncertainty regarding healthcare reform measures and changes in third-party coverage and reimbursement policies.</w:t>
      </w:r>
    </w:p>
    <w:p>
      <w:pPr>
        <w:spacing w:after="0" w:line="51" w:lineRule="exact"/>
        <w:rPr>
          <w:sz w:val="20"/>
          <w:szCs w:val="20"/>
          <w:color w:val="auto"/>
        </w:rPr>
      </w:pPr>
    </w:p>
    <w:p>
      <w:pPr>
        <w:ind w:right="40" w:firstLine="518"/>
        <w:spacing w:after="0" w:line="253" w:lineRule="auto"/>
        <w:rPr>
          <w:sz w:val="20"/>
          <w:szCs w:val="20"/>
          <w:color w:val="auto"/>
        </w:rPr>
      </w:pPr>
      <w:r>
        <w:rPr>
          <w:rFonts w:ascii="Times New Roman" w:cs="Times New Roman" w:eastAsia="Times New Roman" w:hAnsi="Times New Roman"/>
          <w:sz w:val="18"/>
          <w:szCs w:val="18"/>
          <w:color w:val="auto"/>
        </w:rPr>
        <w:t>Our products are typically purchased by doctors, clinics, hospitals and other users, which bill various third-party payers, such as governmental programs and private insurance plans, for the health care services provided to their patients. Changes in government legislation or regulation or in private third-party payers’ policies toward reimbursement for procedures employing our products may prohibit adequate reimbursement. There have been a number of legislative and regulatory proposals to change the healthcare system, reduce the costs of healthcare and change medical reimbursement policies. Doctors, clinics, hospitals and other users of our products may decline to purchase our products to the extent there is uncertainty regarding reimbursement of medical procedures using our products and any healthcare reform measures. Further proposed legislation, regulation and policy changes affecting third-party reimbursement are likely. Among other things, Congress has in the past proposed changes to and the repeal of the Patient Protection and Affordable Care Act and the Health Care and Education Reconciliation Act of 2010, collectively, the “Affordable Care Act”, and the current U.S. presidential administration has announced certain policy changes that could impact the availability of benefits under the Affordable Care Act. At this time, it remains unclear whether there will be any changes made to or any repeal of the Affordable Care Act, with respect to certain of its provisions or in its entirety or related administrative policies. Various healthcare reform proposals have also emerged at the state level.</w:t>
      </w:r>
    </w:p>
    <w:p>
      <w:pPr>
        <w:spacing w:after="0" w:line="85"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We are unable to predict what legislation or regulation, if any, relating to the health care industry or third-party coverage and reimbursement may be enacted in the future at the state or federal level, or what effect such legislation or regulation may have on us. Furthermore, existing legislation and regulation related to the health care industry and third-party coverage reimbursement, including the Affordable Care Act, has been subject to judicial challenge, and may be subject to similar challenges from time to time in the future. Denial of coverage and reimbursement of our products, or the revocation or changes to coverage and reimbursement policies, could have a material adverse effect on our business, results of operations and financial condition.</w:t>
      </w:r>
    </w:p>
    <w:p>
      <w:pPr>
        <w:spacing w:after="0" w:line="76"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Third-party payers are increasingly scrutinizing and continue to challenge the coverage of new products and the level of reimbursement for covered products. Doctors, clinics, hospitals and other users of our products may not obtain adequate reimbursement for use of our products from third-party payers. While we believe that the laser procedures using our products have generally been reimbursed, payers may deny coverage and reimbursement for our products if they determine that the device was not reasonable and necessary for the purpose used, was investigational or was not cost-effective.</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29" w:right="279" w:bottom="1440" w:gutter="0" w:footer="0" w:header="0"/>
        </w:sectPr>
      </w:pPr>
    </w:p>
    <w:bookmarkStart w:id="28" w:name="page29"/>
    <w:bookmarkEnd w:id="28"/>
    <w:p>
      <w:pPr>
        <w:ind w:right="22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healthcare laws, we could face substantial penalties and financial exposure, and our business, operations and financial condition could be adversely affected.</w:t>
      </w:r>
    </w:p>
    <w:p>
      <w:pPr>
        <w:spacing w:after="0" w:line="51" w:lineRule="exact"/>
        <w:rPr>
          <w:sz w:val="20"/>
          <w:szCs w:val="20"/>
          <w:color w:val="auto"/>
        </w:rPr>
      </w:pPr>
    </w:p>
    <w:p>
      <w:pPr>
        <w:ind w:right="60" w:firstLine="518"/>
        <w:spacing w:after="0" w:line="252" w:lineRule="auto"/>
        <w:rPr>
          <w:sz w:val="20"/>
          <w:szCs w:val="20"/>
          <w:color w:val="auto"/>
        </w:rPr>
      </w:pPr>
      <w:r>
        <w:rPr>
          <w:rFonts w:ascii="Times New Roman" w:cs="Times New Roman" w:eastAsia="Times New Roman" w:hAnsi="Times New Roman"/>
          <w:sz w:val="18"/>
          <w:szCs w:val="18"/>
          <w:color w:val="auto"/>
        </w:rPr>
        <w:t>While we do not bill directly to Medicare, Medicaid or other third-party payors, because payment is in many cases available for our products from such payors, many healthcare laws place limitations and requirements on the manner in which we conduct our business (including our sales and promotional activities and interactions with healthcare professionals and facilities) and could result in liability and exposure for us. The laws that may affect our ability to operate include (i) the federal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Medicare or Medicaid, (ii) federal false claims laws which prohibit, among other things, individuals or entities from knowingly presenting, or causing to be presented, claims for payment from Medicare, Medicaid, or other third-party payors that are false or fraudulent, and which may apply to entities like us if we provide coding and billing advice to customers, or under theories of “implied certification” where the government and qui tam relators may allege that device companies are liable where a product that was paid for by the government in whole or in part was promoted “off-label,” lacked necessary clearance or approval, or failed to comply with good manufacturing practices or other laws; (iii) transparency laws and related reporting and disclosures requirements such as the federal Sunshine Act, now known as Open Payments; and/or (iv) state law equivalents of each of the above federal laws, including, without limitation anti-kickback and false claims laws which may apply to items or services reimbursed by any third-party payor, including commercial insurers, many of which differ from their federal counterparts in significant ways, thus complicating compliance efforts.</w:t>
      </w:r>
    </w:p>
    <w:p>
      <w:pPr>
        <w:spacing w:after="0" w:line="91" w:lineRule="exact"/>
        <w:rPr>
          <w:sz w:val="20"/>
          <w:szCs w:val="20"/>
          <w:color w:val="auto"/>
        </w:rPr>
      </w:pPr>
    </w:p>
    <w:p>
      <w:pPr>
        <w:ind w:firstLine="518"/>
        <w:spacing w:after="0" w:line="252"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laws described above or any other governmental regulations that apply to us, we may be subject to penalties, including civil and criminal penalties, exclusion from participation in government healthcare programs, damages, fines and the curtailment or restructuring of our operations. Any penalties, damages, fines, curtailment or restructuring of our operations could adversely affect our ability to operate our business and our financial results. The risk of our being found in violation of these laws is increased by the fact that their provisions are open to a variety of evolving interpretations and enforcement discretion. Open Payments, commonly known as the Sunshine Act, is a relatively new law, and compliance with this law has presented a number of challenges to companies such as ours, in terms of interpretation of the law and its implementation. Under the Sunshine Act, Centers for Medicare &amp; Medicaid Services (“CMS”) has the potential to impose penalties of up to $1.15 million per year for violations, depending on the circumstances, although enforcement has been negligible to date. Payments reported under the Sunshine Act also have the potential to draw scrutiny on payments to and relationships with physicians, which may have implications under the Anti-Kickback Statute and other healthcare laws. The risk that we are our being found in violation of these laws may be increased by the fact that we do not have a formal healthcare compliance program in place. Further, while safe harbors may in some instances be available and utilized by companies to reduce risks associated with the Anti-Kickback Statute and certain other healthcare laws, we have not necessarily utilized such safe harbors nor fully followed all elements required to claim the benefit of such safe harbors in all possible instances. Any action against us for violation of these laws, even if we successfully defend against it, could cause us to incur significant legal expenses and divert our management’s attention from the operation of our business.</w:t>
      </w:r>
    </w:p>
    <w:p>
      <w:pPr>
        <w:spacing w:after="0" w:line="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depend on collaborative relationships to develop, introduce and market new products, product enhancements and new applications.</w:t>
      </w:r>
    </w:p>
    <w:p>
      <w:pPr>
        <w:spacing w:after="0" w:line="121"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We depend on both clinical and commercial collaborative relationships. We have entered into collaborative relationships with academic medical centers and physicians in connection with the research and innovation and clinical testing of our products. Commercially, we currently have a distribution and licensing agreement with Alcon for our GreenTip SoftTip Cannula. Sales of and royalties from the GreenTip SoftTip Cannula are dependent upon the sales performance of Alcon, which depends on their efforts and is beyond our control. The failure to obtain any additional future clinical or commercial collaborations and the resulting failure or success of such collaboration relationships could have a material adverse effect on our ability to introduce new products or applications and therefore could have a material adverse effect on our business, results of operations and financial condition.</w:t>
      </w:r>
    </w:p>
    <w:p>
      <w:pPr>
        <w:spacing w:after="0" w:line="76" w:lineRule="exact"/>
        <w:rPr>
          <w:sz w:val="20"/>
          <w:szCs w:val="20"/>
          <w:color w:val="auto"/>
        </w:rPr>
      </w:pPr>
    </w:p>
    <w:p>
      <w:pPr>
        <w:ind w:right="28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increase our sales volumes, reduce our costs or introduce higher margin products to offset potential reductions in the average unit price of our products, our operating results may suffer.</w:t>
      </w:r>
    </w:p>
    <w:p>
      <w:pPr>
        <w:spacing w:after="0" w:line="51" w:lineRule="exact"/>
        <w:rPr>
          <w:sz w:val="20"/>
          <w:szCs w:val="20"/>
          <w:color w:val="auto"/>
        </w:rPr>
      </w:pPr>
    </w:p>
    <w:p>
      <w:pPr>
        <w:ind w:right="140" w:firstLine="518"/>
        <w:spacing w:after="0" w:line="258" w:lineRule="auto"/>
        <w:rPr>
          <w:sz w:val="20"/>
          <w:szCs w:val="20"/>
          <w:color w:val="auto"/>
        </w:rPr>
      </w:pPr>
      <w:r>
        <w:rPr>
          <w:rFonts w:ascii="Times New Roman" w:cs="Times New Roman" w:eastAsia="Times New Roman" w:hAnsi="Times New Roman"/>
          <w:sz w:val="18"/>
          <w:szCs w:val="18"/>
          <w:color w:val="auto"/>
        </w:rPr>
        <w:t>The average unit price of our products may decrease in the future in response to changes in product mix, competitive pricing pressures, new product introductions by our competitors or other factors. If we are unable to offset the anticipated decrease in our average selling prices by increasing our sales volumes or through new product introductions, our net revenues will decline. In addition, to maintain our gross margins we must continue to reduce the manufacturing cost of our products. If we cannot maintain our gross margins our business could be seriously harmed, particularly if the average selling price of our products decreases significantly without a corresponding increase in sales.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29" w:name="page30"/>
    <w:bookmarkEnd w:id="29"/>
    <w:p>
      <w:pPr>
        <w:ind w:right="86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promotional practices are subject to extensive government scrutiny. We may be subject to governmental, regulatory and other legal proceedings relative to advertising, promotion, and marketing that could have a significant negative effect on our business.</w:t>
      </w:r>
    </w:p>
    <w:p>
      <w:pPr>
        <w:spacing w:after="0" w:line="51"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We are subject to governmental oversight and associated civil and criminal enforcement relating to drug and medical device advertising, promotion, and marketing, and such enforcement is evolving and intensifying. In the United States, we are subject to potential enforcement from the FDA, the U.S. Federal Trade Commission, the Department of Justice, the CMS, other divisions of the Department of Health and Human Services and state and local governments. Other parties, including private plaintiffs, also are commonly bringing suit against pharmaceutical and medical device companies, alleging off-label marketing and other violations. We may be subject to liability based on the actions of individual employees and contractors carrying out activities on our behalf, including sales representatives who may interact with healthcare professionals.</w:t>
      </w:r>
    </w:p>
    <w:p>
      <w:pPr>
        <w:spacing w:after="0" w:line="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manage growth effectively, our business could be disrupted which could harm our operating results.</w:t>
      </w:r>
    </w:p>
    <w:p>
      <w:pPr>
        <w:spacing w:after="0" w:line="121" w:lineRule="exact"/>
        <w:rPr>
          <w:sz w:val="20"/>
          <w:szCs w:val="20"/>
          <w:color w:val="auto"/>
        </w:rPr>
      </w:pPr>
    </w:p>
    <w:p>
      <w:pPr>
        <w:ind w:firstLine="518"/>
        <w:spacing w:after="0" w:line="277" w:lineRule="auto"/>
        <w:rPr>
          <w:sz w:val="20"/>
          <w:szCs w:val="20"/>
          <w:color w:val="auto"/>
        </w:rPr>
      </w:pPr>
      <w:r>
        <w:rPr>
          <w:rFonts w:ascii="Times New Roman" w:cs="Times New Roman" w:eastAsia="Times New Roman" w:hAnsi="Times New Roman"/>
          <w:sz w:val="17"/>
          <w:szCs w:val="17"/>
          <w:color w:val="auto"/>
        </w:rPr>
        <w:t>We have experienced and may in the future experience growth in our business, both organically and through the acquisition of businesses and products. We have made and expect to continue to make significant investments to enable our future growth through, among other things, new product innovation and clinical trials for new applications and products. We must also be prepared to expand our work force and to train, motivate and manage additional employees as the need for additional personnel arises. Our personnel, systems, procedures and controls may not be adequate to support our future operations. Any failure to effectively manage future growth could have a material adverse effect on our business, results of operations and financial condition.</w:t>
      </w:r>
    </w:p>
    <w:p>
      <w:pPr>
        <w:spacing w:after="0" w:line="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rely on patents and proprietary rights to protect our intellectual property and business.</w:t>
      </w:r>
    </w:p>
    <w:p>
      <w:pPr>
        <w:spacing w:after="0" w:line="121" w:lineRule="exact"/>
        <w:rPr>
          <w:sz w:val="20"/>
          <w:szCs w:val="20"/>
          <w:color w:val="auto"/>
        </w:rPr>
      </w:pPr>
    </w:p>
    <w:p>
      <w:pPr>
        <w:ind w:right="100" w:firstLine="518"/>
        <w:spacing w:after="0" w:line="254" w:lineRule="auto"/>
        <w:rPr>
          <w:sz w:val="20"/>
          <w:szCs w:val="20"/>
          <w:color w:val="auto"/>
        </w:rPr>
      </w:pPr>
      <w:r>
        <w:rPr>
          <w:rFonts w:ascii="Times New Roman" w:cs="Times New Roman" w:eastAsia="Times New Roman" w:hAnsi="Times New Roman"/>
          <w:sz w:val="18"/>
          <w:szCs w:val="18"/>
          <w:color w:val="auto"/>
        </w:rPr>
        <w:t>Our success and ability to compete is dependent, in part, upon our proprietary information. We rely on a combination of patents, trade secrets, copyright and trademark laws, nondisclosure and other contractual agreements and technical measures to protect our intellectual property rights. We file patent applications to protect technology, inventions and improvements that are significant to the development of our business. Our patent portfolio includes 22 active United States patents and 12 active foreign patents on the technologies related to our products and processes. In addition, we have 5 patent applications pending in the United States and 12 foreign patent applications pending. Our patent applications may not be approved. Any patents granted now or in the future may offer only limited protection against potential infringement and development by our competitors of competing products. Moreover, our competitors, many of which have substantial resources and have made substantial investments in competing technologies, may seek to apply for and obtain patents that will prevent, limit or interfere with our ability to make, use or sell our products either in the United States or in international markets. Patents have a limited lifetime and once a patent expires competition may increase.</w:t>
      </w:r>
    </w:p>
    <w:p>
      <w:pPr>
        <w:spacing w:after="0" w:line="81" w:lineRule="exact"/>
        <w:rPr>
          <w:sz w:val="20"/>
          <w:szCs w:val="20"/>
          <w:color w:val="auto"/>
        </w:rPr>
      </w:pPr>
    </w:p>
    <w:p>
      <w:pPr>
        <w:ind w:right="80" w:firstLine="518"/>
        <w:spacing w:after="0" w:line="277" w:lineRule="auto"/>
        <w:rPr>
          <w:sz w:val="20"/>
          <w:szCs w:val="20"/>
          <w:color w:val="auto"/>
        </w:rPr>
      </w:pPr>
      <w:r>
        <w:rPr>
          <w:rFonts w:ascii="Times New Roman" w:cs="Times New Roman" w:eastAsia="Times New Roman" w:hAnsi="Times New Roman"/>
          <w:sz w:val="17"/>
          <w:szCs w:val="17"/>
          <w:color w:val="auto"/>
        </w:rPr>
        <w:t>In addition to patents, we rely on trade secrets and proprietary know-how which we seek to protect, in part, through proprietary information agreements with employees, consultants and other parties. Our proprietary information agreements with our employees and consultants contain industry standard provisions requiring such individuals to assign to us, without additional consideration, any inventions conceived or reduced to practice by them while employed or retained by us, subject to customary exceptions. Proprietary information agreements with employees, consultants and others may be breached, and we may not have adequate remedies for any breach. Also, our trade secrets may become known to or independently developed by competitors.</w:t>
      </w:r>
    </w:p>
    <w:p>
      <w:pPr>
        <w:spacing w:after="0" w:line="60" w:lineRule="exact"/>
        <w:rPr>
          <w:sz w:val="20"/>
          <w:szCs w:val="20"/>
          <w:color w:val="auto"/>
        </w:rPr>
      </w:pPr>
    </w:p>
    <w:p>
      <w:pPr>
        <w:ind w:right="160" w:firstLine="518"/>
        <w:spacing w:after="0" w:line="282" w:lineRule="auto"/>
        <w:rPr>
          <w:sz w:val="20"/>
          <w:szCs w:val="20"/>
          <w:color w:val="auto"/>
        </w:rPr>
      </w:pPr>
      <w:r>
        <w:rPr>
          <w:rFonts w:ascii="Times New Roman" w:cs="Times New Roman" w:eastAsia="Times New Roman" w:hAnsi="Times New Roman"/>
          <w:sz w:val="18"/>
          <w:szCs w:val="18"/>
          <w:color w:val="auto"/>
        </w:rPr>
        <w:t>The laser and medical device industry is characterized by frequent litigation regarding patent and other intellectual property rights. Companies in the medical device industry have employed intellectual property litigation to gain a competitive advantage.</w:t>
      </w:r>
    </w:p>
    <w:p>
      <w:pPr>
        <w:spacing w:after="0" w:line="54"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Numerous patents are held by others, including academic institutions and our competitors. Patent applications filed in the United States generally will be published eighteen months after the filing date. However, since patent applications continue to be maintained in secrecy for at least some period of time, both within the United States and internationally, we cannot provide assurance that our technology does not infringe any patents or patent applications held by third parties. We have, from time to time, been notified of, or have otherwise been made aware of, claims that we may be infringing upon patents or other proprietary intellectual property owned by others. If it appears necessary or desirable, we may seek licenses under such patents or proprietary intellectual property. Although patent holders commonly offer such licenses, licenses under such patents or intellectual property may not be offered or the terms of any offered licenses may not be reasonable.</w:t>
      </w:r>
    </w:p>
    <w:p>
      <w:pPr>
        <w:spacing w:after="0" w:line="81"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Any claims, with or without merit, and regardless of whether we are successful on the merits, would be time-consuming, result in costly litigation and diversion of technical and management personnel, cause shipment delays or require us to develop non-infringing technology or to enter into royalty or licensing agreements. An adverse determination in a judicial or administrative proceeding and failure to obtain necessary licenses or develop alternate technologies could prevent us from manufacturing and selling our products, which would have a material adverse effect on our business, results of operations and financial condition.</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30" w:name="page31"/>
    <w:bookmarkEnd w:id="30"/>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lose key personnel or fail to integrate replacement personnel successfully, our ability to manage our business could be impaired.</w:t>
      </w:r>
    </w:p>
    <w:p>
      <w:pPr>
        <w:spacing w:after="0" w:line="121" w:lineRule="exact"/>
        <w:rPr>
          <w:sz w:val="20"/>
          <w:szCs w:val="20"/>
          <w:color w:val="auto"/>
        </w:rPr>
      </w:pPr>
    </w:p>
    <w:p>
      <w:pPr>
        <w:ind w:right="100" w:firstLine="518"/>
        <w:spacing w:after="0" w:line="272" w:lineRule="auto"/>
        <w:rPr>
          <w:sz w:val="20"/>
          <w:szCs w:val="20"/>
          <w:color w:val="auto"/>
        </w:rPr>
      </w:pPr>
      <w:r>
        <w:rPr>
          <w:rFonts w:ascii="Times New Roman" w:cs="Times New Roman" w:eastAsia="Times New Roman" w:hAnsi="Times New Roman"/>
          <w:sz w:val="17"/>
          <w:szCs w:val="17"/>
          <w:color w:val="auto"/>
        </w:rPr>
        <w:t>Our future success depends upon the continued service of our key management, technical, sales, and other critical personnel. Our officers and other key personnel are employees-at-will, and we cannot provide assurance that we will be able to retain them. Key personnel have left our company in the past, and there likely will be additional departures of key personnel from time to time in the future. The loss of any key employee could result in significant disruptions to our operations, including adversely affecting the timeliness of product releases, the successful implementation and completion of company initiatives, and the results of our operations. Competition for these individuals is intense, and we may not be able to attract, assimilate or retain highly qualified personnel. Competition for qualified personnel in our industry and the San Francisco Bay Area, as well as other geographic markets in which we recruit, is intense and characterized by increasing salaries, which may increase our operating expenses or hinder our ability to recruit qualified candidates. In addition, the integration of replacement personnel could be time consuming, may cause additional disruptions to our operations, and may be unsuccessful.</w:t>
      </w:r>
    </w:p>
    <w:p>
      <w:pPr>
        <w:spacing w:after="0" w:line="60" w:lineRule="exact"/>
        <w:rPr>
          <w:sz w:val="20"/>
          <w:szCs w:val="20"/>
          <w:color w:val="auto"/>
        </w:rPr>
      </w:pPr>
    </w:p>
    <w:p>
      <w:pPr>
        <w:ind w:right="34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raise capital in the future may be limited, and future sales and issuances of securities could negatively affect our stock price and dilute the ownership interest of our existing investors.</w:t>
      </w:r>
    </w:p>
    <w:p>
      <w:pPr>
        <w:spacing w:after="0" w:line="51"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Our business and operations may consume resources faster than we anticipate. We may need in the future to raise additional funds through future equity or debt financings to meet our operational needs and capital requirements for product development, clinical trials and commercialization and may subsequently require additional fundraising. Additional financing may not be available on favorable terms, if at all. If adequate funds are not available on acceptable terms, we may be unable to invest in future growth opportunities, which could seriously harm our business and operating results. Future sales or issuances of securities by us could decrease the value of our common stock, dilute stockholders’ voting power and reduce future potential earnings per share.</w:t>
      </w:r>
    </w:p>
    <w:p>
      <w:pPr>
        <w:spacing w:after="0" w:line="76"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To raise capital, we may sell common stock, convertible securities or other equity-linked securities in one or more transactions at prices and in a manner we determine from time to time. If we sell additional equity securities, our existing stockholders may be materially diluted. Additionally, new investors could gain rights, preferences and privileges senior to those of existing holders of our common stock. We may also issue debt securities, which may impose restrictive covenants on our operations or otherwise adversely affect the holdings or the rights of our stockholders.</w:t>
      </w:r>
    </w:p>
    <w:p>
      <w:pPr>
        <w:spacing w:after="0" w:line="72"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Sales or issuances of a substantial amount of securities, or the perception that such sales could occur, may adversely affect prevailing market prices for our common stock. As of June 29, 2019, we had 13,746,959 shares of common stock outstanding, all of which shares were, and continue to be, eligible for sale in the public market, subject in some cases to compliance with the requirements of Rule 144, including the volume limitations and manner of sale requirements. Future resales of our common stock by our existing stockholders could cause the market price of our common stock to decline.</w:t>
      </w:r>
    </w:p>
    <w:p>
      <w:pPr>
        <w:spacing w:after="0" w:line="72"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As of June 29, 2019, holders of an aggregate of 999,802 shares of our common stock have rights, subject to some conditions, to require us to file registration statements covering their shares or to include their shares in registration statements that we may file for ourselves or our other stockholders. In addition, the shares of common stock subject to outstanding options and Restricted Stock Units under our 2008 Equity Incentive Plan and the shares reserved for future issuance under the Incentive Plan may become eligible for sale in the public markets in the future, subject to certain legal and control limitations.</w:t>
      </w:r>
    </w:p>
    <w:p>
      <w:pPr>
        <w:spacing w:after="0" w:line="72"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We may sell shares or other securities in any offering at a price per share that is less than the price per share paid by existing investors,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existing investors.</w:t>
      </w:r>
    </w:p>
    <w:p>
      <w:pPr>
        <w:spacing w:after="0" w:line="68" w:lineRule="exact"/>
        <w:rPr>
          <w:sz w:val="20"/>
          <w:szCs w:val="20"/>
          <w:color w:val="auto"/>
        </w:rPr>
      </w:pPr>
    </w:p>
    <w:p>
      <w:pPr>
        <w:ind w:right="66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accurately forecast demand for our product and component requirements for the manufacture of our product, we could incur additional costs or experience manufacturing delays and may experience lost sales or significant inventory carrying costs.</w:t>
      </w:r>
    </w:p>
    <w:p>
      <w:pPr>
        <w:spacing w:after="0" w:line="5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We use quarterly and annual forecasts based primarily on our anticipated product orders to plan our manufacturing efforts and determine our requirements for components and materials. It is very important that we accurately predict both the demand for our product and the lead times required to obtain or manufacture the necessary components, materials, and fully assembled products. Lead times for components and fully assembled products vary significantly and depend on numerous factors, including the specific supplier, the size of the order, contract terms and current market demand for such products. If we overestimate the demand for our product, we may have excess inventory, which would increase our costs. If we underestimate demand for our product and consequently, our components, materials and fully assembled products requirements, we may have inadequate inventory, which could interrupt our manufacturing, delay delivery of our product to our customers and result in the loss of customer sales. Any of these occurrences would negatively impact our business and operating results.</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25" w:right="279" w:bottom="1440" w:gutter="0" w:footer="0" w:header="0"/>
        </w:sectPr>
      </w:pPr>
    </w:p>
    <w:bookmarkStart w:id="31" w:name="page32"/>
    <w:bookmarkEnd w:id="31"/>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depend on sole source or limited source suppliers.</w:t>
      </w:r>
    </w:p>
    <w:p>
      <w:pPr>
        <w:spacing w:after="0" w:line="121"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We rely on third parties to manufacture substantially all of the components used in our products, including optics, laser diodes and crystals. We have some long term or volume purchase agreements with our suppliers and currently purchase components and fully-assembled products on a purchase order basis. Some of our suppliers and manufacturers are sole or limited sources. In addition, some of these suppliers are relatively small private companies whose operations may be disrupted or discontinued at any time. There are risks associated with the use of independent manufacturers, including the following:</w:t>
      </w:r>
    </w:p>
    <w:p>
      <w:pPr>
        <w:spacing w:after="0" w:line="72" w:lineRule="exact"/>
        <w:rPr>
          <w:sz w:val="20"/>
          <w:szCs w:val="20"/>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unavailability of shortages or limitations on the ability to obtain supplies of components and products in the quantities that we require;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delivery or failure of suppliers to deliver critical components and products on the dates we require;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suppliers to manufacture and assemble components and products to our specifications, and potentially reduced quality;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components and products at acceptable prices.</w:t>
      </w:r>
    </w:p>
    <w:p>
      <w:pPr>
        <w:spacing w:after="0" w:line="117"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Our business and operating results may suffer from the lack of alternative sources of supply for critical sole and limited source components and fully-assembled products. The process of qualifying suppliers is complex, requires extensive testing with our products, and may be lengthy, particularly as new products are introduced. New suppliers would have to be educated in our production processes. In addition, the use of alternate components may require design alterations to our products and additional product testing under FDA and relevant foreign regulatory agency guidelines, which may delay sales and increase product costs. Any failures by our vendors to adequately supply limited and sole source components or products may impair our ability to offer our existing products, delay the submission of new products for regulatory approval and market introduction, materially harm our business and financial condition and cause our stock price to decline. Establishing our own capabilities to manufacture these components or products would be expensive and could significantly decrease our profit margins. Our business, results of operations and financial condition would be adversely affected if we are unable to continue to obtain components or fully-assembled products in the quantity and quality desired and at the prices we have budgeted.</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our facilities were to experience catastrophic loss, our operations would be seriously harmed.</w:t>
      </w:r>
    </w:p>
    <w:p>
      <w:pPr>
        <w:spacing w:after="0" w:line="121"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Our facilities could be subject to catastrophic loss such as fire, flood or earthquake. All of our research and development activities, manufacturing, our corporate headquarters and other critical business operations are located near major earthquake faults in Mountain View, California. Any such loss at any of our facilities could disrupt our operations, delay production, shipments and revenue and result in large expense to repair and replace our facilities.</w:t>
      </w:r>
    </w:p>
    <w:p>
      <w:pPr>
        <w:spacing w:after="0" w:line="64" w:lineRule="exact"/>
        <w:rPr>
          <w:sz w:val="20"/>
          <w:szCs w:val="20"/>
          <w:color w:val="auto"/>
        </w:rPr>
      </w:pPr>
    </w:p>
    <w:p>
      <w:pPr>
        <w:ind w:right="48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a significant disruption in our information technology systems or breaches of data security, our business could be adversely affected.</w:t>
      </w:r>
    </w:p>
    <w:p>
      <w:pPr>
        <w:spacing w:after="0" w:line="51"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We rely on information technology systems to keep financial records and corporate records, communicate with staff and external parties and operate other critical functions, including sales and manufacturing processes. Our information technology systems are potentially vulnerable to disruption due to breakdown or malicious intrusion and computer viruses. If we were to experience a prolonged system disruption in our information technology systems, it could negatively impact the coordination of our sales, planning and manufacturing activities, which could adversely affect our business. In addition, in order to maximize our information technology efficiency, we have physically consolidated our primary corporate data and computer operations. This concentration, however, exposes us to a greater risk of disruption to our internal information technology systems. Although we maintain offsite back-ups of our data, if operations at our facilities were disrupted, it may cause a material disruption in our business if we are not capable of restoring function on an acceptable time frame.</w:t>
      </w:r>
    </w:p>
    <w:p>
      <w:pPr>
        <w:spacing w:after="0" w:line="77"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In addition, our information technology systems are potentially vulnerable to cyber-attacks or other data security breaches-whether by employees or others-which may expose sensitive data to unauthorized persons. Such data security breaches could lead to the loss of trade secrets or other intellectual property, or could lead to the public exposure of sensitive and confidential information of our employees, customers, suppliers and others, any of which could have a material adverse effect on our business, financial condition and results of operations.</w:t>
      </w:r>
    </w:p>
    <w:p>
      <w:pPr>
        <w:spacing w:after="0" w:line="72"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While we have implemented a number of protective measures, including firewalls, antivirus and malware detection tools, patches, log monitors, routine back-ups, system audits, routine password modifications and disaster recovery procedures, such measures may not be adequate or implemented properly to prevent or fully address the adverse effect of such events, and in some cases we may be unaware of an incident or its magnitude and effects. If we are unable to prevent such security breaches or privacy violations or implement satisfactory remedial measures, our operations could be disrupted, and we may suffer loss of reputation, financial loss and other regulatory penalties because of lost or misappropriated information. In addition, these breaches and other inappropriate access can be difficult to detect, and any delay in identifying them may lead to increased harm of the type described above.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32" w:name="page33"/>
    <w:bookmarkEnd w:id="32"/>
    <w:p>
      <w:pPr>
        <w:ind w:right="360"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our relationships with health care providers, customers may not buy our products and our revenue and profitability may decline. At the same time, relationships with these individuals and entities are the subject of heightened scrutiny and may present the potential for healthcare compliance risks.</w:t>
      </w:r>
    </w:p>
    <w:p>
      <w:pPr>
        <w:spacing w:after="0" w:line="67"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We market our products to numerous health care providers, including physicians, hospitals, ASCs, government affiliated groups and group purchasing organizations. We have developed and strive to maintain close relationships with members of each of these groups who assist in product research and development and advise us on how to satisfy the full range of surgeon and patient needs. We rely on these groups to recommend our products to their patients and to other members of their organizations. The failure of our existing products and any new products we may introduce to retain the support of these various groups could have a material adverse effect on our business, financial condition and results of operations. In addition, our interactions, communications, and financial relationships with these individuals and entities present potential healthcare compliance risks.</w:t>
      </w:r>
    </w:p>
    <w:p>
      <w:pPr>
        <w:spacing w:after="0" w:line="76" w:lineRule="exact"/>
        <w:rPr>
          <w:sz w:val="20"/>
          <w:szCs w:val="20"/>
          <w:color w:val="auto"/>
        </w:rPr>
      </w:pPr>
    </w:p>
    <w:p>
      <w:pPr>
        <w:ind w:right="18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 regulations which may cause us to delay or withdraw the introduction of new products or new applications for our products.</w:t>
      </w:r>
    </w:p>
    <w:p>
      <w:pPr>
        <w:spacing w:after="0" w:line="51"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The medical devices that we market and manufacture are subject to extensive regulation by the FDA and by foreign and state governments. Under the FD&amp;C Act and the related regulations, the FDA regulates the design, development, clinical testing, manufacture, labeling, sale, distribution and promotion of medical devices. Before a new device can be introduced into the market, the product must be shown to meet regulatory requirements established by the FD&amp;C Act and implemented by the FDA. Unless otherwise exempt, a device manufacturer must obtain marketing “clearance” through the 510(k) premarket notification process, or “approval” through the lengthier premarket approval application (“PMA”) process. Not all devices are eligible for the 510(k) clearance process. Depending upon the type, complexity and novelty of the device and the nature of the disease or disorder to be treated, the FDA process can take several years, require extensive clinical testing and result in significant expenditures. Even if regulatory clearance or approval is obtained, later discovery of previously unknown safety issues may result in restrictions on the product, including withdrawal of the product from the market. Other countries also have extensive regulations regarding clinical trials and testing prior to new product introductions. Our failure to obtain government approvals or any delays in receipt of such approvals would have a material adverse effect on our business, results of operations and financial condition.</w:t>
      </w:r>
    </w:p>
    <w:p>
      <w:pPr>
        <w:spacing w:after="0" w:line="78"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The FDA imposes a broad range of additional requirements on medical device companies. Our products must be produced in compliance with the Quality System Regulation (“QSR”) and our manufacturing facilities are subject to establishment registration and device listing requirements from the FDA, and similar requirements from certain state authorities, and ongoing periodic inspections by the FDA, including unannounced inspections for compliance with applicable requirements. We are subject to monitoring, recordkeeping, and reporting obligations for medical device adverse events and malfunctions; notification of our products’ defects or failure to comply with the FDA’s laser regulations; and reporting of recalls, corrections, or removals of our products. The FDA also imposes requirements for the labeling of our products, and places limitations on claims we are permitted to make about our products in promotional labeling. The Federal Trade Commission has jurisdiction over the advertising of all of our products, which are non-restricted devices, and exercises oversight in coordination with the FDA.</w:t>
      </w:r>
    </w:p>
    <w:p>
      <w:pPr>
        <w:spacing w:after="0" w:line="77" w:lineRule="exact"/>
        <w:rPr>
          <w:sz w:val="20"/>
          <w:szCs w:val="20"/>
          <w:color w:val="auto"/>
        </w:rPr>
      </w:pPr>
    </w:p>
    <w:p>
      <w:pPr>
        <w:ind w:right="140" w:firstLine="518"/>
        <w:spacing w:after="0" w:line="258" w:lineRule="auto"/>
        <w:rPr>
          <w:sz w:val="20"/>
          <w:szCs w:val="20"/>
          <w:color w:val="auto"/>
        </w:rPr>
      </w:pPr>
      <w:r>
        <w:rPr>
          <w:rFonts w:ascii="Times New Roman" w:cs="Times New Roman" w:eastAsia="Times New Roman" w:hAnsi="Times New Roman"/>
          <w:sz w:val="18"/>
          <w:szCs w:val="18"/>
          <w:color w:val="auto"/>
        </w:rPr>
        <w:t>Noncompliance with the applicable requirements can result in, among other things, regulatory citations (including “483 Observations”) and Warning Letters, fines, injunctions, civil penalties, recall or seizure of products, total or partial suspension of production, withdrawal of marketing approvals, and criminal prosecution. The FDA also has the authority to request repair, replacement or refund of the cost of any device we manufacture or distribute. Any of these actions by the FDA would materially and adversely affect our ability to continue operating our business and the results of our operations. Such enforcement action can also result in negative publicity.</w:t>
      </w:r>
    </w:p>
    <w:p>
      <w:pPr>
        <w:spacing w:after="0" w:line="76" w:lineRule="exact"/>
        <w:rPr>
          <w:sz w:val="20"/>
          <w:szCs w:val="20"/>
          <w:color w:val="auto"/>
        </w:rPr>
      </w:pPr>
    </w:p>
    <w:p>
      <w:pPr>
        <w:ind w:right="100" w:firstLine="518"/>
        <w:spacing w:after="0" w:line="253" w:lineRule="auto"/>
        <w:rPr>
          <w:sz w:val="20"/>
          <w:szCs w:val="20"/>
          <w:color w:val="auto"/>
        </w:rPr>
      </w:pPr>
      <w:r>
        <w:rPr>
          <w:rFonts w:ascii="Times New Roman" w:cs="Times New Roman" w:eastAsia="Times New Roman" w:hAnsi="Times New Roman"/>
          <w:sz w:val="18"/>
          <w:szCs w:val="18"/>
          <w:color w:val="auto"/>
        </w:rPr>
        <w:t>In addition, we are also subject to varying product standards, packaging requirements, labeling requirements, tariff regulations, duties and tax requirements. As a result of our sales in Europe, we are required to have all products “CE” marked, an international symbol affixed to all products demonstrating compliance with the European Medical Device Directives and all applicable standards. While currently all of our released products are CE marked, continued certification is based on the successful review of our quality system by our European Registrar during their annual audit. Any loss of certification would have a material adverse effect on our business, results of operations and financial condition. There are a number of major regulatory changes occurring in the regulation of medical devices in the EU. A new revision of the quality system regulation (ISO 13485:2016) has been released that substantially increases the requirements for a medical device quality system. The Medical Device Regulation (MDR) will replace the current medical device directives (93/42/EEC), and it substantially changes the way that medical devices are brought to market in the EU and how they maintain compliance throughout the product’s life cycle. Additionally, the new revision 4 of the clinical evaluation report guidance document (MEDDEV 2.7.1) severely restricts the use of substantial equivalence for new products, resulting in the need for formal clinical trial data for most new products. These changes will increase the cost for compliance and for product development, and they lengthen product introduction cycles. Failure to comply with these changes can have an adverse effect on our ability to release new products in a timely manner.</w:t>
      </w:r>
    </w:p>
    <w:p>
      <w:pPr>
        <w:spacing w:after="0" w:line="83"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Further, in order to maintain medical device sales in Canada, we must obtain the ISO 13485:2016 certificate through the MDSAP. MDSAP allows a single audit of a medical device manufacturer's Quality Management Systems which satisfies the requirements of multiple regulatory jurisdictions - Australia, Brazil, Canada, Japan and the United States. The MDSAP audit program is voluntary in all countries except Canada. MDSAP may impose a higher compliance burden than the CE Mark through more rigorous audit requirements. If we do not comply with the new MDSAP standard, we will not be able to sell our products in Canada after December 31, 2019.</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33" w:name="page34"/>
    <w:bookmarkEnd w:id="33"/>
    <w:p>
      <w:pPr>
        <w:ind w:right="62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clinical trials necessary that we may undertake for regulatory approval or marketing reasons will be an expensive, lengthy, costly, and uncertain process, and could result in delays in new product introductions or even an inability to release a product.</w:t>
      </w:r>
    </w:p>
    <w:p>
      <w:pPr>
        <w:spacing w:after="0" w:line="5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We may be required to undertake clinical trials often required to obtain regulatory approvals or may choose to undertake such trials for marketing or other reasons. Clinical trials for products such as ours are complex and expensive and their outcomes are uncertain. Any clinical trials that we may undertake would require the investment of significant financial and administrative resources. Moreover, the results of clinical trials are uncertain, and inconclusive or negative results may not support, or may impair, the sale and adoption of our products. We may suffer significant setbacks in clinical trials, even after earlier clinical trials showed promising results. Any of our products could produce undesirable side effects that could cause us or regulatory authorities to interrupt, delay or halt clinical trials of a product candidate. We, the FDA, or another regulatory authority could suspend or terminate clinical trials at any time if they or we believed the trial participants faced unacceptable health risks.</w:t>
      </w:r>
    </w:p>
    <w:p>
      <w:pPr>
        <w:spacing w:after="0" w:line="77" w:lineRule="exact"/>
        <w:rPr>
          <w:sz w:val="20"/>
          <w:szCs w:val="20"/>
          <w:color w:val="auto"/>
        </w:rPr>
      </w:pPr>
    </w:p>
    <w:p>
      <w:pPr>
        <w:ind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FDA’s quality system regulation and laser performance standards, our manufacturing operations could be halted, and our business would suffer.</w:t>
      </w:r>
    </w:p>
    <w:p>
      <w:pPr>
        <w:spacing w:after="0" w:line="51"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We are currently required to demonstrate and maintain compliance with the FDA’s QSR. The QSR is a complex regulatory scheme that covers the methods and documentation of the design, testing, control, manufacturing, labeling, quality assurance, packaging, storage and shipping of our products. Because our products involve the use of lasers, our products also are covered by a performance standard for lasers set forth in FDA regulations. The laser performance standard imposes specific record-keeping, reporting, product testing and product labeling requirements. These requirements include affixing warning labels to laser products, as well as incorporating certain safety features in the design of laser products. The FDA enforces the QSR and laser performance standards through periodic unannounced inspections. We have been, and anticipate in the future being, subject to such inspections. Our failure to take satisfactory corrective action in response to an adverse QSR inspection or our failure to comply with applicable laser performance standards could result in enforcement actions, including a public warning letter, a shutdown of our manufacturing operations, a recall of our products, civil or criminal penalties, or other sanctions, which would cause our sales and business to suffer.</w:t>
      </w:r>
    </w:p>
    <w:p>
      <w:pPr>
        <w:spacing w:after="0" w:line="77" w:lineRule="exact"/>
        <w:rPr>
          <w:sz w:val="20"/>
          <w:szCs w:val="20"/>
          <w:color w:val="auto"/>
        </w:rPr>
      </w:pPr>
    </w:p>
    <w:p>
      <w:pPr>
        <w:ind w:right="50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modify one of our FDA cleared devices, we may need to submit a new 510(k), or potentially a PMA, and if clearance or approval is not obtained, it would prevent us from selling our modified products or cause us to redesign our products.</w:t>
      </w:r>
    </w:p>
    <w:p>
      <w:pPr>
        <w:spacing w:after="0" w:line="51"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Any modifications to an FDA-cleared device that would significantly affect its safety or effectiveness or that would constitute a major change in its intended use would require a new 510(k) clearance or possibly a PMA. We may not be able to obtain additional 510(k) clearances or premarket approvals for new products or for modifications to, or additional indications for, our existing products in a timely fashion, or at all. Delays in obtaining future clearances would adversely affect our ability to introduce new or enhanced products in a timely manner, which in turn would harm our revenues and future profitability. We have made modifications to our devices in the past and may make additional modifications in the future that we believe do not or will not require additional clearances or approvals. If the FDA disagrees, and requires new clearances or approvals for the modifications, we may be required to recall and to stop marketing the modified devices, which could harm our operating results and require us to redesign our products.</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products may be misused, which could harm our reputation and our business.</w:t>
      </w:r>
    </w:p>
    <w:p>
      <w:pPr>
        <w:spacing w:after="0" w:line="121" w:lineRule="exact"/>
        <w:rPr>
          <w:sz w:val="20"/>
          <w:szCs w:val="20"/>
          <w:color w:val="auto"/>
        </w:rPr>
      </w:pPr>
    </w:p>
    <w:p>
      <w:pPr>
        <w:ind w:right="40" w:firstLine="518"/>
        <w:spacing w:after="0" w:line="272" w:lineRule="auto"/>
        <w:rPr>
          <w:sz w:val="20"/>
          <w:szCs w:val="20"/>
          <w:color w:val="auto"/>
        </w:rPr>
      </w:pPr>
      <w:r>
        <w:rPr>
          <w:rFonts w:ascii="Times New Roman" w:cs="Times New Roman" w:eastAsia="Times New Roman" w:hAnsi="Times New Roman"/>
          <w:sz w:val="17"/>
          <w:szCs w:val="17"/>
          <w:color w:val="auto"/>
        </w:rPr>
        <w:t>We market and sell our products for use by highly skilled physicians with specialized training and experience in the treatment of eye-related disorders. We, and our distributors, generally offer but do not require purchasers or operators of our products to attend training sessions, nor do we supervise the procedures performed with our products. The physicians who operate our products are responsible for their use and the treatment regime for each individual patient. In addition, non-physicians, particularly in countries outside of the United States, or poorly trained or inexperienced physicians, may make use of our products. Our efforts to market our MicroPulse systems as a Fovea-friendly alternative to traditional continuous wavelength systems or alternative treatment methods may result in users failing to implement adequate safety precautions and thereby increase the risks associated with the misuse of our product. The lack of training and the purchase and use of our products by non-physicians or poorly trained or inexperienced physicians may result in product misuse and adverse treatment outcomes, which could harm our reputation and expose us to costly product liability litigation, or otherwise cause our business to suffer.</w:t>
      </w:r>
    </w:p>
    <w:p>
      <w:pPr>
        <w:spacing w:after="0" w:line="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Inability of customers to obtain credit or material increases in interest rates may harm our sales.</w:t>
      </w:r>
    </w:p>
    <w:p>
      <w:pPr>
        <w:spacing w:after="0" w:line="121" w:lineRule="exact"/>
        <w:rPr>
          <w:sz w:val="20"/>
          <w:szCs w:val="20"/>
          <w:color w:val="auto"/>
        </w:rPr>
      </w:pPr>
    </w:p>
    <w:p>
      <w:pPr>
        <w:jc w:val="both"/>
        <w:ind w:right="120" w:firstLine="518"/>
        <w:spacing w:after="0" w:line="261" w:lineRule="auto"/>
        <w:rPr>
          <w:sz w:val="20"/>
          <w:szCs w:val="20"/>
          <w:color w:val="auto"/>
        </w:rPr>
      </w:pPr>
      <w:r>
        <w:rPr>
          <w:rFonts w:ascii="Times New Roman" w:cs="Times New Roman" w:eastAsia="Times New Roman" w:hAnsi="Times New Roman"/>
          <w:sz w:val="18"/>
          <w:szCs w:val="18"/>
          <w:color w:val="auto"/>
        </w:rPr>
        <w:t>Some of our products are sold to health care providers in general practice. Many of these health care providers purchase our products with funds they secure through various financing arrangements with third-party financial institutions, including credit facilities and short-term loans. If availability of credit becomes more limited, or interest rates increase, these financing arrangements may be harder to obtain or become more expensive for our customers, which may decrease demand for our products. Any reduction in the sales of our products would cause our business to suffer.</w:t>
      </w:r>
    </w:p>
    <w:p>
      <w:pPr>
        <w:spacing w:after="0" w:line="68" w:lineRule="exact"/>
        <w:rPr>
          <w:sz w:val="20"/>
          <w:szCs w:val="20"/>
          <w:color w:val="auto"/>
        </w:rPr>
      </w:pPr>
    </w:p>
    <w:p>
      <w:pPr>
        <w:ind w:right="10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could be subject to recalls even after receiving FDA approval or clearance. A recall would harm our reputation and adversely affect our operating results.</w:t>
      </w:r>
    </w:p>
    <w:p>
      <w:pPr>
        <w:spacing w:after="0" w:line="51" w:lineRule="exact"/>
        <w:rPr>
          <w:sz w:val="20"/>
          <w:szCs w:val="20"/>
          <w:color w:val="auto"/>
        </w:rPr>
      </w:pPr>
    </w:p>
    <w:p>
      <w:pPr>
        <w:ind w:right="180" w:firstLine="518"/>
        <w:spacing w:after="0" w:line="266" w:lineRule="auto"/>
        <w:rPr>
          <w:sz w:val="20"/>
          <w:szCs w:val="20"/>
          <w:color w:val="auto"/>
        </w:rPr>
      </w:pPr>
      <w:r>
        <w:rPr>
          <w:rFonts w:ascii="Times New Roman" w:cs="Times New Roman" w:eastAsia="Times New Roman" w:hAnsi="Times New Roman"/>
          <w:sz w:val="18"/>
          <w:szCs w:val="18"/>
          <w:color w:val="auto"/>
        </w:rPr>
        <w:t>The FDA and similar governmental authorities in other countries in which we market and sell our products have the authority to require the recall of our products in the event of material deficiencies or defects in the design or manufacture of our products, or in other cases we may determine that we will recall a product because we have determined that the product is violative, in order to avoid further enforcement action and protect the public health.</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34" w:name="page35"/>
    <w:bookmarkEnd w:id="34"/>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A government mandated recall, or a voluntary recall by us, could occur as a result of actual or potential component failures, adverse event reports, manufacturing errors or design defects, including defects in labeling. Furthermore, we may from time to time initiate a recall of a component or set of components comprising a portion of our laser systems, which could increase customer returns, warranty claims and associated reserve levels. A recall could divert management’s attention, cause us to incur significant expenses, harm our reputation with customers and negatively affect our future sales and financial results.</w:t>
      </w:r>
    </w:p>
    <w:p>
      <w:pPr>
        <w:spacing w:after="0" w:line="76"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For example, on February 23, 2018, we initiated a worldwide voluntary recall of a specific laser accessory called the TruFocus LIO Premiere™ (“LIO”). The LIO is a head-mounted indirect ophthalmoscope that connects to our laser console and is used to view and perform laser treatment on a patient’s retina. This recall was prompted after we received reports of three adverse events from one physician in the U.S., resulting in focal cataracts and iris burns occurring during procedures in which the TruFocus LIO Premiere was used. We identified several potential root causes for the adverse events, including use error. On March 22, 2019, we provided the FDA with a request for termination of Recall Number Z Number Z-1075-2018. Our termination request is pending.</w:t>
      </w:r>
    </w:p>
    <w:p>
      <w:pPr>
        <w:spacing w:after="0" w:line="80" w:lineRule="exact"/>
        <w:rPr>
          <w:sz w:val="20"/>
          <w:szCs w:val="20"/>
          <w:color w:val="auto"/>
        </w:rPr>
      </w:pPr>
    </w:p>
    <w:p>
      <w:pPr>
        <w:ind w:right="100" w:firstLine="518"/>
        <w:spacing w:after="0" w:line="255" w:lineRule="auto"/>
        <w:rPr>
          <w:sz w:val="20"/>
          <w:szCs w:val="20"/>
          <w:color w:val="auto"/>
        </w:rPr>
      </w:pPr>
      <w:r>
        <w:rPr>
          <w:rFonts w:ascii="Times New Roman" w:cs="Times New Roman" w:eastAsia="Times New Roman" w:hAnsi="Times New Roman"/>
          <w:sz w:val="18"/>
          <w:szCs w:val="18"/>
          <w:color w:val="auto"/>
        </w:rPr>
        <w:t>We recently obtained FDA clearance for an updated TruFocus LIO Premiere™ device. The updated device includes expanded user instructions and minor design changes. Use of the updated LIO may result in adverse events, including those observed with the prior LIO device. If physician use of our updated LIO results in serious adverse events, we may have to initiate another recall or utilize additional resources to further evaluate the design of the LIO device. Furthermore, in light of the recall, we cannot provide any assurance that the updated LIO, once launched, will achieve market acceptance. We will be required to devote significant resources to launch and market the updated LIO and cannot provide any assurance that these activities will generate revenue as anticipated. If our revenue grows more slowly than we expect because of a delay in or a lack of market acceptance for our updated LIO, our business and financials will be adversely affected.</w:t>
      </w:r>
    </w:p>
    <w:p>
      <w:pPr>
        <w:spacing w:after="0" w:line="77" w:lineRule="exact"/>
        <w:rPr>
          <w:sz w:val="20"/>
          <w:szCs w:val="20"/>
          <w:color w:val="auto"/>
        </w:rPr>
      </w:pPr>
    </w:p>
    <w:p>
      <w:pPr>
        <w:ind w:right="8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claims are successfully asserted against us, we may incur substantial liabilities that may adversely affect our business or results of operations.</w:t>
      </w:r>
    </w:p>
    <w:p>
      <w:pPr>
        <w:spacing w:after="0" w:line="51" w:lineRule="exact"/>
        <w:rPr>
          <w:sz w:val="20"/>
          <w:szCs w:val="20"/>
          <w:color w:val="auto"/>
        </w:rPr>
      </w:pPr>
    </w:p>
    <w:p>
      <w:pPr>
        <w:ind w:right="200" w:firstLine="518"/>
        <w:spacing w:after="0" w:line="261" w:lineRule="auto"/>
        <w:rPr>
          <w:sz w:val="20"/>
          <w:szCs w:val="20"/>
          <w:color w:val="auto"/>
        </w:rPr>
      </w:pPr>
      <w:r>
        <w:rPr>
          <w:rFonts w:ascii="Times New Roman" w:cs="Times New Roman" w:eastAsia="Times New Roman" w:hAnsi="Times New Roman"/>
          <w:sz w:val="18"/>
          <w:szCs w:val="18"/>
          <w:color w:val="auto"/>
        </w:rPr>
        <w:t>We may be subject to product liability claims from time to time. Our products are highly complex and some are used to treat extremely delicate eye tissue. We believe we maintain adequate levels of product liability insurance. However, product liability insurance is expensive and we might not be able to obtain product liability insurance in the future on acceptable terms or in sufficient amounts to protect us, if at all. A successful claim brought against us in excess of our insurance coverage could have a material adverse effect on our business, results of operations and financial condition.</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Significant developments resulting from recent and potential changes in United States trade policies could have a material adverse effect on us.</w:t>
      </w:r>
    </w:p>
    <w:p>
      <w:pPr>
        <w:spacing w:after="0" w:line="121"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Certain of our materials may be subject to the effects of various trade agreements, treaties and tariffs. The current U.S. presidential administration has publicly stated its intention to renegotiate or withdraw from the North American Free Trade Agreement and has imposed tariffs on various goods from various countries, including China, Canada and the European Union (“EU”), and announced intentions to impose furthermore significant tariffs on certain United States imports. As a result, Canada, the EU, China and other countries have responded with retaliatory tariffs on certain United States exports. We cannot predict the effect these and potential additional tariffs will have on our business, including in the context of escalating trade tensions. Further tariffs, additional taxes, or trade barriers, both domestically and internationally, may affect our selling and/or manufacturing costs and margins, the competitiveness of our products, or our ability to sell products or purchase necessary equipment and supplies, and consequently affect our business, results of operations, or financial conditions. To the extent that trade tariffs and other restrictions imposed by the United States increase the price of, or limit the amount of, raw materials and finished goods imported into the United States, the costs of our raw materials may be adversely affected and the demand from our customers for products and services may be diminished, which could adversely affect our revenues and profitability.</w:t>
      </w:r>
    </w:p>
    <w:p>
      <w:pPr>
        <w:spacing w:after="0" w:line="78" w:lineRule="exact"/>
        <w:rPr>
          <w:sz w:val="20"/>
          <w:szCs w:val="20"/>
          <w:color w:val="auto"/>
        </w:rPr>
      </w:pPr>
    </w:p>
    <w:p>
      <w:pPr>
        <w:ind w:right="240" w:firstLine="518"/>
        <w:spacing w:after="0" w:line="255" w:lineRule="auto"/>
        <w:rPr>
          <w:sz w:val="20"/>
          <w:szCs w:val="20"/>
          <w:color w:val="auto"/>
        </w:rPr>
      </w:pPr>
      <w:r>
        <w:rPr>
          <w:rFonts w:ascii="Times New Roman" w:cs="Times New Roman" w:eastAsia="Times New Roman" w:hAnsi="Times New Roman"/>
          <w:sz w:val="18"/>
          <w:szCs w:val="18"/>
          <w:color w:val="auto"/>
        </w:rPr>
        <w:t>In addition, these potential developments and any market perceptions concerning these and related issues and the attendant regulatory uncertainty regarding, for example, the posture of governments with respect to international trade, could have a material adverse effect on global trade and economic growth which, in turn can adversely affect our business. Furthermore, changes in United States trade policy have resulted and could result in additional reactions from United States trading partners and other countries, including adopting responsive trade policies that make it more difficult or costly for us to export our products to those countries. We sell a significant majority of our products into countries outside the United States and we purchase a significant portion of equipment and supplies from suppliers outside the United States. These measures could also result in increased costs for goods imported into the U.S. or may cause us to adjust our worldwide supply chain. Any of these effects could require us to increase prices to our customers which may reduce demand, or, if we are unable to increase prices, may result in lowering our margin on products sold.</w:t>
      </w:r>
    </w:p>
    <w:p>
      <w:pPr>
        <w:spacing w:after="0" w:line="77"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We cannot predict future trade policy or the terms of any renegotiated trade agreements and their impacts on our business. The adoption and expansion of trade restrictions, the occurrence of a trade war, or other governmental action related to tariffs or trade agreements or policies has the potential to adversely impact demand for our products, our costs, our customers, our suppliers, and the United States economy, which in turn could adversely impact our business, financial condition and results of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5" w:name="page36"/>
    <w:bookmarkEnd w:id="35"/>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Changes in U.S. tax laws could have a material adverse effect on our business, cash flow, results of operations or financial conditions.</w:t>
      </w:r>
    </w:p>
    <w:p>
      <w:pPr>
        <w:spacing w:after="0" w:line="121"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The comprehensive tax legislation commonly referred to as the Tax Cuts and Jobs Act (the “Tax Act”) was enacted in the United States on December 22, 2017 and includes, among other items, a reduction in the federal corporate income tax rate from 35% to 21%, certain interest expense deduction limitations and changes in the timing of certain taxable income. We are required to recognize the effect of the tax law changes in the period of enactment, such as remeasuring our U.S. deferred tax assets and liabilities and reassessing the net realizability of our deferred tax assets and liabilities.</w:t>
      </w:r>
    </w:p>
    <w:p>
      <w:pPr>
        <w:spacing w:after="0" w:line="72" w:lineRule="exact"/>
        <w:rPr>
          <w:sz w:val="20"/>
          <w:szCs w:val="20"/>
          <w:color w:val="auto"/>
        </w:rPr>
      </w:pPr>
    </w:p>
    <w:p>
      <w:pPr>
        <w:ind w:right="160" w:firstLine="518"/>
        <w:spacing w:after="0" w:line="258" w:lineRule="auto"/>
        <w:rPr>
          <w:sz w:val="20"/>
          <w:szCs w:val="20"/>
          <w:color w:val="auto"/>
        </w:rPr>
      </w:pPr>
      <w:r>
        <w:rPr>
          <w:rFonts w:ascii="Times New Roman" w:cs="Times New Roman" w:eastAsia="Times New Roman" w:hAnsi="Times New Roman"/>
          <w:sz w:val="18"/>
          <w:szCs w:val="18"/>
          <w:color w:val="auto"/>
        </w:rPr>
        <w:t>On December 22, 2017, the SEC staff issued Staff Accounting Bulletin No. 118 (“SAB 118”) which provides guidance on accounting for the tax effects of the Tax Act. We have completed our analysis and accounting with respect the Tax Act, and identified no additional changes from amounts previously recorded. However, changes in law, interpretations, and facts may result in adjustments to these amounts. Based on the Company’s net operating loss carryovers and valuation allowance, there is no impact to its consolidated financial statements as a result of the accounting for the tax effects of the Tax Act.</w:t>
      </w:r>
    </w:p>
    <w:p>
      <w:pPr>
        <w:spacing w:after="0" w:line="76" w:lineRule="exact"/>
        <w:rPr>
          <w:sz w:val="20"/>
          <w:szCs w:val="20"/>
          <w:color w:val="auto"/>
        </w:rPr>
      </w:pPr>
    </w:p>
    <w:p>
      <w:pPr>
        <w:ind w:right="380" w:firstLine="518"/>
        <w:spacing w:after="0" w:line="266" w:lineRule="auto"/>
        <w:rPr>
          <w:sz w:val="20"/>
          <w:szCs w:val="20"/>
          <w:color w:val="auto"/>
        </w:rPr>
      </w:pPr>
      <w:r>
        <w:rPr>
          <w:rFonts w:ascii="Times New Roman" w:cs="Times New Roman" w:eastAsia="Times New Roman" w:hAnsi="Times New Roman"/>
          <w:sz w:val="18"/>
          <w:szCs w:val="18"/>
          <w:color w:val="auto"/>
        </w:rPr>
        <w:t>Subsequent legislations, guidance, regulations or audits that differ from our prior assumptions and interpretations, or other factors which were not anticipated at the time we estimated our tax provision could have a material adverse effect on our business, cash flow, results of operations or financial condition.</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federal, state and foreign laws governing our business practices which, if violated, could result in substantial penalties.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Additionally, challenges to or investigation into our practices could cause adverse publicity and be costly to respond to and thus could harm our business.</w:t>
      </w:r>
    </w:p>
    <w:p>
      <w:pPr>
        <w:spacing w:after="0" w:line="99"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requires us to track and disclose the source of certain metals used in manufacturing which may stem from minerals (so called “conflict minerals”) which originate in the Democratic Republic of the Congo or adjoining regions. These metals include tantalum, tin, gold and tungsten. These metals are central to the technology industry and are present in some of our products as component parts. In most cases no acceptable alternative material exists which has the necessary properties. It is not possible to determine the source of the metals by analysis but instead a good faith description of the source of the intermediate components and raw materials must be obtained. The components which incorporate those metals may originate from many sources and we purchase fabricated products from manufacturers who may have a long and difficult-to-trace supply chain. As the spot price of these materials varies, producers of the metal intermediates can be expected to change the mix of sources used, and components and assemblies which we buy may have a mix of sources as their origin. We are required to carry out a diligent effort to determine and disclose the source of these materials. There can be no assurance we can obtain this information from intermediate producers not willing or not able to provide this information or further identify their sources of supply or to notify us if these sources change. These metals are subject to price fluctuations and shortages which can affect our ability to obtain the manufactured materials we rely on at favorable terms or from consistent sources. These changes could have an adverse impact on our ability to manufacture and market our devices and products.</w:t>
      </w:r>
    </w:p>
    <w:p>
      <w:pPr>
        <w:spacing w:after="0" w:line="79" w:lineRule="exact"/>
        <w:rPr>
          <w:sz w:val="20"/>
          <w:szCs w:val="20"/>
          <w:color w:val="auto"/>
        </w:rPr>
      </w:pPr>
    </w:p>
    <w:p>
      <w:pPr>
        <w:ind w:right="54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Efforts to acquire additional companies or product lines may divert our managerial resources away from our business operations, and if we complete additional acquisitions, we may incur or assume additional liabilities or experience integration problems.</w:t>
      </w:r>
    </w:p>
    <w:p>
      <w:pPr>
        <w:spacing w:after="0" w:line="51" w:lineRule="exact"/>
        <w:rPr>
          <w:sz w:val="20"/>
          <w:szCs w:val="20"/>
          <w:color w:val="auto"/>
        </w:rPr>
      </w:pPr>
    </w:p>
    <w:p>
      <w:pPr>
        <w:ind w:right="160" w:firstLine="518"/>
        <w:spacing w:after="0" w:line="258" w:lineRule="auto"/>
        <w:rPr>
          <w:sz w:val="20"/>
          <w:szCs w:val="20"/>
          <w:color w:val="auto"/>
        </w:rPr>
      </w:pPr>
      <w:r>
        <w:rPr>
          <w:rFonts w:ascii="Times New Roman" w:cs="Times New Roman" w:eastAsia="Times New Roman" w:hAnsi="Times New Roman"/>
          <w:sz w:val="18"/>
          <w:szCs w:val="18"/>
          <w:color w:val="auto"/>
        </w:rPr>
        <w:t>As part of our growth strategy, we seek to acquire businesses or product lines for various reasons, including adding new products, adding new customers, increasing penetration with existing customers, adding new manufacturing capabilities or expanding into new geographic markets. Our ability to successfully grow through acquisitions depends upon our ability to identify, negotiate, complete and integrate suitable acquisitions and to obtain any necessary financings. These efforts could divert the attention of our management and key personnel from our business operations. If we complete future acquisitions, we may also experience:</w:t>
      </w:r>
    </w:p>
    <w:p>
      <w:pPr>
        <w:spacing w:after="0" w:line="76" w:lineRule="exact"/>
        <w:rPr>
          <w:sz w:val="20"/>
          <w:szCs w:val="20"/>
          <w:color w:val="auto"/>
        </w:rPr>
      </w:pPr>
    </w:p>
    <w:p>
      <w:pPr>
        <w:ind w:left="1040" w:hanging="519"/>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integrating any acquired products into our existing business;</w:t>
      </w:r>
    </w:p>
    <w:p>
      <w:pPr>
        <w:spacing w:after="0" w:line="117" w:lineRule="exact"/>
        <w:rPr>
          <w:rFonts w:ascii="Times New Roman" w:cs="Times New Roman" w:eastAsia="Times New Roman" w:hAnsi="Times New Roman"/>
          <w:sz w:val="18"/>
          <w:szCs w:val="18"/>
          <w:color w:val="auto"/>
        </w:rPr>
      </w:pPr>
    </w:p>
    <w:p>
      <w:pPr>
        <w:ind w:left="1040" w:right="20" w:hanging="519"/>
        <w:spacing w:after="0" w:line="282"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integrating an acquired company’s technologies, services, employees, customers, partners, business operations and administrative and software management systems with ours;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realizing the benefits of the acquired products;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our management’s time and attention from other business concerns;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customer reaction to the product acquisition;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expenses.</w:t>
      </w:r>
    </w:p>
    <w:p>
      <w:pPr>
        <w:spacing w:after="0" w:line="117" w:lineRule="exact"/>
        <w:rPr>
          <w:sz w:val="20"/>
          <w:szCs w:val="20"/>
          <w:color w:val="auto"/>
        </w:rPr>
      </w:pPr>
    </w:p>
    <w:p>
      <w:pPr>
        <w:ind w:right="140" w:firstLine="518"/>
        <w:spacing w:after="0" w:line="256" w:lineRule="auto"/>
        <w:rPr>
          <w:sz w:val="20"/>
          <w:szCs w:val="20"/>
          <w:color w:val="auto"/>
        </w:rPr>
      </w:pPr>
      <w:r>
        <w:rPr>
          <w:rFonts w:ascii="Times New Roman" w:cs="Times New Roman" w:eastAsia="Times New Roman" w:hAnsi="Times New Roman"/>
          <w:sz w:val="18"/>
          <w:szCs w:val="18"/>
          <w:color w:val="auto"/>
        </w:rPr>
        <w:t>Moreover, we cannot assure you that the anticipated benefits of any acquisition or investment would be realized or that we would not be exposed to unknown liabilities. In connection with these types of transactions, we may issue additional equity securities that would dilute the ownership interest of existing investors or earnings per share, use cash that we may need in the future to operate our business, incur debt on terms unfavorable to us or that we are unable to repay, incur large charges or substantial liabilities, encounter difficulties integrating diverse business cultures and become subject to adverse tax consequences, substantial depreciation or deferred compensation charges. These challenges related to acquisitions or investments could adversely affect our business, operating results and financial condition.</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36" w:name="page37"/>
    <w:bookmarkEnd w:id="36"/>
    <w:p>
      <w:pPr>
        <w:ind w:right="20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Divestitures of some of our businesses or product lines may materially and adversely affect our financial condition, results of operations or cash flows and require us to raise additional capital to replace revenue from those business units or product lines.</w:t>
      </w:r>
    </w:p>
    <w:p>
      <w:pPr>
        <w:spacing w:after="0" w:line="51"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We evaluate the performance and strategic fit of all of our businesses and may sell businesses or product lines. Divestitures involve risks, including difficulties in the separation of operations, services, products and personnel, the diversion of management's attention from other business concerns, the disruption of our business, the potential loss of key employees and the retention of uncertain environmental or other contingent liabilities related to the divested business. In addition, divestitures may result in significant asset impairment charges, including those related to goodwill and other intangible assets, and the loss of revenue which could have a material adverse effect on our financial condition and results of operations. In addition, we may need to raise additional capital to replace the revenue generated from the business or product line that is divested and we can provide no assurance that such capital will be available or available on terms that are acceptable to us. We cannot assure you that we will be successful in managing these or any other significant risks that we encounter in divesting a business or product line, and any divestiture we undertake could materially and adversely affect our business, financial condition, results of operations and cash flows, and may also result in a diversion of management attention, operational difficulties and losses.</w:t>
      </w:r>
    </w:p>
    <w:p>
      <w:pPr>
        <w:spacing w:after="0" w:line="77" w:lineRule="exact"/>
        <w:rPr>
          <w:sz w:val="20"/>
          <w:szCs w:val="20"/>
          <w:color w:val="auto"/>
        </w:rPr>
      </w:pPr>
    </w:p>
    <w:p>
      <w:pPr>
        <w:ind w:right="52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requirements, our business, financial condition, operating results and reputation could be adversely affected.</w:t>
      </w:r>
    </w:p>
    <w:p>
      <w:pPr>
        <w:spacing w:after="0" w:line="51"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Our products and operations are subject to various federal, state, local and foreign environmental laws and regulations, including those governing the use, storage, handling, exposure to, and disposal of hazardous materials and a large and growing body of international standards which govern the design, manufacture, materials content and sourcing, testing, certification, packaging, installation, use and disposal of our products. We must continually keep abreast of these standards and requirements and integrate compliance to these with the development and regulatory documentation for our products. Failure to meet these standards could limit the ability to market our products in those regions which require compliance with such standards or subject us to fines and penalties. Examples of such standards include laws governing the hazardous material content of our devices and products, such as the EU Directive 2011/65/EU relating to Restrictions on the Use of Certain Hazardous Substances “RoHS Directive, and the EU Directive 2012/19/EU on Waste Electrical and Electronic Equipment. Similar laws and regulations have been passed or are pending in several other jurisdictions and may be enacted in other regions, including in the United States, and we are, or may in the future be, subject to these laws and regulations.</w:t>
      </w:r>
    </w:p>
    <w:p>
      <w:pPr>
        <w:spacing w:after="0" w:line="81" w:lineRule="exact"/>
        <w:rPr>
          <w:sz w:val="20"/>
          <w:szCs w:val="20"/>
          <w:color w:val="auto"/>
        </w:rPr>
      </w:pPr>
    </w:p>
    <w:p>
      <w:pPr>
        <w:ind w:right="500" w:firstLine="518"/>
        <w:spacing w:after="0" w:line="258" w:lineRule="auto"/>
        <w:rPr>
          <w:sz w:val="20"/>
          <w:szCs w:val="20"/>
          <w:color w:val="auto"/>
        </w:rPr>
      </w:pPr>
      <w:r>
        <w:rPr>
          <w:rFonts w:ascii="Times New Roman" w:cs="Times New Roman" w:eastAsia="Times New Roman" w:hAnsi="Times New Roman"/>
          <w:sz w:val="18"/>
          <w:szCs w:val="18"/>
          <w:color w:val="auto"/>
        </w:rPr>
        <w:t>Our failure to comply with past, present and future similar laws could result in reduced sales of our devices and products, inventory write-offs, reputational damage, penalties and other sanctions, any of which could harm our business and financial condition. We also expect that our devices and products will be affected by new environmental laws and regulations on an ongoing basis. New environmental laws and regulations will likely result in additional costs and may increase penalties associated with violations or require us to change the content of our devices and products or how they are manufactured, which could have a material adverse effect on our business, operating results and financial condition.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Ownership of Our Common Stock</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has been and may continue to be volatile and an investment in our common stock could suffer a decline in value.</w:t>
      </w:r>
    </w:p>
    <w:p>
      <w:pPr>
        <w:spacing w:after="0" w:line="121"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The trading price of our common stock has been subject to wide fluctuations in response to a variety of factors, some of which are beyond our control, including changes in foreign currency exchange rates, quarterly variations in our operating results, announcements by us or our competitors of new products or of significant clinical achievements, changes in market valuations of other similar companies in our industry and general market conditions. During the fiscal quarter ended June 29, 2019, the reported high and low closing prices of our common stock were $5.61 and $4.39. There can be no assurance that our common stock trading price will not suffer declines. Our common stock may experience an imbalance between supply and demand resulting from low trading volumes and therefore broad market fluctuations could have a significant impact on the market price of our common stock regardless of our performance.</w:t>
      </w:r>
    </w:p>
    <w:p>
      <w:pPr>
        <w:spacing w:after="0" w:line="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Because we do not intend to pay dividends, stockholders will benefit from an investment in our common stock only if it appreciates in value.</w:t>
      </w:r>
    </w:p>
    <w:p>
      <w:pPr>
        <w:spacing w:after="0" w:line="121" w:lineRule="exact"/>
        <w:rPr>
          <w:sz w:val="20"/>
          <w:szCs w:val="20"/>
          <w:color w:val="auto"/>
        </w:rPr>
      </w:pPr>
    </w:p>
    <w:p>
      <w:pPr>
        <w:ind w:right="160" w:firstLine="518"/>
        <w:spacing w:after="0" w:line="256" w:lineRule="auto"/>
        <w:rPr>
          <w:sz w:val="20"/>
          <w:szCs w:val="20"/>
          <w:color w:val="auto"/>
        </w:rPr>
      </w:pPr>
      <w:r>
        <w:rPr>
          <w:rFonts w:ascii="Times New Roman" w:cs="Times New Roman" w:eastAsia="Times New Roman" w:hAnsi="Times New Roman"/>
          <w:sz w:val="18"/>
          <w:szCs w:val="18"/>
          <w:color w:val="auto"/>
        </w:rPr>
        <w:t>We expect to retain any earnings for use to further develop our business, and do not expect to declare cash dividends on our common stock in the foreseeable future. The declaration and payment of any such dividends in the future depends upon our earnings, financial condition, capital needs and other factors deemed relevant by the board of directors, and may be restricted by future agreements with lenders. In addition, our loan facility with Silicon Valley Bank restricts us from paying any dividends or making any other distribution or payment on account of our common stock. As a result, the success of an investment in our common stock will depend entirely upon any future appreciation. There is no guarantee that our common stock will appreciate in value or even maintain the price at which stockholders have purchased their shares.</w:t>
      </w:r>
    </w:p>
    <w:p>
      <w:pPr>
        <w:spacing w:after="0" w:line="76" w:lineRule="exact"/>
        <w:rPr>
          <w:sz w:val="20"/>
          <w:szCs w:val="20"/>
          <w:color w:val="auto"/>
        </w:rPr>
      </w:pPr>
    </w:p>
    <w:p>
      <w:pPr>
        <w:ind w:right="26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continue to publish research or publish incorrect or unfavorable research about our business, our stock price and trading volume could decline.</w:t>
      </w:r>
    </w:p>
    <w:p>
      <w:pPr>
        <w:spacing w:after="0" w:line="51" w:lineRule="exact"/>
        <w:rPr>
          <w:sz w:val="20"/>
          <w:szCs w:val="20"/>
          <w:color w:val="auto"/>
        </w:rPr>
      </w:pPr>
    </w:p>
    <w:p>
      <w:pPr>
        <w:ind w:right="120" w:firstLine="518"/>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depends in part on the research and reports that securities or industry analysts publish about us, our market and our competitors. If no or few securities or industry analysts cover our company, the trading price for our stock could be negatively impacted. If one or more of the analysts who covers us downgrades our stock or publishes incorrect or unfavorable research about our business, our stock price could decline. If one or more of these analysts ceases coverage of our company or fails to publish reports on us regularly, demand for our stock could decrease, which could cause our stock price or trading volume to decline.</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37" w:name="page38"/>
    <w:bookmarkEnd w:id="37"/>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Ownership of our common stock is concentrated among a few investors, which may affect the ability of a third party to acquire control of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Substantial sales by such investors could cause our stock price to decline.</w:t>
      </w:r>
    </w:p>
    <w:p>
      <w:pPr>
        <w:spacing w:after="0" w:line="99"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Our directors, executive officers, current five percent or greater stockholders and affiliated entities together beneficially own a significant portion of our common stock outstanding as of June 29, 2019. Having such a concentration of ownership may have the effect of making it more difficult for a third party to acquire, or of discouraging a third party from seeking to acquire, a majority of our outstanding common stock or control of our board of directors through a proxy solicitation.</w:t>
      </w:r>
    </w:p>
    <w:p>
      <w:pPr>
        <w:spacing w:after="0" w:line="68" w:lineRule="exact"/>
        <w:rPr>
          <w:sz w:val="20"/>
          <w:szCs w:val="20"/>
          <w:color w:val="auto"/>
        </w:rPr>
      </w:pPr>
    </w:p>
    <w:p>
      <w:pPr>
        <w:ind w:right="20"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public company, we are obligated to develop and maintain proper and effective internal control over financial reporting. We may not complete our analysis of our internal control over financial reporting in a timely manner, or these internal controls may not be determined to be effective, which may adversely affect investor confidence in our company and, as a result, the value of our common stock.</w:t>
      </w:r>
    </w:p>
    <w:p>
      <w:pPr>
        <w:spacing w:after="0" w:line="67"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We are required, pursuant to Section 404 of the Sarbanes-Oxley Act, to furnish a report by management on, among other things, the effectiveness of our internal control over financial reporting. This assessment must include disclosure of any material weaknesses identified by our management in our internal control over financial reporting. We may experience difficulty in meeting these reporting requirements in a timely manner, particularly if material weaknesses or significant deficiencies were to persist. Our independent registered public accounting firm will not be required to formally attest to the effectiveness of our internal control over financial reporting pursuant to Section 404 while we are a “smaller reporting company” as defined in the Exchange Act. If we are unable to comply with the requirements of Section 404 in a timely manner, the market price of our stock could decline and we could be subject to sanctions or investigations by the Nasdaq Stock Market, the SEC or other regulatory authorities, which could require additional financial and management resources.</w:t>
      </w:r>
    </w:p>
    <w:p>
      <w:pPr>
        <w:spacing w:after="0" w:line="77" w:lineRule="exact"/>
        <w:rPr>
          <w:sz w:val="20"/>
          <w:szCs w:val="20"/>
          <w:color w:val="auto"/>
        </w:rPr>
      </w:pPr>
    </w:p>
    <w:p>
      <w:pPr>
        <w:ind w:right="180" w:firstLine="518"/>
        <w:spacing w:after="0" w:line="258" w:lineRule="auto"/>
        <w:rPr>
          <w:sz w:val="20"/>
          <w:szCs w:val="20"/>
          <w:color w:val="auto"/>
        </w:rPr>
      </w:pPr>
      <w:r>
        <w:rPr>
          <w:rFonts w:ascii="Times New Roman" w:cs="Times New Roman" w:eastAsia="Times New Roman" w:hAnsi="Times New Roman"/>
          <w:sz w:val="18"/>
          <w:szCs w:val="18"/>
          <w:color w:val="auto"/>
        </w:rPr>
        <w:t>Any failure to develop or maintain effective controls, or any difficulties encountered in their implementation or improvement, could harm our operating results or cause us to fail to meet our reporting obligations. Any failure to implement and maintain effective internal controls also could adversely affect the results of periodic management evaluations regarding the effectiveness of our internal control over financial reporting. Ineffective disclosure controls and procedures or internal control over financial reporting could also cause investors to lose confidence in our reported financial and other information, which could likely have a negative effect on the trading price of our common stock.</w:t>
      </w:r>
    </w:p>
    <w:p>
      <w:pPr>
        <w:spacing w:after="0" w:line="76"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Implementing any appropriate changes to our internal controls may require specific compliance training of our directors, officers and employees, entail substantial costs in order to modify our existing accounting systems, and take a significant period of time to complete. Such changes may not, however, be effective in maintaining the adequacy of our internal controls, and any failure to maintain that adequacy, or consequent inability to produce accurate financial statements on a timely basis, could increase our operating costs and could materially impair our ability to operate our business. In the event that we are not able to demonstrate compliance with Section 404 of the Sarbanes-Oxley Act in a timely manner, that our internal controls are perceived as inadequate or that we are unable to produce timely or accurate financial statements, investors may lose confidence in our operating results and our stock price could decline.</w:t>
      </w:r>
    </w:p>
    <w:p>
      <w:pPr>
        <w:spacing w:after="0" w:line="76" w:lineRule="exact"/>
        <w:rPr>
          <w:sz w:val="20"/>
          <w:szCs w:val="20"/>
          <w:color w:val="auto"/>
        </w:rPr>
      </w:pPr>
    </w:p>
    <w:p>
      <w:pPr>
        <w:ind w:right="14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charter documents, anti-takeover provisions of Delaware law, and contractual provisions could delay or prevent an acquisition or sale of our company.</w:t>
      </w:r>
    </w:p>
    <w:p>
      <w:pPr>
        <w:spacing w:after="0" w:line="51"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empowers the board of directors to establish and issue a class of preferred stock, and to determine the rights, preferences and privileges of the preferred stock. These provisions give the board of directors the ability to deter, discourage or make more difficult a change in control of our company, even if such a change in control could be deemed in the interest of our stockholders or if such a change in control would provide our stockholders with a substantial premium for their shares over the then-prevailing market price for the common stock. Our certificate of incorporation and bylaws contain other provisions that could have an anti-takeover effect, including the following:</w:t>
      </w:r>
    </w:p>
    <w:p>
      <w:pPr>
        <w:spacing w:after="0" w:line="76" w:lineRule="exact"/>
        <w:rPr>
          <w:sz w:val="20"/>
          <w:szCs w:val="20"/>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number of directors may be changed only by resolution of our board of directors;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our board of directors is authorized to fill vacant directorships, including newly created seats;</w:t>
      </w:r>
    </w:p>
    <w:p>
      <w:pPr>
        <w:spacing w:after="0" w:line="117" w:lineRule="exact"/>
        <w:rPr>
          <w:rFonts w:ascii="Times New Roman" w:cs="Times New Roman" w:eastAsia="Times New Roman" w:hAnsi="Times New Roman"/>
          <w:sz w:val="18"/>
          <w:szCs w:val="18"/>
          <w:color w:val="auto"/>
        </w:rPr>
      </w:pPr>
    </w:p>
    <w:p>
      <w:pPr>
        <w:ind w:left="1040" w:right="680" w:hanging="519"/>
        <w:spacing w:after="0" w:line="282"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meetings of our stockholders may be called only by our board of directors, the chairman of the board, chief executive officer or president, thus prohibiting a stockholder from calling a special meeting;</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must give advance notice to nominate directors or propose other business;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are not permitted to cumulate votes in the election of directors.</w:t>
      </w:r>
    </w:p>
    <w:p>
      <w:pPr>
        <w:spacing w:after="0" w:line="117" w:lineRule="exact"/>
        <w:rPr>
          <w:sz w:val="20"/>
          <w:szCs w:val="20"/>
          <w:color w:val="auto"/>
        </w:rPr>
      </w:pPr>
    </w:p>
    <w:p>
      <w:pPr>
        <w:ind w:right="320" w:firstLine="518"/>
        <w:spacing w:after="0" w:line="266" w:lineRule="auto"/>
        <w:rPr>
          <w:sz w:val="20"/>
          <w:szCs w:val="20"/>
          <w:color w:val="auto"/>
        </w:rPr>
      </w:pPr>
      <w:r>
        <w:rPr>
          <w:rFonts w:ascii="Times New Roman" w:cs="Times New Roman" w:eastAsia="Times New Roman" w:hAnsi="Times New Roman"/>
          <w:sz w:val="18"/>
          <w:szCs w:val="18"/>
          <w:color w:val="auto"/>
        </w:rPr>
        <w:t>In addition, we are generally subject to the anti-takeover provisions of Section 203 of the Delaware General Corporation Law, which regulates corporate acquisitions. These provisions could discourage potential acquisition proposals and could delay or prevent a change in control transaction. They could also have the effect of discouraging others from making tender offers for our common stock or prevent changes in our management.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of Unregistered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On July 25, 2019, the Company indicated on a Form 8-K that Robert Grove had been appointed to the Nominating and Governance Committee of the Board, but it was in fact Robert Gunst that had been appointed, such that the composition of the Nominating and Governance Committee consists of Ruediger Naumann-Etienne, Ph.D., Maria Sainz and Robert Gunst.</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17" w:right="2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380" w:type="dxa"/>
            <w:vAlign w:val="bottom"/>
            <w:gridSpan w:val="9"/>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0" w:type="dxa"/>
            <w:vAlign w:val="bottom"/>
          </w:tcPr>
          <w:p>
            <w:pPr>
              <w:spacing w:after="0"/>
              <w:rPr>
                <w:sz w:val="1"/>
                <w:szCs w:val="1"/>
                <w:color w:val="auto"/>
              </w:rPr>
            </w:pPr>
          </w:p>
        </w:tc>
      </w:tr>
      <w:tr>
        <w:trPr>
          <w:trHeight w:val="173"/>
        </w:trPr>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120" w:type="dxa"/>
            <w:vAlign w:val="bottom"/>
          </w:tcPr>
          <w:p>
            <w:pPr>
              <w:spacing w:after="0"/>
              <w:rPr>
                <w:sz w:val="15"/>
                <w:szCs w:val="15"/>
                <w:color w:val="auto"/>
              </w:rPr>
            </w:pPr>
          </w:p>
        </w:tc>
        <w:tc>
          <w:tcPr>
            <w:tcW w:w="10380" w:type="dxa"/>
            <w:vAlign w:val="bottom"/>
            <w:tcBorders>
              <w:bottom w:val="single" w:sz="8" w:color="auto"/>
            </w:tcBorders>
            <w:gridSpan w:val="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 (1) (P)</w:t>
            </w:r>
          </w:p>
        </w:tc>
        <w:tc>
          <w:tcPr>
            <w:tcW w:w="103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Amended and Restated Certificate of Incorporation of Registrant.</w:t>
            </w:r>
          </w:p>
        </w:tc>
        <w:tc>
          <w:tcPr>
            <w:tcW w:w="0" w:type="dxa"/>
            <w:vAlign w:val="bottom"/>
          </w:tcPr>
          <w:p>
            <w:pPr>
              <w:spacing w:after="0"/>
              <w:rPr>
                <w:sz w:val="1"/>
                <w:szCs w:val="1"/>
                <w:color w:val="auto"/>
              </w:rPr>
            </w:pPr>
          </w:p>
        </w:tc>
      </w:tr>
      <w:tr>
        <w:trPr>
          <w:trHeight w:val="29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 (2)</w:t>
            </w:r>
          </w:p>
        </w:tc>
        <w:tc>
          <w:tcPr>
            <w:tcW w:w="120" w:type="dxa"/>
            <w:vAlign w:val="bottom"/>
          </w:tcPr>
          <w:p>
            <w:pPr>
              <w:spacing w:after="0"/>
              <w:rPr>
                <w:sz w:val="24"/>
                <w:szCs w:val="24"/>
                <w:color w:val="auto"/>
              </w:rPr>
            </w:pPr>
          </w:p>
        </w:tc>
        <w:tc>
          <w:tcPr>
            <w:tcW w:w="10380" w:type="dxa"/>
            <w:vAlign w:val="bottom"/>
            <w:gridSpan w:val="9"/>
          </w:tcPr>
          <w:p>
            <w:pPr>
              <w:spacing w:after="0"/>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Amended and Restated Bylaws of Registrant.</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 (3)</w:t>
            </w:r>
          </w:p>
        </w:tc>
        <w:tc>
          <w:tcPr>
            <w:tcW w:w="120" w:type="dxa"/>
            <w:vAlign w:val="bottom"/>
          </w:tcPr>
          <w:p>
            <w:pPr>
              <w:spacing w:after="0"/>
              <w:rPr>
                <w:sz w:val="24"/>
                <w:szCs w:val="24"/>
                <w:color w:val="auto"/>
              </w:rPr>
            </w:pPr>
          </w:p>
        </w:tc>
        <w:tc>
          <w:tcPr>
            <w:tcW w:w="576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Offer Letter between the Company and Mr. Bruce effective as of May 21, 2019.</w:t>
              </w:r>
            </w:hyperlink>
          </w:p>
        </w:tc>
        <w:tc>
          <w:tcPr>
            <w:tcW w:w="46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10.2 (4)</w:t>
            </w:r>
          </w:p>
        </w:tc>
        <w:tc>
          <w:tcPr>
            <w:tcW w:w="120" w:type="dxa"/>
            <w:vAlign w:val="bottom"/>
          </w:tcPr>
          <w:p>
            <w:pPr>
              <w:spacing w:after="0"/>
              <w:rPr>
                <w:sz w:val="24"/>
                <w:szCs w:val="24"/>
                <w:color w:val="auto"/>
              </w:rPr>
            </w:pPr>
          </w:p>
        </w:tc>
        <w:tc>
          <w:tcPr>
            <w:tcW w:w="458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r:id="rId59">
              <w:r>
                <w:rPr>
                  <w:rFonts w:ascii="Times New Roman" w:cs="Times New Roman" w:eastAsia="Times New Roman" w:hAnsi="Times New Roman"/>
                  <w:sz w:val="18"/>
                  <w:szCs w:val="18"/>
                  <w:color w:val="0000EE"/>
                  <w:w w:val="99"/>
                </w:rPr>
                <w:t>Separation Agreement with Mr. Moore effective June 22, 2019.</w:t>
              </w:r>
            </w:hyperlink>
          </w:p>
        </w:tc>
        <w:tc>
          <w:tcPr>
            <w:tcW w:w="58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10380" w:type="dxa"/>
            <w:vAlign w:val="bottom"/>
            <w:gridSpan w:val="9"/>
          </w:tcPr>
          <w:p>
            <w:pPr>
              <w:spacing w:after="0"/>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Certification of Principal Executive Officer pursuant to Securities Exchange Act Rules 13a-14(a) and 15d-14(a).</w:t>
              </w:r>
            </w:hyperlink>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806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43">
              <w:r>
                <w:rPr>
                  <w:rFonts w:ascii="Times New Roman" w:cs="Times New Roman" w:eastAsia="Times New Roman" w:hAnsi="Times New Roman"/>
                  <w:sz w:val="18"/>
                  <w:szCs w:val="18"/>
                  <w:color w:val="0000EE"/>
                  <w:w w:val="99"/>
                </w:rPr>
                <w:t>Certification of Principal Financial Officer pursuant to Securities Exchange Act Rules 13a-14(a) and 15d-14(a).</w:t>
              </w:r>
            </w:hyperlink>
          </w:p>
        </w:tc>
        <w:tc>
          <w:tcPr>
            <w:tcW w:w="40" w:type="dxa"/>
            <w:vAlign w:val="bottom"/>
            <w:tcBorders>
              <w:top w:val="single" w:sz="8" w:color="0000EE"/>
            </w:tcBorders>
          </w:tcPr>
          <w:p>
            <w:pPr>
              <w:spacing w:after="0"/>
              <w:rPr>
                <w:sz w:val="24"/>
                <w:szCs w:val="24"/>
                <w:color w:val="auto"/>
              </w:rPr>
            </w:pPr>
          </w:p>
        </w:tc>
        <w:tc>
          <w:tcPr>
            <w:tcW w:w="22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103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44">
              <w:r>
                <w:rPr>
                  <w:rFonts w:ascii="Times New Roman" w:cs="Times New Roman" w:eastAsia="Times New Roman" w:hAnsi="Times New Roman"/>
                  <w:sz w:val="18"/>
                  <w:szCs w:val="18"/>
                  <w:color w:val="0000EE"/>
                  <w:w w:val="99"/>
                </w:rPr>
                <w:t>Certification of Principal Executive Officer pursuant to 18 U.S.C. Section 1350, as adopted pursuant to Section 906 of the Sarbanes-Oxley Act</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gridSpan w:val="9"/>
          </w:tcPr>
          <w:p>
            <w:pPr>
              <w:spacing w:after="0" w:line="196" w:lineRule="exact"/>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of 2002.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64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10380" w:type="dxa"/>
            <w:vAlign w:val="bottom"/>
            <w:gridSpan w:val="9"/>
          </w:tcPr>
          <w:p>
            <w:pPr>
              <w:spacing w:after="0"/>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Certification of Principal Financial Officer pursuant to 18 U.S.C. Section 1350, as adopted pursuant to Section 906 of the Sarbanes-Oxley Act</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4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of 2002.</w:t>
              </w:r>
            </w:hyperlink>
          </w:p>
        </w:tc>
        <w:tc>
          <w:tcPr>
            <w:tcW w:w="1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7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3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33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3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Schema</w:t>
            </w:r>
          </w:p>
        </w:tc>
        <w:tc>
          <w:tcPr>
            <w:tcW w:w="0" w:type="dxa"/>
            <w:vAlign w:val="bottom"/>
          </w:tcPr>
          <w:p>
            <w:pPr>
              <w:spacing w:after="0"/>
              <w:rPr>
                <w:sz w:val="1"/>
                <w:szCs w:val="1"/>
                <w:color w:val="auto"/>
              </w:rPr>
            </w:pPr>
          </w:p>
        </w:tc>
      </w:tr>
      <w:tr>
        <w:trPr>
          <w:trHeight w:val="33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3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c>
          <w:tcPr>
            <w:tcW w:w="0" w:type="dxa"/>
            <w:vAlign w:val="bottom"/>
          </w:tcPr>
          <w:p>
            <w:pPr>
              <w:spacing w:after="0"/>
              <w:rPr>
                <w:sz w:val="1"/>
                <w:szCs w:val="1"/>
                <w:color w:val="auto"/>
              </w:rPr>
            </w:pPr>
          </w:p>
        </w:tc>
      </w:tr>
      <w:tr>
        <w:trPr>
          <w:trHeight w:val="33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3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c>
          <w:tcPr>
            <w:tcW w:w="0" w:type="dxa"/>
            <w:vAlign w:val="bottom"/>
          </w:tcPr>
          <w:p>
            <w:pPr>
              <w:spacing w:after="0"/>
              <w:rPr>
                <w:sz w:val="1"/>
                <w:szCs w:val="1"/>
                <w:color w:val="auto"/>
              </w:rPr>
            </w:pPr>
          </w:p>
        </w:tc>
      </w:tr>
      <w:tr>
        <w:trPr>
          <w:trHeight w:val="33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3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Label Linkbase</w:t>
            </w:r>
          </w:p>
        </w:tc>
        <w:tc>
          <w:tcPr>
            <w:tcW w:w="0" w:type="dxa"/>
            <w:vAlign w:val="bottom"/>
          </w:tcPr>
          <w:p>
            <w:pPr>
              <w:spacing w:after="0"/>
              <w:rPr>
                <w:sz w:val="1"/>
                <w:szCs w:val="1"/>
                <w:color w:val="auto"/>
              </w:rPr>
            </w:pPr>
          </w:p>
        </w:tc>
      </w:tr>
      <w:tr>
        <w:trPr>
          <w:trHeight w:val="33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3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-1594485</wp:posOffset>
            </wp:positionV>
            <wp:extent cx="171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-1594485</wp:posOffset>
            </wp:positionV>
            <wp:extent cx="1714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205" w:lineRule="exact"/>
        <w:rPr>
          <w:sz w:val="20"/>
          <w:szCs w:val="20"/>
          <w:color w:val="auto"/>
        </w:rPr>
      </w:pPr>
    </w:p>
    <w:p>
      <w:pPr>
        <w:ind w:left="520" w:right="120" w:hanging="512"/>
        <w:spacing w:after="0" w:line="261"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 furnished in Exhibit 32.1 and 32.2 hereto is deemed to accompany this Quarterly Report on Form 10-Q and will not be deemed “filed” for purposes of Section 18 of the Securities Exchange Act of 1934, as amended. Such certification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72" w:lineRule="exact"/>
        <w:rPr>
          <w:sz w:val="20"/>
          <w:szCs w:val="20"/>
          <w:color w:val="auto"/>
        </w:rPr>
      </w:pPr>
    </w:p>
    <w:p>
      <w:pPr>
        <w:ind w:left="520" w:right="260" w:hanging="512"/>
        <w:spacing w:after="0" w:line="282"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Exhibits filed with the Registration Statement on Form SB-2 (No. 333-00320-LA) which was declared effective on February 15, 1996.</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Exhibits filed with the Registrant’s Report on Form 8-K on April 1, 2019.</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Exhibits filed with the Registrant’s Report on Form 8-K/A on June 14, 2019.</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Exhibits filed with the Registrant’s Report on Form 8-K on June 26, 2019.</w:t>
      </w:r>
    </w:p>
    <w:p>
      <w:pPr>
        <w:spacing w:after="0" w:line="117" w:lineRule="exact"/>
        <w:rPr>
          <w:sz w:val="20"/>
          <w:szCs w:val="20"/>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Print filing.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 Acknowledgments</w:t>
      </w:r>
    </w:p>
    <w:p>
      <w:pPr>
        <w:spacing w:after="0" w:line="121" w:lineRule="exact"/>
        <w:rPr>
          <w:sz w:val="20"/>
          <w:szCs w:val="20"/>
          <w:color w:val="auto"/>
        </w:rPr>
      </w:pPr>
    </w:p>
    <w:p>
      <w:pPr>
        <w:ind w:right="340" w:firstLine="518"/>
        <w:spacing w:after="0" w:line="266" w:lineRule="auto"/>
        <w:rPr>
          <w:sz w:val="20"/>
          <w:szCs w:val="20"/>
          <w:color w:val="auto"/>
        </w:rPr>
      </w:pPr>
      <w:r>
        <w:rPr>
          <w:rFonts w:ascii="Times New Roman" w:cs="Times New Roman" w:eastAsia="Times New Roman" w:hAnsi="Times New Roman"/>
          <w:sz w:val="18"/>
          <w:szCs w:val="18"/>
          <w:color w:val="auto"/>
        </w:rPr>
        <w:t>IRIDEX, the IRIDEX logo, IRIS Medical, MicroPulse, OcuLight, SmartKey, and EndoProbe, are our registered trademarks. G-Probe, DioPexy, DioVet, TruFocus, TrueCW, IQ 577, IQ 532, Cyclo G6, TxCell, OtoProbe, Symphony, EasyFit, Endoview, MoistAir and GreenTip product names are our trademarks. All other trademarks or trade names appearing in this Quarterly Report on Form 10-Q are the property of their respective owners.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560" w:firstLine="51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IRIDEX Corporation (Registrant)</w:t>
            </w:r>
          </w:p>
        </w:tc>
      </w:tr>
      <w:tr>
        <w:trPr>
          <w:trHeight w:val="459"/>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7, 2019</w:t>
            </w:r>
          </w:p>
        </w:tc>
        <w:tc>
          <w:tcPr>
            <w:tcW w:w="7840" w:type="dxa"/>
            <w:vAlign w:val="bottom"/>
            <w:gridSpan w:val="4"/>
          </w:tcPr>
          <w:p>
            <w:pPr>
              <w:ind w:left="2980"/>
              <w:spacing w:after="0"/>
              <w:rPr>
                <w:sz w:val="20"/>
                <w:szCs w:val="20"/>
                <w:color w:val="auto"/>
              </w:rPr>
            </w:pPr>
            <w:r>
              <w:rPr>
                <w:rFonts w:ascii="Times New Roman" w:cs="Times New Roman" w:eastAsia="Times New Roman" w:hAnsi="Times New Roman"/>
                <w:sz w:val="18"/>
                <w:szCs w:val="18"/>
                <w:color w:val="auto"/>
              </w:rPr>
              <w:t>By:  /s/ DAVID I. BRUCE</w:t>
            </w:r>
          </w:p>
        </w:tc>
      </w:tr>
      <w:tr>
        <w:trPr>
          <w:trHeight w:val="27"/>
        </w:trPr>
        <w:tc>
          <w:tcPr>
            <w:tcW w:w="35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r>
      <w:tr>
        <w:trPr>
          <w:trHeight w:val="218"/>
        </w:trPr>
        <w:tc>
          <w:tcPr>
            <w:tcW w:w="35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3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David I. Bruce</w:t>
            </w:r>
          </w:p>
        </w:tc>
      </w:tr>
      <w:tr>
        <w:trPr>
          <w:trHeight w:val="216"/>
        </w:trPr>
        <w:tc>
          <w:tcPr>
            <w:tcW w:w="35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3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5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Executive and Financial Officer)</w:t>
            </w:r>
          </w:p>
        </w:tc>
      </w:tr>
      <w:tr>
        <w:trPr>
          <w:trHeight w:val="459"/>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7, 2019</w:t>
            </w:r>
          </w:p>
        </w:tc>
        <w:tc>
          <w:tcPr>
            <w:tcW w:w="7840" w:type="dxa"/>
            <w:vAlign w:val="bottom"/>
            <w:gridSpan w:val="4"/>
          </w:tcPr>
          <w:p>
            <w:pPr>
              <w:ind w:left="2980"/>
              <w:spacing w:after="0"/>
              <w:rPr>
                <w:sz w:val="20"/>
                <w:szCs w:val="20"/>
                <w:color w:val="auto"/>
              </w:rPr>
            </w:pPr>
            <w:r>
              <w:rPr>
                <w:rFonts w:ascii="Times New Roman" w:cs="Times New Roman" w:eastAsia="Times New Roman" w:hAnsi="Times New Roman"/>
                <w:sz w:val="18"/>
                <w:szCs w:val="18"/>
                <w:color w:val="auto"/>
              </w:rPr>
              <w:t>By:  /s/ ROMEO R. DIZON</w:t>
            </w:r>
          </w:p>
        </w:tc>
      </w:tr>
      <w:tr>
        <w:trPr>
          <w:trHeight w:val="191"/>
        </w:trPr>
        <w:tc>
          <w:tcPr>
            <w:tcW w:w="358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0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Romeo R. Dizon</w:t>
            </w:r>
          </w:p>
        </w:tc>
      </w:tr>
      <w:tr>
        <w:trPr>
          <w:trHeight w:val="216"/>
        </w:trPr>
        <w:tc>
          <w:tcPr>
            <w:tcW w:w="35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Vice President of Finance</w:t>
            </w:r>
          </w:p>
        </w:tc>
      </w:tr>
      <w:tr>
        <w:trPr>
          <w:trHeight w:val="234"/>
        </w:trPr>
        <w:tc>
          <w:tcPr>
            <w:tcW w:w="35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675"/>
        </w:trPr>
        <w:tc>
          <w:tcPr>
            <w:tcW w:w="3580" w:type="dxa"/>
            <w:vAlign w:val="bottom"/>
          </w:tcPr>
          <w:p>
            <w:pPr>
              <w:spacing w:after="0"/>
              <w:rPr>
                <w:sz w:val="24"/>
                <w:szCs w:val="24"/>
                <w:color w:val="auto"/>
              </w:rPr>
            </w:pPr>
          </w:p>
        </w:tc>
        <w:tc>
          <w:tcPr>
            <w:tcW w:w="33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900" w:type="dxa"/>
            <w:vAlign w:val="bottom"/>
          </w:tcPr>
          <w:p>
            <w:pPr>
              <w:spacing w:after="0"/>
              <w:rPr>
                <w:sz w:val="24"/>
                <w:szCs w:val="24"/>
                <w:color w:val="auto"/>
              </w:rPr>
            </w:pPr>
          </w:p>
        </w:tc>
      </w:tr>
    </w:tbl>
    <w:p>
      <w:pPr>
        <w:sectPr>
          <w:pgSz w:w="11900" w:h="16838" w:orient="portrait"/>
          <w:cols w:equalWidth="0" w:num="1">
            <w:col w:w="11420"/>
          </w:cols>
          <w:pgMar w:left="240" w:top="117" w:right="2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AND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13(a) or 15(d)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I. Bruce, certify that:</w:t>
      </w:r>
    </w:p>
    <w:p>
      <w:pPr>
        <w:spacing w:after="0" w:line="117" w:lineRule="exact"/>
        <w:rPr>
          <w:sz w:val="20"/>
          <w:szCs w:val="20"/>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IRIDEX Corporation;</w:t>
      </w:r>
    </w:p>
    <w:p>
      <w:pPr>
        <w:spacing w:after="0" w:line="117" w:lineRule="exact"/>
        <w:rPr>
          <w:rFonts w:ascii="Times New Roman" w:cs="Times New Roman" w:eastAsia="Times New Roman" w:hAnsi="Times New Roman"/>
          <w:sz w:val="18"/>
          <w:szCs w:val="18"/>
          <w:color w:val="auto"/>
        </w:rPr>
      </w:pPr>
    </w:p>
    <w:p>
      <w:pPr>
        <w:jc w:val="both"/>
        <w:ind w:left="1040" w:right="180" w:hanging="519"/>
        <w:spacing w:after="0" w:line="266"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1040" w:right="140" w:hanging="519"/>
        <w:spacing w:after="0" w:line="282"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1040" w:right="100" w:hanging="519"/>
        <w:spacing w:after="0" w:line="276" w:lineRule="auto"/>
        <w:tabs>
          <w:tab w:leader="none" w:pos="10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10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98" w:lineRule="exact"/>
        <w:rPr>
          <w:rFonts w:ascii="Times New Roman" w:cs="Times New Roman" w:eastAsia="Times New Roman" w:hAnsi="Times New Roman"/>
          <w:sz w:val="17"/>
          <w:szCs w:val="17"/>
          <w:color w:val="auto"/>
        </w:rPr>
      </w:pPr>
    </w:p>
    <w:p>
      <w:pPr>
        <w:ind w:left="1540" w:right="60" w:hanging="506"/>
        <w:spacing w:after="0" w:line="266" w:lineRule="auto"/>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68" w:lineRule="exact"/>
        <w:rPr>
          <w:rFonts w:ascii="Times New Roman" w:cs="Times New Roman" w:eastAsia="Times New Roman" w:hAnsi="Times New Roman"/>
          <w:sz w:val="18"/>
          <w:szCs w:val="18"/>
          <w:color w:val="auto"/>
        </w:rPr>
      </w:pPr>
    </w:p>
    <w:p>
      <w:pPr>
        <w:ind w:left="1540" w:right="60" w:hanging="506"/>
        <w:spacing w:after="0" w:line="266" w:lineRule="auto"/>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1540" w:right="140" w:hanging="506"/>
        <w:spacing w:after="0" w:line="282" w:lineRule="auto"/>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540" w:right="140" w:hanging="506"/>
        <w:spacing w:after="0" w:line="266" w:lineRule="auto"/>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1040" w:right="60" w:hanging="519"/>
        <w:spacing w:after="0" w:line="282"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540" w:right="380" w:hanging="506"/>
        <w:spacing w:after="0" w:line="282" w:lineRule="auto"/>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right="80" w:hanging="506"/>
        <w:spacing w:after="0" w:line="282" w:lineRule="auto"/>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7, 2019</w:t>
      </w:r>
    </w:p>
    <w:p>
      <w:pPr>
        <w:spacing w:after="0" w:line="252" w:lineRule="exact"/>
        <w:rPr>
          <w:sz w:val="20"/>
          <w:szCs w:val="20"/>
          <w:color w:val="auto"/>
        </w:rPr>
      </w:pPr>
    </w:p>
    <w:tbl>
      <w:tblPr>
        <w:tblLayout w:type="fixed"/>
        <w:tblInd w:w="6860" w:type="dxa"/>
        <w:tblCellMar>
          <w:top w:w="0" w:type="dxa"/>
          <w:left w:w="0" w:type="dxa"/>
          <w:bottom w:w="0" w:type="dxa"/>
          <w:right w:w="0" w:type="dxa"/>
        </w:tblCellMar>
      </w:tblPr>
      <w:tr>
        <w:trPr>
          <w:trHeight w:val="24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I. BRUCE</w:t>
            </w:r>
          </w:p>
        </w:tc>
      </w:tr>
      <w:tr>
        <w:trPr>
          <w:trHeight w:val="21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David I. Bruce</w:t>
            </w:r>
          </w:p>
        </w:tc>
      </w:tr>
      <w:tr>
        <w:trPr>
          <w:trHeight w:val="230"/>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68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and Financial Officer)</w:t>
            </w:r>
          </w:p>
        </w:tc>
      </w:tr>
    </w:tbl>
    <w:p>
      <w:pPr>
        <w:sectPr>
          <w:pgSz w:w="11900" w:h="16838" w:orient="portrait"/>
          <w:cols w:equalWidth="0" w:num="1">
            <w:col w:w="11420"/>
          </w:cols>
          <w:pgMar w:left="240" w:top="117" w:right="2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ACCOUNTING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13(a) or 15(d)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Romeo R. Dizon, certify that:</w:t>
      </w:r>
    </w:p>
    <w:p>
      <w:pPr>
        <w:spacing w:after="0" w:line="117" w:lineRule="exact"/>
        <w:rPr>
          <w:sz w:val="20"/>
          <w:szCs w:val="20"/>
          <w:color w:val="auto"/>
        </w:rPr>
      </w:pPr>
    </w:p>
    <w:p>
      <w:pPr>
        <w:ind w:left="1040" w:hanging="519"/>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IRIDEX Corporation;</w:t>
      </w:r>
    </w:p>
    <w:p>
      <w:pPr>
        <w:spacing w:after="0" w:line="117" w:lineRule="exact"/>
        <w:rPr>
          <w:rFonts w:ascii="Times New Roman" w:cs="Times New Roman" w:eastAsia="Times New Roman" w:hAnsi="Times New Roman"/>
          <w:sz w:val="18"/>
          <w:szCs w:val="18"/>
          <w:color w:val="auto"/>
        </w:rPr>
      </w:pPr>
    </w:p>
    <w:p>
      <w:pPr>
        <w:jc w:val="both"/>
        <w:ind w:left="1040" w:right="180" w:hanging="519"/>
        <w:spacing w:after="0" w:line="266"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1040" w:right="140" w:hanging="519"/>
        <w:spacing w:after="0" w:line="282"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1040" w:right="100" w:hanging="519"/>
        <w:spacing w:after="0" w:line="276" w:lineRule="auto"/>
        <w:tabs>
          <w:tab w:leader="none" w:pos="10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10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98" w:lineRule="exact"/>
        <w:rPr>
          <w:rFonts w:ascii="Times New Roman" w:cs="Times New Roman" w:eastAsia="Times New Roman" w:hAnsi="Times New Roman"/>
          <w:sz w:val="17"/>
          <w:szCs w:val="17"/>
          <w:color w:val="auto"/>
        </w:rPr>
      </w:pPr>
    </w:p>
    <w:p>
      <w:pPr>
        <w:ind w:left="1540" w:right="60" w:hanging="506"/>
        <w:spacing w:after="0" w:line="266" w:lineRule="auto"/>
        <w:tabs>
          <w:tab w:leader="none" w:pos="15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68" w:lineRule="exact"/>
        <w:rPr>
          <w:rFonts w:ascii="Times New Roman" w:cs="Times New Roman" w:eastAsia="Times New Roman" w:hAnsi="Times New Roman"/>
          <w:sz w:val="18"/>
          <w:szCs w:val="18"/>
          <w:color w:val="auto"/>
        </w:rPr>
      </w:pPr>
    </w:p>
    <w:p>
      <w:pPr>
        <w:ind w:left="1540" w:right="60" w:hanging="506"/>
        <w:spacing w:after="0" w:line="266" w:lineRule="auto"/>
        <w:tabs>
          <w:tab w:leader="none" w:pos="15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1540" w:right="140" w:hanging="506"/>
        <w:spacing w:after="0" w:line="282" w:lineRule="auto"/>
        <w:tabs>
          <w:tab w:leader="none" w:pos="15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540" w:right="140" w:hanging="506"/>
        <w:spacing w:after="0" w:line="266" w:lineRule="auto"/>
        <w:tabs>
          <w:tab w:leader="none" w:pos="15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1040" w:right="60" w:hanging="519"/>
        <w:spacing w:after="0" w:line="282"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540" w:right="380" w:hanging="506"/>
        <w:spacing w:after="0" w:line="282" w:lineRule="auto"/>
        <w:tabs>
          <w:tab w:leader="none" w:pos="15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right="80" w:hanging="506"/>
        <w:spacing w:after="0" w:line="282" w:lineRule="auto"/>
        <w:tabs>
          <w:tab w:leader="none" w:pos="15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7, 2019</w:t>
      </w:r>
    </w:p>
    <w:p>
      <w:pPr>
        <w:spacing w:after="0" w:line="252" w:lineRule="exact"/>
        <w:rPr>
          <w:sz w:val="20"/>
          <w:szCs w:val="20"/>
          <w:color w:val="auto"/>
        </w:rPr>
      </w:pPr>
    </w:p>
    <w:tbl>
      <w:tblPr>
        <w:tblLayout w:type="fixed"/>
        <w:tblInd w:w="6860" w:type="dxa"/>
        <w:tblCellMar>
          <w:top w:w="0" w:type="dxa"/>
          <w:left w:w="0" w:type="dxa"/>
          <w:bottom w:w="0" w:type="dxa"/>
          <w:right w:w="0" w:type="dxa"/>
        </w:tblCellMar>
      </w:tblPr>
      <w:tr>
        <w:trPr>
          <w:trHeight w:val="241"/>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ROMEO R. DIZON</w:t>
            </w:r>
          </w:p>
        </w:tc>
      </w:tr>
      <w:tr>
        <w:trPr>
          <w:trHeight w:val="211"/>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Romeo R. Dizon</w:t>
            </w:r>
          </w:p>
        </w:tc>
      </w:tr>
      <w:tr>
        <w:trPr>
          <w:trHeight w:val="23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of Finance</w:t>
            </w:r>
          </w:p>
        </w:tc>
      </w:tr>
      <w:tr>
        <w:trPr>
          <w:trHeight w:val="234"/>
        </w:trPr>
        <w:tc>
          <w:tcPr>
            <w:tcW w:w="86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ectPr>
          <w:pgSz w:w="11900" w:h="16838" w:orient="portrait"/>
          <w:cols w:equalWidth="0" w:num="1">
            <w:col w:w="11420"/>
          </w:cols>
          <w:pgMar w:left="240" w:top="117" w:right="2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AND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I, David I. Bruce, pursuant to 18 U.S.C. Section 1350, as adopted pursuant to Section 906 of the Sarbanes-Oxley Act of 2002, certify that the Quarterly Report of IRIDEX Corporation on Form 10-Q for the fiscal quarter ended June 29, 2019 (i) fully complies with the requirements of Section 13(a) or 15(d) of the Securities Exchange Act of 1934 and (ii) that information contained in such Quarterly Report on Form 10-Q fairly presents, in all material respects, the financial condition and results of operations of IRIDEX Corporation.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7, 2019</w:t>
      </w:r>
    </w:p>
    <w:p>
      <w:pPr>
        <w:spacing w:after="0" w:line="225" w:lineRule="exact"/>
        <w:rPr>
          <w:sz w:val="20"/>
          <w:szCs w:val="20"/>
          <w:color w:val="auto"/>
        </w:rPr>
      </w:pPr>
    </w:p>
    <w:tbl>
      <w:tblPr>
        <w:tblLayout w:type="fixed"/>
        <w:tblInd w:w="57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I. BRUCE</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I. Bruce</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and Financial Officer)</w:t>
            </w:r>
          </w:p>
        </w:tc>
      </w:tr>
    </w:tbl>
    <w:p>
      <w:pPr>
        <w:sectPr>
          <w:pgSz w:w="11900" w:h="16838" w:orient="portrait"/>
          <w:cols w:equalWidth="0" w:num="1">
            <w:col w:w="11420"/>
          </w:cols>
          <w:pgMar w:left="240" w:top="347" w:right="2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ACCOUNTING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I, Romeo R. Dizon, pursuant to 18 U.S.C. Section 1350, as adopted pursuant to Section 906 of the Sarbanes-Oxley Act of 2002, certify that the Quarterly Report of IRIDEX Corporation on Form 10-Q for the fiscal quarter ended June 29, 2019 (i) fully complies with the requirements of Section 13(a) or 15(d) of the Securities Exchange Act of 1934 and (ii) that information contained in such Quarterly Report on Form 10-Q fairly presents, in all material respects, the financial condition and results of operations of IRIDEX Corporation.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7, 2019</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ROMEO R. DIZON</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Romeo R. Dizon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of Finance</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(Principal Accounting Officer)</w:t>
      </w:r>
    </w:p>
    <w:sectPr>
      <w:pgSz w:w="11900" w:h="16838" w:orient="portrait"/>
      <w:cols w:equalWidth="0" w:num="1">
        <w:col w:w="11420"/>
      </w:cols>
      <w:pgMar w:left="240" w:top="34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2"/>
    </w:lvl>
  </w:abstractNum>
  <w:abstractNum w:abstractNumId="5">
    <w:nsid w:val="41A7C4C9"/>
    <w:multiLevelType w:val="hybridMultilevel"/>
    <w:lvl w:ilvl="0">
      <w:lvlJc w:val="left"/>
      <w:lvlText w:val="%1."/>
      <w:numFmt w:val="lowerLetter"/>
      <w:start w:val="1"/>
    </w:lvl>
  </w:abstractNum>
  <w:abstractNum w:abstractNumId="6">
    <w:nsid w:val="6B68079A"/>
    <w:multiLevelType w:val="hybridMultilevel"/>
    <w:lvl w:ilvl="0">
      <w:lvlJc w:val="left"/>
      <w:lvlText w:val="(%1)"/>
      <w:numFmt w:val="decimal"/>
      <w:start w:val="4"/>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1."/>
      <w:numFmt w:val="decimal"/>
      <w:start w:val="7"/>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decimal"/>
      <w:start w:val="1"/>
    </w:lvl>
  </w:abstractNum>
  <w:abstractNum w:abstractNumId="22">
    <w:nsid w:val="75A2A8D4"/>
    <w:multiLevelType w:val="hybridMultilevel"/>
    <w:lvl w:ilvl="0">
      <w:lvlJc w:val="left"/>
      <w:lvlText w:val="(%1)"/>
      <w:numFmt w:val="upperLetter"/>
      <w:start w:val="16"/>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57" Type="http://schemas.openxmlformats.org/officeDocument/2006/relationships/hyperlink" Target="http://www.sec.gov/Archives/edgar/data/1006045/000156459019010390/irix-ex31_7.htm" TargetMode="External"/><Relationship Id="rId58" Type="http://schemas.openxmlformats.org/officeDocument/2006/relationships/hyperlink" Target="http://www.sec.gov/Archives/edgar/data/1006045/000156459019022508/irix-ex101_6.htm" TargetMode="External"/><Relationship Id="rId59" Type="http://schemas.openxmlformats.org/officeDocument/2006/relationships/hyperlink" Target="http://www.sec.gov/Archives/edgar/data/1006045/000156459019023617/irix-ex101_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2019-12-28T07:48:25Z</dcterms:created>
  <dcterms:modified xsi:type="dcterms:W3CDTF">2019-12-28T07:48:25Z</dcterms:modified>
</cp:coreProperties>
</file>