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rix-20240629.htm"/>
      <w:bookmarkStart w:id="1" w:name="ksirix20240629"/>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0" w:after="12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29, 2024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8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0-27598</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IRIDEX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851" w:type="dxa"/>
        <w:jc w:val="left"/>
        <w:tblInd w:w="0" w:type="dxa"/>
        <w:tblLayout w:type="fixed"/>
        <w:tblCellMar>
          <w:top w:w="28" w:type="dxa"/>
          <w:left w:w="28" w:type="dxa"/>
          <w:bottom w:w="28" w:type="dxa"/>
          <w:right w:w="28" w:type="dxa"/>
        </w:tblCellMar>
      </w:tblPr>
      <w:tblGrid>
        <w:gridCol w:w="2926"/>
        <w:gridCol w:w="109"/>
        <w:gridCol w:w="1816"/>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77-0210467</w:t>
            </w:r>
          </w:p>
        </w:tc>
      </w:tr>
      <w:tr>
        <w:trPr/>
        <w:tc>
          <w:tcPr>
            <w:tcW w:w="2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r>
        <w:trPr/>
        <w:tc>
          <w:tcPr>
            <w:tcW w:w="2926" w:type="dxa"/>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1212 Terra Bella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Mountain View, California</w:t>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94043-1824</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(650) 940-4700</w:t>
      </w:r>
    </w:p>
    <w:p>
      <w:pPr>
        <w:pStyle w:val="TextBody"/>
        <w:pBdr>
          <w:bottom w:val="single" w:sz="4" w:space="1" w:color="000000"/>
        </w:pBdr>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rPr/>
      </w:pPr>
      <w:r>
        <w:rPr/>
        <w:t> </w:t>
      </w:r>
    </w:p>
    <w:tbl>
      <w:tblPr>
        <w:tblW w:w="8650" w:type="dxa"/>
        <w:jc w:val="left"/>
        <w:tblInd w:w="0" w:type="dxa"/>
        <w:tblLayout w:type="fixed"/>
        <w:tblCellMar>
          <w:top w:w="28" w:type="dxa"/>
          <w:left w:w="28" w:type="dxa"/>
          <w:bottom w:w="28" w:type="dxa"/>
          <w:right w:w="28" w:type="dxa"/>
        </w:tblCellMar>
      </w:tblPr>
      <w:tblGrid>
        <w:gridCol w:w="3496"/>
        <w:gridCol w:w="146"/>
        <w:gridCol w:w="1426"/>
        <w:gridCol w:w="146"/>
        <w:gridCol w:w="343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Exchange on Which Registered</w:t>
            </w:r>
          </w:p>
        </w:tc>
      </w:tr>
      <w:tr>
        <w:trPr/>
        <w:tc>
          <w:tcPr>
            <w:tcW w:w="34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vAlign w:val="center"/>
          </w:tcPr>
          <w:p>
            <w:pPr>
              <w:pStyle w:val="TableContents"/>
              <w:bidi w:val="0"/>
              <w:spacing w:before="0" w:after="283"/>
              <w:jc w:val="center"/>
              <w:rPr/>
            </w:pPr>
            <w:r>
              <w:rPr/>
              <w:t> </w:t>
            </w:r>
          </w:p>
        </w:tc>
        <w:tc>
          <w:tcPr>
            <w:tcW w:w="14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IRIX</w:t>
            </w:r>
          </w:p>
        </w:tc>
        <w:tc>
          <w:tcPr>
            <w:tcW w:w="146" w:type="dxa"/>
            <w:tcBorders/>
            <w:vAlign w:val="center"/>
          </w:tcPr>
          <w:p>
            <w:pPr>
              <w:pStyle w:val="TableContents"/>
              <w:bidi w:val="0"/>
              <w:spacing w:before="0" w:after="283"/>
              <w:jc w:val="center"/>
              <w:rPr/>
            </w:pPr>
            <w:r>
              <w:rPr/>
              <w:t> </w:t>
            </w:r>
          </w:p>
        </w:tc>
        <w:tc>
          <w:tcPr>
            <w:tcW w:w="34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52" w:type="dxa"/>
        <w:jc w:val="left"/>
        <w:tblInd w:w="0" w:type="dxa"/>
        <w:tblLayout w:type="fixed"/>
        <w:tblCellMar>
          <w:top w:w="28" w:type="dxa"/>
          <w:left w:w="28" w:type="dxa"/>
          <w:bottom w:w="28" w:type="dxa"/>
          <w:right w:w="28" w:type="dxa"/>
        </w:tblCellMar>
      </w:tblPr>
      <w:tblGrid>
        <w:gridCol w:w="2326"/>
        <w:gridCol w:w="146"/>
        <w:gridCol w:w="316"/>
        <w:gridCol w:w="14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3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3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3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3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number of shares of common stock, $0.01 par value, issued and outstanding as of August 5, 2024 was 16,509,412.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3"/>
        <w:gridCol w:w="146"/>
        <w:gridCol w:w="8814"/>
        <w:gridCol w:w="512"/>
      </w:tblGrid>
      <w:tr>
        <w:trPr/>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1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33"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Items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sz w:val="4"/>
                <w:szCs w:val="4"/>
              </w:rPr>
            </w:pPr>
            <w:r>
              <w:rPr>
                <w:sz w:val="4"/>
                <w:szCs w:val="4"/>
              </w:rPr>
            </w:r>
          </w:p>
        </w:tc>
        <w:tc>
          <w:tcPr>
            <w:tcW w:w="512"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9693" w:type="dxa"/>
            <w:gridSpan w:val="3"/>
            <w:tcBorders/>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PART I. FINANCIAL INFORMATION</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3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hyperlink w:anchor="item_1_condensed_consolidated_financial_">
              <w:r>
                <w:rPr>
                  <w:rStyle w:val="InternetLink"/>
                  <w:rFonts w:ascii="Times New Roman" w:hAnsi="Times New Roman"/>
                  <w:color w:val="0000FF"/>
                  <w:sz w:val="20"/>
                  <w:u w:val="single"/>
                </w:rPr>
                <w:t>Condensed Consolidated Financial Statements (Unaudited)</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Unaudited Condensed Consolidated Balance Sheets as of June 29, 2024 and December 30, 2023</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80"/>
                  <w:sz w:val="20"/>
                  <w:u w:val="single"/>
                </w:rPr>
                <w:t>Unaudited Condensed Consolidated Statements of Operations for the three and six months ended June 29, 2024 and</w:t>
              </w:r>
            </w:hyperlink>
            <w:hyperlink w:anchor="condensed_consolidated_statements_operat">
              <w:r>
                <w:rPr>
                  <w:rStyle w:val="InternetLink"/>
                  <w:rFonts w:ascii="Times New Roman" w:hAnsi="Times New Roman"/>
                  <w:color w:val="000080"/>
                  <w:sz w:val="20"/>
                  <w:u w:val="single"/>
                </w:rPr>
                <w:t xml:space="preserve"> July 1, 2023</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hyperlink w:anchor="condensed_consolidated_statements_compre">
              <w:r>
                <w:rPr>
                  <w:rStyle w:val="InternetLink"/>
                  <w:rFonts w:ascii="Times New Roman" w:hAnsi="Times New Roman"/>
                  <w:color w:val="0000FF"/>
                  <w:sz w:val="20"/>
                  <w:u w:val="single"/>
                </w:rPr>
                <w:t>Unaudited Condensed Consolidated Statements of Comprehensive Loss for the three and six months ended June 29, 2024 and July 1, 2023</w:t>
              </w:r>
            </w:hyperlink>
            <w:r>
              <w:rPr>
                <w:rFonts w:ascii="Times New Roman" w:hAnsi="Times New Roman"/>
                <w:color w:val="0000FF"/>
                <w:sz w:val="20"/>
              </w:rPr>
              <w:t xml:space="preserve">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u w:val="single"/>
                </w:rPr>
                <w:t>Unaudited Condensed Consolidated Statements of Stockholders’ Equity for the three and six months ended June 29, 2024 and July 1, 2023</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80"/>
                  <w:sz w:val="20"/>
                  <w:u w:val="single"/>
                </w:rPr>
                <w:t>Unaudited Condensed Consolidated Statements of Cash Flows for the six months ended June 29, 2024</w:t>
              </w:r>
            </w:hyperlink>
            <w:hyperlink w:anchor="condensed_consolidated_statements_compre">
              <w:r>
                <w:rPr>
                  <w:rStyle w:val="InternetLink"/>
                  <w:rFonts w:ascii="Times New Roman" w:hAnsi="Times New Roman"/>
                  <w:color w:val="000080"/>
                  <w:sz w:val="20"/>
                  <w:u w:val="single"/>
                </w:rPr>
                <w:t xml:space="preserve"> and July 1, 2023</w:t>
              </w:r>
            </w:hyperlink>
            <w:r>
              <w:rPr>
                <w:rFonts w:ascii="Times New Roman" w:hAnsi="Times New Roman"/>
                <w:color w:val="0000FF"/>
                <w:sz w:val="20"/>
              </w:rPr>
              <w:t xml:space="preserve">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3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3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3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9693" w:type="dxa"/>
            <w:gridSpan w:val="3"/>
            <w:tcBorders/>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PART II. OTHER INFORMATION</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3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3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3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3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3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3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3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14"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9693" w:type="dxa"/>
            <w:gridSpan w:val="3"/>
            <w:tcBorders/>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 REGARDING FORWARD-LOOKING STATEMENTS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success of our strategic alternatives;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macroeconomic conditions, including impact of global pandemics or other public health emergencies or outbreaks, foreign exchange fluctuation, inflation concerns, and changing interest rates on our business and results of operations;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customer acceptance and purchase of our existing products and new products;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and expand our customer base;</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competition from other products; </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impact of foreign currency exchange rate and interest rate fluctuations on our results and sales;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pace of change and innovation in the markets in which we participate and the competitive nature of those markets;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business strategy and our plan to build our business;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success of our strategic partnership with Topcon Corporation;</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costs of manufacturing and reliance on third party manufacturers;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forecast and meet product demand;</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discover defects in our products and systems;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international expansion and sales strategy;</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operating results and cash flows;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beliefs and objectives for future operations;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relationships with third parties; </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protect, and enhance our intellectual property rights;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protect, and enhance our information technology systems and data;</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our facilities in good working order;</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recover the carrying value of goodwill;</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impact of expensing stock options and other equity awards;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successfully defend litigation brought against us;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indemnify our directors and officers;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repay indebtedness and have indebtedness forgiven;</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successfully expand in our existing markets and into new markets;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sufficiency of cash to meet cash needs for at least the next 12 months;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comply with laws, policies, and regulations that currently apply or become applicable to our business both in the United States and internationally;</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attract and retain qualified employees and key personnel, and source suppliers;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raise additional capital;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future trading prices of our common stock; and</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pay dividends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You should read this Quarterly Report on Form 10-Q and the documents that we reference in this Quarterly Report on Form 10-Q and have filed with the Securities and Exchange Commission (“SEC”) as exhibits to this Quarterly Report on Form 10-Q with the understanding that our actual future results, levels of activity, performance and events and circumstances may be materially different from what we expect. The outcome of the events described in these forward-looking statements is subject to risks, uncertainties, and other factors described in and should be read in conjunction with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forward-looking statements made in this Quarterly Report on Form 10-Q relate only to events as of the date on which such statements are made. We undertake no obligation to update any forward-looking statements made in this Quarterly Report on Form 10-Q to reflect events or circumstances after the date of this Quarterly Report on Form 10-Q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used in this Quarterly Report on Form 10-Q, the terms “Company,” “IRIDEX,” “we,” “us” and “our” refer to IRIDEX Corporation, and its consolidated subsidiaries.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3" w:name="item_1_condensed_consolidated_financial_"/>
      <w:bookmarkEnd w:id="3"/>
      <w:r>
        <w:rPr>
          <w:rFonts w:ascii="Times New Roman" w:hAnsi="Times New Roman"/>
          <w:b/>
          <w:color w:val="000000"/>
          <w:sz w:val="20"/>
        </w:rPr>
        <w:t>Item 1. Condensed Consolidated Financial Statements (Unaudited)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17"/>
        <w:gridCol w:w="146"/>
        <w:gridCol w:w="240"/>
        <w:gridCol w:w="839"/>
        <w:gridCol w:w="166"/>
        <w:gridCol w:w="146"/>
        <w:gridCol w:w="302"/>
        <w:gridCol w:w="1056"/>
        <w:gridCol w:w="393"/>
      </w:tblGrid>
      <w:tr>
        <w:trPr/>
        <w:tc>
          <w:tcPr>
            <w:tcW w:w="6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7"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7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8"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jc w:val="right"/>
              <w:rPr/>
            </w:pPr>
            <w:r>
              <w:rPr/>
              <w:t> </w:t>
            </w:r>
          </w:p>
        </w:tc>
      </w:tr>
      <w:tr>
        <w:trPr/>
        <w:tc>
          <w:tcPr>
            <w:tcW w:w="69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7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8"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691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7,034</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691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691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Receivable from related party</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691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9,906</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691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27,450</w:t>
            </w:r>
          </w:p>
        </w:tc>
        <w:tc>
          <w:tcPr>
            <w:tcW w:w="393" w:type="dxa"/>
            <w:tcBorders/>
            <w:shd w:fill="FFFFFF" w:val="clear"/>
            <w:vAlign w:val="center"/>
          </w:tcPr>
          <w:p>
            <w:pPr>
              <w:pStyle w:val="TableContents"/>
              <w:bidi w:val="0"/>
              <w:spacing w:before="0" w:after="283"/>
              <w:jc w:val="left"/>
              <w:rPr/>
            </w:pPr>
            <w:r>
              <w:rPr/>
              <w:t> </w:t>
            </w:r>
          </w:p>
        </w:tc>
      </w:tr>
      <w:tr>
        <w:trPr/>
        <w:tc>
          <w:tcPr>
            <w:tcW w:w="69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393" w:type="dxa"/>
            <w:tcBorders/>
            <w:shd w:fill="CFF0FC" w:val="clear"/>
            <w:vAlign w:val="center"/>
          </w:tcPr>
          <w:p>
            <w:pPr>
              <w:pStyle w:val="TableContents"/>
              <w:bidi w:val="0"/>
              <w:spacing w:before="0" w:after="283"/>
              <w:jc w:val="left"/>
              <w:rPr/>
            </w:pPr>
            <w:r>
              <w:rPr/>
              <w:t> </w:t>
            </w:r>
          </w:p>
        </w:tc>
      </w:tr>
      <w:tr>
        <w:trPr/>
        <w:tc>
          <w:tcPr>
            <w:tcW w:w="69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393" w:type="dxa"/>
            <w:tcBorders/>
            <w:shd w:fill="FFFFFF" w:val="clear"/>
            <w:vAlign w:val="center"/>
          </w:tcPr>
          <w:p>
            <w:pPr>
              <w:pStyle w:val="TableContents"/>
              <w:bidi w:val="0"/>
              <w:spacing w:before="0" w:after="283"/>
              <w:jc w:val="left"/>
              <w:rPr/>
            </w:pPr>
            <w:r>
              <w:rPr/>
              <w:t> </w:t>
            </w:r>
          </w:p>
        </w:tc>
      </w:tr>
      <w:tr>
        <w:trPr/>
        <w:tc>
          <w:tcPr>
            <w:tcW w:w="69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393" w:type="dxa"/>
            <w:tcBorders/>
            <w:shd w:fill="CFF0FC" w:val="clear"/>
            <w:vAlign w:val="center"/>
          </w:tcPr>
          <w:p>
            <w:pPr>
              <w:pStyle w:val="TableContents"/>
              <w:bidi w:val="0"/>
              <w:spacing w:before="0" w:after="283"/>
              <w:jc w:val="left"/>
              <w:rPr/>
            </w:pPr>
            <w:r>
              <w:rPr/>
              <w:t> </w:t>
            </w:r>
          </w:p>
        </w:tc>
      </w:tr>
      <w:tr>
        <w:trPr/>
        <w:tc>
          <w:tcPr>
            <w:tcW w:w="69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w:t>
            </w:r>
          </w:p>
        </w:tc>
        <w:tc>
          <w:tcPr>
            <w:tcW w:w="393" w:type="dxa"/>
            <w:tcBorders/>
            <w:shd w:fill="FFFFFF" w:val="clear"/>
            <w:vAlign w:val="center"/>
          </w:tcPr>
          <w:p>
            <w:pPr>
              <w:pStyle w:val="TableContents"/>
              <w:bidi w:val="0"/>
              <w:spacing w:before="0" w:after="283"/>
              <w:jc w:val="left"/>
              <w:rPr/>
            </w:pPr>
            <w:r>
              <w:rPr/>
              <w:t> </w:t>
            </w:r>
          </w:p>
        </w:tc>
      </w:tr>
      <w:tr>
        <w:trPr/>
        <w:tc>
          <w:tcPr>
            <w:tcW w:w="69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34,436</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7"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07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8"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jc w:val="right"/>
              <w:rPr/>
            </w:pPr>
            <w:r>
              <w:rPr/>
              <w:t> </w:t>
            </w:r>
          </w:p>
        </w:tc>
      </w:tr>
      <w:tr>
        <w:trPr/>
        <w:tc>
          <w:tcPr>
            <w:tcW w:w="69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07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8"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691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691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Payable to related party</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691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691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691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691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691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12,974</w:t>
            </w:r>
          </w:p>
        </w:tc>
        <w:tc>
          <w:tcPr>
            <w:tcW w:w="393" w:type="dxa"/>
            <w:tcBorders/>
            <w:shd w:fill="FFFFFF" w:val="clear"/>
            <w:vAlign w:val="center"/>
          </w:tcPr>
          <w:p>
            <w:pPr>
              <w:pStyle w:val="TableContents"/>
              <w:bidi w:val="0"/>
              <w:spacing w:before="0" w:after="283"/>
              <w:jc w:val="left"/>
              <w:rPr/>
            </w:pPr>
            <w:r>
              <w:rPr/>
              <w:t> </w:t>
            </w:r>
          </w:p>
        </w:tc>
      </w:tr>
      <w:tr>
        <w:trPr/>
        <w:tc>
          <w:tcPr>
            <w:tcW w:w="69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vAlign w:val="center"/>
          </w:tcPr>
          <w:p>
            <w:pPr>
              <w:pStyle w:val="TableContents"/>
              <w:bidi w:val="0"/>
              <w:spacing w:before="0" w:after="283"/>
              <w:jc w:val="left"/>
              <w:rPr/>
            </w:pPr>
            <w:r>
              <w:rPr/>
              <w:t> </w:t>
            </w:r>
          </w:p>
        </w:tc>
        <w:tc>
          <w:tcPr>
            <w:tcW w:w="107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8"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691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10,025</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691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691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24,914</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FFFFFF" w:val="clear"/>
            <w:vAlign w:val="center"/>
          </w:tcPr>
          <w:p>
            <w:pPr>
              <w:pStyle w:val="TableContents"/>
              <w:bidi w:val="0"/>
              <w:spacing w:before="0" w:after="283"/>
              <w:jc w:val="left"/>
              <w:rPr/>
            </w:pPr>
            <w:r>
              <w:rPr/>
              <w:t> </w:t>
            </w:r>
          </w:p>
        </w:tc>
        <w:tc>
          <w:tcPr>
            <w:tcW w:w="107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8"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jc w:val="right"/>
              <w:rPr/>
            </w:pPr>
            <w:r>
              <w:rPr/>
              <w:t> </w:t>
            </w:r>
          </w:p>
        </w:tc>
      </w:tr>
      <w:tr>
        <w:trPr/>
        <w:tc>
          <w:tcPr>
            <w:tcW w:w="69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7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8"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jc w:val="right"/>
              <w:rPr/>
            </w:pPr>
            <w:r>
              <w:rPr/>
              <w:t> </w:t>
            </w:r>
          </w:p>
        </w:tc>
      </w:tr>
      <w:tr>
        <w:trPr/>
        <w:tc>
          <w:tcPr>
            <w:tcW w:w="69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$0.01 par value, 2,000,000 shares authorized, no shares issued and outstanding</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color w:val="000000"/>
              </w:rPr>
            </w:pPr>
            <w:r>
              <w:rPr>
                <w:color w:val="000000"/>
              </w:rPr>
              <w:t>—</w:t>
            </w:r>
          </w:p>
        </w:tc>
        <w:tc>
          <w:tcPr>
            <w:tcW w:w="393" w:type="dxa"/>
            <w:tcBorders/>
            <w:shd w:fill="FFFFFF" w:val="clear"/>
            <w:vAlign w:val="center"/>
          </w:tcPr>
          <w:p>
            <w:pPr>
              <w:pStyle w:val="TableContents"/>
              <w:bidi w:val="0"/>
              <w:spacing w:before="0" w:after="283"/>
              <w:jc w:val="left"/>
              <w:rPr/>
            </w:pPr>
            <w:r>
              <w:rPr/>
              <w:t> </w:t>
            </w:r>
          </w:p>
        </w:tc>
      </w:tr>
      <w:tr>
        <w:trPr/>
        <w:tc>
          <w:tcPr>
            <w:tcW w:w="69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$0.01 par value:</w:t>
            </w:r>
          </w:p>
        </w:tc>
        <w:tc>
          <w:tcPr>
            <w:tcW w:w="146" w:type="dxa"/>
            <w:tcBorders/>
            <w:shd w:fill="CFF0FC" w:val="clear"/>
            <w:vAlign w:val="center"/>
          </w:tcPr>
          <w:p>
            <w:pPr>
              <w:pStyle w:val="TableContents"/>
              <w:bidi w:val="0"/>
              <w:spacing w:before="0" w:after="283"/>
              <w:jc w:val="left"/>
              <w:rPr/>
            </w:pPr>
            <w:r>
              <w:rPr/>
              <w:t> </w:t>
            </w:r>
          </w:p>
        </w:tc>
        <w:tc>
          <w:tcPr>
            <w:tcW w:w="107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8"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691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Authorized: 30,000,000 shares;</w:t>
            </w:r>
          </w:p>
        </w:tc>
        <w:tc>
          <w:tcPr>
            <w:tcW w:w="146" w:type="dxa"/>
            <w:tcBorders/>
            <w:shd w:fill="FFFFFF" w:val="clear"/>
            <w:vAlign w:val="center"/>
          </w:tcPr>
          <w:p>
            <w:pPr>
              <w:pStyle w:val="TableContents"/>
              <w:bidi w:val="0"/>
              <w:spacing w:before="0" w:after="283"/>
              <w:jc w:val="left"/>
              <w:rPr/>
            </w:pPr>
            <w:r>
              <w:rPr/>
              <w:t> </w:t>
            </w:r>
          </w:p>
        </w:tc>
        <w:tc>
          <w:tcPr>
            <w:tcW w:w="107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8"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691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Issued and outstanding 16,449,283 shares as of June 29, 2024 and 16,252,813 as of December 30, 2023</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93" w:type="dxa"/>
            <w:tcBorders/>
            <w:shd w:fill="CFF0FC" w:val="clear"/>
            <w:vAlign w:val="center"/>
          </w:tcPr>
          <w:p>
            <w:pPr>
              <w:pStyle w:val="TableContents"/>
              <w:bidi w:val="0"/>
              <w:spacing w:before="0" w:after="283"/>
              <w:jc w:val="left"/>
              <w:rPr/>
            </w:pPr>
            <w:r>
              <w:rPr/>
              <w:t> </w:t>
            </w:r>
          </w:p>
        </w:tc>
      </w:tr>
      <w:tr>
        <w:trPr/>
        <w:tc>
          <w:tcPr>
            <w:tcW w:w="69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88,444</w:t>
            </w:r>
          </w:p>
        </w:tc>
        <w:tc>
          <w:tcPr>
            <w:tcW w:w="393" w:type="dxa"/>
            <w:tcBorders/>
            <w:shd w:fill="FFFFFF" w:val="clear"/>
            <w:vAlign w:val="center"/>
          </w:tcPr>
          <w:p>
            <w:pPr>
              <w:pStyle w:val="TableContents"/>
              <w:bidi w:val="0"/>
              <w:spacing w:before="0" w:after="283"/>
              <w:jc w:val="left"/>
              <w:rPr/>
            </w:pPr>
            <w:r>
              <w:rPr/>
              <w:t> </w:t>
            </w:r>
          </w:p>
        </w:tc>
      </w:tr>
      <w:tr>
        <w:trPr/>
        <w:tc>
          <w:tcPr>
            <w:tcW w:w="69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(79,042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34,436</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iridex_corporation"/>
      <w:bookmarkEnd w:id="5"/>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6" w:name="condensed_consolidated_statements_operat"/>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83"/>
        <w:gridCol w:w="346"/>
        <w:gridCol w:w="248"/>
        <w:gridCol w:w="798"/>
        <w:gridCol w:w="166"/>
        <w:gridCol w:w="146"/>
        <w:gridCol w:w="229"/>
        <w:gridCol w:w="736"/>
        <w:gridCol w:w="166"/>
        <w:gridCol w:w="146"/>
        <w:gridCol w:w="248"/>
        <w:gridCol w:w="798"/>
        <w:gridCol w:w="166"/>
        <w:gridCol w:w="146"/>
        <w:gridCol w:w="229"/>
        <w:gridCol w:w="736"/>
        <w:gridCol w:w="418"/>
      </w:tblGrid>
      <w:tr>
        <w:trPr/>
        <w:tc>
          <w:tcPr>
            <w:tcW w:w="448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483"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3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3"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1, 2023</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3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26,561</w:t>
            </w:r>
          </w:p>
        </w:tc>
        <w:tc>
          <w:tcPr>
            <w:tcW w:w="418" w:type="dxa"/>
            <w:tcBorders/>
            <w:shd w:fill="CFF0FC" w:val="clear"/>
            <w:vAlign w:val="center"/>
          </w:tcPr>
          <w:p>
            <w:pPr>
              <w:pStyle w:val="TableContents"/>
              <w:bidi w:val="0"/>
              <w:spacing w:before="0" w:after="283"/>
              <w:jc w:val="left"/>
              <w:rPr/>
            </w:pPr>
            <w:r>
              <w:rPr/>
              <w:t> </w:t>
            </w:r>
          </w:p>
        </w:tc>
      </w:tr>
      <w:tr>
        <w:trPr/>
        <w:tc>
          <w:tcPr>
            <w:tcW w:w="44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3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3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11,301</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FFFFFF" w:val="clear"/>
            <w:vAlign w:val="center"/>
          </w:tcPr>
          <w:p>
            <w:pPr>
              <w:pStyle w:val="TableContents"/>
              <w:bidi w:val="0"/>
              <w:spacing w:before="0" w:after="283"/>
              <w:jc w:val="left"/>
              <w:rPr/>
            </w:pPr>
            <w:r>
              <w:rPr/>
              <w:t> </w:t>
            </w:r>
          </w:p>
        </w:tc>
        <w:tc>
          <w:tcPr>
            <w:tcW w:w="10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5" w:type="dxa"/>
            <w:gridSpan w:val="2"/>
            <w:tcBorders/>
            <w:shd w:fill="FFFFFF" w:val="clear"/>
            <w:vAlign w:val="center"/>
          </w:tcPr>
          <w:p>
            <w:pPr>
              <w:pStyle w:val="TableContents"/>
              <w:bidi w:val="0"/>
              <w:spacing w:before="0" w:after="283"/>
              <w:jc w:val="right"/>
              <w:rPr/>
            </w:pPr>
            <w:r>
              <w:rPr/>
              <w:t> </w:t>
            </w:r>
          </w:p>
        </w:tc>
        <w:tc>
          <w:tcPr>
            <w:tcW w:w="418" w:type="dxa"/>
            <w:tcBorders/>
            <w:shd w:fill="FFFFFF" w:val="clear"/>
            <w:vAlign w:val="center"/>
          </w:tcPr>
          <w:p>
            <w:pPr>
              <w:pStyle w:val="TableContents"/>
              <w:bidi w:val="0"/>
              <w:spacing w:before="0" w:after="283"/>
              <w:ind w:left="0" w:right="0" w:firstLine="200"/>
              <w:jc w:val="right"/>
              <w:rPr/>
            </w:pPr>
            <w:r>
              <w:rPr/>
              <w:t> </w:t>
            </w:r>
          </w:p>
        </w:tc>
      </w:tr>
      <w:tr>
        <w:trPr/>
        <w:tc>
          <w:tcPr>
            <w:tcW w:w="448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48"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w:t>
            </w:r>
          </w:p>
        </w:tc>
        <w:tc>
          <w:tcPr>
            <w:tcW w:w="418" w:type="dxa"/>
            <w:tcBorders/>
            <w:shd w:fill="CFF0FC" w:val="clear"/>
            <w:vAlign w:val="center"/>
          </w:tcPr>
          <w:p>
            <w:pPr>
              <w:pStyle w:val="TableContents"/>
              <w:bidi w:val="0"/>
              <w:spacing w:before="0" w:after="283"/>
              <w:ind w:left="0" w:right="0" w:firstLine="200"/>
              <w:jc w:val="left"/>
              <w:rPr/>
            </w:pPr>
            <w:r>
              <w:rPr/>
              <w:t> </w:t>
            </w:r>
          </w:p>
        </w:tc>
      </w:tr>
      <w:tr>
        <w:trPr/>
        <w:tc>
          <w:tcPr>
            <w:tcW w:w="448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8,547</w:t>
            </w:r>
          </w:p>
        </w:tc>
        <w:tc>
          <w:tcPr>
            <w:tcW w:w="418" w:type="dxa"/>
            <w:tcBorders/>
            <w:shd w:fill="FFFFFF" w:val="clear"/>
            <w:vAlign w:val="center"/>
          </w:tcPr>
          <w:p>
            <w:pPr>
              <w:pStyle w:val="TableContents"/>
              <w:bidi w:val="0"/>
              <w:spacing w:before="0" w:after="283"/>
              <w:ind w:left="0" w:right="0" w:firstLine="200"/>
              <w:jc w:val="left"/>
              <w:rPr/>
            </w:pPr>
            <w:r>
              <w:rPr/>
              <w:t> </w:t>
            </w:r>
          </w:p>
        </w:tc>
      </w:tr>
      <w:tr>
        <w:trPr/>
        <w:tc>
          <w:tcPr>
            <w:tcW w:w="448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16,539</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(5,238</w:t>
            </w:r>
          </w:p>
        </w:tc>
        <w:tc>
          <w:tcPr>
            <w:tcW w:w="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3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before provision for income taxes</w:t>
            </w:r>
          </w:p>
        </w:tc>
        <w:tc>
          <w:tcPr>
            <w:tcW w:w="3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w:t>
            </w:r>
          </w:p>
        </w:tc>
        <w:tc>
          <w:tcPr>
            <w:tcW w:w="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3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346" w:type="dxa"/>
            <w:tcBorders/>
            <w:shd w:fill="FFFFFF" w:val="clear"/>
            <w:vAlign w:val="center"/>
          </w:tcPr>
          <w:p>
            <w:pPr>
              <w:pStyle w:val="TableContents"/>
              <w:bidi w:val="0"/>
              <w:spacing w:before="0" w:after="283"/>
              <w:jc w:val="left"/>
              <w:rPr/>
            </w:pPr>
            <w:r>
              <w:rPr/>
              <w:t> </w:t>
            </w:r>
          </w:p>
        </w:tc>
        <w:tc>
          <w:tcPr>
            <w:tcW w:w="10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5" w:type="dxa"/>
            <w:gridSpan w:val="2"/>
            <w:tcBorders/>
            <w:shd w:fill="FFFFFF" w:val="clear"/>
            <w:vAlign w:val="center"/>
          </w:tcPr>
          <w:p>
            <w:pPr>
              <w:pStyle w:val="TableContents"/>
              <w:bidi w:val="0"/>
              <w:spacing w:before="0" w:after="283"/>
              <w:jc w:val="right"/>
              <w:rPr/>
            </w:pPr>
            <w:r>
              <w:rPr/>
              <w:t> </w:t>
            </w:r>
          </w:p>
        </w:tc>
        <w:tc>
          <w:tcPr>
            <w:tcW w:w="418" w:type="dxa"/>
            <w:tcBorders/>
            <w:shd w:fill="FFFFFF" w:val="clear"/>
            <w:vAlign w:val="center"/>
          </w:tcPr>
          <w:p>
            <w:pPr>
              <w:pStyle w:val="TableContents"/>
              <w:bidi w:val="0"/>
              <w:spacing w:before="0" w:after="283"/>
              <w:ind w:left="0" w:right="0" w:firstLine="200"/>
              <w:jc w:val="right"/>
              <w:rPr/>
            </w:pPr>
            <w:r>
              <w:rPr/>
              <w:t> </w:t>
            </w:r>
          </w:p>
        </w:tc>
      </w:tr>
      <w:tr>
        <w:trPr/>
        <w:tc>
          <w:tcPr>
            <w:tcW w:w="448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computing net loss per common share:</w:t>
            </w:r>
          </w:p>
        </w:tc>
        <w:tc>
          <w:tcPr>
            <w:tcW w:w="346" w:type="dxa"/>
            <w:tcBorders/>
            <w:shd w:fill="CFF0FC" w:val="clear"/>
            <w:vAlign w:val="center"/>
          </w:tcPr>
          <w:p>
            <w:pPr>
              <w:pStyle w:val="TableContents"/>
              <w:bidi w:val="0"/>
              <w:spacing w:before="0" w:after="283"/>
              <w:jc w:val="left"/>
              <w:rPr/>
            </w:pPr>
            <w:r>
              <w:rPr/>
              <w:t> </w:t>
            </w:r>
          </w:p>
        </w:tc>
        <w:tc>
          <w:tcPr>
            <w:tcW w:w="10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5" w:type="dxa"/>
            <w:gridSpan w:val="2"/>
            <w:tcBorders/>
            <w:shd w:fill="CFF0FC" w:val="clear"/>
            <w:vAlign w:val="center"/>
          </w:tcPr>
          <w:p>
            <w:pPr>
              <w:pStyle w:val="TableContents"/>
              <w:bidi w:val="0"/>
              <w:spacing w:before="0" w:after="283"/>
              <w:jc w:val="right"/>
              <w:rPr/>
            </w:pPr>
            <w:r>
              <w:rPr/>
              <w:t> </w:t>
            </w:r>
          </w:p>
        </w:tc>
        <w:tc>
          <w:tcPr>
            <w:tcW w:w="418" w:type="dxa"/>
            <w:tcBorders/>
            <w:shd w:fill="CFF0FC" w:val="clear"/>
            <w:vAlign w:val="center"/>
          </w:tcPr>
          <w:p>
            <w:pPr>
              <w:pStyle w:val="TableContents"/>
              <w:bidi w:val="0"/>
              <w:spacing w:before="0" w:after="283"/>
              <w:ind w:left="0" w:right="0" w:firstLine="200"/>
              <w:jc w:val="right"/>
              <w:rPr/>
            </w:pPr>
            <w:r>
              <w:rPr/>
              <w:t> </w:t>
            </w:r>
          </w:p>
        </w:tc>
      </w:tr>
      <w:tr>
        <w:trPr/>
        <w:tc>
          <w:tcPr>
            <w:tcW w:w="448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16,018</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8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16,018</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7" w:name="condensed_consolidated_statements_compre"/>
      <w:bookmarkEnd w:id="7"/>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9829" w:type="dxa"/>
        <w:jc w:val="left"/>
        <w:tblInd w:w="0" w:type="dxa"/>
        <w:tblLayout w:type="fixed"/>
        <w:tblCellMar>
          <w:top w:w="28" w:type="dxa"/>
          <w:left w:w="28" w:type="dxa"/>
          <w:bottom w:w="28" w:type="dxa"/>
          <w:right w:w="28" w:type="dxa"/>
        </w:tblCellMar>
      </w:tblPr>
      <w:tblGrid>
        <w:gridCol w:w="4276"/>
        <w:gridCol w:w="146"/>
        <w:gridCol w:w="282"/>
        <w:gridCol w:w="843"/>
        <w:gridCol w:w="166"/>
        <w:gridCol w:w="146"/>
        <w:gridCol w:w="252"/>
        <w:gridCol w:w="753"/>
        <w:gridCol w:w="166"/>
        <w:gridCol w:w="146"/>
        <w:gridCol w:w="282"/>
        <w:gridCol w:w="843"/>
        <w:gridCol w:w="166"/>
        <w:gridCol w:w="146"/>
        <w:gridCol w:w="252"/>
        <w:gridCol w:w="753"/>
        <w:gridCol w:w="21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foreign currency translation adjustments</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8" w:name="condensed_consolidated_statements_stockh"/>
      <w:bookmarkEnd w:id="8"/>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37"/>
        <w:gridCol w:w="146"/>
        <w:gridCol w:w="146"/>
        <w:gridCol w:w="916"/>
        <w:gridCol w:w="146"/>
        <w:gridCol w:w="146"/>
        <w:gridCol w:w="236"/>
        <w:gridCol w:w="455"/>
        <w:gridCol w:w="146"/>
        <w:gridCol w:w="146"/>
        <w:gridCol w:w="214"/>
        <w:gridCol w:w="657"/>
        <w:gridCol w:w="166"/>
        <w:gridCol w:w="146"/>
        <w:gridCol w:w="439"/>
        <w:gridCol w:w="777"/>
        <w:gridCol w:w="166"/>
        <w:gridCol w:w="146"/>
        <w:gridCol w:w="240"/>
        <w:gridCol w:w="811"/>
        <w:gridCol w:w="166"/>
        <w:gridCol w:w="146"/>
        <w:gridCol w:w="293"/>
        <w:gridCol w:w="905"/>
        <w:gridCol w:w="213"/>
      </w:tblGrid>
      <w:tr>
        <w:trPr/>
        <w:tc>
          <w:tcPr>
            <w:tcW w:w="2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37"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29, 2024</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213" w:type="dxa"/>
            <w:tcBorders/>
            <w:shd w:fill="FFFFFF" w:val="clear"/>
            <w:vAlign w:val="center"/>
          </w:tcPr>
          <w:p>
            <w:pPr>
              <w:pStyle w:val="TableContents"/>
              <w:bidi w:val="0"/>
              <w:spacing w:before="0" w:after="283"/>
              <w:jc w:val="center"/>
              <w:rPr/>
            </w:pPr>
            <w:r>
              <w:rPr/>
              <w:t> </w:t>
            </w:r>
          </w:p>
        </w:tc>
      </w:tr>
      <w:tr>
        <w:trPr/>
        <w:tc>
          <w:tcPr>
            <w:tcW w:w="22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March 30,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16,252,813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(82,506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6,488</w:t>
            </w:r>
          </w:p>
        </w:tc>
        <w:tc>
          <w:tcPr>
            <w:tcW w:w="213" w:type="dxa"/>
            <w:tcBorders/>
            <w:shd w:fill="CFF0FC" w:val="cle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the stock option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w:t>
            </w:r>
          </w:p>
        </w:tc>
        <w:tc>
          <w:tcPr>
            <w:tcW w:w="213" w:type="dxa"/>
            <w:tcBorders/>
            <w:shd w:fill="CFF0FC" w:val="cle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 of restricted stock, net of taxes paid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196,335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13" w:type="dxa"/>
            <w:tcBorders/>
            <w:shd w:fill="CFF0FC" w:val="cle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June 29,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16,449,283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2237"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29, 2024</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213" w:type="dxa"/>
            <w:tcBorders/>
            <w:shd w:fill="FFFFFF" w:val="clear"/>
            <w:vAlign w:val="center"/>
          </w:tcPr>
          <w:p>
            <w:pPr>
              <w:pStyle w:val="TableContents"/>
              <w:bidi w:val="0"/>
              <w:spacing w:before="0" w:after="283"/>
              <w:jc w:val="center"/>
              <w:rPr/>
            </w:pPr>
            <w:r>
              <w:rPr/>
              <w:t> </w:t>
            </w:r>
          </w:p>
        </w:tc>
      </w:tr>
      <w:tr>
        <w:trPr/>
        <w:tc>
          <w:tcPr>
            <w:tcW w:w="22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December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16,252,813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(79,042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9,522</w:t>
            </w:r>
          </w:p>
        </w:tc>
        <w:tc>
          <w:tcPr>
            <w:tcW w:w="213" w:type="dxa"/>
            <w:tcBorders/>
            <w:shd w:fill="CFF0FC" w:val="cle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the stock option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w:t>
            </w:r>
          </w:p>
        </w:tc>
        <w:tc>
          <w:tcPr>
            <w:tcW w:w="213" w:type="dxa"/>
            <w:tcBorders/>
            <w:shd w:fill="CFF0FC" w:val="cle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 of restricted stock, net of taxes paid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196,335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13" w:type="dxa"/>
            <w:tcBorders/>
            <w:shd w:fill="CFF0FC" w:val="cle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June 29,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16,449,283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223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223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223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2237"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July 1, 2023</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213" w:type="dxa"/>
            <w:tcBorders/>
            <w:shd w:fill="FFFFFF" w:val="clear"/>
            <w:vAlign w:val="center"/>
          </w:tcPr>
          <w:p>
            <w:pPr>
              <w:pStyle w:val="TableContents"/>
              <w:bidi w:val="0"/>
              <w:spacing w:before="0" w:after="283"/>
              <w:jc w:val="center"/>
              <w:rPr/>
            </w:pPr>
            <w:r>
              <w:rPr/>
              <w:t> </w:t>
            </w:r>
          </w:p>
        </w:tc>
      </w:tr>
      <w:tr>
        <w:trPr/>
        <w:tc>
          <w:tcPr>
            <w:tcW w:w="22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April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16,007,161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(71,562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15,884</w:t>
            </w:r>
          </w:p>
        </w:tc>
        <w:tc>
          <w:tcPr>
            <w:tcW w:w="213" w:type="dxa"/>
            <w:tcBorders/>
            <w:shd w:fill="CFF0FC" w:val="cle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13" w:type="dxa"/>
            <w:tcBorders/>
            <w:shd w:fill="FFFFFF" w:val="clear"/>
            <w:vAlign w:val="center"/>
          </w:tcPr>
          <w:p>
            <w:pPr>
              <w:pStyle w:val="TableContents"/>
              <w:bidi w:val="0"/>
              <w:spacing w:before="0" w:after="283"/>
              <w:jc w:val="left"/>
              <w:rPr/>
            </w:pPr>
            <w:r>
              <w:rPr/>
              <w:t> </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 of restricted stock, net of taxes paid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199,221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July 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16,206,382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13,450</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2237"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July 1, 2023</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213" w:type="dxa"/>
            <w:tcBorders/>
            <w:shd w:fill="FFFFFF" w:val="clear"/>
            <w:vAlign w:val="center"/>
          </w:tcPr>
          <w:p>
            <w:pPr>
              <w:pStyle w:val="TableContents"/>
              <w:bidi w:val="0"/>
              <w:spacing w:before="0" w:after="283"/>
              <w:jc w:val="center"/>
              <w:rPr/>
            </w:pPr>
            <w:r>
              <w:rPr/>
              <w:t> </w:t>
            </w:r>
          </w:p>
        </w:tc>
      </w:tr>
      <w:tr>
        <w:trPr/>
        <w:tc>
          <w:tcPr>
            <w:tcW w:w="22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15,989,662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(69,716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17,231</w:t>
            </w:r>
          </w:p>
        </w:tc>
        <w:tc>
          <w:tcPr>
            <w:tcW w:w="213" w:type="dxa"/>
            <w:tcBorders/>
            <w:shd w:fill="FFFFFF" w:val="clear"/>
            <w:vAlign w:val="center"/>
          </w:tcPr>
          <w:p>
            <w:pPr>
              <w:pStyle w:val="TableContents"/>
              <w:bidi w:val="0"/>
              <w:spacing w:before="0" w:after="283"/>
              <w:jc w:val="left"/>
              <w:rPr/>
            </w:pPr>
            <w:r>
              <w:rPr/>
              <w:t> </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Adoption of ASU 2016-13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213" w:type="dxa"/>
            <w:tcBorders/>
            <w:shd w:fill="CFF0FC" w:val="cle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the stock option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13" w:type="dxa"/>
            <w:tcBorders/>
            <w:shd w:fill="FFFFFF" w:val="clear"/>
            <w:vAlign w:val="center"/>
          </w:tcPr>
          <w:p>
            <w:pPr>
              <w:pStyle w:val="TableContents"/>
              <w:bidi w:val="0"/>
              <w:spacing w:before="0" w:after="283"/>
              <w:jc w:val="left"/>
              <w:rPr/>
            </w:pPr>
            <w:r>
              <w:rPr/>
              <w:t> </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w:t>
            </w:r>
          </w:p>
        </w:tc>
        <w:tc>
          <w:tcPr>
            <w:tcW w:w="213" w:type="dxa"/>
            <w:tcBorders/>
            <w:shd w:fill="CFF0FC" w:val="cle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 of restricted stock, net of taxes paid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199,221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July 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16,206,382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13,450</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9" w:name="condensed_consolidated_statements_cash_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9230" w:type="dxa"/>
        <w:jc w:val="left"/>
        <w:tblInd w:w="0" w:type="dxa"/>
        <w:tblLayout w:type="fixed"/>
        <w:tblCellMar>
          <w:top w:w="28" w:type="dxa"/>
          <w:left w:w="28" w:type="dxa"/>
          <w:bottom w:w="28" w:type="dxa"/>
          <w:right w:w="28" w:type="dxa"/>
        </w:tblCellMar>
      </w:tblPr>
      <w:tblGrid>
        <w:gridCol w:w="6031"/>
        <w:gridCol w:w="146"/>
        <w:gridCol w:w="282"/>
        <w:gridCol w:w="843"/>
        <w:gridCol w:w="166"/>
        <w:gridCol w:w="146"/>
        <w:gridCol w:w="239"/>
        <w:gridCol w:w="766"/>
        <w:gridCol w:w="6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1, 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611" w:type="dxa"/>
            <w:tcBorders/>
            <w:shd w:fill="FFFFFF" w:val="cle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operating lease right-of-use assets</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611" w:type="dxa"/>
            <w:tcBorders/>
            <w:shd w:fill="CFF0FC" w:val="cle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611" w:type="dxa"/>
            <w:tcBorders/>
            <w:shd w:fill="FFFFFF" w:val="cle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Receivable from related party</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Payable to related party</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Acquisition of property and equipment</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for stock option exercises</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Taxes paid related to net share settlements of equity awards</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during the period for income taxes</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611" w:type="dxa"/>
            <w:tcBorders/>
            <w:shd w:fill="CFF0FC" w:val="cle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activities:</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Transfer of inventory to property and equipment</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10" w:name="notes_to_unaudited_condensed_consolidate"/>
      <w:bookmarkEnd w:id="10"/>
      <w:r>
        <w:rPr>
          <w:rFonts w:ascii="Times New Roman" w:hAnsi="Times New Roman"/>
          <w:b/>
          <w:color w:val="000000"/>
          <w:sz w:val="20"/>
        </w:rPr>
        <w:t>Notes to Unaudited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Basis of Presentation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December 30, 2023, which was filed with the SEC on March 29, 2024. The results of operations for the three and six months ended June 29, 2024 and July 1, 2023 are not necessarily indicative of the results for the fiscal year ending December 28, 2024 or any future interim period. The three months ended June 29, 2024 and July 1, 2023 each had 13 weeks. For purposes of reporting the financial results, the Company’s fiscal years end on the Saturday closest to the end of December. Periodically, the Company includes a 53rd week to a year in order to end that year on the Saturday closest to the end of December.</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Liquidity and Management Plans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assuming the Company will continue as a going concern. For the six months ended June 29, 2024, the Company implemented cost savings initiatives to increase operational efficiencies across all departments, which the Company expects will decrease its operating expenses and increase working capital over the next five quarters. Based on these cost savings initiatives implemented by the Company and the closing of the $3.4 million Note with The Lind Partners, LLC (“Lind”) (with an option to have an additional $1.5 million Subsequent Note), management believes it has alleviated substantial doubt about the Company’s ability to satisfy its liquidity needs over the next 12 months.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significant accounting policies are disclosed in our Annual Report on Form 10-K for the year ended December 30, 2023, which was filed with the SEC on March 29,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Financial Statement Presentation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unaudited condensed consolidated financial statements include the accounts of the Company and our wholly-owned subsidiaries. All significant intercompany accounts and transactions have been eliminated in consolidation.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Our revenues arise from the sale of laser consoles, delivery devices, consumables, service, and support activities. We also derive revenue from royalties from third parties which are typically based on the licensees’ net sales of products that utilize our technology. Our revenue is recognized in accordance with Accounting Standards Codification (“ASC”) Topic 606, “</w:t>
      </w:r>
      <w:r>
        <w:rPr>
          <w:rFonts w:ascii="Times New Roman" w:hAnsi="Times New Roman"/>
          <w:i/>
          <w:color w:val="000000"/>
          <w:sz w:val="20"/>
        </w:rPr>
        <w:t>Revenue from Contracts with Customers.”</w:t>
      </w:r>
      <w:r>
        <w:rPr>
          <w:rFonts w:ascii="Times New Roman" w:hAnsi="Times New Roman"/>
          <w:color w:val="000000"/>
          <w:sz w:val="20"/>
        </w:rPr>
        <w:t xml:space="preserve">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the following revenue transaction types: (1) Product Sale Only, (2) Service Contracts, (3) System Repairs (outside of warranty), (4) Royalty Revenue and (5) Exclusive Distribution Rights.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rFonts w:ascii="Times New Roman" w:hAnsi="Times New Roman"/>
          <w:sz w:val="24"/>
        </w:rPr>
      </w:pPr>
      <w:r>
        <w:rPr>
          <w:rFonts w:ascii="Times New Roman" w:hAnsi="Times New Roman"/>
          <w:color w:val="000000"/>
          <w:sz w:val="20"/>
        </w:rPr>
        <w:t>users. In other countries outside of the United States and Germany, the Company utilizes independent, third-party distributors to market and sell the Company’s products. There is no continuing obligation after shipment is made to these distributors.</w:t>
      </w:r>
      <w:r>
        <w:rPr>
          <w:rFonts w:ascii="Times New Roman" w:hAnsi="Times New Roman"/>
          <w:color w:val="000000"/>
          <w:sz w:val="24"/>
        </w:rPr>
        <w:t xml:space="preserve"> </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The Company recognizes revenue from product sales at a point in time subject to the allocation of transaction price to additional performance obligations, if any.</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sz w:val="24"/>
        </w:rPr>
      </w:pPr>
      <w:r>
        <w:rPr>
          <w:rFonts w:ascii="Times New Roman" w:hAnsi="Times New Roman"/>
          <w:color w:val="000000"/>
          <w:sz w:val="20"/>
        </w:rPr>
        <w:t>Service Contracts: The Company offers a standard two-year warranty on all system sales. The Company also offers a service contract which is sold to customers in incremental, one-year</w:t>
      </w:r>
      <w:r>
        <w:rPr>
          <w:rFonts w:ascii="Times New Roman" w:hAnsi="Times New Roman"/>
          <w:color w:val="000000"/>
          <w:sz w:val="24"/>
        </w:rPr>
        <w:t xml:space="preserve"> </w:t>
      </w:r>
      <w:r>
        <w:rPr>
          <w:rFonts w:ascii="Times New Roman" w:hAnsi="Times New Roman"/>
          <w:color w:val="000000"/>
          <w:sz w:val="20"/>
        </w:rPr>
        <w:t>periods that begin subsequent to the expiration of the standard two-year warranty. The customer can opt to purchase the service contract at the time of the system sale or after the initial system sale.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The Company recognizes revenue from service contracts ratably over the service period. Revenue recognition for the sale of a service contract is largely dependent on the timing of the sale as follows:</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 </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sz w:val="24"/>
        </w:rPr>
      </w:pPr>
      <w:r>
        <w:rPr>
          <w:rFonts w:ascii="Times New Roman" w:hAnsi="Times New Roman"/>
          <w:color w:val="000000"/>
          <w:sz w:val="20"/>
        </w:rPr>
        <w:t>Service Contract Sale Subsequent to System Sale: If the customer opts to purchase a service contract after the initial system sale, the Company determines the amount of time that has elapsed since the initial system sale. If the service contract is purchased within 60</w:t>
      </w:r>
      <w:r>
        <w:rPr>
          <w:rFonts w:ascii="Times New Roman" w:hAnsi="Times New Roman"/>
          <w:color w:val="000000"/>
          <w:sz w:val="24"/>
        </w:rPr>
        <w:t xml:space="preserve"> </w:t>
      </w:r>
      <w:r>
        <w:rPr>
          <w:rFonts w:ascii="Times New Roman" w:hAnsi="Times New Roman"/>
          <w:color w:val="000000"/>
          <w:sz w:val="20"/>
        </w:rPr>
        <w:t>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System Repairs (outside of warranty): Customers will occasionally request repairs from the Company subsequent to the expiration of the standard warranty and outside of a service contract. </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 xml:space="preserve">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As such, revenue is recognized as the repair services are rendered and the performance obligation satisfied.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sz w:val="24"/>
        </w:rPr>
      </w:pPr>
      <w:r>
        <w:rPr>
          <w:rFonts w:ascii="Times New Roman" w:hAnsi="Times New Roman"/>
          <w:color w:val="000000"/>
          <w:sz w:val="20"/>
        </w:rPr>
        <w:t>Royalty Revenue: The Company has royalty agreements with two</w:t>
      </w:r>
      <w:r>
        <w:rPr>
          <w:rFonts w:ascii="Times New Roman" w:hAnsi="Times New Roman"/>
          <w:color w:val="000000"/>
          <w:sz w:val="24"/>
        </w:rPr>
        <w:t xml:space="preserve"> </w:t>
      </w:r>
      <w:r>
        <w:rPr>
          <w:rFonts w:ascii="Times New Roman" w:hAnsi="Times New Roman"/>
          <w:color w:val="000000"/>
          <w:sz w:val="20"/>
        </w:rPr>
        <w:t>customers related to the sale of the Company’s intellectual property. Under the terms of these agreements, one customer is to remit a percentage of sales to the Company as the sales occur and one customer is to remit fixed amount royalty payments based on the quantity sold as the sales occur.</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The arrangements with three customers are for sales-based licenses of intellectual property, for which the guidance in paragraph ASC 606-10-55-65 applies. Therefore, the Company recognizes revenue at a point in time, only as the subsequent sale occurs. However, the Company notes that such sales being reported by the licensee with a quarter in arrears,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 For the arrangement with one customer, the Company had concluded that there is one combined performance obligation to be satisfied. Therefore, the Company recognizes revenue related to this arrangement over time.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120" w:after="283"/>
        <w:ind w:left="490" w:right="0" w:hanging="490"/>
        <w:jc w:val="left"/>
        <w:rPr>
          <w:rFonts w:ascii="Times New Roman" w:hAnsi="Times New Roman"/>
          <w:color w:val="000000"/>
          <w:sz w:val="20"/>
        </w:rPr>
      </w:pPr>
      <w:r>
        <w:rPr>
          <w:rFonts w:ascii="Times New Roman" w:hAnsi="Times New Roman"/>
          <w:color w:val="000000"/>
          <w:sz w:val="20"/>
        </w:rPr>
        <w:t xml:space="preserve">5. Exclusive Distribution Rights: On March 2, 2021, the Company and Topcon Corporation (“Topcon”) entered into a distribution agreement (“Distribution Agreement”), pursuant to which the Company granted Topcon the exclusive right to distribute the Company’s retina and glaucoma products in certain geographies outside the United States. The exclusivity arrangement with Topcon obligates the Company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Company has the right to terminate the exclusive distribution rights granted to Topcon for any of the regions at any point in time during the 10 year exclusivity term for a termination fee that is based on a multiple of 1.2 times the revenue generated by the Company in 2019 for the respective region. Management has determined that the exclusivity rights, training, and customer support represents a single combined performance obligation for each region, to be recognized as exclusivity fee revenue on a straight-line basis over the 10 year period for each region, commencing on the date that regulatory approval is obtained for each region, based on the standalone selling price for such combined performance obligation for each region. The estimated fair value of the exclusive distribution rights for all regions combined totaled approximately $14.8 million. Of this amount, management has fully-constrained and returned to Topcon the arrangement fee allocated to Belarus (approximately $0.2 million) because obtaining the necessary regulatory approvals and termination of existing distributor relationship was not feasible. For each of the three months ended June 29, 2024 and July 1, 2023, $0.4 million and $0.3 million in revenue related to the exclusive distribution rights were recorded, respectively. For each of the six months ended June 29, 2024 and July 1, 2023, $0.7 million in revenue related to the exclusive distribution rights were recorded.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Costs of Obtaining Revenue Contracts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recognized assets from certain costs incurred to obtain revenue contracts. These costs relate to sales commissions arising from the sale of our products. The costs are considered incremental and recoverable of obtaining revenue contracts with customers. These deferred costs are amortized on a straight-line basis over the estimated period of benefit, which typically ranges from 2 to 3 years. As of June 29, 2024, the Company recognized deferred costs incurred to obtain revenue contracts with customers, net of accumulated amortization, of $0.1 million, and included these amounts in Prepaid expenses and other current assets and Other long-term assets in the Company’s condensed consolidated balance sheets. Amortization expense was $19 thousand and $38 thousand for both of the three and six months ended June 29, 2024 and July 1, 2023. There were no impairment expenses for both of the three and six months ended June 29, 2024 and July 1, 2023, respectively.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Sales commissions that do not represent incremental and recoverable costs of obtaining a contract are expensed as incurred. As a practical expedient, the Company will not recognize such sales commission as a contract asset but rather recognize as an expense when incurred if the amortization period of the asset that the Company would have otherwise recognized is one year or less.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Contract Fulfillment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recognized an asset from the costs incurred to fulfill a contract. These costs relate directly and must be incurred to satisfy performance obligations on certain specific contract with a customer. These costs are expected to be recovered over time and are amortized on a systematic basis that is consistent with the recognition of revenue to which it relates. As of June 29, 2024, the Company recognized deferred costs incurred to fulfill a contract with a customer, net of accumulated amortization, of $0.6 million, and included these amounts in Prepaid expenses and other current assets and Other long-term assets in the Company’s condensed consolidated balance sheets. Amortization expense was $21 thousand and $41 thousand for both of the three and six months ended June 29, 2024 and July 1, 2023. There were no impairment expenses for each of three and six months ended June 29, 2024 and July 1, 2023.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determine if an arrangement is a lease at inception. Operating leases are included in Operating lease right-of-use (“ROU”) assets, net and Operating lease liabilities in our condensed consolidated balance sheets. As of June 29, 2024 and December 30, 2023, the Company was not a party to any finance lease arrangements.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ROU assets represent our right to 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most of our leases do not provide an implicit rate, we use our incremental borrowing rate based on information available at the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Under the available practical expedient, we account for the lease and non-lease components as a single lease component.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Concentration of Credit Risk and Other Risks and Uncertainties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cash and cash equivalents are deposited in demand and money market accounts. Deposits held with banks may exceed the amount of insurance provided on such deposits. Generally, these deposits may be redeemed upon demand.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market our products to distributors and end-users throughout the world. Sales to international distributors are generally made on open credit terms and letters of credit. Management performs ongoing credit evaluations of our customers and maintains a provision for potential credit losses. Historically, we have not experienced any significant losses related to individual customers or a group of customers in any particular geographic area. For the three and six months ended June 29, 2024, one customer, Topcon, accounted for more than 10% of total revenues, representing 38% and 35%, respectively. For the three and six months ended July 1, 2023, one customer, Topcon, accounted for more than 10% of total revenues, representing 28% and 30%, respectively As of June 29, 2024, one customer, Topcon, accounted for over 10% of our accounts receivable, representing 19%. As of December 30, 2023, one customer, Topcon, accounted for more than 10% of our accounts receivable, representing 30%.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Taxes Collected from Customers and Remitted to Governmental Authorities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Taxes collected from customers and remitted to governmental authorities are recognized on a net basis in the accompanying condensed consolidated statements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Shipping and Handling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shipping and handling costs billed to customers are included in revenues and the associated expense is recorded in cost of revenues for all periods presented.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Deferred Revenue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Deferred revenue represents contract liabilities and exclusivity fees. Revenue related to service contracts is deferred and recognized on a straight-line basis over the period of the applicable service contract. Costs associated with these service arrangements are recognized as incurred. Revenue related to exclusivity fees is deferred and recognized over the related exclusivity period.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reconciliation of the changes in the Company’s deferred revenue balance for the six months ended June 29, 2024 and July 1, 2023, is as follows:</w:t>
      </w:r>
    </w:p>
    <w:tbl>
      <w:tblPr>
        <w:tblW w:w="6145" w:type="dxa"/>
        <w:jc w:val="left"/>
        <w:tblInd w:w="0" w:type="dxa"/>
        <w:tblLayout w:type="fixed"/>
        <w:tblCellMar>
          <w:top w:w="28" w:type="dxa"/>
          <w:left w:w="28" w:type="dxa"/>
          <w:bottom w:w="28" w:type="dxa"/>
          <w:right w:w="28" w:type="dxa"/>
        </w:tblCellMar>
      </w:tblPr>
      <w:tblGrid>
        <w:gridCol w:w="3346"/>
        <w:gridCol w:w="146"/>
        <w:gridCol w:w="267"/>
        <w:gridCol w:w="858"/>
        <w:gridCol w:w="166"/>
        <w:gridCol w:w="146"/>
        <w:gridCol w:w="239"/>
        <w:gridCol w:w="766"/>
        <w:gridCol w:w="2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14,153</w:t>
            </w:r>
          </w:p>
        </w:tc>
        <w:tc>
          <w:tcPr>
            <w:tcW w:w="2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deferral</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2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the period</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13,191</w:t>
            </w:r>
          </w:p>
        </w:tc>
        <w:tc>
          <w:tcPr>
            <w:tcW w:w="2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deferred revenue</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10,881</w:t>
            </w:r>
          </w:p>
        </w:tc>
        <w:tc>
          <w:tcPr>
            <w:tcW w:w="2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deferred revenue</w:t>
            </w:r>
          </w:p>
        </w:tc>
        <w:tc>
          <w:tcPr>
            <w:tcW w:w="146" w:type="dxa"/>
            <w:tcBorders/>
            <w:shd w:fill="FFFFFF" w:val="clear"/>
            <w:vAlign w:val="center"/>
          </w:tcPr>
          <w:p>
            <w:pPr>
              <w:pStyle w:val="TableContents"/>
              <w:bidi w:val="0"/>
              <w:spacing w:before="0" w:after="283"/>
              <w:jc w:val="left"/>
              <w:rPr/>
            </w:pPr>
            <w:r>
              <w:rPr/>
              <w:t> </w:t>
            </w:r>
          </w:p>
        </w:tc>
        <w:tc>
          <w:tcPr>
            <w:tcW w:w="2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During the six months ended June 29, 2024 and July 1, 2023, approximately $1.4 million and $0.9 million was recognized pertaining to amounts deferred as of December 30, 2023 and December 31, 2022, respectively. As of June 29, 2024, approximately $9.0 million of the non-current portion of deferred revenue and $1.5 million of the current portion of deferred revenue pertain to exclusivity distribution rights deferred revenue.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Warranty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currently provides a two-year full warranty on its products. The associated costs of these warranties are accrued for upon shipment of the products. The Company’s warranty policy is applicable to products which are considered defective in their performance or fail to meet the product specifications. Warranty costs are reflected in the condensed consolidated statements of operations as cost of revenues.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warranty reserves do not meet the criteria to have separate captions on the face of the condensed consolidated balance sheet, we removed these captions and included those amounts in other current and long-term liabilities.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Implementation Costs Incurred in a Cloud Computing Service Arrangement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implemented a new enterprise resource planning (“ERP”) system. The new ERP system operates in a cloud-based environment. The Company concluded that this cloud computing arrangement does not include a license, and therefore, will account for this arrangement as one that is a service contract. The Company capitalized $1.1 million in implementation costs and began utilizing the ERP system near the end of the third quarter of 2023 and is recognizing amortization of the capitalized implementation costs over five years on a straight-line basis. For the six months ended June 29, 2024 approximately $113 thousand of amortization expenses were recorded. There were no amortization expenses for the six months ended July 1, 2023.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 Accounting Standards Not Yet Adopted</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November 2023, the Financial Accounting Standards Board ("FASB") issued Accounting Standards Update ("ASU") 2023-07 “Segment Reporting (Topic 280): </w:t>
      </w:r>
      <w:r>
        <w:rPr>
          <w:rFonts w:ascii="Times New Roman" w:hAnsi="Times New Roman"/>
          <w:i/>
          <w:color w:val="000000"/>
          <w:sz w:val="20"/>
        </w:rPr>
        <w:t>Improvements to Reportable Segment Disclosures</w:t>
      </w:r>
      <w:r>
        <w:rPr>
          <w:rFonts w:ascii="Times New Roman" w:hAnsi="Times New Roman"/>
          <w:color w:val="000000"/>
          <w:sz w:val="20"/>
        </w:rPr>
        <w:t xml:space="preserve">”, which expands annual and interim disclosure requirements for reportable segments, primarily through enhanced disclosures about significant segment expenses. ASU 2023-07 is effective for our annual periods beginning after December 15, 2023, and for interim periods beginning after December 15, 2024,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early adoption permitted. The Company is currently evaluating the potential effect that the updated standard will have on its financial statement disclosures.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December 2023, the FASB issued ASU 2023-09 “Income Taxes (Topics 740): </w:t>
      </w:r>
      <w:r>
        <w:rPr>
          <w:rFonts w:ascii="Times New Roman" w:hAnsi="Times New Roman"/>
          <w:i/>
          <w:color w:val="000000"/>
          <w:sz w:val="20"/>
        </w:rPr>
        <w:t>Improvements to Income Tax Disclosures</w:t>
      </w:r>
      <w:r>
        <w:rPr>
          <w:rFonts w:ascii="Times New Roman" w:hAnsi="Times New Roman"/>
          <w:color w:val="000000"/>
          <w:sz w:val="20"/>
        </w:rPr>
        <w:t>” to expand the disclosure requirements for income taxes, specifically related to the rate reconciliation and income taxes paid. ASU 2023-09 is effective for the Company’s annual periods beginning after December 15, 2024, with early adoption permitted. The Company is currently evaluating the potential effect that the updated standard will have on its financial statement disclosures.</w:t>
      </w:r>
    </w:p>
    <w:p>
      <w:pPr>
        <w:pStyle w:val="TextBody"/>
        <w:bidi w:val="0"/>
        <w:spacing w:before="120" w:after="283"/>
        <w:jc w:val="left"/>
        <w:rPr/>
      </w:pPr>
      <w:r>
        <w:rPr/>
        <w:t> </w:t>
      </w:r>
    </w:p>
    <w:p>
      <w:pPr>
        <w:pStyle w:val="TextBody"/>
        <w:bidi w:val="0"/>
        <w:spacing w:before="40" w:after="283"/>
        <w:jc w:val="left"/>
        <w:rPr>
          <w:rFonts w:ascii="Times New Roman" w:hAnsi="Times New Roman"/>
          <w:b/>
          <w:color w:val="333333"/>
          <w:sz w:val="20"/>
        </w:rPr>
      </w:pPr>
      <w:r>
        <w:rPr>
          <w:rFonts w:ascii="Times New Roman" w:hAnsi="Times New Roman"/>
          <w:b/>
          <w:color w:val="333333"/>
          <w:sz w:val="20"/>
        </w:rPr>
        <w:t>3. Accounts Receivable and Provision for Credit Losses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trade receivables with various individual customers such as private businesses, hospitals, universities, government and non-profit entities, and distributors. The Company has determined that geography is the similar risk characteristic to pool our trade receivables balances, and accordingly, groups such balances into either the domestic pool or the international pool. The domestic pool is primarily comprised of individual customers, and the international pool is primarily comprised of distributors.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provision for credit losses represents an estimate of the lifetime expected credit losses inherent in trade receivables as of the consolidated balance sheet date. We assess the adequacy of the provision for credit losses on a quarterly basis based on historical information and current economic conditions and forecasts. Subsequent changes in the provision for credit losses are recorded in current earnings and reversal of previous losses are permitted under the current guidance.</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While we believe we have exercised prudent judgment and applied reasonable assumptions, there can be no assurance that in the future, changes in economic conditions or other factors would not cause changes in the financial health of our customers. If the financial health of our customers deteriorates, the timing and level of payments received could be impacted and therefore, could result in a change to our estimated losses.</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The following table presents the activity in the provision for credit losses for accounts receivable by pool type for the six months ended June 29, 2024 (in thousands):</w:t>
      </w:r>
    </w:p>
    <w:tbl>
      <w:tblPr>
        <w:tblW w:w="5996" w:type="dxa"/>
        <w:jc w:val="left"/>
        <w:tblInd w:w="0" w:type="dxa"/>
        <w:tblLayout w:type="fixed"/>
        <w:tblCellMar>
          <w:top w:w="28" w:type="dxa"/>
          <w:left w:w="28" w:type="dxa"/>
          <w:bottom w:w="28" w:type="dxa"/>
          <w:right w:w="28" w:type="dxa"/>
        </w:tblCellMar>
      </w:tblPr>
      <w:tblGrid>
        <w:gridCol w:w="2491"/>
        <w:gridCol w:w="146"/>
        <w:gridCol w:w="275"/>
        <w:gridCol w:w="491"/>
        <w:gridCol w:w="166"/>
        <w:gridCol w:w="146"/>
        <w:gridCol w:w="383"/>
        <w:gridCol w:w="683"/>
        <w:gridCol w:w="166"/>
        <w:gridCol w:w="146"/>
        <w:gridCol w:w="211"/>
        <w:gridCol w:w="481"/>
        <w:gridCol w:w="2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Domestic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3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to provision</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83"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1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period</w:t>
            </w:r>
          </w:p>
        </w:tc>
        <w:tc>
          <w:tcPr>
            <w:tcW w:w="146" w:type="dxa"/>
            <w:tcBorders/>
            <w:shd w:fill="CFF0FC" w:val="clear"/>
            <w:vAlign w:val="center"/>
          </w:tcPr>
          <w:p>
            <w:pPr>
              <w:pStyle w:val="TableContents"/>
              <w:bidi w:val="0"/>
              <w:spacing w:before="0" w:after="283"/>
              <w:jc w:val="left"/>
              <w:rPr/>
            </w:pPr>
            <w:r>
              <w:rPr/>
              <w:t> </w:t>
            </w:r>
          </w:p>
        </w:tc>
        <w:tc>
          <w:tcPr>
            <w:tcW w:w="27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3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b/>
          <w:color w:val="333333"/>
          <w:sz w:val="20"/>
        </w:rPr>
      </w:pPr>
      <w:r>
        <w:rPr>
          <w:rFonts w:ascii="Times New Roman" w:hAnsi="Times New Roman"/>
          <w:b/>
          <w:color w:val="333333"/>
          <w:sz w:val="20"/>
        </w:rPr>
        <w:t>4. Related Party - Topcon</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As of June 29, 2024, Topcon holds a 9.9% voting interest in the Company, which qualifies it to be a principal owner and considered a related party, even though it currently does not have significant influence over the Company’s operations.</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Topcon resells certain of our products as our exclusive distributor in certain international regions. At the same time, the Company also purchases certain raw materials from Topcon. During the three and six months ended June 29, 2024, the Company’s revenues related to Topcon amounted to approximately $4.1 million and $7.4 million, including $0.4 million and $0.7 million, respectively, in recognized exclusive distribution rights revenue. During the three and six months ended July 1, 2023, the Company’s revenues related to Topcon amounted to approximately $3.7 million and $8.0 million, respectively, including $0.3 million and $0.7 million, respectively, in recognized exclusive distribution rights revenue. The Company’s purchases from Topcon during the three and six months ended June 29, 2024 amounted to approximately $0.1 million and $0.2 million, respectively. As of June 29, 2024, the amounts receivable from and payable to Topcon were $1.8 million and $0.5 million, respectively. As of December 30, 2023, the amounts receivable from and payable to Topcon were $2.9 million and $0.2 million,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 Inventories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components of the Company’s inventories as of June 29, 2024 and December 30, 2023 are as follows:</w:t>
      </w:r>
    </w:p>
    <w:p>
      <w:pPr>
        <w:pStyle w:val="TextBody"/>
        <w:bidi w:val="0"/>
        <w:jc w:val="left"/>
        <w:rPr/>
      </w:pPr>
      <w:r>
        <w:rPr/>
        <w:t> </w:t>
      </w:r>
    </w:p>
    <w:tbl>
      <w:tblPr>
        <w:tblW w:w="4770" w:type="dxa"/>
        <w:jc w:val="left"/>
        <w:tblInd w:w="0" w:type="dxa"/>
        <w:tblLayout w:type="fixed"/>
        <w:tblCellMar>
          <w:top w:w="28" w:type="dxa"/>
          <w:left w:w="28" w:type="dxa"/>
          <w:bottom w:w="28" w:type="dxa"/>
          <w:right w:w="28" w:type="dxa"/>
        </w:tblCellMar>
      </w:tblPr>
      <w:tblGrid>
        <w:gridCol w:w="1516"/>
        <w:gridCol w:w="146"/>
        <w:gridCol w:w="267"/>
        <w:gridCol w:w="858"/>
        <w:gridCol w:w="146"/>
        <w:gridCol w:w="146"/>
        <w:gridCol w:w="403"/>
        <w:gridCol w:w="1097"/>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w:t>
            </w:r>
          </w:p>
        </w:tc>
        <w:tc>
          <w:tcPr>
            <w:tcW w:w="191" w:type="dxa"/>
            <w:tcBorders/>
            <w:shd w:fill="CFF0FC" w:val="clear"/>
            <w:vAlign w:val="center"/>
          </w:tcPr>
          <w:p>
            <w:pPr>
              <w:pStyle w:val="TableContents"/>
              <w:bidi w:val="0"/>
              <w:spacing w:before="0" w:after="283"/>
              <w:jc w:val="left"/>
              <w:rPr/>
            </w:pPr>
            <w:r>
              <w:rPr/>
              <w:t> </w:t>
            </w:r>
          </w:p>
        </w:tc>
      </w:tr>
      <w:tr>
        <w:trPr/>
        <w:tc>
          <w:tcPr>
            <w:tcW w:w="1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91" w:type="dxa"/>
            <w:tcBorders/>
            <w:shd w:fill="FFFFFF" w:val="clear"/>
            <w:vAlign w:val="center"/>
          </w:tcPr>
          <w:p>
            <w:pPr>
              <w:pStyle w:val="TableContents"/>
              <w:bidi w:val="0"/>
              <w:spacing w:before="0" w:after="283"/>
              <w:jc w:val="left"/>
              <w:rPr/>
            </w:pPr>
            <w:r>
              <w:rPr/>
              <w:t> </w:t>
            </w:r>
          </w:p>
        </w:tc>
      </w:tr>
      <w:tr>
        <w:trPr/>
        <w:tc>
          <w:tcPr>
            <w:tcW w:w="1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Goodwill and Intangible Assets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Goodwill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carrying value of goodwill was $1.0 million as of both June 29, 2024 and December 30,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In addition, income tax effects from any tax-deductible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2024 and determined that its goodwill was not impaired. </w:t>
      </w:r>
    </w:p>
    <w:p>
      <w:pPr>
        <w:pStyle w:val="TextBody"/>
        <w:bidi w:val="0"/>
        <w:spacing w:before="120" w:after="283"/>
        <w:jc w:val="left"/>
        <w:rPr>
          <w:rFonts w:ascii="Times New Roman" w:hAnsi="Times New Roman"/>
          <w:sz w:val="20"/>
        </w:rPr>
      </w:pPr>
      <w:r>
        <w:rPr>
          <w:rFonts w:ascii="Times New Roman" w:hAnsi="Times New Roman"/>
          <w:i/>
          <w:color w:val="000000"/>
          <w:sz w:val="20"/>
        </w:rPr>
        <w:t>Intangi</w:t>
      </w:r>
      <w:r>
        <w:rPr>
          <w:rFonts w:ascii="Times New Roman" w:hAnsi="Times New Roman"/>
          <w:color w:val="000000"/>
          <w:sz w:val="20"/>
        </w:rPr>
        <w:t>ble Assets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the components of gross and net of intangible assets carrying amounts (in thousands):</w:t>
      </w:r>
    </w:p>
    <w:tbl>
      <w:tblPr>
        <w:tblW w:w="10190" w:type="dxa"/>
        <w:jc w:val="left"/>
        <w:tblInd w:w="0" w:type="dxa"/>
        <w:tblLayout w:type="fixed"/>
        <w:tblCellMar>
          <w:top w:w="28" w:type="dxa"/>
          <w:left w:w="28" w:type="dxa"/>
          <w:bottom w:w="28" w:type="dxa"/>
          <w:right w:w="28" w:type="dxa"/>
        </w:tblCellMar>
      </w:tblPr>
      <w:tblGrid>
        <w:gridCol w:w="1981"/>
        <w:gridCol w:w="146"/>
        <w:gridCol w:w="211"/>
        <w:gridCol w:w="571"/>
        <w:gridCol w:w="146"/>
        <w:gridCol w:w="146"/>
        <w:gridCol w:w="291"/>
        <w:gridCol w:w="790"/>
        <w:gridCol w:w="146"/>
        <w:gridCol w:w="146"/>
        <w:gridCol w:w="211"/>
        <w:gridCol w:w="571"/>
        <w:gridCol w:w="146"/>
        <w:gridCol w:w="146"/>
        <w:gridCol w:w="976"/>
        <w:gridCol w:w="146"/>
        <w:gridCol w:w="211"/>
        <w:gridCol w:w="571"/>
        <w:gridCol w:w="146"/>
        <w:gridCol w:w="146"/>
        <w:gridCol w:w="291"/>
        <w:gridCol w:w="790"/>
        <w:gridCol w:w="146"/>
        <w:gridCol w:w="146"/>
        <w:gridCol w:w="211"/>
        <w:gridCol w:w="571"/>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Lives</w:t>
              <w:br/>
              <w:t>Remaining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 Years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91" w:type="dxa"/>
            <w:tcBorders/>
            <w:shd w:fill="FFFFFF" w:val="clear"/>
            <w:vAlign w:val="center"/>
          </w:tcPr>
          <w:p>
            <w:pPr>
              <w:pStyle w:val="TableContents"/>
              <w:bidi w:val="0"/>
              <w:spacing w:before="0" w:after="283"/>
              <w:jc w:val="left"/>
              <w:rPr/>
            </w:pPr>
            <w:r>
              <w:rPr/>
              <w:t> </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4.64 Years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91"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191" w:type="dxa"/>
            <w:tcBorders/>
            <w:shd w:fill="CFF0FC"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5.67 Years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91" w:type="dxa"/>
            <w:tcBorders/>
            <w:shd w:fill="FFFFFF" w:val="clear"/>
            <w:vAlign w:val="center"/>
          </w:tcPr>
          <w:p>
            <w:pPr>
              <w:pStyle w:val="TableContents"/>
              <w:bidi w:val="0"/>
              <w:spacing w:before="0" w:after="283"/>
              <w:jc w:val="left"/>
              <w:rPr/>
            </w:pPr>
            <w:r>
              <w:rPr/>
              <w:t> </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Varies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For each of the six months ended June 29, 2024, and July 1, 2023 amortization expense totaled $167 thousand.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amortization of developed technology was charged to research and development expense and the amortization of customer relations and trade names was charged to sales and marketing expense. Estimated future amortization expense for purchased intangible assets is as follows (in thousands): </w:t>
      </w:r>
    </w:p>
    <w:p>
      <w:pPr>
        <w:pStyle w:val="TextBody"/>
        <w:bidi w:val="0"/>
        <w:jc w:val="left"/>
        <w:rPr/>
      </w:pPr>
      <w:r>
        <w:rPr/>
        <w:t> </w:t>
      </w:r>
    </w:p>
    <w:tbl>
      <w:tblPr>
        <w:tblW w:w="4050" w:type="dxa"/>
        <w:jc w:val="left"/>
        <w:tblInd w:w="0" w:type="dxa"/>
        <w:tblLayout w:type="fixed"/>
        <w:tblCellMar>
          <w:top w:w="28" w:type="dxa"/>
          <w:left w:w="28" w:type="dxa"/>
          <w:bottom w:w="28" w:type="dxa"/>
          <w:right w:w="28" w:type="dxa"/>
        </w:tblCellMar>
      </w:tblPr>
      <w:tblGrid>
        <w:gridCol w:w="2731"/>
        <w:gridCol w:w="146"/>
        <w:gridCol w:w="211"/>
        <w:gridCol w:w="571"/>
        <w:gridCol w:w="3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 (six months)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39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39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9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9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7.</w:t>
      </w:r>
      <w:r>
        <w:rPr>
          <w:rFonts w:ascii="Times New Roman" w:hAnsi="Times New Roman"/>
          <w:color w:val="000000"/>
          <w:sz w:val="20"/>
        </w:rPr>
        <w:t xml:space="preserve"> </w:t>
      </w:r>
      <w:r>
        <w:rPr>
          <w:rFonts w:ascii="Times New Roman" w:hAnsi="Times New Roman"/>
          <w:b/>
          <w:color w:val="000000"/>
          <w:sz w:val="20"/>
        </w:rPr>
        <w:t>Fair Value Measurements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Quoted prices (unadjusted) in active markets that are accessible at the measurement date for assets or liabilities.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determining fair value, the Company utilizes valuation techniques that maximize the use of observable inputs and minimize the use of unobservable inputs to the extent possible and considers counterparty credit risk in its assessment of fair value.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carrying amounts of the Company’s financial assets and liabilities, including cash and cash equivalents, accounts receivable, accounts payable, and accrued expenses as of June 29, 2024 and December 30, 2023, approximate fair value because of the short maturity of these instruments.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June 29, 2024 and December 30, 2023, financial assets measured and recognized at fair value on a recurring basis and classified under the appropriate level of the fair value hierarchy as described above were as follows (in thousands):</w:t>
      </w:r>
    </w:p>
    <w:p>
      <w:pPr>
        <w:pStyle w:val="TextBody"/>
        <w:bidi w:val="0"/>
        <w:jc w:val="left"/>
        <w:rPr/>
      </w:pPr>
      <w:r>
        <w:rPr/>
        <w:t> </w:t>
      </w:r>
    </w:p>
    <w:tbl>
      <w:tblPr>
        <w:tblW w:w="9823" w:type="dxa"/>
        <w:jc w:val="left"/>
        <w:tblInd w:w="0" w:type="dxa"/>
        <w:tblLayout w:type="fixed"/>
        <w:tblCellMar>
          <w:top w:w="28" w:type="dxa"/>
          <w:left w:w="28" w:type="dxa"/>
          <w:bottom w:w="28" w:type="dxa"/>
          <w:right w:w="28" w:type="dxa"/>
        </w:tblCellMar>
      </w:tblPr>
      <w:tblGrid>
        <w:gridCol w:w="2001"/>
        <w:gridCol w:w="146"/>
        <w:gridCol w:w="211"/>
        <w:gridCol w:w="571"/>
        <w:gridCol w:w="146"/>
        <w:gridCol w:w="146"/>
        <w:gridCol w:w="239"/>
        <w:gridCol w:w="391"/>
        <w:gridCol w:w="146"/>
        <w:gridCol w:w="146"/>
        <w:gridCol w:w="239"/>
        <w:gridCol w:w="391"/>
        <w:gridCol w:w="146"/>
        <w:gridCol w:w="146"/>
        <w:gridCol w:w="211"/>
        <w:gridCol w:w="571"/>
        <w:gridCol w:w="146"/>
        <w:gridCol w:w="146"/>
        <w:gridCol w:w="252"/>
        <w:gridCol w:w="378"/>
        <w:gridCol w:w="146"/>
        <w:gridCol w:w="146"/>
        <w:gridCol w:w="239"/>
        <w:gridCol w:w="391"/>
        <w:gridCol w:w="146"/>
        <w:gridCol w:w="146"/>
        <w:gridCol w:w="239"/>
        <w:gridCol w:w="391"/>
        <w:gridCol w:w="146"/>
        <w:gridCol w:w="146"/>
        <w:gridCol w:w="211"/>
        <w:gridCol w:w="316"/>
        <w:gridCol w:w="39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29,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0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Company’s Level 1 financial assets are money market funds whose fair values are based on quoted market prices. The Company does not have any Level 2 and Level 3 financial assets or liabilities.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 Leases and Commitments and Contingencies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Operating Leases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operating leases consist of facility and office equipment leases. Operating lease expenses for each of the six months ended June 29, 2024 and July 1, 2023 was $0.5 million. The weighted average discount rate used in calculating the present value of lease payments was 4.8%. As of June 29, 2024, the weighted average remaining lease term for our operating leases was 2.2 years.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represents maturities of operating lease liabilities as of June 29, 2024 (in thousands):</w:t>
      </w:r>
    </w:p>
    <w:tbl>
      <w:tblPr>
        <w:tblW w:w="4843" w:type="dxa"/>
        <w:jc w:val="left"/>
        <w:tblInd w:w="0" w:type="dxa"/>
        <w:tblLayout w:type="fixed"/>
        <w:tblCellMar>
          <w:top w:w="28" w:type="dxa"/>
          <w:left w:w="28" w:type="dxa"/>
          <w:bottom w:w="28" w:type="dxa"/>
          <w:right w:w="28" w:type="dxa"/>
        </w:tblCellMar>
      </w:tblPr>
      <w:tblGrid>
        <w:gridCol w:w="3226"/>
        <w:gridCol w:w="146"/>
        <w:gridCol w:w="315"/>
        <w:gridCol w:w="945"/>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 Payments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 (six months)</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211" w:type="dxa"/>
            <w:tcBorders/>
            <w:shd w:fill="CFF0FC"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211" w:type="dxa"/>
            <w:tcBorders/>
            <w:shd w:fill="FFFFFF" w:val="cle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w:t>
            </w:r>
          </w:p>
        </w:tc>
        <w:tc>
          <w:tcPr>
            <w:tcW w:w="211" w:type="dxa"/>
            <w:tcBorders/>
            <w:shd w:fill="FFFFFF" w:val="cle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211" w:type="dxa"/>
            <w:tcBorders/>
            <w:shd w:fill="FFFFFF" w:val="cle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lease liabilities</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lease liabilities</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i/>
          <w:color w:val="000000"/>
          <w:sz w:val="20"/>
        </w:rPr>
      </w:pPr>
      <w:r>
        <w:rPr>
          <w:rFonts w:ascii="Times New Roman" w:hAnsi="Times New Roman"/>
          <w:i/>
          <w:color w:val="000000"/>
          <w:sz w:val="20"/>
        </w:rPr>
        <w:t>Purchase Commitments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purchase commitments consist primarily of non-cancellable purchase commitments with vendors to manufacture certain components and ophthalmic instrumentation. As of June 29, 2024, our future minimum payments through fiscal year 2025 for our purchase commitments were approximately $14.1 million, with $8.1 million committed for the next 12 months.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Indemnities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enter into standard indemnification arrangements in the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that we could be required to make under these agreements is not determinable. We have never incurred costs to defend lawsuits or settle claims related to these indemnification agreements. As a result, we believe the estimated fair value of these agreements is minimal.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Legal Proceedings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condensed consolidated operating results, financial condition or cash flows. Regardless of the outcome, litigation can have an adverse impact on us because of defense and settlement costs, diversion of management resources and other factors.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9.</w:t>
      </w:r>
      <w:r>
        <w:rPr>
          <w:rFonts w:ascii="Times New Roman" w:hAnsi="Times New Roman"/>
          <w:color w:val="000000"/>
          <w:sz w:val="20"/>
        </w:rPr>
        <w:t xml:space="preserve"> </w:t>
      </w:r>
      <w:r>
        <w:rPr>
          <w:rFonts w:ascii="Times New Roman" w:hAnsi="Times New Roman"/>
          <w:b/>
          <w:color w:val="000000"/>
          <w:sz w:val="20"/>
        </w:rPr>
        <w:t>Stock-Based Compensation</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The Company accounts for stock-based compensation granted to employees and directors, including stock option awards, restricted stock and restricted stock units (“RSUs”) in accordance with FASB ASC Topic 718</w:t>
      </w:r>
      <w:r>
        <w:rPr>
          <w:rFonts w:ascii="Times New Roman" w:hAnsi="Times New Roman"/>
          <w:i/>
          <w:color w:val="000000"/>
          <w:sz w:val="20"/>
        </w:rPr>
        <w:t>, “Compensation – Stock Compensation”</w:t>
      </w:r>
      <w:r>
        <w:rPr>
          <w:rFonts w:ascii="Times New Roman" w:hAnsi="Times New Roman"/>
          <w:color w:val="000000"/>
          <w:sz w:val="20"/>
        </w:rPr>
        <w:t xml:space="preserve"> (“ASC 718”). Accordingly, stock-based compensation cost is measured at grant date, based on the fair value of the award, and is recognized as an expense over the employee’s service period. The Company recognizes compensation expense on a ratable basis over the requisite service period of the award.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values options using the Black-Scholes option pricing model. Time-based RSUs are valued at the grant date fair value of the underlying common shares. Performance-based RSUs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2008 Equity Incentive Plan, as amended.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terms of awards granted during the six months ended June 29, 2024 were consistent with those described in the consolidated financial statements included in our Annual Report on Form 10-K for the year ended December 30, 2023.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shows stock-based compensation expense included in the condensed consolidated statements of operations for the three and six months ended June 29, 2024 and July 1, 2023 (in thousands): </w:t>
      </w:r>
    </w:p>
    <w:p>
      <w:pPr>
        <w:pStyle w:val="TextBody"/>
        <w:bidi w:val="0"/>
        <w:spacing w:before="120" w:after="283"/>
        <w:ind w:left="0" w:right="0" w:firstLine="490"/>
        <w:jc w:val="left"/>
        <w:rPr/>
      </w:pPr>
      <w:r>
        <w:rPr/>
        <w:t> </w:t>
      </w:r>
    </w:p>
    <w:tbl>
      <w:tblPr>
        <w:tblW w:w="8932" w:type="dxa"/>
        <w:jc w:val="left"/>
        <w:tblInd w:w="0" w:type="dxa"/>
        <w:tblLayout w:type="fixed"/>
        <w:tblCellMar>
          <w:top w:w="28" w:type="dxa"/>
          <w:left w:w="28" w:type="dxa"/>
          <w:bottom w:w="28" w:type="dxa"/>
          <w:right w:w="28" w:type="dxa"/>
        </w:tblCellMar>
      </w:tblPr>
      <w:tblGrid>
        <w:gridCol w:w="3451"/>
        <w:gridCol w:w="146"/>
        <w:gridCol w:w="375"/>
        <w:gridCol w:w="750"/>
        <w:gridCol w:w="150"/>
        <w:gridCol w:w="150"/>
        <w:gridCol w:w="335"/>
        <w:gridCol w:w="670"/>
        <w:gridCol w:w="146"/>
        <w:gridCol w:w="146"/>
        <w:gridCol w:w="375"/>
        <w:gridCol w:w="750"/>
        <w:gridCol w:w="146"/>
        <w:gridCol w:w="146"/>
        <w:gridCol w:w="335"/>
        <w:gridCol w:w="670"/>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30"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shd w:fill="FFFFFF" w:val="cle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2024</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Stock-based compensation expense capitalized to inventory was immaterial for the six months ended June 29, 2024 and July 1, 2023.</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June 29, 2024, there was $1.4 million of total unrecognized compensation cost, net of expected forfeitures, related to non-vested stock-based compensation arrangements. The cost is expected to be recognized over a weighted average period of 1.76 years.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Summary of Stock Options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stock options information during the six months ended June 29, 2024:</w:t>
      </w:r>
    </w:p>
    <w:p>
      <w:pPr>
        <w:pStyle w:val="TextBody"/>
        <w:bidi w:val="0"/>
        <w:jc w:val="left"/>
        <w:rPr/>
      </w:pPr>
      <w:r>
        <w:rPr/>
        <w:t> </w:t>
      </w:r>
    </w:p>
    <w:tbl>
      <w:tblPr>
        <w:tblW w:w="7254" w:type="dxa"/>
        <w:jc w:val="left"/>
        <w:tblInd w:w="0" w:type="dxa"/>
        <w:tblLayout w:type="fixed"/>
        <w:tblCellMar>
          <w:top w:w="28" w:type="dxa"/>
          <w:left w:w="28" w:type="dxa"/>
          <w:bottom w:w="28" w:type="dxa"/>
          <w:right w:w="28" w:type="dxa"/>
        </w:tblCellMar>
      </w:tblPr>
      <w:tblGrid>
        <w:gridCol w:w="3166"/>
        <w:gridCol w:w="146"/>
        <w:gridCol w:w="146"/>
        <w:gridCol w:w="931"/>
        <w:gridCol w:w="166"/>
        <w:gridCol w:w="146"/>
        <w:gridCol w:w="350"/>
        <w:gridCol w:w="775"/>
        <w:gridCol w:w="146"/>
        <w:gridCol w:w="146"/>
        <w:gridCol w:w="377"/>
        <w:gridCol w:w="568"/>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2,757,921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 or 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29,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2,287,420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weighted average grant date fair value of the options granted was $1.82 and $1.35 per share for the six months ended June 29, 2024 and July 1, 2023,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uses the Black-Scholes option-pricing model to estimate the fair value of stock-based awards (options) with the following weighted-average assumptions:</w:t>
      </w:r>
    </w:p>
    <w:p>
      <w:pPr>
        <w:pStyle w:val="TextBody"/>
        <w:bidi w:val="0"/>
        <w:jc w:val="left"/>
        <w:rPr/>
      </w:pPr>
      <w:r>
        <w:rPr/>
        <w:t> </w:t>
      </w:r>
    </w:p>
    <w:tbl>
      <w:tblPr>
        <w:tblW w:w="8449" w:type="dxa"/>
        <w:jc w:val="left"/>
        <w:tblInd w:w="0" w:type="dxa"/>
        <w:tblLayout w:type="fixed"/>
        <w:tblCellMar>
          <w:top w:w="28" w:type="dxa"/>
          <w:left w:w="28" w:type="dxa"/>
          <w:bottom w:w="28" w:type="dxa"/>
          <w:right w:w="28" w:type="dxa"/>
        </w:tblCellMar>
      </w:tblPr>
      <w:tblGrid>
        <w:gridCol w:w="2476"/>
        <w:gridCol w:w="146"/>
        <w:gridCol w:w="268"/>
        <w:gridCol w:w="857"/>
        <w:gridCol w:w="271"/>
        <w:gridCol w:w="146"/>
        <w:gridCol w:w="239"/>
        <w:gridCol w:w="766"/>
        <w:gridCol w:w="271"/>
        <w:gridCol w:w="146"/>
        <w:gridCol w:w="268"/>
        <w:gridCol w:w="857"/>
        <w:gridCol w:w="271"/>
        <w:gridCol w:w="146"/>
        <w:gridCol w:w="239"/>
        <w:gridCol w:w="766"/>
        <w:gridCol w:w="31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1,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risk free interest rate</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316" w:type="dxa"/>
            <w:tcBorders/>
            <w:shd w:fill="FFFFFF" w:val="clear"/>
            <w:vAlign w:val="center"/>
          </w:tcPr>
          <w:p>
            <w:pPr>
              <w:pStyle w:val="TableContents"/>
              <w:bidi w:val="0"/>
              <w:spacing w:before="0" w:after="283"/>
              <w:jc w:val="left"/>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right"/>
              <w:rPr>
                <w:color w:val="000000"/>
              </w:rPr>
            </w:pPr>
            <w:r>
              <w:rPr>
                <w:color w:val="000000"/>
              </w:rPr>
              <w:t>—</w:t>
            </w:r>
          </w:p>
        </w:tc>
        <w:tc>
          <w:tcPr>
            <w:tcW w:w="316" w:type="dxa"/>
            <w:tcBorders/>
            <w:shd w:fill="CFF0FC" w:val="clear"/>
            <w:vAlign w:val="center"/>
          </w:tcPr>
          <w:p>
            <w:pPr>
              <w:pStyle w:val="TableContents"/>
              <w:bidi w:val="0"/>
              <w:spacing w:before="0" w:after="283"/>
              <w:jc w:val="righ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volatility</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Option-pricing models require the input of various subjective assumptions, including the option’s expected life and the price volatility of the underlying stock. The expected stock price volatility is based on an analysis of the Company’s stock price history over a period commensurate with the expected term of the options, trading volume of the Company’s stock, look-back volatilities and Company-specific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Information regarding stock options outstanding, vested, expected to vest, and exercisable as of June 29, 2024 is summarized below:</w:t>
      </w:r>
    </w:p>
    <w:p>
      <w:pPr>
        <w:pStyle w:val="TextBody"/>
        <w:bidi w:val="0"/>
        <w:jc w:val="left"/>
        <w:rPr/>
      </w:pPr>
      <w:r>
        <w:rPr/>
        <w:t> </w:t>
      </w:r>
    </w:p>
    <w:tbl>
      <w:tblPr>
        <w:tblW w:w="8622" w:type="dxa"/>
        <w:jc w:val="left"/>
        <w:tblInd w:w="0" w:type="dxa"/>
        <w:tblLayout w:type="fixed"/>
        <w:tblCellMar>
          <w:top w:w="28" w:type="dxa"/>
          <w:left w:w="28" w:type="dxa"/>
          <w:bottom w:w="28" w:type="dxa"/>
          <w:right w:w="28" w:type="dxa"/>
        </w:tblCellMar>
      </w:tblPr>
      <w:tblGrid>
        <w:gridCol w:w="3046"/>
        <w:gridCol w:w="146"/>
        <w:gridCol w:w="146"/>
        <w:gridCol w:w="931"/>
        <w:gridCol w:w="146"/>
        <w:gridCol w:w="146"/>
        <w:gridCol w:w="350"/>
        <w:gridCol w:w="775"/>
        <w:gridCol w:w="146"/>
        <w:gridCol w:w="146"/>
        <w:gridCol w:w="236"/>
        <w:gridCol w:w="755"/>
        <w:gridCol w:w="146"/>
        <w:gridCol w:w="146"/>
        <w:gridCol w:w="467"/>
        <w:gridCol w:w="703"/>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 xml:space="preserve">Remaining </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Aggregate</w:t>
              <w:br/>
              <w:t>Intrinsic</w:t>
            </w:r>
            <w:r>
              <w:rPr>
                <w:rFonts w:ascii="Times New Roman" w:hAnsi="Times New Roman"/>
                <w:color w:val="000000"/>
                <w:sz w:val="16"/>
              </w:rPr>
              <w:t xml:space="preserve"> </w:t>
            </w:r>
            <w:r>
              <w:rPr>
                <w:rFonts w:ascii="Times New Roman" w:hAnsi="Times New Roman"/>
                <w:b/>
                <w:color w:val="000000"/>
                <w:sz w:val="16"/>
              </w:rPr>
              <w:t>Value</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2,287,420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91"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2,230,362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1"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1,258,699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aggregate intrinsic value in the table above represents the pre-tax intrinsic value, based on the Company’s closing price as of June 29, 2024, that would have been received by option holders had all option holders exercised their stock options as of that date. This amount changes based on the fair market value of the Company’s common stock. The total intrinsic value of options exercised for the six months ended June 29, 2024 and July 1, 2023 was immaterial and approximately $4 thousand, respectively.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Summary of RSUs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Information regarding RSUs activity for the six months ended June 29, 2024 is summarized below:</w:t>
      </w:r>
    </w:p>
    <w:p>
      <w:pPr>
        <w:pStyle w:val="TextBody"/>
        <w:bidi w:val="0"/>
        <w:spacing w:before="120" w:after="283"/>
        <w:ind w:left="0" w:right="0" w:firstLine="490"/>
        <w:jc w:val="left"/>
        <w:rPr/>
      </w:pPr>
      <w:r>
        <w:rPr/>
        <w:t> </w:t>
      </w:r>
    </w:p>
    <w:tbl>
      <w:tblPr>
        <w:tblW w:w="4510" w:type="dxa"/>
        <w:jc w:val="left"/>
        <w:tblInd w:w="0" w:type="dxa"/>
        <w:tblLayout w:type="fixed"/>
        <w:tblCellMar>
          <w:top w:w="28" w:type="dxa"/>
          <w:left w:w="28" w:type="dxa"/>
          <w:bottom w:w="28" w:type="dxa"/>
          <w:right w:w="28" w:type="dxa"/>
        </w:tblCellMar>
      </w:tblPr>
      <w:tblGrid>
        <w:gridCol w:w="3166"/>
        <w:gridCol w:w="146"/>
        <w:gridCol w:w="146"/>
        <w:gridCol w:w="841"/>
        <w:gridCol w:w="21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353,212</w:t>
            </w:r>
          </w:p>
        </w:tc>
        <w:tc>
          <w:tcPr>
            <w:tcW w:w="21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w:t>
            </w:r>
          </w:p>
        </w:tc>
        <w:tc>
          <w:tcPr>
            <w:tcW w:w="21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released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(196,335</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29,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260,208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10.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Provision for Income Tax</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The Company calculates its interim tax provision in accordance with the provisions of ASC Topic 740-270, </w:t>
      </w:r>
      <w:r>
        <w:rPr>
          <w:rFonts w:ascii="Times New Roman" w:hAnsi="Times New Roman"/>
          <w:i/>
          <w:color w:val="000000"/>
          <w:sz w:val="20"/>
        </w:rPr>
        <w:t>Income Taxes; Interim Reporting</w:t>
      </w:r>
      <w:r>
        <w:rPr>
          <w:rFonts w:ascii="Times New Roman" w:hAnsi="Times New Roman"/>
          <w:color w:val="000000"/>
          <w:sz w:val="20"/>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 a provision for income tax of $57 thousand and $22 thousand for the six months ended June 29, 2024 and July 1, 2023,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Deferred Income Taxes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The Company accounts for income taxes in accordance with ASC Topic 740, </w:t>
      </w:r>
      <w:r>
        <w:rPr>
          <w:rFonts w:ascii="Times New Roman" w:hAnsi="Times New Roman"/>
          <w:i/>
          <w:color w:val="000000"/>
          <w:sz w:val="20"/>
        </w:rPr>
        <w:t>Income Taxes</w:t>
      </w:r>
      <w:r>
        <w:rPr>
          <w:rFonts w:ascii="Times New Roman" w:hAnsi="Times New Roman"/>
          <w:color w:val="000000"/>
          <w:sz w:val="20"/>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second quarter of fiscal year 2024, based on the Company’s recent history of losses and its forecasted losses, management believes it is more likely than not that a full valuation allowance is required. Accordingly, the Company continues to provide a full valuation allowance on its federal and states deferred tax assets.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Uncertain Tax Positions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accounts for its uncertain tax positions in accordance with ASC 740. As of December 30, 2023, the Company had $1.4 million of unrecognized tax benefits, none of the unrecognized tax benefits would result in a change in the Company’s effective tax rate if recognized in future years.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is not aware of any other uncertain tax positions that could result in significant additional payments, accruals, or other material deviation in this estimate during the fiscal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United States federal income tax as well as to income taxes in state jurisdictions. The Company’s federal and state income tax returns are open to examination by tax authorities for three years and three to five years, respectively.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Computation of Basic and Diluted Net Loss Per Share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Basic and diluted net loss per share is based upon the weighted average number of common shares outstanding during the period. Common stock equivalents consist of incremental common shares issuable upon the exercise of stock options, and the release (vesting) of RSUs and awards and are calculated under the treasury stock method. Common stock equivalent shares from unexercised stock options, and unvested RSUs and awards are excluded from the computation for periods in which we incur a net loss or if the exercise price of such options is greater than the average market price of our common stock for the period as their effect would be anti-dilutive.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the three months ended June 29, 2024 and July 1, 2023, potential shares from stock options and RSUs totaling 2,856,244 and 2,260,886 shares, respectively, were excluded from the computation of diluted weighted average shares outstanding. For the six months ended June 29, 2024 and July 1, 2023, potential shares from stock options and RSUs totaling 2,878,936 and 2,281,161 shares, respectively, were excluded from the computation of diluted weighted average shares outstanding.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reconciliation of the numerator and denominator of basic and diluted net loss per common share is provided as follows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17"/>
        <w:gridCol w:w="146"/>
        <w:gridCol w:w="239"/>
        <w:gridCol w:w="768"/>
        <w:gridCol w:w="166"/>
        <w:gridCol w:w="211"/>
        <w:gridCol w:w="146"/>
        <w:gridCol w:w="146"/>
        <w:gridCol w:w="225"/>
        <w:gridCol w:w="721"/>
        <w:gridCol w:w="166"/>
        <w:gridCol w:w="146"/>
        <w:gridCol w:w="239"/>
        <w:gridCol w:w="768"/>
        <w:gridCol w:w="746"/>
        <w:gridCol w:w="440"/>
        <w:gridCol w:w="306"/>
        <w:gridCol w:w="146"/>
        <w:gridCol w:w="225"/>
        <w:gridCol w:w="721"/>
        <w:gridCol w:w="617"/>
      </w:tblGrid>
      <w:tr>
        <w:trPr/>
        <w:tc>
          <w:tcPr>
            <w:tcW w:w="2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91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9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2024</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1, 2023</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3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746" w:type="dxa"/>
            <w:tcBorders/>
            <w:shd w:fill="CFF0FC" w:val="clear"/>
            <w:vAlign w:val="center"/>
          </w:tcPr>
          <w:p>
            <w:pPr>
              <w:pStyle w:val="TableContents"/>
              <w:bidi w:val="0"/>
              <w:spacing w:before="0" w:after="283"/>
              <w:jc w:val="right"/>
              <w:rPr/>
            </w:pPr>
            <w:r>
              <w:rPr/>
              <w:t> </w:t>
            </w:r>
          </w:p>
        </w:tc>
        <w:tc>
          <w:tcPr>
            <w:tcW w:w="7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617" w:type="dxa"/>
            <w:tcBorders/>
            <w:shd w:fill="CFF0FC" w:val="clear"/>
            <w:vAlign w:val="center"/>
          </w:tcPr>
          <w:p>
            <w:pPr>
              <w:pStyle w:val="TableContents"/>
              <w:bidi w:val="0"/>
              <w:spacing w:before="0" w:after="283"/>
              <w:ind w:left="0" w:right="0" w:firstLine="400"/>
              <w:jc w:val="right"/>
              <w:rPr/>
            </w:pPr>
            <w:r>
              <w:rPr/>
              <w:t> </w:t>
            </w:r>
          </w:p>
        </w:tc>
      </w:tr>
      <w:tr>
        <w:trPr/>
        <w:tc>
          <w:tcPr>
            <w:tcW w:w="291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3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746" w:type="dxa"/>
            <w:tcBorders/>
            <w:shd w:fill="CFF0FC" w:val="clear"/>
            <w:vAlign w:val="center"/>
          </w:tcPr>
          <w:p>
            <w:pPr>
              <w:pStyle w:val="TableContents"/>
              <w:bidi w:val="0"/>
              <w:spacing w:before="0" w:after="283"/>
              <w:jc w:val="right"/>
              <w:rPr/>
            </w:pPr>
            <w:r>
              <w:rPr/>
              <w:t> </w:t>
            </w:r>
          </w:p>
        </w:tc>
        <w:tc>
          <w:tcPr>
            <w:tcW w:w="7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617" w:type="dxa"/>
            <w:tcBorders/>
            <w:shd w:fill="CFF0FC" w:val="clear"/>
            <w:vAlign w:val="center"/>
          </w:tcPr>
          <w:p>
            <w:pPr>
              <w:pStyle w:val="TableContents"/>
              <w:bidi w:val="0"/>
              <w:spacing w:before="0" w:after="283"/>
              <w:ind w:left="0" w:right="0" w:firstLine="200"/>
              <w:jc w:val="right"/>
              <w:rPr/>
            </w:pPr>
            <w:r>
              <w:rPr/>
              <w:t> </w:t>
            </w:r>
          </w:p>
        </w:tc>
      </w:tr>
      <w:tr>
        <w:trPr/>
        <w:tc>
          <w:tcPr>
            <w:tcW w:w="291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shares of common stock (basic)</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16,287</w:t>
            </w:r>
          </w:p>
        </w:tc>
        <w:tc>
          <w:tcPr>
            <w:tcW w:w="166" w:type="dxa"/>
            <w:tcBorders/>
            <w:shd w:fill="FFFFFF" w:val="clear"/>
            <w:vAlign w:val="center"/>
          </w:tcPr>
          <w:p>
            <w:pPr>
              <w:pStyle w:val="TableContents"/>
              <w:bidi w:val="0"/>
              <w:spacing w:before="0" w:after="283"/>
              <w:jc w:val="left"/>
              <w:rPr/>
            </w:pPr>
            <w:r>
              <w:rPr/>
              <w:t> </w:t>
            </w:r>
          </w:p>
        </w:tc>
        <w:tc>
          <w:tcPr>
            <w:tcW w:w="3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16,270</w:t>
            </w:r>
          </w:p>
        </w:tc>
        <w:tc>
          <w:tcPr>
            <w:tcW w:w="746" w:type="dxa"/>
            <w:tcBorders/>
            <w:shd w:fill="FFFFFF" w:val="clear"/>
            <w:vAlign w:val="center"/>
          </w:tcPr>
          <w:p>
            <w:pPr>
              <w:pStyle w:val="TableContents"/>
              <w:bidi w:val="0"/>
              <w:spacing w:before="0" w:after="283"/>
              <w:jc w:val="left"/>
              <w:rPr/>
            </w:pPr>
            <w:r>
              <w:rPr/>
              <w:t> </w:t>
            </w:r>
          </w:p>
        </w:tc>
        <w:tc>
          <w:tcPr>
            <w:tcW w:w="7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16,018</w:t>
            </w:r>
          </w:p>
        </w:tc>
        <w:tc>
          <w:tcPr>
            <w:tcW w:w="617" w:type="dxa"/>
            <w:tcBorders/>
            <w:shd w:fill="FFFFFF" w:val="clear"/>
            <w:vAlign w:val="center"/>
          </w:tcPr>
          <w:p>
            <w:pPr>
              <w:pStyle w:val="TableContents"/>
              <w:bidi w:val="0"/>
              <w:spacing w:before="0" w:after="283"/>
              <w:ind w:left="0" w:right="0" w:firstLine="200"/>
              <w:jc w:val="left"/>
              <w:rPr/>
            </w:pPr>
            <w:r>
              <w:rPr/>
              <w:t> </w:t>
            </w:r>
          </w:p>
        </w:tc>
      </w:tr>
      <w:tr>
        <w:trPr/>
        <w:tc>
          <w:tcPr>
            <w:tcW w:w="291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shares of common stock (diluted)</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16,287</w:t>
            </w:r>
          </w:p>
        </w:tc>
        <w:tc>
          <w:tcPr>
            <w:tcW w:w="166" w:type="dxa"/>
            <w:tcBorders/>
            <w:shd w:fill="CFF0FC" w:val="clear"/>
            <w:vAlign w:val="center"/>
          </w:tcPr>
          <w:p>
            <w:pPr>
              <w:pStyle w:val="TableContents"/>
              <w:bidi w:val="0"/>
              <w:spacing w:before="0" w:after="283"/>
              <w:jc w:val="left"/>
              <w:rPr/>
            </w:pPr>
            <w:r>
              <w:rPr/>
              <w:t> </w:t>
            </w:r>
          </w:p>
        </w:tc>
        <w:tc>
          <w:tcPr>
            <w:tcW w:w="3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16,270</w:t>
            </w:r>
          </w:p>
        </w:tc>
        <w:tc>
          <w:tcPr>
            <w:tcW w:w="746" w:type="dxa"/>
            <w:tcBorders/>
            <w:shd w:fill="CFF0FC" w:val="clear"/>
            <w:vAlign w:val="center"/>
          </w:tcPr>
          <w:p>
            <w:pPr>
              <w:pStyle w:val="TableContents"/>
              <w:bidi w:val="0"/>
              <w:spacing w:before="0" w:after="283"/>
              <w:ind w:left="0" w:right="0" w:firstLine="600"/>
              <w:jc w:val="left"/>
              <w:rPr/>
            </w:pPr>
            <w:r>
              <w:rPr/>
              <w:t> </w:t>
            </w:r>
          </w:p>
        </w:tc>
        <w:tc>
          <w:tcPr>
            <w:tcW w:w="746" w:type="dxa"/>
            <w:gridSpan w:val="2"/>
            <w:tcBorders/>
            <w:shd w:fill="CFF0FC" w:val="clear"/>
            <w:vAlign w:val="center"/>
          </w:tcPr>
          <w:p>
            <w:pPr>
              <w:pStyle w:val="TableContents"/>
              <w:bidi w:val="0"/>
              <w:spacing w:before="0" w:after="283"/>
              <w:ind w:left="600" w:right="0" w:firstLine="600"/>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16,018</w:t>
            </w:r>
          </w:p>
        </w:tc>
        <w:tc>
          <w:tcPr>
            <w:tcW w:w="617" w:type="dxa"/>
            <w:tcBorders/>
            <w:shd w:fill="CFF0FC" w:val="clear"/>
            <w:vAlign w:val="center"/>
          </w:tcPr>
          <w:p>
            <w:pPr>
              <w:pStyle w:val="TableContents"/>
              <w:bidi w:val="0"/>
              <w:spacing w:before="0" w:after="283"/>
              <w:jc w:val="left"/>
              <w:rPr/>
            </w:pPr>
            <w:r>
              <w:rPr/>
              <w:t> </w:t>
            </w:r>
          </w:p>
        </w:tc>
      </w:tr>
      <w:tr>
        <w:trPr/>
        <w:tc>
          <w:tcPr>
            <w:tcW w:w="291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 share data:</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3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746" w:type="dxa"/>
            <w:tcBorders/>
            <w:shd w:fill="FFFFFF" w:val="clear"/>
            <w:vAlign w:val="center"/>
          </w:tcPr>
          <w:p>
            <w:pPr>
              <w:pStyle w:val="TableContents"/>
              <w:bidi w:val="0"/>
              <w:spacing w:before="0" w:after="283"/>
              <w:jc w:val="right"/>
              <w:rPr/>
            </w:pPr>
            <w:r>
              <w:rPr/>
              <w:t> </w:t>
            </w:r>
          </w:p>
        </w:tc>
        <w:tc>
          <w:tcPr>
            <w:tcW w:w="7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617" w:type="dxa"/>
            <w:tcBorders/>
            <w:shd w:fill="FFFFFF" w:val="clear"/>
            <w:vAlign w:val="center"/>
          </w:tcPr>
          <w:p>
            <w:pPr>
              <w:pStyle w:val="TableContents"/>
              <w:bidi w:val="0"/>
              <w:spacing w:before="0" w:after="283"/>
              <w:ind w:left="0" w:right="0" w:firstLine="400"/>
              <w:jc w:val="right"/>
              <w:rPr/>
            </w:pPr>
            <w:r>
              <w:rPr/>
              <w:t> </w:t>
            </w:r>
          </w:p>
        </w:tc>
      </w:tr>
      <w:tr>
        <w:trPr/>
        <w:tc>
          <w:tcPr>
            <w:tcW w:w="291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 net loss per share</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1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Diluted net loss per share</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Business Segments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operates in one segment: ophthalmology. The Company develops, manufactures and markets medical devices. Our revenues arise from the sale of consoles, delivery devices, consumables, service, and support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Revenue information shown by product group is as follows (in thousands):</w:t>
      </w:r>
    </w:p>
    <w:tbl>
      <w:tblPr>
        <w:tblW w:w="6794" w:type="dxa"/>
        <w:jc w:val="left"/>
        <w:tblInd w:w="0" w:type="dxa"/>
        <w:tblLayout w:type="fixed"/>
        <w:tblCellMar>
          <w:top w:w="28" w:type="dxa"/>
          <w:left w:w="28" w:type="dxa"/>
          <w:bottom w:w="28" w:type="dxa"/>
          <w:right w:w="28" w:type="dxa"/>
        </w:tblCellMar>
      </w:tblPr>
      <w:tblGrid>
        <w:gridCol w:w="1321"/>
        <w:gridCol w:w="146"/>
        <w:gridCol w:w="267"/>
        <w:gridCol w:w="858"/>
        <w:gridCol w:w="146"/>
        <w:gridCol w:w="146"/>
        <w:gridCol w:w="239"/>
        <w:gridCol w:w="766"/>
        <w:gridCol w:w="146"/>
        <w:gridCol w:w="146"/>
        <w:gridCol w:w="267"/>
        <w:gridCol w:w="858"/>
        <w:gridCol w:w="146"/>
        <w:gridCol w:w="146"/>
        <w:gridCol w:w="239"/>
        <w:gridCol w:w="766"/>
        <w:gridCol w:w="1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Cyclo G6</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7,327</w:t>
            </w:r>
          </w:p>
        </w:tc>
        <w:tc>
          <w:tcPr>
            <w:tcW w:w="191" w:type="dxa"/>
            <w:tcBorders/>
            <w:shd w:fill="CFF0FC"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Retina</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14,071</w:t>
            </w:r>
          </w:p>
        </w:tc>
        <w:tc>
          <w:tcPr>
            <w:tcW w:w="191" w:type="dxa"/>
            <w:tcBorders/>
            <w:shd w:fill="FFFFFF" w:val="clear"/>
            <w:vAlign w:val="center"/>
          </w:tcPr>
          <w:p>
            <w:pPr>
              <w:pStyle w:val="TableContents"/>
              <w:bidi w:val="0"/>
              <w:spacing w:before="0" w:after="283"/>
              <w:jc w:val="left"/>
              <w:rPr/>
            </w:pPr>
            <w:r>
              <w:rPr/>
              <w:t> </w:t>
            </w:r>
          </w:p>
        </w:tc>
      </w:tr>
      <w:tr>
        <w:trPr/>
        <w:tc>
          <w:tcPr>
            <w:tcW w:w="1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Other(1)</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(1) Includes service contract revenues of $0.1 million and $0.3 million, and $0.4 million and $0.8 million recognized during the three and six months ended June 29, 2024 and July 1, 2023, respectively. Includes $0.4 million and $0.7 million recognized revenue related to the exclusive distribution rights during both of the three and six months ended June 29, 2024 and July 1, 2023, respectively. Other also includes revenues from paid service, royalty, freight and legacy G probes.</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Revenue information shown by geographic region, based on the sales destination, is as follows (in thousands):</w:t>
      </w:r>
    </w:p>
    <w:p>
      <w:pPr>
        <w:pStyle w:val="TextBody"/>
        <w:bidi w:val="0"/>
        <w:jc w:val="left"/>
        <w:rPr/>
      </w:pPr>
      <w:r>
        <w:rPr/>
        <w:t> </w:t>
      </w:r>
    </w:p>
    <w:tbl>
      <w:tblPr>
        <w:tblW w:w="8144" w:type="dxa"/>
        <w:jc w:val="left"/>
        <w:tblInd w:w="0" w:type="dxa"/>
        <w:tblLayout w:type="fixed"/>
        <w:tblCellMar>
          <w:top w:w="28" w:type="dxa"/>
          <w:left w:w="28" w:type="dxa"/>
          <w:bottom w:w="28" w:type="dxa"/>
          <w:right w:w="28" w:type="dxa"/>
        </w:tblCellMar>
      </w:tblPr>
      <w:tblGrid>
        <w:gridCol w:w="2671"/>
        <w:gridCol w:w="146"/>
        <w:gridCol w:w="267"/>
        <w:gridCol w:w="858"/>
        <w:gridCol w:w="146"/>
        <w:gridCol w:w="146"/>
        <w:gridCol w:w="239"/>
        <w:gridCol w:w="766"/>
        <w:gridCol w:w="146"/>
        <w:gridCol w:w="146"/>
        <w:gridCol w:w="267"/>
        <w:gridCol w:w="858"/>
        <w:gridCol w:w="146"/>
        <w:gridCol w:w="146"/>
        <w:gridCol w:w="239"/>
        <w:gridCol w:w="766"/>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13,516</w:t>
            </w:r>
          </w:p>
        </w:tc>
        <w:tc>
          <w:tcPr>
            <w:tcW w:w="191" w:type="dxa"/>
            <w:tcBorders/>
            <w:shd w:fill="CFF0FC"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w:t>
            </w:r>
          </w:p>
        </w:tc>
        <w:tc>
          <w:tcPr>
            <w:tcW w:w="191" w:type="dxa"/>
            <w:tcBorders/>
            <w:shd w:fill="FFFFFF" w:val="clear"/>
            <w:vAlign w:val="center"/>
          </w:tcPr>
          <w:p>
            <w:pPr>
              <w:pStyle w:val="TableContents"/>
              <w:bidi w:val="0"/>
              <w:spacing w:before="0" w:after="283"/>
              <w:jc w:val="left"/>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 Rim</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w:t>
            </w:r>
          </w:p>
        </w:tc>
        <w:tc>
          <w:tcPr>
            <w:tcW w:w="191" w:type="dxa"/>
            <w:tcBorders/>
            <w:shd w:fill="CFF0FC"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 excluding the U.S.</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Revenues are attributed to countries based on the location of end customers.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than the United States, the Netherlands accounted for at least 10% of the Company’s revenues during the three and six months ended June 29, 2024, representing 12% and 14.5%, respectively. Other than the United States, the Netherlands accounted for at least 10% of the Company’s revenues during the three and six months ended July 1, 2023, representing 12% and 14%, respectively. The United States accounted for 44.3% and 52.4% of revenues for the three months ended June 29, 2024 and July 1, 2023, respectively, and 44.8% and 50.9% for the six months ended June 29, 2024 and July 1, 2023, respectively.</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Subsequent Event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August 4, 2024, the Company entered into a securities purchase agreement (the “Securities Purchase Agreement”) with Lind Global Asset Management IX LLC, an entity managed by The Lind Partners, LLC (together, “Lind”) pursuant to which the Company issued a senior convertible promissory note (the “Note”) to Lind, raising net proceeds of approximately $3.4 million at closing. Subject to certain conditions, the Company may issue a subsequent note with substantially similar terms (the “Subsequent Note”, and together with the Note, the “Lind Notes”) to Lind for additional proceeds of approximately $1.5 million.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Note has (and the Subsequent Note, if issued, will have) a 24-month term. The Note was issued on August 7, 2024 and has a principal amount of $4,200,000 and the Subsequent Note, if issued, will have a principal amount of up to $1,800,000. The Note is convertible at Lind’s option into shares of the Company’s common stock at an initial conversion price of $2.44, subject to any adjustments set forth in the Note, provided no such adjustment shall result in a conversion price that is less than $0.39. Commencing 120 days from the issuance date of the Note, subject to certain conditions, the Company will repay the outstanding principal amount of the Note in twenty consecutive monthly installments. At the Company’s option, such repayments can be made in cash plus a 4% premium, a number of shares of the Company’s common stock (the “Repayment Shares”) determined by dividing the portion of the principal amount of the Note being paid in shares of the Company’s common stock by 90% of the average of the five (5) lowest daily VWAPs during the twenty (20) trading days prior to the applicable payment date (subject to a floor price of $0.39), or a combination of cash and Repayment Shares.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total number of shares of the Company’s common stock issuable pursuant to the terms of the Transaction Documents (as defined in the Securities Purchase Agreement) is capped at (i) prior to the receipt of stockholder approval, a number of shares of the Company’s common stock equal to 19.99% of the number of shares of the Company’s common stock outstanding as of August 4, 2024, and (ii) following the receipt of stockholder approval, a number of shares of the Company’s common stock equal to 30% of the number of shares of the Company’s common stock outstanding as of August 4, 2024.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Refer to our 8-K filed on August 5, 2024 for further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and other parts of this Quarterly Report on Form 10-Q contain forward-looking statements that involve risks and uncertainties, such as statements of our plans, objectives, expectations and intentions, that are based on the beliefs of our management, as well as assumptions made by, and information currently available to, our management and should be read in conjunction with the section of this Quarterly Report on Form 10-Q entitled “Risk Factors.” Our actual results could differ materially from those discussed in these forward-looking statements. Factors that could cause or contribute to such differences include, but are not limited to, those discussed in the section entitled “Risk Factors.”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IRIDEX is an ophthalmic medical technology company focused on the development and commercialization of breakthrough products and procedures used to treat sight-threatening eye conditions, including glaucoma and retinal diseases.</w:t>
      </w:r>
    </w:p>
    <w:p>
      <w:pPr>
        <w:pStyle w:val="TextBody"/>
        <w:bidi w:val="0"/>
        <w:spacing w:before="120" w:after="283"/>
        <w:jc w:val="left"/>
        <w:rPr>
          <w:rFonts w:ascii="Times New Roman" w:hAnsi="Times New Roman"/>
          <w:sz w:val="20"/>
        </w:rPr>
      </w:pPr>
      <w:r>
        <w:rPr>
          <w:rFonts w:ascii="Times New Roman" w:hAnsi="Times New Roman"/>
          <w:color w:val="000000"/>
          <w:sz w:val="20"/>
        </w:rPr>
        <w:t>Our propriety MicroPulse</w:t>
      </w:r>
      <w:r>
        <w:rPr>
          <w:rFonts w:ascii="Times New Roman" w:hAnsi="Times New Roman"/>
          <w:color w:val="000000"/>
          <w:sz w:val="13"/>
        </w:rPr>
        <w:t>®</w:t>
      </w:r>
      <w:r>
        <w:rPr>
          <w:rFonts w:ascii="Times New Roman" w:hAnsi="Times New Roman"/>
          <w:color w:val="000000"/>
          <w:sz w:val="20"/>
        </w:rPr>
        <w:t xml:space="preserve"> Technology and Endpoint Management Technology are used for the treatment of glaucoma and retina disorders. Both technologies are offered as optional treatment modes in select laser consoles in addition to the standard continuous-wave (“CW”) treatment mode. They allow low-energy, subvisible, tissue-sparing laser therapy by different means: MicroPulse technology uses short, microsecond-long laser pulses that allow tissue to cool between pulses giving physicians finer control of thermal elevation to minimize tissue damage. Endpoint Management technology uses a delivery algorithm to titrate the laser energy. CW laser photocoagulation can stabilize vision over the long term but can also result in varying degrees of vision loss. Both MicroPulse and Endpoint Management technologies have demonstrated clinical efficacy with a safer profile compared to standard high-energy CW laser for the treatment of both retinal diseases and glaucoma.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consist of laser consoles, delivery devices and consumable probes.</w:t>
      </w:r>
    </w:p>
    <w:p>
      <w:pPr>
        <w:pStyle w:val="TextBody"/>
        <w:bidi w:val="0"/>
        <w:spacing w:before="120" w:after="283"/>
        <w:jc w:val="left"/>
        <w:rPr>
          <w:rFonts w:ascii="Times New Roman" w:hAnsi="Times New Roman"/>
          <w:sz w:val="20"/>
        </w:rPr>
      </w:pPr>
      <w:r>
        <w:rPr>
          <w:rFonts w:ascii="Times New Roman" w:hAnsi="Times New Roman"/>
          <w:i/>
          <w:color w:val="000000"/>
          <w:sz w:val="20"/>
        </w:rPr>
        <w:t>Our laser consoles consist of the following product lines:</w:t>
      </w:r>
      <w:r>
        <w:rPr>
          <w:rFonts w:ascii="Times New Roman" w:hAnsi="Times New Roman"/>
          <w:color w:val="000000"/>
          <w:sz w:val="20"/>
        </w:rPr>
        <w:t xml:space="preser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Glaucoma</w:t>
      </w:r>
      <w:r>
        <w:rPr>
          <w:color w:val="000000"/>
        </w:rPr>
        <w:t xml:space="preserve"> – </w:t>
      </w:r>
      <w:r>
        <w:rPr>
          <w:rFonts w:ascii="Times New Roman" w:hAnsi="Times New Roman"/>
          <w:color w:val="000000"/>
          <w:sz w:val="20"/>
        </w:rPr>
        <w:t>Our primary glaucoma console line is the Cyclo G6</w:t>
      </w:r>
      <w:r>
        <w:rPr>
          <w:rFonts w:ascii="Times New Roman" w:hAnsi="Times New Roman"/>
          <w:color w:val="000000"/>
          <w:sz w:val="13"/>
        </w:rPr>
        <w:t>®</w:t>
      </w:r>
      <w:r>
        <w:rPr>
          <w:color w:val="000000"/>
        </w:rPr>
        <w:t xml:space="preserve"> </w:t>
      </w:r>
      <w:r>
        <w:rPr>
          <w:rFonts w:ascii="Times New Roman" w:hAnsi="Times New Roman"/>
          <w:color w:val="000000"/>
          <w:sz w:val="20"/>
        </w:rPr>
        <w:t>laser system with MicroPulse technology. In addition, our medical retina consoles have features supporting glaucoma laser treatments.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Medical Retina</w:t>
      </w:r>
      <w:r>
        <w:rPr>
          <w:color w:val="000000"/>
        </w:rPr>
        <w:t xml:space="preserve"> – </w:t>
      </w:r>
      <w:r>
        <w:rPr>
          <w:rFonts w:ascii="Times New Roman" w:hAnsi="Times New Roman"/>
          <w:color w:val="000000"/>
          <w:sz w:val="20"/>
        </w:rPr>
        <w:t>Our medical-retina product line includes our portable IQ 532</w:t>
      </w:r>
      <w:r>
        <w:rPr>
          <w:rFonts w:ascii="Times New Roman" w:hAnsi="Times New Roman"/>
          <w:color w:val="000000"/>
          <w:sz w:val="13"/>
        </w:rPr>
        <w:t>®</w:t>
      </w:r>
      <w:r>
        <w:rPr>
          <w:color w:val="000000"/>
        </w:rPr>
        <w:t xml:space="preserve"> </w:t>
      </w:r>
      <w:r>
        <w:rPr>
          <w:rFonts w:ascii="Times New Roman" w:hAnsi="Times New Roman"/>
          <w:color w:val="000000"/>
          <w:sz w:val="20"/>
        </w:rPr>
        <w:t>and IQ 577</w:t>
      </w:r>
      <w:r>
        <w:rPr>
          <w:rFonts w:ascii="Times New Roman" w:hAnsi="Times New Roman"/>
          <w:color w:val="000000"/>
          <w:sz w:val="13"/>
        </w:rPr>
        <w:t>®</w:t>
      </w:r>
      <w:r>
        <w:rPr>
          <w:color w:val="000000"/>
        </w:rPr>
        <w:t xml:space="preserve"> </w:t>
      </w:r>
      <w:r>
        <w:rPr>
          <w:rFonts w:ascii="Times New Roman" w:hAnsi="Times New Roman"/>
          <w:color w:val="000000"/>
          <w:sz w:val="20"/>
        </w:rPr>
        <w:t>laser systems with MicroPulse technology; and the Pattern Scanning Laser (“PASCAL”) System, an integrated workstation with Endpoint Management technology and MicroPulse technology. These systems are ideal for multispecialty practices because these lasers also can be used to treat glaucoma, i.e., single-spot laser trabeculoplasty using MicroPulse technology, iridotomy, and iridectomy using the IQ lasers; and pattern scanning laser trabeculoplasty (“PSLT”) using the PASCAL laser system.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Surgical Retina</w:t>
      </w:r>
      <w:r>
        <w:rPr>
          <w:color w:val="000000"/>
        </w:rPr>
        <w:t xml:space="preserve"> – </w:t>
      </w:r>
      <w:r>
        <w:rPr>
          <w:rFonts w:ascii="Times New Roman" w:hAnsi="Times New Roman"/>
          <w:color w:val="000000"/>
          <w:sz w:val="20"/>
        </w:rPr>
        <w:t>Our surgical-retina product line includes our OcuLight</w:t>
      </w:r>
      <w:r>
        <w:rPr>
          <w:rFonts w:ascii="Times New Roman" w:hAnsi="Times New Roman"/>
          <w:color w:val="000000"/>
          <w:sz w:val="13"/>
        </w:rPr>
        <w:t>®</w:t>
      </w:r>
      <w:r>
        <w:rPr>
          <w:color w:val="000000"/>
        </w:rPr>
        <w:t xml:space="preserve"> </w:t>
      </w:r>
      <w:r>
        <w:rPr>
          <w:rFonts w:ascii="Times New Roman" w:hAnsi="Times New Roman"/>
          <w:color w:val="000000"/>
          <w:sz w:val="20"/>
        </w:rPr>
        <w:t>TX and OcuLight</w:t>
      </w:r>
      <w:r>
        <w:rPr>
          <w:rFonts w:ascii="Times New Roman" w:hAnsi="Times New Roman"/>
          <w:color w:val="000000"/>
          <w:sz w:val="13"/>
        </w:rPr>
        <w:t>®</w:t>
      </w:r>
      <w:r>
        <w:rPr>
          <w:color w:val="000000"/>
        </w:rPr>
        <w:t xml:space="preserve"> </w:t>
      </w:r>
      <w:r>
        <w:rPr>
          <w:rFonts w:ascii="Times New Roman" w:hAnsi="Times New Roman"/>
          <w:color w:val="000000"/>
          <w:sz w:val="20"/>
        </w:rPr>
        <w:t>SLx (with MicroPulse technology) laser photocoagulation systems. These systems are often used in vitrectomy procedures, which are used to treat proliferative diabetic retinopathy, macular holes, retinal tears and detachments.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generates recurring revenues through sales of consumable products, predominantly single-use laser probe devices and other instrumentation, as well as repair, service and extended service contracts for our laser systems.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laser probes consist of the following product lines: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Glaucoma</w:t>
      </w:r>
      <w:r>
        <w:rPr>
          <w:color w:val="000000"/>
        </w:rPr>
        <w:t xml:space="preserve"> – </w:t>
      </w:r>
      <w:r>
        <w:rPr>
          <w:rFonts w:ascii="Times New Roman" w:hAnsi="Times New Roman"/>
          <w:color w:val="000000"/>
          <w:sz w:val="20"/>
        </w:rPr>
        <w:t>Probes used in our glaucoma product line include our patented single-use delivery devices - MicroPulse P3</w:t>
      </w:r>
      <w:r>
        <w:rPr>
          <w:rFonts w:ascii="Times New Roman" w:hAnsi="Times New Roman"/>
          <w:color w:val="000000"/>
          <w:sz w:val="13"/>
        </w:rPr>
        <w:t>®</w:t>
      </w:r>
      <w:r>
        <w:rPr>
          <w:rFonts w:ascii="Times New Roman" w:hAnsi="Times New Roman"/>
          <w:color w:val="000000"/>
          <w:sz w:val="20"/>
        </w:rPr>
        <w:t>, G-Probe</w:t>
      </w:r>
      <w:r>
        <w:rPr>
          <w:rFonts w:ascii="Times New Roman" w:hAnsi="Times New Roman"/>
          <w:color w:val="000000"/>
          <w:sz w:val="13"/>
        </w:rPr>
        <w:t>®</w:t>
      </w:r>
      <w:r>
        <w:rPr>
          <w:rFonts w:ascii="Times New Roman" w:hAnsi="Times New Roman"/>
          <w:color w:val="000000"/>
          <w:sz w:val="20"/>
        </w:rPr>
        <w:t>, and G-Probe Illuminate</w:t>
      </w:r>
      <w:r>
        <w:rPr>
          <w:rFonts w:ascii="Times New Roman" w:hAnsi="Times New Roman"/>
          <w:color w:val="000000"/>
          <w:sz w:val="13"/>
        </w:rPr>
        <w:t>®</w:t>
      </w:r>
      <w:r>
        <w:rPr>
          <w:rFonts w:ascii="Times New Roman" w:hAnsi="Times New Roman"/>
          <w:color w:val="000000"/>
          <w:sz w:val="20"/>
        </w:rPr>
        <w: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Surgical Retina</w:t>
      </w:r>
      <w:r>
        <w:rPr>
          <w:color w:val="000000"/>
        </w:rPr>
        <w:t xml:space="preserve"> – </w:t>
      </w:r>
      <w:r>
        <w:rPr>
          <w:rFonts w:ascii="Times New Roman" w:hAnsi="Times New Roman"/>
          <w:color w:val="000000"/>
          <w:sz w:val="20"/>
        </w:rPr>
        <w:t>Probes used in our surgical-retina product line include our family of single-use EndoProbe</w:t>
      </w:r>
      <w:r>
        <w:rPr>
          <w:rFonts w:ascii="Times New Roman" w:hAnsi="Times New Roman"/>
          <w:color w:val="000000"/>
          <w:sz w:val="13"/>
        </w:rPr>
        <w:t>®</w:t>
      </w:r>
      <w:r>
        <w:rPr>
          <w:color w:val="000000"/>
        </w:rPr>
        <w:t xml:space="preserve"> </w:t>
      </w:r>
      <w:r>
        <w:rPr>
          <w:rFonts w:ascii="Times New Roman" w:hAnsi="Times New Roman"/>
          <w:color w:val="000000"/>
          <w:sz w:val="20"/>
        </w:rPr>
        <w:t>handpieces.</w:t>
      </w:r>
    </w:p>
    <w:p>
      <w:pPr>
        <w:pStyle w:val="TextBody"/>
        <w:bidi w:val="0"/>
        <w:spacing w:before="120" w:after="283"/>
        <w:jc w:val="left"/>
        <w:rPr>
          <w:rFonts w:ascii="Times New Roman" w:hAnsi="Times New Roman"/>
          <w:sz w:val="20"/>
        </w:rPr>
      </w:pPr>
      <w:r>
        <w:rPr>
          <w:rFonts w:ascii="Times New Roman" w:hAnsi="Times New Roman"/>
          <w:color w:val="000000"/>
          <w:sz w:val="20"/>
        </w:rPr>
        <w:t>Ophthalmologists typically use our laser systems in hospital operating rooms and ambulatory surgical centers, as well as their offices and clinics. In operating rooms and ambulatory surgical centers, ophthalmologists use our laser systems with either an indirect laser ophthalmoscope or a single-use consumable probe, including MicroPulse P3</w:t>
      </w:r>
      <w:r>
        <w:rPr>
          <w:rFonts w:ascii="Times New Roman" w:hAnsi="Times New Roman"/>
          <w:color w:val="000000"/>
          <w:sz w:val="13"/>
        </w:rPr>
        <w:t>®</w:t>
      </w:r>
      <w:r>
        <w:rPr>
          <w:rFonts w:ascii="Times New Roman" w:hAnsi="Times New Roman"/>
          <w:color w:val="000000"/>
          <w:sz w:val="20"/>
        </w:rPr>
        <w:t>, G-Probe</w:t>
      </w:r>
      <w:r>
        <w:rPr>
          <w:rFonts w:ascii="Times New Roman" w:hAnsi="Times New Roman"/>
          <w:color w:val="000000"/>
          <w:sz w:val="13"/>
        </w:rPr>
        <w:t>®</w:t>
      </w:r>
      <w:r>
        <w:rPr>
          <w:rFonts w:ascii="Times New Roman" w:hAnsi="Times New Roman"/>
          <w:color w:val="000000"/>
          <w:sz w:val="20"/>
        </w:rPr>
        <w:t xml:space="preserve"> and G-Probe Illuminate</w:t>
      </w:r>
      <w:r>
        <w:rPr>
          <w:rFonts w:ascii="Times New Roman" w:hAnsi="Times New Roman"/>
          <w:color w:val="000000"/>
          <w:sz w:val="13"/>
        </w:rPr>
        <w:t>®</w:t>
      </w:r>
      <w:r>
        <w:rPr>
          <w:rFonts w:ascii="Times New Roman" w:hAnsi="Times New Roman"/>
          <w:color w:val="000000"/>
          <w:sz w:val="20"/>
        </w:rPr>
        <w:t xml:space="preserve"> delivery devices, and EndoProbe handpieces. In the offices and clinics, ophthalmologists use our laser systems with either an indirect laser ophthalmoscope or a slit-lamp adapter.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are sold in the United States and Germany predominantly through a direct sales force and internationally (aside from Germany) primarily through independent distributors.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to international distributors are made on open credit terms or letters of credit and are currently denominated in U.S. dollars and accordingly, are not subject to risks associated with currency fluctuations. However, increases in the value of the U.S. dollar against any local currencies could cause our products to become relatively more expensive to customers in a particular country or region, leading to reduced revenue or profitability in that country or region. Sales to direct end users transacted through our German office are denominated in Euros and are subject to risks associated with currency fluctuations.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revenues consists primarily of our direct manufacturing costs which include the cost of components and sub-systems, assembling, packaging, shipping and testing components at our facility, direct labor and associated overhead, warranty, royalty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of intangible assets and depot service costs. For certain of our products, we are responsible for the cost of the fully assembled product that is manufactured by a third-party.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expenses consist primarily of costs of personnel, sales commissions, travel expenses, advertising and promotional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costs of personnel, legal, accounting and other public company costs, insurance and other expenses not allocated to other departments.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Impact of Macroeconomic Conditions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macroeconomic conditions exhibit challenges that can affect capital equipment purchasing demand and timing, including recessionary fears, inflation concerns, changing interest rates, concerns related to the upcoming presidential election in the United States, as well as other geopolitical developments, have impacted and may continue to impact business spending and the economy as a whole. As a result, we have seen customers extend purchase decision cycles. We have also experienced some demand softness due to pricing effects from the strength of the U.S. Dollar that have impacted and may continue to impact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macroeconomic conditions on our business and operations remain uncertain, and it is not possible for us to predict the duration and extent to which they will affect our business, future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more information on risks associated with the current macroeconomic conditions, see the section titled “Risk Factors” in Item 1A of Part II.</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certain operating data as a percentage of revenues: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85"/>
        <w:gridCol w:w="146"/>
        <w:gridCol w:w="219"/>
        <w:gridCol w:w="857"/>
        <w:gridCol w:w="323"/>
        <w:gridCol w:w="146"/>
        <w:gridCol w:w="197"/>
        <w:gridCol w:w="773"/>
        <w:gridCol w:w="323"/>
        <w:gridCol w:w="146"/>
        <w:gridCol w:w="219"/>
        <w:gridCol w:w="857"/>
        <w:gridCol w:w="323"/>
        <w:gridCol w:w="146"/>
        <w:gridCol w:w="197"/>
        <w:gridCol w:w="773"/>
        <w:gridCol w:w="375"/>
      </w:tblGrid>
      <w:tr>
        <w:trPr/>
        <w:tc>
          <w:tcPr>
            <w:tcW w:w="4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41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2024</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1, 2023</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2024</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1, 2023</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right"/>
              <w:rPr/>
            </w:pPr>
            <w:r>
              <w:rPr/>
              <w:t> </w:t>
            </w:r>
          </w:p>
        </w:tc>
        <w:tc>
          <w:tcPr>
            <w:tcW w:w="1076" w:type="dxa"/>
            <w:gridSpan w:val="2"/>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70" w:type="dxa"/>
            <w:gridSpan w:val="2"/>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6" w:type="dxa"/>
            <w:gridSpan w:val="2"/>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70" w:type="dxa"/>
            <w:gridSpan w:val="2"/>
            <w:tcBorders/>
            <w:shd w:fill="FFFFFF" w:val="clear"/>
            <w:vAlign w:val="center"/>
          </w:tcPr>
          <w:p>
            <w:pPr>
              <w:pStyle w:val="TableContents"/>
              <w:bidi w:val="0"/>
              <w:spacing w:before="0" w:after="283"/>
              <w:jc w:val="right"/>
              <w:rPr/>
            </w:pPr>
            <w:r>
              <w:rPr/>
              <w:t> </w:t>
            </w:r>
          </w:p>
        </w:tc>
        <w:tc>
          <w:tcPr>
            <w:tcW w:w="375" w:type="dxa"/>
            <w:tcBorders/>
            <w:shd w:fill="FFFFFF" w:val="clear"/>
            <w:vAlign w:val="center"/>
          </w:tcPr>
          <w:p>
            <w:pPr>
              <w:pStyle w:val="TableContents"/>
              <w:bidi w:val="0"/>
              <w:spacing w:before="0" w:after="283"/>
              <w:jc w:val="right"/>
              <w:rPr/>
            </w:pPr>
            <w:r>
              <w:rPr/>
              <w:t> </w:t>
            </w:r>
          </w:p>
        </w:tc>
      </w:tr>
      <w:tr>
        <w:trPr/>
        <w:tc>
          <w:tcPr>
            <w:tcW w:w="41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3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3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3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3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3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before provision for income taxes</w:t>
            </w:r>
          </w:p>
        </w:tc>
        <w:tc>
          <w:tcPr>
            <w:tcW w:w="146"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3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3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The following comparisons are between the three months ended June 29, 2024 and July 1, 2023</w:t>
      </w:r>
      <w:r>
        <w:rPr>
          <w:rFonts w:ascii="Times New Roman" w:hAnsi="Times New Roman"/>
          <w:color w:val="000000"/>
          <w:sz w:val="20"/>
        </w:rPr>
        <w:t xml:space="preserve"> </w:t>
      </w:r>
      <w:r>
        <w:rPr>
          <w:rFonts w:ascii="Times New Roman" w:hAnsi="Times New Roman"/>
          <w:b/>
          <w:color w:val="000000"/>
          <w:sz w:val="20"/>
        </w:rPr>
        <w:t>(in thousands):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Revenues</w:t>
      </w:r>
    </w:p>
    <w:tbl>
      <w:tblPr>
        <w:tblW w:w="6894" w:type="dxa"/>
        <w:jc w:val="left"/>
        <w:tblInd w:w="0" w:type="dxa"/>
        <w:tblLayout w:type="fixed"/>
        <w:tblCellMar>
          <w:top w:w="28" w:type="dxa"/>
          <w:left w:w="28" w:type="dxa"/>
          <w:bottom w:w="28" w:type="dxa"/>
          <w:right w:w="28" w:type="dxa"/>
        </w:tblCellMar>
      </w:tblPr>
      <w:tblGrid>
        <w:gridCol w:w="1321"/>
        <w:gridCol w:w="146"/>
        <w:gridCol w:w="267"/>
        <w:gridCol w:w="858"/>
        <w:gridCol w:w="146"/>
        <w:gridCol w:w="146"/>
        <w:gridCol w:w="239"/>
        <w:gridCol w:w="766"/>
        <w:gridCol w:w="146"/>
        <w:gridCol w:w="146"/>
        <w:gridCol w:w="297"/>
        <w:gridCol w:w="678"/>
        <w:gridCol w:w="166"/>
        <w:gridCol w:w="146"/>
        <w:gridCol w:w="228"/>
        <w:gridCol w:w="822"/>
        <w:gridCol w:w="376"/>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center"/>
              <w:rPr/>
            </w:pPr>
            <w:r>
              <w:rPr/>
              <w:t> </w:t>
            </w:r>
          </w:p>
        </w:tc>
        <w:tc>
          <w:tcPr>
            <w:tcW w:w="376"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Cyclo G6</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Retina</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total revenues decreased by $0.2 million, or 1.7%, from $12.9 million to $12.6 million. The decrease was driven by overall softer demand in our Glaucoma "Cyclo G6" product lines, partially offset by increases in Medical Retina PASCAL products, and lower royalties due to the expiration of licensed patents.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While we believe that the market for our products remains strong, the overall capital expenditure landscape within hospitals, surgical centers and physician offices may continue to be negatively impacted by persistent macroeconomic concerns.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Gross Profit and Gross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decreased $0.2 million, or 4.3% from $5.3 million to $5.1 million. Gross margin decreased by 1% from 41.7% to 40.7%. The decrease in gross margin was driven by lower royalty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margins may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decreased by $0.3 million, or 18.6% from $1.8 million to $1.5 million. Spending on investment in PASCAL product line and on new and expanded product portfolio decreased as we completed these projects.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decreased $0.8 million, or 18.2%, from $4.3 million to $3.5 million. The decrease was related to lower sales costs associated with lower commissions and reduction on headcount.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by $0.6 million, or 29.7% from $2.2 million to $2.8 million. The increase is a result of higher consulting costs and deal related legal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net was $22 thousand for the three months ended June 29, 2024 compared to other income, net, of $0.1 million for the three months ended July 1, 2023. Other income (expense), net, consisted primarily of interest income or expense and foreign currency gain or loss.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recorded an income tax provision of $19 thousand and $10 thousand for the three months ended June 29, 2024 and July 1, 2023, respectively.</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The following comparisons are between the six months ended June 29, 2024 and July 1, 2023 (in thousands):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Revenues</w:t>
      </w:r>
    </w:p>
    <w:tbl>
      <w:tblPr>
        <w:tblW w:w="6894" w:type="dxa"/>
        <w:jc w:val="left"/>
        <w:tblInd w:w="0" w:type="dxa"/>
        <w:tblLayout w:type="fixed"/>
        <w:tblCellMar>
          <w:top w:w="28" w:type="dxa"/>
          <w:left w:w="28" w:type="dxa"/>
          <w:bottom w:w="28" w:type="dxa"/>
          <w:right w:w="28" w:type="dxa"/>
        </w:tblCellMar>
      </w:tblPr>
      <w:tblGrid>
        <w:gridCol w:w="1321"/>
        <w:gridCol w:w="146"/>
        <w:gridCol w:w="267"/>
        <w:gridCol w:w="858"/>
        <w:gridCol w:w="146"/>
        <w:gridCol w:w="146"/>
        <w:gridCol w:w="239"/>
        <w:gridCol w:w="766"/>
        <w:gridCol w:w="146"/>
        <w:gridCol w:w="146"/>
        <w:gridCol w:w="244"/>
        <w:gridCol w:w="731"/>
        <w:gridCol w:w="166"/>
        <w:gridCol w:w="146"/>
        <w:gridCol w:w="228"/>
        <w:gridCol w:w="822"/>
        <w:gridCol w:w="376"/>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center"/>
              <w:rPr/>
            </w:pPr>
            <w:r>
              <w:rPr/>
              <w:t> </w:t>
            </w:r>
          </w:p>
        </w:tc>
        <w:tc>
          <w:tcPr>
            <w:tcW w:w="376"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Cyclo G6</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Retina</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total revenues decreased by $2.2 million, or 8.2%, from $26.6 million to $24.4 million. The decrease was driven by softer demand in our Glaucoma product lines, partially offset by increases in Medical Retina PASCAL products, and lower royalties due to the expiration of licensed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believe that the market for our products remains strong, the overall capital expenditure landscape within hospitals, surgical centers and physician offices may continue to be negatively impacted by persistent macroeconomic concerns discussed above.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Gross Profit and Gross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decreased $1.7 million, or 3.2%, from $11.3 million to $9.6 million. Gross margin decreased by 3.2% from 42.5% to 39.3%. The decrease in gross margin was driven by lower revenues and manufacturing overhead absorbed by less royalty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margins may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decreased by $0.6 million, or 15.5%, from $3.6 million to $3.0 million. Spending on investment in PASCAL product line and on new and expanded product portfolio decreased as we completed these new projects. We implemented cost savings measures including reductions in workforce that resulted in lower headcount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decreased by $1.3 million, or 15.4%, from $8.5 million to $7.2 million. The decrease was related to the reduction in headcount and lower consulting and travel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by $0.9 million, or 19.4%, from $4.4 million to $5.3 million. The increase is a result of higher consulting costs and deal related legal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net increased by $0.6 million from net income of $0.4 million to net other expense, net of $0.2 million for the six months ended June 29, 2024. Other income (expense), net, consisted primarily of interest income or expense and foreign currency gain or loss.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recorded an income tax provision of $57 thousand and $22 thousand for the six months ended June 29, 2024 and July 1, 2023, respectively.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Liquidity, Capital Resources and Management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Liquidity is our ability to generate sufficient cash flows from operating activities to meet our obligations and commitments. In addition, liquidity includes the ability to obtain appropriate financing or to raise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29, 2024, we had cash and cash equivalents of $4.1 million and working capital of $8.9 million compared to cash and cash equivalents of $7.0 million and working capital of $14.5 million as of December 30,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$3.0 million in the six months ended June 29, 2024 compared to net cash used in operating activities of $4.0 million in the six months ended July 1, 2023. The decrease in net cash used in operating activities, expressed in direct cash flow terms, was primarily due to cash provided by inventory, prepaids, and other current assets and accrued expenses, offset by increases in cash used in accounts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29, 2024, and July 1, 2023 net cash used in investing activities was $3 thousand and $59 thousand, respectively, which consisted of 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29, 2024, no net cash was used in financing activities. For the six months ended July 1, 2023, net cash used in financing activities was $26 thousand, primarily for taxes related to net share settlement of equity awards partially offset by the net proceeds arising from stock option exercises.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funded our operations primarily through sales of our products to customers, sales of our common stock and borrowing arrangements. As of June 29, 2024, our principal sources of liquidity consisted of cash and cash equivalents of $4.1 million. We have incurred net losses over the last several years, and as of June 29, 2024, have an accumulated deficit of approximately $85.2 million. We expect to continue to incur operating losses and negative cash flows from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evaluates whether there are relevant conditions and events that, in the aggregate, raise substantial doubt about the Company’s ability to continue as a going concern and to meet its obligations as they become due within one year after the date that the financial statements are issued.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assuming we will continue as a going concern. For the six months ended June 29, 2024, we implemented cost savings initiatives to increase operational efficiencies across all departments, which we expect will decrease our operating expenses and increase working capital over the next five quarters. Based on these cost savings initiatives implemented by us and the closing of the $3.4 million Note with Lind (with an option to have an additional $1.5 million Subsequent Note), management believes we have alleviated substantial doubt about our ability to satisfy our liquidity needs over the next 12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Subsequent to the second quarter close, on August 7, 2024, we closed a Note with Lind and raised net proceeds of approximately $3.4 million. These funds are sufficient to meet our immediate and near-term capital requirements. Our future capital requirements will depend on many factors, including our strategic alternatives, the timing and extent of our spending to support research and development activities, the timing and cost of establishing additional sales and marketing capabilities, the introduction of new and enhanced products and our costs to implement new manufacturing technologies. In the event that additional financing is required from outside sources, we may not be able to raise it on terms acceptable to us or at all.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dilution in their percentage ownership of our company, and any new equity securities we issue could have rights, preferences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privileges senior to those of holders of our common stock. If we are unable to obtain adequate financing or financing on terms satisfactory to us, when we require it, our ability to continue to grow or support our business and to respond to business challenges could be limited.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pStyle w:val="TextBody"/>
        <w:bidi w:val="0"/>
        <w:jc w:val="left"/>
        <w:rPr/>
      </w:pPr>
      <w:r>
        <w:rPr/>
        <w:t> </w:t>
      </w:r>
    </w:p>
    <w:p>
      <w:pPr>
        <w:pStyle w:val="TextBody"/>
        <w:bidi w:val="0"/>
        <w:jc w:val="left"/>
        <w:rPr>
          <w:rFonts w:ascii="Times New Roman" w:hAnsi="Times New Roman"/>
          <w:sz w:val="20"/>
        </w:rPr>
      </w:pPr>
      <w:bookmarkStart w:id="12" w:name="item_3_quantitative_qualitative_disclosu"/>
      <w:bookmarkEnd w:id="12"/>
      <w:r>
        <w:rPr>
          <w:rFonts w:ascii="Times New Roman" w:hAnsi="Times New Roman"/>
          <w:b/>
          <w:color w:val="000000"/>
          <w:sz w:val="20"/>
        </w:rPr>
        <w:t>Item 3. Quantitative and Qualitative Disclosure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“smaller reporting company,” as defined in Rule 12b-2 of the Exchange Act, we are not required to provide the information called for by this Item.</w:t>
      </w:r>
    </w:p>
    <w:p>
      <w:pPr>
        <w:pStyle w:val="TextBody"/>
        <w:bidi w:val="0"/>
        <w:spacing w:before="12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by SEC Rule 13a-15(b), we carried out an evaluation, under the supervision and with the participation of our management, including our Principal Executive Officer and our Principal Financial Officer, of the effectiveness of the design and operation of our disclosure controls and procedures as of June 29, 2024. Based on the foregoing, our Principal Executive Officer and our Principal Financial Officer concluded that our disclosure controls and procedures were effective at the reasonable assurance level.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4" w:name="part_ii_or_information"/>
      <w:bookmarkEnd w:id="14"/>
      <w:r>
        <w:rPr>
          <w:rFonts w:ascii="Times New Roman" w:hAnsi="Times New Roman"/>
          <w:b/>
          <w:color w:val="000000"/>
          <w:sz w:val="20"/>
        </w:rPr>
        <w:t>PART II. OTHER INFORMATION</w:t>
      </w:r>
    </w:p>
    <w:p>
      <w:pPr>
        <w:pStyle w:val="TextBody"/>
        <w:bidi w:val="0"/>
        <w:spacing w:before="12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condensed consolidated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12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and uncertainties described below, together with all of the other information in this Quarterly Report on Form 10-Q, including the sections titled “Management’s Discussion and Analysis of Financial Condition and Results of Operations” and our condensed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Risk Factor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operations are subject to numerous risks, factors and uncertainties outside of our control that could cause our actual results to be harmed, including risks regarding the following:</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economic factors</w:t>
      </w:r>
      <w:r>
        <w:rPr>
          <w:rFonts w:ascii="Times New Roman" w:hAnsi="Times New Roman"/>
          <w:color w:val="000000"/>
          <w:sz w:val="20"/>
        </w:rPr>
        <w:t xml:space="preser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macroeconomic conditions, including inflationary pressures and changing interest rates, a reduction in business confidence and activity, global pandemics and responsive measures and the Russia-Ukraine and Israel-Hamas conflicts.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Operational factors</w:t>
      </w:r>
    </w:p>
    <w:p>
      <w:pPr>
        <w:pStyle w:val="TextBody"/>
        <w:bidi w:val="0"/>
        <w:spacing w:before="120" w:after="283"/>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additional funding and may not be able to raise capital when needed, which could force us to delay or reduce commercialization efforts;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condition raises serious doubt as to our ability to continue to operate as a going concern;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convertible note agreement contains restrictive and financial covenants that may limit our operating flexibility and the failure to comply with such covenants could cause our outstanding debt to become accelerated;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relationship with our strategic partner and main distributor Topcon;</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quality control and production issues;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complexity of our laser systems;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defects in our laser systems;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direct and independent sales forces and a network of international distributors to sell our products;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international sales;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products and applications and improving existing products;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sales and operating results;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ophthalmology market;</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in our industry;</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loss of key personnel;</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collaborative relationships used to enhance products and applications;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sales volumes, results of operations, and revenues;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meeting product demand;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sole source and limited source suppliers;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catastrophic loss;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to our information technology system and breaches of data security;</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relationships with health-care providers;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misuse of our products;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and brand;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our customers to obtain credit or material increases in interest rates;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recalls of our products;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growth effectively.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Regulatory and legal factors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reform measures and changes in third-party coverage and reimbursement policies;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healthcare laws;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with potential governmental, regulatory and other legal proceedings relative to advertising, promotion and marketing;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and proprietary rights related to our intellectual property;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government regulations, including the FDA’s quality system regulation and laser performance standards;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approval for clinical trials;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product liability claims;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in trade policies;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 laws;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state and foreign laws, including changes to those laws;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environmental requirements.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Financing and transactional risks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divestitures of our businesses or product lines;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charter documents, Delaware law and contractual provisions that could delay or prevent an acquisition or sale of our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Governance risks and risks related to ownership of our common stock</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volatility of the trading price of our common stock;</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intention not to pay dividends for the foreseeable future;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publication of research about us by analysts;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concentration of ownership of our common stock; and</w:t>
      </w:r>
    </w:p>
    <w:p>
      <w:pPr>
        <w:pStyle w:val="TextBody"/>
        <w:bidi w:val="0"/>
        <w:spacing w:before="120" w:after="120"/>
        <w:ind w:left="490" w:right="0" w:hanging="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ability to maintain an effective system of internal control over financial reporting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Factors That May Affect Future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other information contained in this Quarterly Report on Form 10-Q, we have identified the following risks and uncertainties that may have a material adverse effect on our business, common stock price, financial condition or results of operations. You should carefully consider the risks described below before making an investment decision.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Relating to our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need additional funding and may not be able to raise capital when needed, which could force us to delay or reduce our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actively engaged in a review of our near-, medium- and long-term financing needs, which includes seeking to raise additional capital through strategic alternatives, equity offerings and debt financings. Such additional financing may not be available to us on acceptable terms or at all. Given the current market price of our common stock, any equity financing would result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dilution to our existing stockholders. In addition, any additional equity or debt financing that we raise may contain terms that are not favorable to us or our stockholders. For example, if we raise funds by issuing equity or equity-linked securities, the issuance of such securities could result in dilution to our stockholders.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terms of debt securities issued, or borrowings, could impose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such as relinquishment or licensing of certain technologies or products that we otherwise would seek to develop or commercialize ourselves, or reserve for future potential arrangements when we might otherwise be able to achieve more favorable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adequate financing on terms satisfactory to us when we require it, we may terminate or delay sales and marketing efforts or other activities necessary to commercialize our products. If this were to occur, our ability to grow and support our business and to respond to market challenges could be significantly limited, which could have a material adverse effect on our business, financial condition, and results of operations.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current macroeconomic conditions have disrupted, and may continue to disrupt our operations, including our ability to manufacture and supply products and perform research and development activities, and our customers’ usage of our products, all of which have had and may continue to have a material and adverse effect on our business, future revenues and financial condition. We are unable to predict the extent to which any future global pandemic or other public health emergencies or outbreaks and related macroeconomic impacts may adversely impact our business operations, financial performance, results of operations, financial position and the achievement of our strategic objectives</w:t>
      </w:r>
      <w:r>
        <w:rPr>
          <w:rFonts w:ascii="Times New Roman" w:hAnsi="Times New Roman"/>
          <w:b/>
          <w:i/>
          <w:color w:val="212529"/>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results of operation and financial performance were negatively impacted by the COVID-19 pandemic and related public health responses, such as travel restrictions in countries and regions in which we have operations or manufacturing partners. Due to these impacts and measures, we have experienced and may continue to experience significant and unpredictable interruptions in the supply of raw materials, components and sub-assemblies necessary to manufacture and assemble our products and reductions in the demand for our products if healthcare customers divert medical resources and priorities towards the treatment of COVID-19 or any future outbreak of disease. In addition, our customers may delay, cancel or redirect planned capital expenditures in order to focus resources on any future outbreak of disease, global pandemic or in response to macroeconomic disruption related to any future global pandemic. In the near term, a future outbreak of disease or global pandemic may negatively impact the use of our products and the number of ophthalmic treatments and procedures performed. If the volume of elective procedures declines, our results of operations and financial condition will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volatile macroeconomic environment has created economic uncertainty and volatility in the financial markets around the world, resulting in an economic downturn that has affected and may likely continue to affect demand for our products and impact our results of operations. As a result, this may lead to a period of regional, national, and global economic slowdown or regional, national, or global recessions that would curtail or delay spending by hospitals and affect demand for our products as well as increase the risk of customer defaults or delays in payments. Our customers may terminate or amend their agreements for the purchase, lease, or service of our products due to bankruptcy, lack of liquidity, lack of funding, operational failures, or other reason. The ultimate impact of the volatile macroeconomic conditions on our operations and financial performance depends on many factors that are not within our control, including, but not limited, to: the recommendations by medical authorities on whether hospitals should and may perform elective surgical procedures; hospitals’ abilities and willingness to devote resources to elective surgical procedures; governmental, business and individuals’ actions that have been and may continue to be taken in response to any future resurgence of the COVID-19 pandemic or other public health emergencies or outbreaks (including restrictions on travel and transport and workforce pressures); the impact of other public health emergencies or any future outbreak of disease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current volatile macroeconomic conditions subside. We have experienced and may continue to experience in subsequent periods, disruptions to our business that may adversely impact our business, financial condition and results of operations.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Servicing our existing and future debt, including the Note, may require a significant amount of cash, and we may not have sufficient cash flow from our business to pay our indebtedness.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7, 2024, we issued the Note to Lind, which has a principal amount of $4,200,000, and we may, in the future, issue the Subsequent Note to Lind which would have a principal amount of up to $1,800,000. Our ability to make scheduled payments of the principal of, to pay interest on or to refinance our indebtedness, including the Lind Notes, depends on our future performance, which is subject to economic, financial, competitive, and other factors beyond our control. We may not generate cash flow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the Securities Purchase Agreement and the Note contain, and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have the ability to raise the funds necessary to settle repayments of the Note in cash, and our future debt may contain limitations on our ability to make cash payments as required by the Note.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Following the occurrence of a Change of Control (as defined in the Securities Purchase Agreement), Lind may require us to prepay, effective immediately prior to the consummation of such Change of Control, the Note in an amount equal to 105% of the outstanding principal amount of the Note as of such date. In addition, commencing 120 days from the issuance date of the Note, the Company will be required to repay the outstanding principal amount of the Note in twenty consecutive monthly installments of cash, Repayment Shares, or a combination of cash and Repayment Shares, at the Company’s option, </w:t>
      </w:r>
      <w:r>
        <w:rPr>
          <w:rFonts w:ascii="Times New Roman" w:hAnsi="Times New Roman"/>
          <w:i/>
          <w:color w:val="000000"/>
          <w:sz w:val="20"/>
        </w:rPr>
        <w:t>provided that</w:t>
      </w:r>
      <w:r>
        <w:rPr>
          <w:rFonts w:ascii="Times New Roman" w:hAnsi="Times New Roman"/>
          <w:color w:val="000000"/>
          <w:sz w:val="20"/>
        </w:rPr>
        <w:t xml:space="preserve"> no portion of the outstanding principal amount may be paid in Repayment Shares unless such Repayment Shares (A) may be immediately resold pursuant to Rule 144 under the Securities Act of 1933, as amended (the “1933 Act”), by a person that is not an affiliate of the Company, or (B) are registered for resale under the 1933 Act and a registration statement is in effect and lawfully usable to effect immediate sales of such Repayment Shares. If we do not meet the conditions for repayment in Repayment Shares, we will be required to make such monthly payments in cash. However, we may not have enough available cash or be able to obtain financing at the time we are required to make such payments on the Note or at its maturity. In addition, any cash payments would reduce the amount of cash available for our operations, which could have a material and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make cash payments in connection with the Note may be limited by law, regulatory authority or agreements governing our future indebtedness. Our failure to make payments as required by the Note would constitute a default under the Note. A default under the Note could also lead to a default under agreements governing any of our existing or future indebtedness. Moreover, the occurrence of a Change of Control under the Note could constitute an event of default under other agreements. If the payment of the related indebtedness were to be accelerated after any applicable notice or grace periods, we may not have sufficient funds to repay the indebtedness. Any failure by us to repay indebtedness, in each case, when required to do so pursuant to the terms of the Note, could have a material adverse effect on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Lind has conversion rights under the Note, the exercise of which could result in the issuance of a substantial amount of our common stock at a significant discount to the trading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Note is convertible at Lind’s option into shares of our common stock at an initial conversion price of $2.44, subject to any adjustments set forth in the Note. However, upon the occurrence of a Delisting Event or an Event of Default (each as defined in the Note), the Notewill become immediately due and payable, and Lind may declare an amount equal to 120% of the then outstanding principal amount of the Note due and payable, in addition to any other remedies under the Transaction Documents. Additionally, the occurrence of a Delisting Event, an Event of Default or an event which with the passage of time may result in an Event of Default, Lind may convert all or a portion of the outstanding principal amount of the Note at the lower of (i) the then-current conversion price and (ii) the greater of (a) eighty-percent (80%) of the average of the three (3) lowest daily VWAPs during the twenty (20) trading days prior to the delivery of the notice of conversion and (b) a floor price of $0.39, which would significantly dilute our stockholders. If we experience a Delisting Event or an Event of Default under the Note, we may experience a material adverse effect on our liquidity,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Divestitures of our businesses or product lines may materially and adversely affect our financial condition, results of operations or cash flows and require us to raise additional capital to replace revenue from those business units or product 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two main businesses: glaucoma and retina, domestic and international operations within each and many product lines within the two businesses. We periodically evaluate the performance and strategic fit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not realize the expected value from the divestiture of a business or product lines and may need to raise additional capital to replace the revenue generated from the business or product line that is divested.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 materially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adversely affect our business, financial condition, results of operations and cash flows, and may also result in a diversion of management attention, operational difficulties and losses.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not be successful in our strategic partnership with Topcon and the relationship may divert resources away from existing operations or expose us to liabilities, which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 2021, we entered into a series of strategic transactions with Topcon, Topcon America Corporation (the “Investor”) and Topcon Medical Laser Systems, Inc., a subsidiary of Topcon (“TMLS”), which included (i) an asset purchase agreement with TMLS, pursuant to which we acquired substantially all the assets (except for cash and cash equivalents) of TMLS, including rights to the PASCAL product (the “Asset Purchase Agreement”), (ii) a distribution agreement dated March 2, 2021, pursuant to which we granted Topcon the exclusive right to distribute our retina and glaucoma products in certain geographies outside the United States (the “Distribution Agreement”), and (iii) an investment agreement dated March 2, 2021 (the “Investment Agreement”), pursuant to which we sold the Investor 1,618,122 shares of our common stock for an aggregate purchase price of $10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Asset Purchase Agreement, the transferred assets include substantially all of TMLS’ assets including the rights to the PASCAL product (the “Transferred Assets”). We assumed only those liabilities arising after the closing in connection with the Transferred Assets. In the Asset Purchase Agreement, our company and TMLS made certain customary representations and warranties and agreed to certain customary covenants. The Agreement provides that our company and TMLS will each indemnify the other for losses arising from certain breaches of the Agreement and for certain other liabilities subject to customary caps and deductibles. If there are claims under the indemnification provisions for which we are liable we will need to use some or all our cash to settle those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Distribution Agreement, we appointed Topcon as the exclusive distributor of our glaucoma and retina products, including PASCAL product, in certain countries outside of the United States. Topcon agreed to use commercially reasonable efforts to commercialize our products in each region throughout the territory, including achieving certain sales baselines by product category and region. If Topcon fails to achieve the baselines in a region, we will have the right to, subject to payment of a fee, terminate Topcon’s appointment in such region. The Distribution Agreement and Topcon’s appointment will, unless terminated earlier, continue on a country-by-country basis for a period of 10 years from the date exclusivity is granted. The Distribution Agreement includes customary termination rights and effects of termination, including a termination for convenience right in favor of Topcon and, subject to payment of a fee, a termination right in our favor upon a change of control of our company, as well as customary indemnification provisions.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Distribution Agreement, we terminated our relationships with our prior distributors in certain geographies and we are using Topcon as our exclusive distributor. If Topcon is unable to generate as much revenue under the Distribution Agreement as we received from our prior distributors, our business, results of operations and financial condition could be adversely affected. If there are claims under the indemnification provisions of the Distribution Agreement for which we are liable, we will need to use some or all our cash to settle those claims or make payments to Topcon pursuant to the terms of the Distribution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investing a substantial amount of time, resources and efforts in connection with our relationship with Topcon, including commercializing our products in certain geographies and working to achieve certain sales baselines by product category and region. All of these actions divert resources away from our other initiatives and operations, particularly with respect to product sales in the United States. These efforts may not result in the anticipated additional products, efficiencies or revenues for our company, which could adversely affect our business, operating results and financial condition as a result.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face quality control and other production issues that could materially and adversely impact our sales and financial results and the acceptance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manufacture of our infrared and visible laser consoles and related delivery devices is a highly complex and precise process. We may experience manufacturing difficulties, quality control issues or assembly constraints.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sales increase substantially, we may need to increase our production capacity and may not be able to do so in a timely, effective or cost-efficient manner. We may not be able (ourselves or through third parties) to manufacture or supply sufficient quantities of our products, which may require that we qualify other manufacturers for our products. Furthermore, we may experience delays, disruptions, capacity constraints or quality control problems in our manufacturing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several years, we have experienced supply chain, production and training issues as we have expanded our product lines and sales volumes, and may experience similar issues in the future as we continue to grow our business.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Some of our laser systems are complex in design and may contain defects that are not detected until deployed by our customers, which could increase our costs and reduce our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customers;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costs of product returns and warranty expenses;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damage to our brand reputation;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attract new customers or achieve market acceptance;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development and engineering resources;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legal actions by our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one or more of the foregoing factors could seriously harm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our direct and independent sales forces and international distributors to sell our products and if we lose our sales force or distributor relationships, it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30 employees and one independent representatives, respectively, and our direct sales force in Germany consists of one employee. Our international independent distributors are managed by a team of seven people. We generally grant our distributors exclusive territories for the sale of our products in specified countries and regions.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contractor and distributor agreements are generally terminable at will by either party and independent contractors and distributors may terminate their relationships with us, which would affect our sales and results of operations. Any loss of the members of our existing direct or indirect sales organizations, or any failure to execute on our plans to further develop our sales function, could have an adverse impact on our business, results of operations and financial condition. </w:t>
      </w:r>
    </w:p>
    <w:p>
      <w:pPr>
        <w:pStyle w:val="TextBody"/>
        <w:bidi w:val="0"/>
        <w:spacing w:before="120" w:after="283"/>
        <w:jc w:val="left"/>
        <w:rPr>
          <w:rFonts w:ascii="Times New Roman" w:hAnsi="Times New Roman"/>
          <w:sz w:val="20"/>
        </w:rPr>
      </w:pPr>
      <w:r>
        <w:rPr>
          <w:rFonts w:ascii="Times New Roman" w:hAnsi="Times New Roman"/>
          <w:b/>
          <w:i/>
          <w:color w:val="000000"/>
          <w:sz w:val="20"/>
        </w:rPr>
        <w:t>We depend on international sales for a significant portion of our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derive, and expect to continue to derive, a large portion of our revenues from international sales. For the second quarter of fiscal year 2024, our international sales were $7.0 million, or 55.7% of total revenues. We anticipate that international sales will continue to account for a significant portion of our revenues in the foreseeable future. All of our international revenues and costs for the second quarter of fiscal year 2024 have been denominated in U.S. dollars except for sales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foreign currency exchange rates;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and production issues;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of our international channel of distributors;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longer accounts receivable collection periods;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impact of recessions in global economies and availability of credit;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political and economic instability;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international regulatory agreements and requirements;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sanctions and embargoes;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impact of international conflicts, terrorist and military activity, civil unrest;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certification requirements, including continued ability to use the “CE” mark in Europe, and other local regulatory requirements, pending MDR approvals;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local product preferences and product requirements;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cultural differences;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foreign medical reimbursement and coverage policies and programs;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or limited protections of intellectual property rights in jurisdictions outside the United States;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potentially adverse tax consequences, such as those related to changes in tax laws or tax rates or their interpretations;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protectionist, adverse and changing foreign governmental laws and regulations;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risk of our employees failing to comply with both U.S. and foreign laws, including anti-trust regulations, the U.S. Foreign Corrupt Practices Act, the U.K. Bribery Act of 2010 and any trade regulations designed to ensure fair trade practices;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costs and risks of non-compliance with multiple regulatory regimes governing the production, marketing, sale and use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one or more of these factors stated above could have a material adverse effect on our business, financial condition or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Our operating results may be adversely affected by uncertainty regarding healthcare reform measures and changes in third-party coverage and reimbursement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are typically purchased by doctors, clinics, hospitals and other users, which bill various third-party payers, such as governmental programs and private insurance plans, for the health-care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For example, tax reform legislation enacted at the end of 2017 eliminated the tax penalty for individuals who did not maintain sufficient health insurance coverage beginning in 2019 (the “individual mandate”). We anticipate continued Congressional interest in modifying provisions of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unable to predict what legislation or regulation, if any, relating to the health-care industry or third-party coverage and reimbursement may be enacted in the future at the state or federal level, or what effect such legislation or regulation may have on us. Furthermore, existing legislation and regulation related to the health-care industry and third-party coverage reimbursement, including the Affordable Care Act, has been subject to judicial challenge, and may be subject to similar challenges from time to time in the future (such as the </w:t>
      </w:r>
      <w:r>
        <w:rPr>
          <w:rFonts w:ascii="Times New Roman" w:hAnsi="Times New Roman"/>
          <w:i/>
          <w:color w:val="000000"/>
          <w:sz w:val="20"/>
        </w:rPr>
        <w:t xml:space="preserve">California v. Texas </w:t>
      </w:r>
      <w:r>
        <w:rPr>
          <w:rFonts w:ascii="Times New Roman" w:hAnsi="Times New Roman"/>
          <w:color w:val="000000"/>
          <w:sz w:val="20"/>
        </w:rPr>
        <w:t>case). In June 2021, the U.S. Supreme Court held that Texas and other challengers had no legal standing to challenge the Affordable Care Act, dismissing the case on procedural grounds without specifically ruling on the constitutionality of the Affordable Care Act. Denial of coverage and reimbursement of our products, or the revocation or changes to coverage and reimbursement policies, could have a material adverse effect on our business, results of operations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
        <w:jc w:val="left"/>
        <w:rPr>
          <w:rFonts w:ascii="Times New Roman" w:hAnsi="Times New Roman"/>
          <w:color w:val="000000"/>
          <w:sz w:val="20"/>
        </w:rPr>
      </w:pPr>
      <w:r>
        <w:rPr>
          <w:rFonts w:ascii="Times New Roman" w:hAnsi="Times New Roman"/>
          <w:color w:val="000000"/>
          <w:sz w:val="20"/>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develop and successfully introduce new products and applications or fail to improve our existing products, our business prospects and operating results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 Should the current macroeconomic conditions worsen, it could delay and disrupt our research and development processes even further.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exposed to risks associated with worldwide economic slowdowns and related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macroeconomic fluctuations in the U.S. and worldwide economy including inflationary pressures that may cause the cost of manufacturing our products or servicing our products to increase. Concerns about consumer and investor confidence, the upcoming presidential election in the United States, volatile corporate profits and reduced capital spending, international conflicts, terrorist and military activity, civil unrest and pandemic-related illness could reduce customer orders or cause customer order cancellations. For example, political and social turmoil related to international conflicts, such as that occurring in Russia-Ukraine and Israel-Hamas, and terrorist acts may put further pressure on economic conditions in the United States and abroad.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Weak economic conditions and declines in consumer spending and consumption may harm our operating results. Purchases of our products are often discretionary. During uncertain economic times, customers or potential customers may delay, reduce or forgo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 In addition, negative macroeconomic conditions in the United States (including elevated interest rates) have had, and may continue to have, an adverse impact on capital market conditions, which could limit our ability to obtain additional debt or equity financing on acceptable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economic uncertainty persisted, or if the economy entered a prolonged period of decelerating growth, our results of operations may be harmed.</w:t>
      </w:r>
    </w:p>
    <w:p>
      <w:pPr>
        <w:pStyle w:val="TextBody"/>
        <w:bidi w:val="0"/>
        <w:spacing w:before="120" w:after="283"/>
        <w:jc w:val="left"/>
        <w:rPr>
          <w:rFonts w:ascii="Times New Roman" w:hAnsi="Times New Roman"/>
          <w:sz w:val="20"/>
        </w:rPr>
      </w:pPr>
      <w:r>
        <w:rPr>
          <w:rFonts w:ascii="Times New Roman" w:hAnsi="Times New Roman"/>
          <w:b/>
          <w:i/>
          <w:color w:val="000000"/>
          <w:sz w:val="20"/>
        </w:rPr>
        <w:t>We maintain cash deposits in excess of federally insured limits. Adverse developments affecting financial institutions, including bank failures, could adversely affect our liquidity and financial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cash deposits in financial institutions that may be higher than the $250,000 limit insured by the FDIC or similar agencies. Bank failures, events involving limited liquidity, defaults, non-performance, or other adverse developments that affect financial institutions, or concerns or rumors about such events, may lead to liquidity constraints. For example, on March 10, 2023, SVB failed and was taken into receivership by the FDIC.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operating results may fluctuate from quarter to quarter and year to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macroeconomic conditions, including inflationary pressures and changing interest rates, upcoming presidential election in the United States, global pandemics and responsive measures and the Russia-Ukraine and Israel-Hamas conflicts;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prices at which we can sell our products, including the impact of changes in foreign currency exchange rates;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 of new products, product enhancements and new applications by our competitors, including new drugs, entry of new competitors into our markets, pricing pressures and other competitive factors;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delays or reductions in product shipments, or product recalls, resulting from manufacturing, distribution or other operational issues;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the introduction and market acceptance of new products, product enhancements and new applications;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demand for our existing line of ophthalmology products;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availability of components and subassemblies, including the willingness and ability of our sole or limited source suppliers to timely deliver components at the times and prices that we have planned;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sales volumes at a level sufficient to cover fixed manufacturing and operating costs;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our product mix within ophthalmology products and foreign and domestic sales;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regulatory approvals and changes in domestic and foreign regulatory requirements;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long and highly variable sales cycle;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customers’ or potential customers’ budgets as a result of, among other things, reimbursement policies of government programs and private insurers for treatments that use our products;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variances in shipment volumes as a result of product, supply chain due to global constraints or other factors and training issues;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product innovation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these factors, our quarterly results have been, and are expected to continue to be, affected by seasonal factors.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pStyle w:val="TextBody"/>
        <w:bidi w:val="0"/>
        <w:spacing w:before="120" w:after="283"/>
        <w:jc w:val="left"/>
        <w:rPr>
          <w:rFonts w:ascii="Times New Roman" w:hAnsi="Times New Roman"/>
          <w:sz w:val="20"/>
        </w:rPr>
      </w:pPr>
      <w:r>
        <w:rPr>
          <w:rFonts w:ascii="Times New Roman" w:hAnsi="Times New Roman"/>
          <w:b/>
          <w:i/>
          <w:color w:val="000000"/>
          <w:sz w:val="20"/>
        </w:rPr>
        <w:t>We rely on continued market acceptance of our existing products and any decline in sales of our existing products would adversely affect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future resurgence of any future global pandemic or other public health emergencies on timing of ophthalmic treatment procedures;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product performance, features, ease of use, scalability and durability, including with respect to our MicroPulse laser photocoagulation systems, and our PASCAL product;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recommendations and opinions by ophthalmologists, other clinicians, and their associated opinion leaders;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marketing and clinical study outcomes;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of our products and prices of competing products and technologies, particularly in light of the current macro-economic environment where healthcare systems and healthcare operators are becoming increasingly price sensitive;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competing products, technologies and alternative treatments;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of reimbursement for treatments administered with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derive a meaningful portion of our sales in the form of recurring revenues from selling consumable instrumentation, including our probe for the Cyclo G6 Laser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use our products and services rather than purchase competing products or services. Any significant decline in market acceptance of our products or our revenues associated therewith may have a material adverse effect on our business, results of operations and financial condition.</w:t>
      </w:r>
    </w:p>
    <w:p>
      <w:pPr>
        <w:pStyle w:val="TextBody"/>
        <w:bidi w:val="0"/>
        <w:spacing w:before="120" w:after="283"/>
        <w:jc w:val="left"/>
        <w:rPr>
          <w:rFonts w:ascii="Times New Roman" w:hAnsi="Times New Roman"/>
          <w:sz w:val="20"/>
        </w:rPr>
      </w:pPr>
      <w:r>
        <w:rPr>
          <w:rFonts w:ascii="Times New Roman" w:hAnsi="Times New Roman"/>
          <w:b/>
          <w:i/>
          <w:color w:val="000000"/>
          <w:sz w:val="20"/>
        </w:rPr>
        <w:t>We face strong competition in our markets and expect the level of competition to grow in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in the market for laser systems and delivery devices used for ophthalmic treatment procedures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ophthalmic laser competitors are Alcon Inc., Bausch Health Companies Inc., Carl Zeiss Meditec AG, Lumenis Ltd., Nidek Co. Ltd., Lumibird, ARC Gmbh, Meridian, OD-OS GmBh and Norlase. We also compete with alternative glaucoma surgical device companies such as Alcon, Inc., Novartis AG, Allergan, Inc., Glaukos Corporation and New World Medical, Inc. Pharmaceuticals represent alternative treatments to our laser procedures. Some of our principal pharmaceutical competitors are Alcon, Inc., Allergan, Inc., Astellas Pharma Inc., Pfizer Inc., Regeneron Pharmaceuticals, Inc., and Roche Holding Ltd. (Genentech).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lose key personnel or fail to integrate replacement personnel successfully, our ability to manage our business could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Additionally, our common stock is currently trading at a price below the exercise price of many of our outstanding options. As a result, these “underwater” options are less useful as a motivation and retention tool for our existing employees.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highly competitive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healthcare laws, we could face substantial penalties and financial exposure, and our business, operations and financial condition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operations being found in violation of these laws is increased by the fact that the government’s provisions are open to a variety of evolving interpretations and enforcement discretion. Compliance with Open Payments, commonly known as the Sunshine Act, has presented a number of challenges to companies such as ours, in terms of interpretation of the law and its implementation. Under the Sunshine Act, Centers for Medicare &amp; Medicaid Services (“CMS”) has the potential to impose penalties of up to $1.26 million per year for violations, depending on the circumstances and adjusted annually for inflation,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may be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on collaborative relationships to develop, introduce and market new products, product enhancements and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both clinical and commercial collaborative relationships. We have entered into collaborative relationships with academic medical centers and physicians in connection with the research and innovation and clinical testing of our products. Commercially, we have licensing agreements with strategic partners.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pStyle w:val="TextBody"/>
        <w:bidi w:val="0"/>
        <w:spacing w:before="120" w:after="283"/>
        <w:jc w:val="left"/>
        <w:rPr>
          <w:rFonts w:ascii="Times New Roman" w:hAnsi="Times New Roman"/>
          <w:sz w:val="20"/>
        </w:rPr>
      </w:pPr>
      <w:r>
        <w:rPr>
          <w:rFonts w:ascii="Times New Roman" w:hAnsi="Times New Roman"/>
          <w:b/>
          <w:i/>
          <w:color w:val="000000"/>
          <w:sz w:val="20"/>
        </w:rPr>
        <w:t>If we cannot increase our sales volumes, reduce our costs or introduce higher margin products to offset potential reductions in the average unit price of our products, our operating results may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promotional practices are subject to extensive government scrutiny. We may be subject to governmental, regulatory and other legal proceedings relative to advertising, promotion and marketing that could have a</w:t>
      </w:r>
      <w:r>
        <w:rPr>
          <w:rFonts w:ascii="Times New Roman" w:hAnsi="Times New Roman"/>
          <w:color w:val="000000"/>
          <w:sz w:val="20"/>
        </w:rPr>
        <w:t xml:space="preserve"> </w:t>
      </w:r>
      <w:r>
        <w:rPr>
          <w:rFonts w:ascii="Times New Roman" w:hAnsi="Times New Roman"/>
          <w:b/>
          <w:i/>
          <w:color w:val="000000"/>
          <w:sz w:val="20"/>
        </w:rPr>
        <w:t>significant negative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initiating lawsuits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patents and proprietary rights to protect our intellectual property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As of June 29, 2024, our patent portfolio includes 67 active United States patents and 86 active international patents on the technologies related to our products and processes. In addition, as of June 29, 2024, we have 12 patent applications pending in the United States and 20international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laser and medical device industry is characterized by frequent litigation regarding patent and other intellectual property rights. Companies in the medical device industry have employed intellectual property litigation to gain a competitive advantage.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 requirements, we may have inadequate inventory, which could interrupt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delay delivery of our product to our customers and result in the loss of customer sales. Any of these occurrences would negatively impact our business and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on sole source or limited source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 suppliers. In addition, some of these suppliers are relatively small private companies whose operations may be disrupted or discontinued at any time. There are risks associated with the use of independent manufacturers, including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macroeconomic conditions, including any future global pandemic and inflationary pressures on global supply chains and market stability;</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unavailability of shortages or limitations on the ability to obtain supplies of components and products in the quantities that we require, or that satisfy the environmental requirements to which we are subject;</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delivery or failure of suppliers to deliver critical components and products on the dates we require;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suppliers to manufacture and assemble components and products to our specifications, and potentially reduced quality;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obtain components and products in a timely manner or at acceptable prices due to global supply chain constraints or other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facilities were to experience catastrophic loss, our operations would be seriously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facilities could be subject to catastrophic loss such as fire, flood, unpredictable power outages, or earthquake. All of our research and development activities, manufacturing, our corporate headquarters and other critical business operations are located near major earthquake faults in Mountain View, California. California can experience earthquakes, catastrophic wildfires, and intermittent power outages. Any such loss at any of our facilities caused by fires, flooding, power outages, or earthquakes could disrupt our operations, delay production, shipments and revenue and result in large expenses to repair and replace our facilities.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experience a significant disruption in our information technology systems or breaches of data security, our business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information technology systems to keep financial records and corporate records, communicate with staff and external parties and operate other critical functions, including sales and manufacturing processes. Our information technology systems and those of our third-party service providers are potentially vulnerable to disruption, breakdown, damage, service interruption, system malfunction, power outage, natural disaster, malicious intrusion, ransomware, denial-of-service attacks, phishing attacks, social engineering, computer viruses, security breaches and other cyber-attacks. For example, companies have experienced an increase in phishing and spoofing attacks from third parties in connection with working remotely, either permanently or temporarily. If we were to experience a prolonged system disruption in our information technology systems, it could negatively impact the coordination of our sales, planning and manufacturing activities, which could adversely affect our business. In addition,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information technology systems and those of our third-party service providers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implemented a number of protective measures, including firewalls, antivirus and malware detection tools, patches, log monitors, routine back-ups, system audits, routine password modifications and disaster recovery procedures, we have experienced and may in the future experience spoofing attacks. In addition, our measures to secure our information technology systems may not be adequate or implemented properly to prevent or fully address the adverse effect of such events, and in some cases we may be unaware of an incident or its magnitude and effects. If we are unable to, or perceived or reported to have been or be unable to, prevent such security breaches or privacy violations or implement satisfactory remedial measures, our operations could be disrupted, and we may be exposed to claims, demands, and litigation or governmental investigations and other proceedings and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we may not have adequate insurance coverage to protect us from, or adequately mitigate, liabilities or damages resulting from cyber-attacks or security breaches.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maintain our relationships with health-care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market our products to numerous health-care providers, including physicians, hospitals, ambulatory surgical centers,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government regulations which may cause us to delay or withdraw the introduction of new products or new applications for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or other processes such as the “de novo” process. Not all devices are eligible for the 510(k) clearance process. Depending upon the type, complexity and novelty of the device and the nature of the disease or disorder to be treated, the PMA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are also subject to varying product standards, packaging requirements, labeling requirements, tariff regulations, duties and tax requirements. As a result of our sales in Europe, we are required to have all medical device products “CE” marked, an international symbol, affixed to all our medical device products demonstrating compliance with the European Medical Device Directives and/or Medical Device Regulations (“MDR”) and all applicable standards. While currently all our released medical device products are CE marked, continued certification is based on the successful review of our quality system by our European Registrar during their periodic audits. Any loss of certification would have a material adverse effect on our business, results of operations and financial condition. There are several major regulatory changes occurring in the regulation of medical devices in the European Union (the “EU”). The revision of the quality system regulation (ISO 13485:2016) has been released that substantially increased the requirements for a medical device quality system. The MDR has replaced the medical device directives (93/42/EEC), and it substantially changes the way that medical devices are brought to market in the EU and how they maintain compliance throughout the product’s life cycle. Due to the UK’s exit from EU (“Brexit”), different rules will apply in Great Britain (England, Wales and Scotland), Northern Ireland and the EU after the Brexit transition period, which began January 1, 2021. Similarly, Switzerland has changed its relationship with the EU and in May 2022, will require medical device manufacturers, including us, to contract with a Swiss authorized representative. Additionally, the new revision 4 of the clinical evaluation report guidance document (MEDDEV 2.7.1) and the Medical Device Coordination Group (MDCG) guidance regarding clinical evidence (MDCG 2020-6) severely restricts the use of substantial equivalence for new products, resulting in the need for formal clinical trial data for many products. These and future changes will increase the cost for compliance and for product development, and they lengthen product introduction cycles. Failure to comply with these changes and any future changes can have an adverse effect on our ability to release new products in a timely manner.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clinical trials necessary that we may undertake for regulatory approval or marketing reasons will be an expensive, lengthy, costly, and uncertain process, and could result in delays in new product introductions or even an inability to release a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we or they believed the trial participants faced unacceptable health risks.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the FDA’s quality system regulation and laser performance standards, our manufacturing operations could be halted, and our business would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modify one of our FDA cleared devices, we may need to submit a new 510(k), or potentially a PMA, and if clearance or approval is not obtained, it would prevent us from selling our modified products or cause us to redesign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Efforts to acquire additional companies or product lines may divert our managerial resources away from our business operations, and if we complete additional acquisitions, we may incur or assume additional liabilities or experience integration problems.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integrating any acquired products into our existing business;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integrating an acquired company’s technologies, services, employees and other service providers, customers, partners, business operations and administrative and software management systems with ours;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realizing the benefits of the acquired products;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our management’s time and attention from other business concerns;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customer reaction to the product acquisition;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products may be misused, which could harm our reputation and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products.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Inability of customers to obtain credit or material increases in interest rates may harm our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products are sold to health-care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products could be subject to recalls even after receiving FDA approval or clearance. A recall would harm our reputation and adversely affect our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product liability claims are successfully asserted against us, we may incur substantial liabilities that may adversely affect our business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product liability claims from time to time. Our products are highly complex and the risk of significant patient injury is more likely with products and procedures involving the eye. Use of our products incorrectly can result in temporary or permanent loss in vision, burns, scarring, blind spots or other injuries of the eye and we may periodically become subject to product liability lawsuits as a result. We believe we maintain adequate levels of product liability insurance to cover such claims subject to certain deductibles.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manage growth effectively, our business could be disrupted which could harm our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Significant developments resulting from recent and potential changes in U.S. trade policies could have a material adverse effect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our materials may be subject to the effects of various trade agreements, treaties and tariffs. The prior U.S. presidential administration has imposed tariffs on various goods from various countries, including China, Canada and the EU. As a result, Canada, the EU, China and other countries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United States or may cause us to adjust our worldwide supply chain. Any of these effects could require us to increase prices to our customers which may reduce demand, or, if we are unable to increase prices, may result in lowering our margin on products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U.S. tax laws could have a material adverse effect on our business, consolidated cash flow, results of operations or financial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our net operating loss carryovers and valuation allowance, there is no impact to its consolidated financial statements as a result of the accounting for the tax effects of the Tax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Subsequent legislation,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Dodd-Frank Wall Street Reform and Consumer Protection Act requires us to track and disclose the source of certain metals used in manufacturing which may stem from minerals (so-called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environmental requirements, our business, financial condition, operating results and reputation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 Directive 2015/863 which is known as “RoHS 3” and that relates to Restrictions on the Use of Certain Hazardous Substances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Relating to Ownership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stock price has been and may continue to be volatile and an investment in our common stock could suffer a decline in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including deteriorating market conditions due to investor concerns regarding inflation and the Russia-Ukraine and Israel-Hamas conflicts. During the second quarter of fiscal year 2024, the trading price of our common stock fluctuated from a low of $1.97 per share to a high of $3.53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Because we do not intend to pay dividends, stockholders will benefit from an investment in our common stock only if it appreciates in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As a result, the success of an investment in our common stock will depend entirely upon any future appreciation. There is no guarantee that our common stock will appreciate in value or even maintain the price at which stockholders have purchased their shares.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securities or industry analysts do not continue to publish research or publish incorrect or unfavorable research about our business,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Ownership of our common stock is concentrated among a few investors, which may affect the ability of a third party to acquire control of us. Substantial sales by such investors could cause our stock price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directors, executive officers, current five percent or greater stockholders and affiliated entities together beneficially own a significant portion of our common stock outstanding.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company and our stock price could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charter documents, anti-takeover provisions of Delaware law, and contractual provisions could delay or prevent an acquisition or sale of 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 the then-prevailing market price for the common stock. Our certificate of incorporation and bylaws contain other provisions that could have an anti-takeover effect, including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authorized number of directors may be changed only by resolution of our board of directors;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only our board of directors is authorized to fill vacant directorships, including newly created seats;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special meetings of our stockholders may be called only by our board of directors, the chairman of the board, chief executive officer or president, thus prohibiting a stockholder from calling a special meeting;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must give advance notice to nominate directors or propose other business;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are not permitted to cumulate votes in the election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Securities Trading Plans of Directors and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29, 2024, the Company did not adopt or terminate, and no directors or officers, as defined in Rule 16a-1(f), adopted or terminated a “Rule 10b5-1 trading arrangement” or a “non-Rule 10b5-1 trading arrangement,” each as defined in Regulation S-K Item 408.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3"/>
        <w:gridCol w:w="146"/>
        <w:gridCol w:w="9266"/>
      </w:tblGrid>
      <w:tr>
        <w:trPr/>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6" w:type="dxa"/>
            <w:tcBorders/>
            <w:vAlign w:val="center"/>
          </w:tcPr>
          <w:p>
            <w:pPr>
              <w:pStyle w:val="TableContents"/>
              <w:bidi w:val="0"/>
              <w:spacing w:before="0" w:after="283"/>
              <w:jc w:val="left"/>
              <w:rPr>
                <w:sz w:val="4"/>
                <w:szCs w:val="4"/>
              </w:rPr>
            </w:pPr>
            <w:r>
              <w:rPr>
                <w:sz w:val="4"/>
                <w:szCs w:val="4"/>
              </w:rPr>
            </w:r>
          </w:p>
        </w:tc>
      </w:tr>
      <w:tr>
        <w:trPr/>
        <w:tc>
          <w:tcPr>
            <w:tcW w:w="793" w:type="dxa"/>
            <w:tcBorders>
              <w:bottom w:val="single" w:sz="6"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2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Title</w:t>
            </w:r>
          </w:p>
        </w:tc>
      </w:tr>
      <w:tr>
        <w:trPr/>
        <w:tc>
          <w:tcPr>
            <w:tcW w:w="7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7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hyperlink w:anchor="irix-ex31_1.htm">
              <w:r>
                <w:rPr>
                  <w:rStyle w:val="InternetLink"/>
                  <w:rFonts w:ascii="Times New Roman" w:hAnsi="Times New Roman"/>
                  <w:color w:val="0000FF"/>
                  <w:sz w:val="20"/>
                  <w:u w:val="single"/>
                </w:rPr>
                <w:t>Certification of Principal Executive Officer pursuant to Securities Exchange Act Rules 13a-14(a) and 15d-14(a), as adopted pursuant to Section 302 of the Sarbanes-Oxley Act of 2002.</w:t>
              </w:r>
            </w:hyperlink>
          </w:p>
        </w:tc>
      </w:tr>
      <w:tr>
        <w:trPr/>
        <w:tc>
          <w:tcPr>
            <w:tcW w:w="7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7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hyperlink w:anchor="irix-ex31_2.htm">
              <w:r>
                <w:rPr>
                  <w:rStyle w:val="InternetLink"/>
                  <w:rFonts w:ascii="Times New Roman" w:hAnsi="Times New Roman"/>
                  <w:color w:val="0000FF"/>
                  <w:sz w:val="20"/>
                  <w:u w:val="single"/>
                </w:rPr>
                <w:t>Certification of Principal Financial Officer pursuant to Securities Exchange Act Rules 13a-14(a) and 15d-14(a), as adopted pursuant to Section 302 of the Sarbanes-Oxley Act of 2002.</w:t>
              </w:r>
            </w:hyperlink>
          </w:p>
        </w:tc>
      </w:tr>
      <w:tr>
        <w:trPr/>
        <w:tc>
          <w:tcPr>
            <w:tcW w:w="7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7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hyperlink w:anchor="iri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7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vAlign w:val="center"/>
          </w:tcPr>
          <w:p>
            <w:pPr>
              <w:pStyle w:val="TableContents"/>
              <w:bidi w:val="0"/>
              <w:spacing w:before="0" w:after="283"/>
              <w:jc w:val="left"/>
              <w:rPr>
                <w:sz w:val="4"/>
                <w:szCs w:val="4"/>
              </w:rPr>
            </w:pPr>
            <w:r>
              <w:rPr>
                <w:sz w:val="4"/>
                <w:szCs w:val="4"/>
              </w:rPr>
            </w:r>
          </w:p>
        </w:tc>
        <w:tc>
          <w:tcPr>
            <w:tcW w:w="9266" w:type="dxa"/>
            <w:tcBorders/>
            <w:vAlign w:val="center"/>
          </w:tcPr>
          <w:p>
            <w:pPr>
              <w:pStyle w:val="TableContents"/>
              <w:bidi w:val="0"/>
              <w:spacing w:before="0" w:after="283"/>
              <w:jc w:val="left"/>
              <w:rPr/>
            </w:pPr>
            <w:hyperlink w:anchor="iri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7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101.INS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r>
      <w:tr>
        <w:trPr/>
        <w:tc>
          <w:tcPr>
            <w:tcW w:w="7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7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101.SCH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r>
      <w:tr>
        <w:trPr/>
        <w:tc>
          <w:tcPr>
            <w:tcW w:w="7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7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104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Trademark Acknowledgments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Iridex, the Iridex logo, IRIS Medical, MicroPulse, OcuLight, EndoProbe, MicroPulse P3, G-Probe, G-Probe Illuminate, TruFocus LIO Premiere, IQ 577, IQ532, Cyclo G6, and TxCell are our registered trademarks. All other trademarks or trade names appearing in this Quarterly Report on Form 10-Q are the property of their respective owners.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5760" w:type="dxa"/>
        <w:jc w:val="left"/>
        <w:tblInd w:w="0" w:type="dxa"/>
        <w:tblLayout w:type="fixed"/>
        <w:tblCellMar>
          <w:top w:w="28" w:type="dxa"/>
          <w:left w:w="28" w:type="dxa"/>
          <w:bottom w:w="28" w:type="dxa"/>
          <w:right w:w="28" w:type="dxa"/>
        </w:tblCellMar>
      </w:tblPr>
      <w:tblGrid>
        <w:gridCol w:w="1846"/>
        <w:gridCol w:w="146"/>
        <w:gridCol w:w="406"/>
        <w:gridCol w:w="146"/>
        <w:gridCol w:w="631"/>
        <w:gridCol w:w="109"/>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IRIDEX Corporation</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16" w:type="dxa"/>
            <w:gridSpan w:val="3"/>
            <w:tcBorders/>
            <w:vAlign w:val="center"/>
          </w:tcPr>
          <w:p>
            <w:pPr>
              <w:pStyle w:val="TableContents"/>
              <w:bidi w:val="0"/>
              <w:spacing w:before="0" w:after="283"/>
              <w:jc w:val="left"/>
              <w:rPr/>
            </w:pPr>
            <w:r>
              <w:rPr/>
              <w:t> </w:t>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sz w:val="4"/>
                <w:szCs w:val="4"/>
              </w:rPr>
            </w:pPr>
            <w:r>
              <w:rPr>
                <w:sz w:val="4"/>
                <w:szCs w:val="4"/>
              </w:rPr>
            </w:r>
          </w:p>
        </w:tc>
        <w:tc>
          <w:tcPr>
            <w:tcW w:w="321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I. BRUCE</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I. Bruce</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5851" w:type="dxa"/>
        <w:jc w:val="left"/>
        <w:tblInd w:w="0" w:type="dxa"/>
        <w:tblLayout w:type="fixed"/>
        <w:tblCellMar>
          <w:top w:w="28" w:type="dxa"/>
          <w:left w:w="28" w:type="dxa"/>
          <w:bottom w:w="28" w:type="dxa"/>
          <w:right w:w="28" w:type="dxa"/>
        </w:tblCellMar>
      </w:tblPr>
      <w:tblGrid>
        <w:gridCol w:w="1846"/>
        <w:gridCol w:w="109"/>
        <w:gridCol w:w="406"/>
        <w:gridCol w:w="109"/>
        <w:gridCol w:w="631"/>
        <w:gridCol w:w="109"/>
        <w:gridCol w:w="264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vAlign w:val="center"/>
          </w:tcPr>
          <w:p>
            <w:pPr>
              <w:pStyle w:val="TableContents"/>
              <w:bidi w:val="0"/>
              <w:spacing w:before="0" w:after="283"/>
              <w:jc w:val="left"/>
              <w:rPr>
                <w:sz w:val="4"/>
                <w:szCs w:val="4"/>
              </w:rPr>
            </w:pPr>
            <w:r>
              <w:rPr>
                <w:sz w:val="4"/>
                <w:szCs w:val="4"/>
              </w:rPr>
            </w:r>
          </w:p>
        </w:tc>
        <w:tc>
          <w:tcPr>
            <w:tcW w:w="338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FUAD AHMAD</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Fuad Ahmad</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Interim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irix-ex31_1.htm"/>
      <w:bookmarkStart w:id="24" w:name="ksirixex31_1"/>
      <w:bookmarkEnd w:id="23"/>
      <w:bookmarkEnd w:id="24"/>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SECTIONS 13(a)-14(a) AND 15(d)-14(a) OF THE SECURITIES EXCHANGE ACT OF 1934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David I. Bruce, certify that: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IRIDEX Corporation;</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8, 2024</w:t>
      </w:r>
    </w:p>
    <w:p>
      <w:pPr>
        <w:pStyle w:val="TextBody"/>
        <w:bidi w:val="0"/>
        <w:jc w:val="left"/>
        <w:rPr/>
      </w:pPr>
      <w:r>
        <w:rPr/>
        <w:t> </w:t>
      </w:r>
    </w:p>
    <w:tbl>
      <w:tblPr>
        <w:tblW w:w="3122" w:type="dxa"/>
        <w:jc w:val="left"/>
        <w:tblInd w:w="0" w:type="dxa"/>
        <w:tblLayout w:type="fixed"/>
        <w:tblCellMar>
          <w:top w:w="28" w:type="dxa"/>
          <w:left w:w="28" w:type="dxa"/>
          <w:bottom w:w="28" w:type="dxa"/>
          <w:right w:w="28" w:type="dxa"/>
        </w:tblCellMar>
      </w:tblPr>
      <w:tblGrid>
        <w:gridCol w:w="646"/>
        <w:gridCol w:w="2476"/>
      </w:tblGrid>
      <w:tr>
        <w:trPr/>
        <w:tc>
          <w:tcPr>
            <w:tcW w:w="6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I. BRUCE</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I. Bruce</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6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right"/>
        <w:rPr/>
      </w:pPr>
      <w:bookmarkStart w:id="25" w:name="doc_1_3"/>
      <w:bookmarkEnd w:id="25"/>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irix-ex31_2.htm"/>
      <w:bookmarkStart w:id="27" w:name="ksirixex31_2"/>
      <w:bookmarkEnd w:id="26"/>
      <w:bookmarkEnd w:id="27"/>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SECTIONS 13(a)-14(a) AND 15(d)-14(a) OF THE SECURITIES EXCHANGE ACT OF 1934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Fuad Ahmad, certify that: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IRIDEX Corporation;</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8, 2024</w:t>
      </w:r>
    </w:p>
    <w:p>
      <w:pPr>
        <w:pStyle w:val="TextBody"/>
        <w:bidi w:val="0"/>
        <w:jc w:val="left"/>
        <w:rPr/>
      </w:pPr>
      <w:r>
        <w:rPr/>
        <w:t> </w:t>
      </w:r>
    </w:p>
    <w:tbl>
      <w:tblPr>
        <w:tblW w:w="3287" w:type="dxa"/>
        <w:jc w:val="left"/>
        <w:tblInd w:w="0" w:type="dxa"/>
        <w:tblLayout w:type="fixed"/>
        <w:tblCellMar>
          <w:top w:w="28" w:type="dxa"/>
          <w:left w:w="28" w:type="dxa"/>
          <w:bottom w:w="28" w:type="dxa"/>
          <w:right w:w="28" w:type="dxa"/>
        </w:tblCellMar>
      </w:tblPr>
      <w:tblGrid>
        <w:gridCol w:w="646"/>
        <w:gridCol w:w="2641"/>
      </w:tblGrid>
      <w:tr>
        <w:trPr/>
        <w:tc>
          <w:tcPr>
            <w:tcW w:w="6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FUAD AHMAD</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6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Fuad Ahmad</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6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Financial Officer</w:t>
            </w:r>
          </w:p>
        </w:tc>
      </w:tr>
      <w:tr>
        <w:trPr/>
        <w:tc>
          <w:tcPr>
            <w:tcW w:w="6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right"/>
        <w:rPr/>
      </w:pPr>
      <w:bookmarkStart w:id="28" w:name="gmnh1doc_1_4"/>
      <w:bookmarkStart w:id="29" w:name="doc_1_7"/>
      <w:bookmarkStart w:id="30" w:name="doc_1_4"/>
      <w:bookmarkEnd w:id="28"/>
      <w:bookmarkEnd w:id="29"/>
      <w:bookmarkEnd w:id="30"/>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irix-ex32_1.htm"/>
      <w:bookmarkStart w:id="32" w:name="ksirixex32_1"/>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 David I. Bruce, pursuant to 18 U.S.C. Section 1350, as adopted pursuant to Section 906 of the Sarbanes-Oxley Act of 2002, certify that the Quarterly Report of IRIDEX Corporation on Form 10-Q for the fiscal quarter ended June 29, 2024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8, 2024</w:t>
      </w:r>
    </w:p>
    <w:p>
      <w:pPr>
        <w:pStyle w:val="TextBody"/>
        <w:bidi w:val="0"/>
        <w:jc w:val="left"/>
        <w:rPr/>
      </w:pPr>
      <w:r>
        <w:rPr/>
        <w:t> </w:t>
      </w:r>
    </w:p>
    <w:tbl>
      <w:tblPr>
        <w:tblW w:w="3268" w:type="dxa"/>
        <w:jc w:val="left"/>
        <w:tblInd w:w="0" w:type="dxa"/>
        <w:tblLayout w:type="fixed"/>
        <w:tblCellMar>
          <w:top w:w="28" w:type="dxa"/>
          <w:left w:w="28" w:type="dxa"/>
          <w:bottom w:w="28" w:type="dxa"/>
          <w:right w:w="28" w:type="dxa"/>
        </w:tblCellMar>
      </w:tblPr>
      <w:tblGrid>
        <w:gridCol w:w="161"/>
        <w:gridCol w:w="631"/>
        <w:gridCol w:w="2476"/>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I. BRUCE</w:t>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I. Bruce</w:t>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7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bookmarkStart w:id="33" w:name="doc_1_8"/>
      <w:bookmarkStart w:id="34" w:name="doc_1_5"/>
      <w:bookmarkEnd w:id="33"/>
      <w:bookmarkEnd w:id="34"/>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5" w:name="irix-ex32_2.htm"/>
      <w:bookmarkStart w:id="36" w:name="ksirixex32_2"/>
      <w:bookmarkEnd w:id="35"/>
      <w:bookmarkEnd w:id="3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FINANCIAL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 Fuad Ahmad, pursuant to 18 U.S.C. Section 1350, as adopted pursuant to Section 906 of the Sarbanes-Oxley Act of 2002, certify that the Quarterly Report of IRIDEX Corporation on Form 10-Q for the fiscal quarter ended June 29, 2024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8, 2024</w:t>
      </w:r>
    </w:p>
    <w:p>
      <w:pPr>
        <w:pStyle w:val="TextBody"/>
        <w:bidi w:val="0"/>
        <w:jc w:val="left"/>
        <w:rPr/>
      </w:pPr>
      <w:r>
        <w:rPr/>
        <w:t> </w:t>
      </w:r>
    </w:p>
    <w:tbl>
      <w:tblPr>
        <w:tblW w:w="3433" w:type="dxa"/>
        <w:jc w:val="left"/>
        <w:tblInd w:w="0" w:type="dxa"/>
        <w:tblLayout w:type="fixed"/>
        <w:tblCellMar>
          <w:top w:w="28" w:type="dxa"/>
          <w:left w:w="28" w:type="dxa"/>
          <w:bottom w:w="28" w:type="dxa"/>
          <w:right w:w="28" w:type="dxa"/>
        </w:tblCellMar>
      </w:tblPr>
      <w:tblGrid>
        <w:gridCol w:w="161"/>
        <w:gridCol w:w="631"/>
        <w:gridCol w:w="2641"/>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FUAD AHMAD</w:t>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6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Fuad Ahmad</w:t>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64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Interim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bookmarkStart w:id="37" w:name="doc_1_51"/>
      <w:bookmarkStart w:id="38" w:name="doc_1_81"/>
      <w:bookmarkEnd w:id="37"/>
      <w:bookmarkEnd w:id="38"/>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31780</Words>
  <Characters>175504</Characters>
  <CharactersWithSpaces>207696</CharactersWithSpaces>
  <Paragraphs>4977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