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Lin Shih-Yao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VISTRA CORPORATE SERVICES CENTER</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WICKHAMS CAY II</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ROAD TOWN, TORTOLA</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VG1110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VIRGIN ISLANDS, BRITISH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IRIDEX CORP</w:t>
              </w:r>
            </w:hyperlink>
            <w:r>
              <w:rPr/>
              <w:t xml:space="preserve"> [ </w:t>
            </w:r>
            <w:r>
              <w:rPr>
                <w:rFonts w:ascii="Times;serif" w:hAnsi="Times;serif"/>
                <w:color w:val="0000FF"/>
                <w:sz w:val="24"/>
                <w:shd w:fill="FFFFFF" w:val="clear"/>
              </w:rPr>
              <w:t>IRIX</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03/25/2025</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1"/>
        <w:gridCol w:w="901"/>
        <w:gridCol w:w="773"/>
        <w:gridCol w:w="599"/>
        <w:gridCol w:w="341"/>
        <w:gridCol w:w="912"/>
        <w:gridCol w:w="435"/>
        <w:gridCol w:w="879"/>
        <w:gridCol w:w="1299"/>
        <w:gridCol w:w="973"/>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12/03/2025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244</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0.93</w:t>
            </w:r>
          </w:p>
        </w:tc>
        <w:tc>
          <w:tcPr>
            <w:tcW w:w="12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836,496</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12/05/2025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10,260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0.94</w:t>
            </w:r>
          </w:p>
        </w:tc>
        <w:tc>
          <w:tcPr>
            <w:tcW w:w="12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846,756</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12/09/2025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0.94</w:t>
            </w:r>
          </w:p>
        </w:tc>
        <w:tc>
          <w:tcPr>
            <w:tcW w:w="12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866,756</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12/10/2025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18,892</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0.935</w:t>
            </w:r>
          </w:p>
        </w:tc>
        <w:tc>
          <w:tcPr>
            <w:tcW w:w="12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885,648</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12/12/2025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0.97</w:t>
            </w:r>
          </w:p>
        </w:tc>
        <w:tc>
          <w:tcPr>
            <w:tcW w:w="12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905,648</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12/15/2025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11,404</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0.94</w:t>
            </w:r>
          </w:p>
        </w:tc>
        <w:tc>
          <w:tcPr>
            <w:tcW w:w="12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917,052</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12/16/2025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7,675</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0.99</w:t>
            </w:r>
          </w:p>
        </w:tc>
        <w:tc>
          <w:tcPr>
            <w:tcW w:w="12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924,727</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12/19/2025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14,202</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0.97</w:t>
            </w:r>
          </w:p>
        </w:tc>
        <w:tc>
          <w:tcPr>
            <w:tcW w:w="12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938,929</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12/22/2025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4,031</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w:t>
            </w:r>
          </w:p>
        </w:tc>
        <w:tc>
          <w:tcPr>
            <w:tcW w:w="12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942,960</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12/30/2025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7,009</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w:t>
            </w:r>
          </w:p>
        </w:tc>
        <w:tc>
          <w:tcPr>
            <w:tcW w:w="12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949,969</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1.19</w:t>
            </w:r>
          </w:p>
        </w:tc>
        <w:tc>
          <w:tcPr>
            <w:tcW w:w="12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951,299</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w:t>
            </w:r>
          </w:p>
        </w:tc>
        <w:tc>
          <w:tcPr>
            <w:tcW w:w="12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971,299</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01/23/2026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1.4798</w:t>
            </w:r>
            <w:r>
              <w:rPr>
                <w:rFonts w:ascii="Times;serif" w:hAnsi="Times;serif"/>
                <w:color w:val="008000"/>
                <w:position w:val="7"/>
                <w:sz w:val="16"/>
                <w:sz w:val="20"/>
                <w:shd w:fill="FFFFFF" w:val="clear"/>
              </w:rPr>
              <w:t>(2)</w:t>
            </w:r>
          </w:p>
        </w:tc>
        <w:tc>
          <w:tcPr>
            <w:tcW w:w="12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1,001,299</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01/27/2026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33,013</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1.4847</w:t>
            </w:r>
            <w:r>
              <w:rPr>
                <w:rFonts w:ascii="Times;serif" w:hAnsi="Times;serif"/>
                <w:color w:val="008000"/>
                <w:position w:val="7"/>
                <w:sz w:val="16"/>
                <w:sz w:val="20"/>
                <w:shd w:fill="FFFFFF" w:val="clear"/>
              </w:rPr>
              <w:t>(2)</w:t>
            </w:r>
          </w:p>
        </w:tc>
        <w:tc>
          <w:tcPr>
            <w:tcW w:w="12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1,034,312</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01/30/2026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4,050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1.48</w:t>
            </w:r>
          </w:p>
        </w:tc>
        <w:tc>
          <w:tcPr>
            <w:tcW w:w="12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1,038,362</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637</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1.49</w:t>
            </w:r>
          </w:p>
        </w:tc>
        <w:tc>
          <w:tcPr>
            <w:tcW w:w="12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1,038,999</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19,324</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1.41</w:t>
            </w:r>
          </w:p>
        </w:tc>
        <w:tc>
          <w:tcPr>
            <w:tcW w:w="12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1,058,323</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40,535</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1.4495</w:t>
            </w:r>
            <w:r>
              <w:rPr>
                <w:rFonts w:ascii="Times;serif" w:hAnsi="Times;serif"/>
                <w:color w:val="008000"/>
                <w:position w:val="7"/>
                <w:sz w:val="16"/>
                <w:sz w:val="20"/>
                <w:shd w:fill="FFFFFF" w:val="clear"/>
              </w:rPr>
              <w:t>(2)</w:t>
            </w:r>
          </w:p>
        </w:tc>
        <w:tc>
          <w:tcPr>
            <w:tcW w:w="12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1,098,858</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1.46</w:t>
            </w:r>
          </w:p>
        </w:tc>
        <w:tc>
          <w:tcPr>
            <w:tcW w:w="12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1,098,987</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15,703</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1.43</w:t>
            </w:r>
          </w:p>
        </w:tc>
        <w:tc>
          <w:tcPr>
            <w:tcW w:w="12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1,114,690</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1.38</w:t>
            </w:r>
          </w:p>
        </w:tc>
        <w:tc>
          <w:tcPr>
            <w:tcW w:w="12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1,114,790</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14,943</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1.41</w:t>
            </w:r>
          </w:p>
        </w:tc>
        <w:tc>
          <w:tcPr>
            <w:tcW w:w="12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1,129,733</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1,424</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w:t>
            </w:r>
          </w:p>
        </w:tc>
        <w:tc>
          <w:tcPr>
            <w:tcW w:w="12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1,131,157</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752</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1.42</w:t>
            </w:r>
          </w:p>
        </w:tc>
        <w:tc>
          <w:tcPr>
            <w:tcW w:w="12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1,131,909</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967</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1.32</w:t>
            </w:r>
          </w:p>
        </w:tc>
        <w:tc>
          <w:tcPr>
            <w:tcW w:w="12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1,132,876</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1,682</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w:t>
            </w:r>
          </w:p>
        </w:tc>
        <w:tc>
          <w:tcPr>
            <w:tcW w:w="12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1,134,558</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22,805</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1.3099</w:t>
            </w:r>
            <w:r>
              <w:rPr>
                <w:rFonts w:ascii="Times;serif" w:hAnsi="Times;serif"/>
                <w:color w:val="008000"/>
                <w:position w:val="7"/>
                <w:sz w:val="16"/>
                <w:sz w:val="20"/>
                <w:shd w:fill="FFFFFF" w:val="clear"/>
              </w:rPr>
              <w:t>(2)</w:t>
            </w:r>
          </w:p>
        </w:tc>
        <w:tc>
          <w:tcPr>
            <w:tcW w:w="12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1,157,363</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17,526</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1.33</w:t>
            </w:r>
          </w:p>
        </w:tc>
        <w:tc>
          <w:tcPr>
            <w:tcW w:w="12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1,174,889</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4,549</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1.33</w:t>
            </w:r>
          </w:p>
        </w:tc>
        <w:tc>
          <w:tcPr>
            <w:tcW w:w="12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1,179,438</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r>
        <w:trPr/>
        <w:tc>
          <w:tcPr>
            <w:tcW w:w="21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7,371</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0.99</w:t>
            </w:r>
          </w:p>
        </w:tc>
        <w:tc>
          <w:tcPr>
            <w:tcW w:w="12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1,186,809</w:t>
            </w:r>
            <w:r>
              <w:rPr>
                <w:rFonts w:ascii="Times;serif" w:hAnsi="Times;serif"/>
                <w:color w:val="008000"/>
                <w:position w:val="7"/>
                <w:sz w:val="16"/>
                <w:sz w:val="20"/>
                <w:shd w:fill="FFFFFF" w:val="clear"/>
              </w:rPr>
              <w:t>(3)</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Xinpo</w:t>
            </w:r>
            <w:r>
              <w:rPr>
                <w:rFonts w:ascii="Times;serif" w:hAnsi="Times;serif"/>
                <w:color w:val="008000"/>
                <w:position w:val="7"/>
                <w:sz w:val="16"/>
                <w:sz w:val="20"/>
                <w:shd w:fill="FFFFFF" w:val="clear"/>
              </w:rPr>
              <w:t>(1)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are held directly by Xinpo Venture Capital Co., Ltd. ("Xinpo") and indirectly by the Reporting Person. The Reporting Person controls the entire ownership interest in Xinpo, both directly and through family members, and has a pecuniary interest in the shares held by Xinpo.</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price marked with this footnote is a weighted average price for multiple open-market purchases on the stated date. The execution prices were as follows: 01/23/2026: $1.47 to $1.48, inclusive; 01/27/2026: $1.46 to $1.49, inclusive; 02/05/2026: $1.43 to $1.45, inclusive; 03/17/2026: $1.3099 to $1.31, inclusive. The Reporting Person undertakes to provide IRIDEX CORP, any security holder of IRIDEX CORP, or the staff of the Securities and Exchange Commission, upon request, full information regarding the number of shares purchased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amount reported in Column 5 reflects the shares held through Xinpo following the reported transaction. As of the date of this report, the Reporting Person beneficially owns an aggregate of 1,738,238 shares of Common Stock, consisting of 1,186,809 shares held through Xinpo and 551,429 shares held through Novel Inspiration International Co., Ltd.("Novel Inspiration"). The Reporting Person is the sole officer, director and stockholder of Novel Inspiration.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 is the third of three Form 4 filings being filed solely by the Reporting Person to report previously unreported open-market purchases of the Issuer's Common Stock by Xinpo from March 25, 2025 through March 30, 2026. The transactions are divided among three Form 4 filings because SEC's EDGAR filing system permits no more than 30 entries in Table I. The Reporting Person's holdings through Novel Inspiration are disclosed in the Explanation of Responses solely to reconcile the Reporting Person's aggregate beneficial ownership and do not represent transactions reported on this Form 4. This Form 4 is being filed late.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 Shih-Yao David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8041" TargetMode="External"/><Relationship Id="rId5" Type="http://schemas.openxmlformats.org/officeDocument/2006/relationships/hyperlink" Target="http://www.sec.gov/cgi-bin/browse-edgar?action=getcompany&amp;CIK=00010060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1194</Words>
  <Characters>6321</Characters>
  <CharactersWithSpaces>7182</CharactersWithSpaces>
  <Paragraphs>362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