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81280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121920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40" w:right="920" w:hanging="436"/>
        <w:spacing w:after="0" w:line="245" w:lineRule="auto"/>
        <w:tabs>
          <w:tab w:leader="none" w:pos="431"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4,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440" w:right="940" w:hanging="436"/>
        <w:spacing w:after="0" w:line="262" w:lineRule="auto"/>
        <w:tabs>
          <w:tab w:leader="none" w:pos="431"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2660"/>
        <w:spacing w:after="0"/>
        <w:tabs>
          <w:tab w:leader="none" w:pos="59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114300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IRIDEX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64770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4" w:lineRule="exact"/>
        <w:rPr>
          <w:sz w:val="24"/>
          <w:szCs w:val="24"/>
          <w:color w:val="auto"/>
        </w:rPr>
      </w:pPr>
    </w:p>
    <w:tbl>
      <w:tblPr>
        <w:tblLayout w:type="fixed"/>
        <w:tblInd w:w="1200" w:type="dxa"/>
        <w:tblCellMar>
          <w:top w:w="0" w:type="dxa"/>
          <w:left w:w="0" w:type="dxa"/>
          <w:bottom w:w="0" w:type="dxa"/>
          <w:right w:w="0" w:type="dxa"/>
        </w:tblCellMar>
      </w:tblPr>
      <w:tr>
        <w:trPr>
          <w:trHeight w:val="214"/>
        </w:trPr>
        <w:tc>
          <w:tcPr>
            <w:tcW w:w="3900" w:type="dxa"/>
            <w:vAlign w:val="bottom"/>
          </w:tcPr>
          <w:p>
            <w:pPr>
              <w:jc w:val="center"/>
              <w:ind w:right="14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60" w:type="dxa"/>
            <w:vAlign w:val="bottom"/>
          </w:tcPr>
          <w:p>
            <w:pPr>
              <w:jc w:val="center"/>
              <w:ind w:left="1461"/>
              <w:spacing w:after="0"/>
              <w:rPr>
                <w:sz w:val="20"/>
                <w:szCs w:val="20"/>
                <w:color w:val="auto"/>
              </w:rPr>
            </w:pPr>
            <w:r>
              <w:rPr>
                <w:rFonts w:ascii="Times New Roman" w:cs="Times New Roman" w:eastAsia="Times New Roman" w:hAnsi="Times New Roman"/>
                <w:sz w:val="18"/>
                <w:szCs w:val="18"/>
                <w:b w:val="1"/>
                <w:bCs w:val="1"/>
                <w:color w:val="auto"/>
                <w:w w:val="98"/>
              </w:rPr>
              <w:t>77-0210467</w:t>
            </w:r>
          </w:p>
        </w:tc>
      </w:tr>
      <w:tr>
        <w:trPr>
          <w:trHeight w:val="148"/>
        </w:trPr>
        <w:tc>
          <w:tcPr>
            <w:tcW w:w="3900" w:type="dxa"/>
            <w:vAlign w:val="bottom"/>
          </w:tcPr>
          <w:p>
            <w:pPr>
              <w:jc w:val="center"/>
              <w:ind w:right="14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4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4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8"/>
        </w:trPr>
        <w:tc>
          <w:tcPr>
            <w:tcW w:w="3900" w:type="dxa"/>
            <w:vAlign w:val="bottom"/>
          </w:tcPr>
          <w:p>
            <w:pPr>
              <w:jc w:val="center"/>
              <w:ind w:right="1459"/>
              <w:spacing w:after="0"/>
              <w:rPr>
                <w:sz w:val="20"/>
                <w:szCs w:val="20"/>
                <w:color w:val="auto"/>
              </w:rPr>
            </w:pPr>
            <w:r>
              <w:rPr>
                <w:rFonts w:ascii="Times New Roman" w:cs="Times New Roman" w:eastAsia="Times New Roman" w:hAnsi="Times New Roman"/>
                <w:sz w:val="18"/>
                <w:szCs w:val="18"/>
                <w:b w:val="1"/>
                <w:bCs w:val="1"/>
                <w:color w:val="auto"/>
              </w:rPr>
              <w:t>1212 Terra Bella Avenue</w:t>
            </w:r>
          </w:p>
        </w:tc>
        <w:tc>
          <w:tcPr>
            <w:tcW w:w="2960" w:type="dxa"/>
            <w:vAlign w:val="bottom"/>
          </w:tcPr>
          <w:p>
            <w:pPr>
              <w:spacing w:after="0"/>
              <w:rPr>
                <w:sz w:val="24"/>
                <w:szCs w:val="24"/>
                <w:color w:val="auto"/>
              </w:rPr>
            </w:pPr>
          </w:p>
        </w:tc>
      </w:tr>
      <w:tr>
        <w:trPr>
          <w:trHeight w:val="214"/>
        </w:trPr>
        <w:tc>
          <w:tcPr>
            <w:tcW w:w="3900" w:type="dxa"/>
            <w:vAlign w:val="bottom"/>
          </w:tcPr>
          <w:p>
            <w:pPr>
              <w:jc w:val="center"/>
              <w:ind w:right="1459"/>
              <w:spacing w:after="0"/>
              <w:rPr>
                <w:sz w:val="20"/>
                <w:szCs w:val="20"/>
                <w:color w:val="auto"/>
              </w:rPr>
            </w:pPr>
            <w:r>
              <w:rPr>
                <w:rFonts w:ascii="Times New Roman" w:cs="Times New Roman" w:eastAsia="Times New Roman" w:hAnsi="Times New Roman"/>
                <w:sz w:val="18"/>
                <w:szCs w:val="18"/>
                <w:b w:val="1"/>
                <w:bCs w:val="1"/>
                <w:color w:val="auto"/>
              </w:rPr>
              <w:t>Mountain View, California</w:t>
            </w:r>
          </w:p>
        </w:tc>
        <w:tc>
          <w:tcPr>
            <w:tcW w:w="2960" w:type="dxa"/>
            <w:vAlign w:val="bottom"/>
          </w:tcPr>
          <w:p>
            <w:pPr>
              <w:jc w:val="center"/>
              <w:ind w:left="1461"/>
              <w:spacing w:after="0"/>
              <w:rPr>
                <w:sz w:val="20"/>
                <w:szCs w:val="20"/>
                <w:color w:val="auto"/>
              </w:rPr>
            </w:pPr>
            <w:r>
              <w:rPr>
                <w:rFonts w:ascii="Times New Roman" w:cs="Times New Roman" w:eastAsia="Times New Roman" w:hAnsi="Times New Roman"/>
                <w:sz w:val="18"/>
                <w:szCs w:val="18"/>
                <w:b w:val="1"/>
                <w:bCs w:val="1"/>
                <w:color w:val="auto"/>
                <w:w w:val="98"/>
              </w:rPr>
              <w:t>94043-1824</w:t>
            </w:r>
          </w:p>
        </w:tc>
      </w:tr>
      <w:tr>
        <w:trPr>
          <w:trHeight w:val="190"/>
        </w:trPr>
        <w:tc>
          <w:tcPr>
            <w:tcW w:w="390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4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940-4700</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28"/>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79"/>
        </w:trPr>
        <w:tc>
          <w:tcPr>
            <w:tcW w:w="424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color w:val="auto"/>
              </w:rPr>
              <w:t>Title of Class</w:t>
            </w:r>
          </w:p>
        </w:tc>
        <w:tc>
          <w:tcPr>
            <w:tcW w:w="1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Trading Symbol</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920" w:type="dxa"/>
            <w:vAlign w:val="bottom"/>
            <w:tcBorders>
              <w:top w:val="single" w:sz="8" w:color="auto"/>
            </w:tcBorders>
            <w:gridSpan w:val="2"/>
          </w:tcPr>
          <w:p>
            <w:pPr>
              <w:spacing w:after="0"/>
              <w:rPr>
                <w:sz w:val="19"/>
                <w:szCs w:val="19"/>
                <w:color w:val="auto"/>
              </w:rPr>
            </w:pPr>
          </w:p>
        </w:tc>
        <w:tc>
          <w:tcPr>
            <w:tcW w:w="160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IRIX</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44"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1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1"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4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issued and outstanding as of May 11, 2026 was 17,406,518.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758825</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7" w:right="10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8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660" w:type="dxa"/>
            <w:vAlign w:val="bottom"/>
          </w:tcPr>
          <w:p>
            <w:pPr>
              <w:spacing w:after="0"/>
              <w:rPr>
                <w:sz w:val="15"/>
                <w:szCs w:val="15"/>
                <w:color w:val="auto"/>
              </w:rPr>
            </w:pPr>
          </w:p>
        </w:tc>
      </w:tr>
      <w:tr>
        <w:trPr>
          <w:trHeight w:val="291"/>
        </w:trPr>
        <w:tc>
          <w:tcPr>
            <w:tcW w:w="660" w:type="dxa"/>
            <w:vAlign w:val="bottom"/>
          </w:tcPr>
          <w:p>
            <w:pPr>
              <w:spacing w:after="0"/>
              <w:rPr>
                <w:sz w:val="24"/>
                <w:szCs w:val="24"/>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20" w:type="dxa"/>
            <w:vAlign w:val="bottom"/>
            <w:tcBorders>
              <w:bottom w:val="single" w:sz="8" w:color="0000EE"/>
            </w:tcBorders>
          </w:tcPr>
          <w:p>
            <w:pPr>
              <w:spacing w:after="0"/>
              <w:rPr>
                <w:sz w:val="24"/>
                <w:szCs w:val="24"/>
                <w:color w:val="auto"/>
              </w:rPr>
            </w:pPr>
          </w:p>
        </w:tc>
        <w:tc>
          <w:tcPr>
            <w:tcW w:w="6120" w:type="dxa"/>
            <w:vAlign w:val="bottom"/>
            <w:gridSpan w:val="10"/>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as of April 4, 2026 and January 3, 2026</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7"/>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months ended April 4, 2026 and</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March 29, 2025</w:t>
            </w:r>
          </w:p>
        </w:tc>
        <w:tc>
          <w:tcPr>
            <w:tcW w:w="1300" w:type="dxa"/>
            <w:vAlign w:val="bottom"/>
            <w:gridSpan w:val="2"/>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Loss for the three months ended April 4, 2026</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and March 29, 2025</w:t>
            </w:r>
          </w:p>
        </w:tc>
        <w:tc>
          <w:tcPr>
            <w:tcW w:w="1300" w:type="dxa"/>
            <w:vAlign w:val="bottom"/>
            <w:gridSpan w:val="2"/>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 months ended April 4,</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2026 and March 29, 2025</w:t>
            </w:r>
          </w:p>
        </w:tc>
        <w:tc>
          <w:tcPr>
            <w:tcW w:w="1300" w:type="dxa"/>
            <w:vAlign w:val="bottom"/>
            <w:gridSpan w:val="2"/>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April 4, 2026 and</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March 29, 2025</w:t>
            </w:r>
          </w:p>
        </w:tc>
        <w:tc>
          <w:tcPr>
            <w:tcW w:w="1300" w:type="dxa"/>
            <w:vAlign w:val="bottom"/>
            <w:gridSpan w:val="2"/>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r>
      <w:tr>
        <w:trPr>
          <w:trHeight w:val="318"/>
        </w:trPr>
        <w:tc>
          <w:tcPr>
            <w:tcW w:w="660" w:type="dxa"/>
            <w:vAlign w:val="bottom"/>
          </w:tcPr>
          <w:p>
            <w:pPr>
              <w:spacing w:after="0"/>
              <w:rPr>
                <w:sz w:val="24"/>
                <w:szCs w:val="24"/>
                <w:color w:val="auto"/>
              </w:rPr>
            </w:pPr>
          </w:p>
        </w:tc>
        <w:tc>
          <w:tcPr>
            <w:tcW w:w="8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20" w:type="dxa"/>
            <w:vAlign w:val="bottom"/>
            <w:tcBorders>
              <w:top w:val="single" w:sz="8" w:color="0000FF"/>
            </w:tcBorders>
          </w:tcPr>
          <w:p>
            <w:pPr>
              <w:spacing w:after="0"/>
              <w:rPr>
                <w:sz w:val="24"/>
                <w:szCs w:val="24"/>
                <w:color w:val="auto"/>
              </w:rPr>
            </w:pP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0" w:type="dxa"/>
            <w:vAlign w:val="bottom"/>
            <w:gridSpan w:val="13"/>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6"/>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6"/>
            <w:shd w:val="clear" w:color="auto" w:fill="0000FF"/>
          </w:tcPr>
          <w:p>
            <w:pPr>
              <w:spacing w:after="0" w:line="20" w:lineRule="exact"/>
              <w:rPr>
                <w:sz w:val="1"/>
                <w:szCs w:val="1"/>
                <w:color w:val="auto"/>
              </w:rPr>
            </w:pPr>
          </w:p>
        </w:tc>
        <w:tc>
          <w:tcPr>
            <w:tcW w:w="5840" w:type="dxa"/>
            <w:vAlign w:val="bottom"/>
            <w:gridSpan w:val="9"/>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0" w:type="dxa"/>
            <w:vAlign w:val="bottom"/>
            <w:gridSpan w:val="1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860" w:type="dxa"/>
            <w:vAlign w:val="bottom"/>
            <w:gridSpan w:val="1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20" w:type="dxa"/>
            <w:vAlign w:val="bottom"/>
          </w:tcPr>
          <w:p>
            <w:pPr>
              <w:spacing w:after="0"/>
              <w:rPr>
                <w:sz w:val="24"/>
                <w:szCs w:val="24"/>
                <w:color w:val="auto"/>
              </w:rPr>
            </w:pPr>
          </w:p>
        </w:tc>
        <w:tc>
          <w:tcPr>
            <w:tcW w:w="8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w:t>
            </w:r>
          </w:p>
        </w:tc>
      </w:tr>
      <w:tr>
        <w:trPr>
          <w:trHeight w:val="669"/>
        </w:trPr>
        <w:tc>
          <w:tcPr>
            <w:tcW w:w="6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gridSpan w:val="1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08" w:right="4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70"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43" w:lineRule="exact"/>
        <w:rPr>
          <w:sz w:val="20"/>
          <w:szCs w:val="20"/>
          <w:color w:val="auto"/>
        </w:rPr>
      </w:pPr>
    </w:p>
    <w:p>
      <w:pPr>
        <w:ind w:left="880" w:right="120" w:hanging="436"/>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67" w:lineRule="exact"/>
        <w:rPr>
          <w:rFonts w:ascii="Times New Roman" w:cs="Times New Roman" w:eastAsia="Times New Roman" w:hAnsi="Times New Roman"/>
          <w:sz w:val="18"/>
          <w:szCs w:val="18"/>
          <w:color w:val="auto"/>
        </w:rPr>
      </w:pPr>
    </w:p>
    <w:p>
      <w:pPr>
        <w:ind w:left="880" w:hanging="436"/>
        <w:spacing w:after="0" w:line="261"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the impact of global pandemics, outbreaks or other public health emergencies, global and geopolitical uncertainty and conflicts, global supply chain interruptions, government shutdowns, the imposition of various sanctions, trade restrictions and tariffs, inflation concerns, unexpected changes in tax law or policy, and changing interest rates on our business and results of operations;</w:t>
      </w:r>
    </w:p>
    <w:p>
      <w:pPr>
        <w:spacing w:after="0" w:line="31"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 and purchase of our existing products and new products;</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products;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exchange rate and interest rate fluctuations on our results and sales;</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change and innovation in the markets in which we participate and the competitive nature of those markets;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plan to build our business;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manufacturing and reliance on third party manufacturers;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strategic partnership with Topcon Corporation;</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and meet product demand;</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discover defects in our products and systems;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sales strategy;</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cash flows;</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objectives for future operations;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information technology systems and data;</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facilities in good working order;</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carrying value of goodwill;</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expensing stock options and other equity awards;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indemnify our directors and officers;</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indebtedness and have indebtedness forgiven;</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76"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policies, and regulations that currently apply or become applicable to our business both in the United States and internationally;</w:t>
      </w:r>
    </w:p>
    <w:p>
      <w:pPr>
        <w:spacing w:after="0" w:line="2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 and source suppliers;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The Nasdaq Stock Market LLC’s (“Nasdaq”) continued listing requirements;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additional shares of preferred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08" w:right="1119" w:bottom="1440" w:gutter="0" w:footer="0" w:header="0"/>
        </w:sectPr>
      </w:pPr>
    </w:p>
    <w:bookmarkStart w:id="3" w:name="page4"/>
    <w:bookmarkEnd w:id="3"/>
    <w:p>
      <w:pPr>
        <w:ind w:left="880" w:hanging="436"/>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common stock; and</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in the future.</w:t>
      </w:r>
    </w:p>
    <w:p>
      <w:pPr>
        <w:spacing w:after="0" w:line="13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Securities and Exchange Commission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93" w:lineRule="exact"/>
        <w:rPr>
          <w:sz w:val="20"/>
          <w:szCs w:val="20"/>
          <w:color w:val="auto"/>
        </w:rPr>
      </w:pPr>
    </w:p>
    <w:p>
      <w:pPr>
        <w:ind w:right="100" w:firstLine="441"/>
        <w:spacing w:after="0" w:line="276"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such statements are made. We undertake no obligation to update any forward-looking statements made in this Quarterly Report on Form</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the terms “Company,” “IRIDEX,” “we,” “us” and “our” refer to IRIDEX Corporation, and its consolidated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80" w:right="11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January 3, 2026</w:t>
            </w:r>
          </w:p>
        </w:tc>
      </w:tr>
      <w:tr>
        <w:trPr>
          <w:trHeight w:val="209"/>
        </w:trPr>
        <w:tc>
          <w:tcPr>
            <w:tcW w:w="6460" w:type="dxa"/>
            <w:vAlign w:val="bottom"/>
            <w:shd w:val="clear" w:color="auto" w:fill="CFF0FC"/>
          </w:tcPr>
          <w:p>
            <w:pPr>
              <w:ind w:left="2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100" w:type="dxa"/>
            <w:vAlign w:val="bottom"/>
          </w:tcPr>
          <w:p>
            <w:pPr>
              <w:spacing w:after="0"/>
              <w:rPr>
                <w:sz w:val="18"/>
                <w:szCs w:val="18"/>
                <w:color w:val="auto"/>
              </w:rPr>
            </w:pPr>
          </w:p>
        </w:tc>
      </w:tr>
      <w:tr>
        <w:trPr>
          <w:trHeight w:val="216"/>
        </w:trPr>
        <w:tc>
          <w:tcPr>
            <w:tcW w:w="6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25,252</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8"/>
                <w:szCs w:val="18"/>
                <w:color w:val="auto"/>
              </w:rPr>
            </w:pPr>
          </w:p>
        </w:tc>
      </w:tr>
      <w:tr>
        <w:trPr>
          <w:trHeight w:val="216"/>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28,274</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10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460" w:type="dxa"/>
            <w:vAlign w:val="bottom"/>
            <w:shd w:val="clear" w:color="auto" w:fill="CFF0FC"/>
          </w:tcPr>
          <w:p>
            <w:pPr>
              <w:ind w:left="13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to related party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8"/>
                <w:szCs w:val="18"/>
                <w:color w:val="auto"/>
              </w:rPr>
            </w:pPr>
          </w:p>
        </w:tc>
      </w:tr>
      <w:tr>
        <w:trPr>
          <w:trHeight w:val="216"/>
        </w:trPr>
        <w:tc>
          <w:tcPr>
            <w:tcW w:w="6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13,208</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payable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tcPr>
          <w:p>
            <w:pPr>
              <w:spacing w:after="0"/>
              <w:rPr>
                <w:sz w:val="18"/>
                <w:szCs w:val="18"/>
                <w:color w:val="auto"/>
              </w:rPr>
            </w:pPr>
          </w:p>
        </w:tc>
      </w:tr>
      <w:tr>
        <w:trPr>
          <w:trHeight w:val="216"/>
        </w:trPr>
        <w:tc>
          <w:tcPr>
            <w:tcW w:w="6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24,229</w:t>
            </w:r>
          </w:p>
        </w:tc>
        <w:tc>
          <w:tcPr>
            <w:tcW w:w="100" w:type="dxa"/>
            <w:vAlign w:val="bottom"/>
          </w:tcPr>
          <w:p>
            <w:pPr>
              <w:spacing w:after="0"/>
              <w:rPr>
                <w:sz w:val="18"/>
                <w:szCs w:val="18"/>
                <w:color w:val="auto"/>
              </w:rPr>
            </w:pPr>
          </w:p>
        </w:tc>
      </w:tr>
      <w:tr>
        <w:trPr>
          <w:trHeight w:val="21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2,000,000 shares;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46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Issued and outstanding: 600,000 shares of Series B convertible preferred stock as of</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both April 4, 2026 and January 3, 2026 (liquidation preference of $6.0 million as of</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both April 4, 2026 and January 3, 2026)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20"/>
                <w:szCs w:val="20"/>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Authorized: 63,500,000 shares;</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Issued and outstanding 17,395,350 shares as of April 4, 2026 and 17,306,521 as of</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3, 2026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91,538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91,208</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(92,970)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(92,446)</w:t>
            </w:r>
          </w:p>
        </w:tc>
      </w:tr>
      <w:tr>
        <w:trPr>
          <w:trHeight w:val="210"/>
        </w:trPr>
        <w:tc>
          <w:tcPr>
            <w:tcW w:w="6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tcBorders>
              <w:top w:val="single" w:sz="8" w:color="CFF0FC"/>
            </w:tcBorders>
          </w:tcPr>
          <w:p>
            <w:pPr>
              <w:spacing w:after="0"/>
              <w:rPr>
                <w:sz w:val="18"/>
                <w:szCs w:val="18"/>
                <w:color w:val="auto"/>
              </w:rPr>
            </w:pPr>
          </w:p>
        </w:tc>
      </w:tr>
      <w:tr>
        <w:trPr>
          <w:trHeight w:val="22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28,274</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100" w:type="dxa"/>
            <w:vAlign w:val="bottom"/>
            <w:shd w:val="clear" w:color="auto" w:fill="CFF0FC"/>
          </w:tcPr>
          <w:p>
            <w:pPr>
              <w:spacing w:after="0"/>
              <w:rPr>
                <w:sz w:val="19"/>
                <w:szCs w:val="19"/>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-5459730</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-5459730</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-4628515</wp:posOffset>
            </wp:positionV>
            <wp:extent cx="60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-4628515</wp:posOffset>
            </wp:positionV>
            <wp:extent cx="60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-3222625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-3222625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-2390775</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-2390775</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-316865</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-316865</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-25400</wp:posOffset>
            </wp:positionV>
            <wp:extent cx="60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-8255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67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2"/>
                <w:szCs w:val="12"/>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11,799</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11,896</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6,841</w:t>
            </w: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5,055</w:t>
            </w:r>
          </w:p>
        </w:tc>
      </w:tr>
      <w:tr>
        <w:trPr>
          <w:trHeight w:val="209"/>
        </w:trPr>
        <w:tc>
          <w:tcPr>
            <w:tcW w:w="6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2,453</w:t>
            </w:r>
          </w:p>
        </w:tc>
      </w:tr>
      <w:tr>
        <w:trPr>
          <w:trHeight w:val="216"/>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1,931</w:t>
            </w:r>
          </w:p>
        </w:tc>
      </w:tr>
      <w:tr>
        <w:trPr>
          <w:trHeight w:val="20"/>
        </w:trPr>
        <w:tc>
          <w:tcPr>
            <w:tcW w:w="6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5,260</w:t>
            </w: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(1,469)</w:t>
            </w: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(1,674)</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r>
      <w:tr>
        <w:trPr>
          <w:trHeight w:val="196"/>
        </w:trPr>
        <w:tc>
          <w:tcPr>
            <w:tcW w:w="6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6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67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(0.10)</w:t>
            </w:r>
          </w:p>
        </w:tc>
      </w:tr>
      <w:tr>
        <w:trPr>
          <w:trHeight w:val="20"/>
        </w:trPr>
        <w:tc>
          <w:tcPr>
            <w:tcW w:w="6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used in computing net loss per common share:</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16,727</w:t>
            </w:r>
          </w:p>
        </w:tc>
      </w:tr>
      <w:tr>
        <w:trPr>
          <w:trHeight w:val="20"/>
        </w:trPr>
        <w:tc>
          <w:tcPr>
            <w:tcW w:w="6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70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17,311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16,727</w:t>
            </w:r>
          </w:p>
        </w:tc>
      </w:tr>
      <w:tr>
        <w:trPr>
          <w:trHeight w:val="20"/>
        </w:trPr>
        <w:tc>
          <w:tcPr>
            <w:tcW w:w="6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-2365375</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-2365375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-1807845</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-1807845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-950595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-933450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-950595</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-933450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-650875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-633730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-650875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-633730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-24765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-8255</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6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-170815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April 4,</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vMerge w:val="continue"/>
          </w:tcPr>
          <w:p>
            <w:pPr>
              <w:spacing w:after="0"/>
              <w:rPr>
                <w:sz w:val="12"/>
                <w:szCs w:val="12"/>
                <w:color w:val="auto"/>
              </w:rPr>
            </w:pPr>
          </w:p>
        </w:tc>
        <w:tc>
          <w:tcPr>
            <w:tcW w:w="1600" w:type="dxa"/>
            <w:vAlign w:val="bottom"/>
            <w:gridSpan w:val="4"/>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2"/>
                <w:szCs w:val="12"/>
                <w:color w:val="auto"/>
              </w:rPr>
            </w:pPr>
          </w:p>
        </w:tc>
        <w:tc>
          <w:tcPr>
            <w:tcW w:w="164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5"/>
        </w:trPr>
        <w:tc>
          <w:tcPr>
            <w:tcW w:w="2440" w:type="dxa"/>
            <w:vAlign w:val="bottom"/>
          </w:tcPr>
          <w:p>
            <w:pPr>
              <w:jc w:val="right"/>
              <w:ind w:right="1061"/>
              <w:spacing w:after="0" w:line="160" w:lineRule="exact"/>
              <w:rPr>
                <w:sz w:val="20"/>
                <w:szCs w:val="20"/>
                <w:color w:val="auto"/>
              </w:rPr>
            </w:pPr>
            <w:r>
              <w:rPr>
                <w:rFonts w:ascii="Times New Roman" w:cs="Times New Roman" w:eastAsia="Times New Roman" w:hAnsi="Times New Roman"/>
                <w:sz w:val="14"/>
                <w:szCs w:val="14"/>
                <w:b w:val="1"/>
                <w:bCs w:val="1"/>
                <w:color w:val="auto"/>
              </w:rPr>
              <w:t>2026</w:t>
            </w:r>
          </w:p>
        </w:tc>
        <w:tc>
          <w:tcPr>
            <w:tcW w:w="1600" w:type="dxa"/>
            <w:vAlign w:val="bottom"/>
            <w:tcBorders>
              <w:bottom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ive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20" w:type="dxa"/>
            <w:vAlign w:val="bottom"/>
          </w:tcPr>
          <w:p>
            <w:pPr>
              <w:spacing w:after="0"/>
              <w:rPr>
                <w:sz w:val="13"/>
                <w:szCs w:val="13"/>
                <w:color w:val="auto"/>
              </w:rPr>
            </w:pPr>
          </w:p>
        </w:tc>
        <w:tc>
          <w:tcPr>
            <w:tcW w:w="7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w:t>
            </w:r>
          </w:p>
        </w:tc>
        <w:tc>
          <w:tcPr>
            <w:tcW w:w="0" w:type="dxa"/>
            <w:vAlign w:val="bottom"/>
          </w:tcPr>
          <w:p>
            <w:pPr>
              <w:spacing w:after="0"/>
              <w:rPr>
                <w:sz w:val="1"/>
                <w:szCs w:val="1"/>
                <w:color w:val="auto"/>
              </w:rPr>
            </w:pPr>
          </w:p>
        </w:tc>
      </w:tr>
      <w:tr>
        <w:trPr>
          <w:trHeight w:val="117"/>
        </w:trPr>
        <w:tc>
          <w:tcPr>
            <w:tcW w:w="2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7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80" w:type="dxa"/>
            <w:vAlign w:val="bottom"/>
          </w:tcPr>
          <w:p>
            <w:pPr>
              <w:spacing w:after="0"/>
              <w:rPr>
                <w:sz w:val="12"/>
                <w:szCs w:val="12"/>
                <w:color w:val="auto"/>
              </w:rPr>
            </w:pPr>
          </w:p>
        </w:tc>
        <w:tc>
          <w:tcPr>
            <w:tcW w:w="7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Balances, January 3, 2026</w:t>
            </w: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17,306,5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91,208</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(92,446)</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shares in</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connection to paydown of accrued</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87,949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Release of restricted stock, net of</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taxes paid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6"/>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182"/>
        </w:trPr>
        <w:tc>
          <w:tcPr>
            <w:tcW w:w="24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Balances, April 4, 2026</w:t>
            </w:r>
          </w:p>
        </w:tc>
        <w:tc>
          <w:tcPr>
            <w:tcW w:w="74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17,395,3</w:t>
            </w:r>
          </w:p>
        </w:tc>
        <w:tc>
          <w:tcPr>
            <w:tcW w:w="18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4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91,538</w:t>
            </w:r>
          </w:p>
        </w:tc>
        <w:tc>
          <w:tcPr>
            <w:tcW w:w="120" w:type="dxa"/>
            <w:vAlign w:val="bottom"/>
            <w:shd w:val="clear" w:color="auto" w:fill="CFF0FC"/>
          </w:tcPr>
          <w:p>
            <w:pPr>
              <w:spacing w:after="0"/>
              <w:rPr>
                <w:sz w:val="22"/>
                <w:szCs w:val="22"/>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(92,970)</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244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vMerge w:val="continue"/>
          </w:tcPr>
          <w:p>
            <w:pPr>
              <w:spacing w:after="0"/>
              <w:rPr>
                <w:sz w:val="12"/>
                <w:szCs w:val="12"/>
                <w:color w:val="auto"/>
              </w:rPr>
            </w:pPr>
          </w:p>
        </w:tc>
        <w:tc>
          <w:tcPr>
            <w:tcW w:w="1600" w:type="dxa"/>
            <w:vAlign w:val="bottom"/>
            <w:gridSpan w:val="4"/>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2"/>
                <w:szCs w:val="12"/>
                <w:color w:val="auto"/>
              </w:rPr>
            </w:pPr>
          </w:p>
        </w:tc>
        <w:tc>
          <w:tcPr>
            <w:tcW w:w="164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5"/>
        </w:trPr>
        <w:tc>
          <w:tcPr>
            <w:tcW w:w="2440" w:type="dxa"/>
            <w:vAlign w:val="bottom"/>
          </w:tcPr>
          <w:p>
            <w:pPr>
              <w:jc w:val="right"/>
              <w:ind w:right="941"/>
              <w:spacing w:after="0" w:line="160" w:lineRule="exact"/>
              <w:rPr>
                <w:sz w:val="20"/>
                <w:szCs w:val="20"/>
                <w:color w:val="auto"/>
              </w:rPr>
            </w:pPr>
            <w:r>
              <w:rPr>
                <w:rFonts w:ascii="Times New Roman" w:cs="Times New Roman" w:eastAsia="Times New Roman" w:hAnsi="Times New Roman"/>
                <w:sz w:val="14"/>
                <w:szCs w:val="14"/>
                <w:b w:val="1"/>
                <w:bCs w:val="1"/>
                <w:color w:val="auto"/>
              </w:rPr>
              <w:t>29, 2025</w:t>
            </w:r>
          </w:p>
        </w:tc>
        <w:tc>
          <w:tcPr>
            <w:tcW w:w="1600" w:type="dxa"/>
            <w:vAlign w:val="bottom"/>
            <w:tcBorders>
              <w:bottom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ive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20" w:type="dxa"/>
            <w:vAlign w:val="bottom"/>
          </w:tcPr>
          <w:p>
            <w:pPr>
              <w:spacing w:after="0"/>
              <w:rPr>
                <w:sz w:val="13"/>
                <w:szCs w:val="13"/>
                <w:color w:val="auto"/>
              </w:rPr>
            </w:pPr>
          </w:p>
        </w:tc>
        <w:tc>
          <w:tcPr>
            <w:tcW w:w="7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w:t>
            </w:r>
          </w:p>
        </w:tc>
        <w:tc>
          <w:tcPr>
            <w:tcW w:w="0" w:type="dxa"/>
            <w:vAlign w:val="bottom"/>
          </w:tcPr>
          <w:p>
            <w:pPr>
              <w:spacing w:after="0"/>
              <w:rPr>
                <w:sz w:val="1"/>
                <w:szCs w:val="1"/>
                <w:color w:val="auto"/>
              </w:rPr>
            </w:pPr>
          </w:p>
        </w:tc>
      </w:tr>
      <w:tr>
        <w:trPr>
          <w:trHeight w:val="117"/>
        </w:trPr>
        <w:tc>
          <w:tcPr>
            <w:tcW w:w="2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7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80" w:type="dxa"/>
            <w:vAlign w:val="bottom"/>
          </w:tcPr>
          <w:p>
            <w:pPr>
              <w:spacing w:after="0"/>
              <w:rPr>
                <w:sz w:val="12"/>
                <w:szCs w:val="12"/>
                <w:color w:val="auto"/>
              </w:rPr>
            </w:pPr>
          </w:p>
        </w:tc>
        <w:tc>
          <w:tcPr>
            <w:tcW w:w="7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Balances, December 28, 2024</w:t>
            </w: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16,636,3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89,881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(88,009)</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B preferred</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stock (mezzanine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shares in</w:t>
            </w: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conjunction with extinguishment of</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convertible notes payable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152,647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(1,686)</w:t>
            </w:r>
          </w:p>
        </w:tc>
        <w:tc>
          <w:tcPr>
            <w:tcW w:w="12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(1,686)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Balances, March 29, 2025</w:t>
            </w:r>
          </w:p>
        </w:tc>
        <w:tc>
          <w:tcPr>
            <w:tcW w:w="740" w:type="dxa"/>
            <w:vAlign w:val="bottom"/>
            <w:shd w:val="clear" w:color="auto" w:fill="CFF0FC"/>
          </w:tcPr>
          <w:p>
            <w:pPr>
              <w:spacing w:after="0"/>
              <w:rPr>
                <w:sz w:val="15"/>
                <w:szCs w:val="15"/>
                <w:color w:val="auto"/>
              </w:rPr>
            </w:pPr>
          </w:p>
        </w:tc>
        <w:tc>
          <w:tcPr>
            <w:tcW w:w="30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9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16,789,0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300" w:type="dxa"/>
            <w:vAlign w:val="bottom"/>
            <w:gridSpan w:val="2"/>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90,344</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(89,695)</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-2682240</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-2665095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-2682240</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-2665095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-2682240</wp:posOffset>
            </wp:positionV>
            <wp:extent cx="596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-2665095</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-2682240</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-2665095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-2682240</wp:posOffset>
            </wp:positionV>
            <wp:extent cx="59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-2665095</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-2682240</wp:posOffset>
            </wp:positionV>
            <wp:extent cx="60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-2665095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-2682240</wp:posOffset>
            </wp:positionV>
            <wp:extent cx="59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-2665095</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-2682240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-2665095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-24765</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-7620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-24765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-7620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-24765</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-7620</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-24765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-7620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-24765</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-7620</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-24765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-7620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-24765</wp:posOffset>
            </wp:positionV>
            <wp:extent cx="5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-7620</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6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2"/>
                <w:szCs w:val="12"/>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 payable</w:t>
            </w: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(729)</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(1,291)</w:t>
            </w: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Payable to related party</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(1,149)</w:t>
            </w:r>
          </w:p>
        </w:tc>
      </w:tr>
      <w:tr>
        <w:trPr>
          <w:trHeight w:val="210"/>
        </w:trPr>
        <w:tc>
          <w:tcPr>
            <w:tcW w:w="6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note payable</w:t>
            </w: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Payments on note payable</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(3,961)</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B preferred stock</w:t>
            </w: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settlements of equity awards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6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tcPr>
          <w:p>
            <w:pPr>
              <w:spacing w:after="0"/>
              <w:rPr>
                <w:sz w:val="18"/>
                <w:szCs w:val="18"/>
                <w:color w:val="auto"/>
              </w:rPr>
            </w:pPr>
          </w:p>
        </w:tc>
      </w:tr>
      <w:tr>
        <w:trPr>
          <w:trHeight w:val="21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activities:</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Issuance of common shares in connection to paydown of accrued interest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shares in conjunction with extinguishment of convertible notes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5094605</wp:posOffset>
            </wp:positionH>
            <wp:positionV relativeFrom="paragraph">
              <wp:posOffset>-2828290</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-2828290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-2545715</wp:posOffset>
            </wp:positionV>
            <wp:extent cx="59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-2545715</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-1705610</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-1705610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-1414145</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-1414145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-1130935</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-1130935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79"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January 3, 2026, which was filed with the SEC on April 2, 2026. The results of operations for the three months ended April 4, 2026 are not necessarily indicative of the results for the fiscal year ending January 2, 2027 or any future interim period. The three months ended April 4, 2026 and March 29, 2025 each had 13 weeks. For purposes of reporting the financial results, the Company’s fiscal years end on the Saturday closest to the end of December. Periodically, the Company includes a 53rd week to a fiscal year in order to end that year on the Saturday closest to the end of December.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significant accounting policies are disclosed in our Annual Report on Form 10-K for the year ended January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which was filed with the SEC on April 2, 2026.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Presentation</w:t>
      </w:r>
    </w:p>
    <w:p>
      <w:pPr>
        <w:spacing w:after="0" w:line="119" w:lineRule="exact"/>
        <w:rPr>
          <w:sz w:val="20"/>
          <w:szCs w:val="20"/>
          <w:color w:val="auto"/>
        </w:rPr>
      </w:pPr>
    </w:p>
    <w:p>
      <w:pPr>
        <w:ind w:right="660" w:firstLine="441"/>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wholly-owned subsidiaries. All significant intercompany accounts and transactions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us to make estimates and judgments that affect the reported amounts of assets, liabilities, revenues, and expenses and the related disclosure of contingent assets and liabilities. The Company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the Company’s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Company’s Chief Operating Decision Maker (“CODM”) is its Chief Executive Officer. The CODM allocates resources and evaluates the performance of the Company at the consolidated level using information about its revenues, gross profit, income from operations, and other key financial data. All significant operating decisions are based upon an analysis of the Company as one operating segment, which is the same as its reporting segment.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Company’s revenues arise from the sale of laser consoles, delivery devices, consumables, service, and support activities. The Company also derives its revenue from royalties from third parties that are typically based on the licensees’ net sales of products that utilize our technology. The Company’s revenue is recognized in accordance with Accounting Standards Codification (“ASC”) Topic 606, “Revenue from Contracts with Customers.” The Company recognizes revenue using the five-step model: (1) identifying the contract with the customer, (2) identifying the performance obligations in the contract, (3) determining expected transaction price,</w:t>
      </w:r>
    </w:p>
    <w:p>
      <w:pPr>
        <w:spacing w:after="0" w:line="3" w:lineRule="exact"/>
        <w:rPr>
          <w:sz w:val="20"/>
          <w:szCs w:val="20"/>
          <w:color w:val="auto"/>
        </w:rPr>
      </w:pPr>
    </w:p>
    <w:p>
      <w:pPr>
        <w:ind w:firstLine="4"/>
        <w:spacing w:after="0" w:line="26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distinct performance obligations in the contract, and (5) recognizing revenue when (or as) the performance obligations are satisfied.</w:t>
      </w:r>
    </w:p>
    <w:p>
      <w:pPr>
        <w:spacing w:after="0" w:line="73"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The Company has the following revenue transaction types: (1) Product Sale Only, (2) Service Contracts, (3) System Repairs (outside of warranty), (4) Royalty Revenue and (5) Exclusive Distribution Rights.</w:t>
      </w:r>
    </w:p>
    <w:p>
      <w:pPr>
        <w:spacing w:after="0" w:line="54" w:lineRule="exact"/>
        <w:rPr>
          <w:sz w:val="20"/>
          <w:szCs w:val="20"/>
          <w:color w:val="auto"/>
        </w:rPr>
      </w:pPr>
    </w:p>
    <w:p>
      <w:pPr>
        <w:ind w:left="880" w:right="100" w:hanging="435"/>
        <w:spacing w:after="0" w:line="26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end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08" w:right="1119" w:bottom="1440" w:gutter="0" w:footer="0" w:header="0"/>
        </w:sectPr>
      </w:pPr>
    </w:p>
    <w:bookmarkStart w:id="10" w:name="page11"/>
    <w:bookmarkEnd w:id="10"/>
    <w:p>
      <w:pPr>
        <w:ind w:left="880" w:right="20"/>
        <w:spacing w:after="0" w:line="282" w:lineRule="auto"/>
        <w:rPr>
          <w:sz w:val="20"/>
          <w:szCs w:val="20"/>
          <w:color w:val="auto"/>
        </w:rPr>
      </w:pPr>
      <w:r>
        <w:rPr>
          <w:rFonts w:ascii="Times New Roman" w:cs="Times New Roman" w:eastAsia="Times New Roman" w:hAnsi="Times New Roman"/>
          <w:sz w:val="18"/>
          <w:szCs w:val="18"/>
          <w:color w:val="auto"/>
        </w:rPr>
        <w:t>users. Outside of the United States and Germany, the Company utilizes independent, third-party distributors to market and sell the Company’s products. There is no continuing obligation after shipment is made to these distributors.</w:t>
      </w:r>
    </w:p>
    <w:p>
      <w:pPr>
        <w:spacing w:after="0" w:line="54" w:lineRule="exact"/>
        <w:rPr>
          <w:sz w:val="20"/>
          <w:szCs w:val="20"/>
          <w:color w:val="auto"/>
        </w:rPr>
      </w:pPr>
    </w:p>
    <w:p>
      <w:pPr>
        <w:ind w:left="880" w:right="360"/>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product sales at a point in time subject to the allocation of transaction price to additional performance obligations, if any.</w:t>
      </w:r>
    </w:p>
    <w:p>
      <w:pPr>
        <w:spacing w:after="0" w:line="54" w:lineRule="exact"/>
        <w:rPr>
          <w:sz w:val="20"/>
          <w:szCs w:val="20"/>
          <w:color w:val="auto"/>
        </w:rPr>
      </w:pPr>
    </w:p>
    <w:p>
      <w:pPr>
        <w:ind w:left="880" w:right="80" w:hanging="435"/>
        <w:spacing w:after="0" w:line="261"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Contracts: The Company offers a standard two-year warranty on all system sales. The Company also offers a service contract which is sold to customers in incremental, one-year periods that begin subsequent to the expiration of the standard two-year warranty. The customer can opt to purchase the service contract at the time of the system sale or after the initial system sale.</w:t>
      </w:r>
    </w:p>
    <w:p>
      <w:pPr>
        <w:spacing w:after="0" w:line="71" w:lineRule="exact"/>
        <w:rPr>
          <w:rFonts w:ascii="Times New Roman" w:cs="Times New Roman" w:eastAsia="Times New Roman" w:hAnsi="Times New Roman"/>
          <w:sz w:val="18"/>
          <w:szCs w:val="18"/>
          <w:color w:val="auto"/>
        </w:rPr>
      </w:pPr>
    </w:p>
    <w:p>
      <w:pPr>
        <w:ind w:left="88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53" w:lineRule="exact"/>
        <w:rPr>
          <w:rFonts w:ascii="Times New Roman" w:cs="Times New Roman" w:eastAsia="Times New Roman" w:hAnsi="Times New Roman"/>
          <w:sz w:val="18"/>
          <w:szCs w:val="18"/>
          <w:color w:val="auto"/>
        </w:rPr>
      </w:pPr>
    </w:p>
    <w:p>
      <w:pPr>
        <w:ind w:left="1320" w:right="220" w:hanging="434"/>
        <w:spacing w:after="0" w:line="261" w:lineRule="auto"/>
        <w:tabs>
          <w:tab w:leader="none" w:pos="13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1" w:lineRule="exact"/>
        <w:rPr>
          <w:rFonts w:ascii="Times New Roman" w:cs="Times New Roman" w:eastAsia="Times New Roman" w:hAnsi="Times New Roman"/>
          <w:sz w:val="18"/>
          <w:szCs w:val="18"/>
          <w:color w:val="auto"/>
        </w:rPr>
      </w:pPr>
    </w:p>
    <w:p>
      <w:pPr>
        <w:ind w:left="1320" w:right="40" w:hanging="434"/>
        <w:spacing w:after="0" w:line="254" w:lineRule="auto"/>
        <w:tabs>
          <w:tab w:leader="none" w:pos="13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83" w:lineRule="exact"/>
        <w:rPr>
          <w:rFonts w:ascii="Times New Roman" w:cs="Times New Roman" w:eastAsia="Times New Roman" w:hAnsi="Times New Roman"/>
          <w:sz w:val="18"/>
          <w:szCs w:val="18"/>
          <w:color w:val="auto"/>
        </w:rPr>
      </w:pPr>
    </w:p>
    <w:p>
      <w:pPr>
        <w:ind w:left="880" w:right="220" w:hanging="435"/>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Repairs (outside of warranty): Customers will occasionally request repairs from the Company subsequent to the expiration of the standard warranty and outside of a service contract.</w:t>
      </w:r>
    </w:p>
    <w:p>
      <w:pPr>
        <w:spacing w:after="0" w:line="53" w:lineRule="exact"/>
        <w:rPr>
          <w:rFonts w:ascii="Times New Roman" w:cs="Times New Roman" w:eastAsia="Times New Roman" w:hAnsi="Times New Roman"/>
          <w:sz w:val="18"/>
          <w:szCs w:val="18"/>
          <w:color w:val="auto"/>
        </w:rPr>
      </w:pPr>
    </w:p>
    <w:p>
      <w:pPr>
        <w:ind w:left="8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As such, revenue is recognized as the repair services are rendered and the performance obligation satisfied.</w:t>
      </w:r>
    </w:p>
    <w:p>
      <w:pPr>
        <w:spacing w:after="0" w:line="71" w:lineRule="exact"/>
        <w:rPr>
          <w:rFonts w:ascii="Times New Roman" w:cs="Times New Roman" w:eastAsia="Times New Roman" w:hAnsi="Times New Roman"/>
          <w:sz w:val="18"/>
          <w:szCs w:val="18"/>
          <w:color w:val="auto"/>
        </w:rPr>
      </w:pPr>
    </w:p>
    <w:p>
      <w:pPr>
        <w:jc w:val="both"/>
        <w:ind w:left="880" w:right="660" w:hanging="435"/>
        <w:spacing w:after="0" w:line="266"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 The Company has royalty agreements with two customers related to the sale of the Company’s intellectual property. Under the terms of these agreements, the customers are to remit a percentage of sales to the Company as sales occur.</w:t>
      </w:r>
    </w:p>
    <w:p>
      <w:pPr>
        <w:spacing w:after="0" w:line="67" w:lineRule="exact"/>
        <w:rPr>
          <w:rFonts w:ascii="Times New Roman" w:cs="Times New Roman" w:eastAsia="Times New Roman" w:hAnsi="Times New Roman"/>
          <w:sz w:val="18"/>
          <w:szCs w:val="18"/>
          <w:color w:val="auto"/>
        </w:rPr>
      </w:pPr>
    </w:p>
    <w:p>
      <w:pPr>
        <w:ind w:left="88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arrangements with the two customers are for sales-based licenses of intellectual property, for which the guidance in paragraph ASC 606-10-55-65 applies. Therefore, the Company recognizes revenue at a point in time, only as the subsequent sale occurs. However, because such sales are reported by the licensees one quarter in arrears, the Company recognizes such revenue at the time it is reported and paid by the licensees given that any estimated variable consideration would have to be fully constrained due to the unpredictability of such estimate and the unavoidable risk that it may lead to significant revenue reversals.</w:t>
      </w:r>
    </w:p>
    <w:p>
      <w:pPr>
        <w:spacing w:after="0" w:line="79" w:lineRule="exact"/>
        <w:rPr>
          <w:rFonts w:ascii="Times New Roman" w:cs="Times New Roman" w:eastAsia="Times New Roman" w:hAnsi="Times New Roman"/>
          <w:sz w:val="18"/>
          <w:szCs w:val="18"/>
          <w:color w:val="auto"/>
        </w:rPr>
      </w:pPr>
    </w:p>
    <w:p>
      <w:pPr>
        <w:ind w:left="880" w:hanging="435"/>
        <w:spacing w:after="0" w:line="252" w:lineRule="auto"/>
        <w:tabs>
          <w:tab w:leader="none" w:pos="7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For each of the three months ended April 4, 2026 and March 29, 2025, $0.4 million in revenue related to the exclusive distribution rights was recorded.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Obtaining Revenue Contracts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11" w:name="page12"/>
    <w:bookmarkEnd w:id="11"/>
    <w:p>
      <w:pPr>
        <w:ind w:firstLine="441"/>
        <w:spacing w:after="0" w:line="254" w:lineRule="auto"/>
        <w:rPr>
          <w:sz w:val="20"/>
          <w:szCs w:val="20"/>
          <w:color w:val="auto"/>
        </w:rPr>
      </w:pPr>
      <w:r>
        <w:rPr>
          <w:rFonts w:ascii="Times New Roman" w:cs="Times New Roman" w:eastAsia="Times New Roman" w:hAnsi="Times New Roman"/>
          <w:sz w:val="18"/>
          <w:szCs w:val="18"/>
          <w:color w:val="auto"/>
        </w:rPr>
        <w:t>The Company recognized assets from certain costs incurred to obtain revenue contracts. These costs relate to sales commissions arising from the sale of our products. The costs are considered incremental and recoverable costs of obtaining revenue contracts with customers. These deferred costs are amortized on a straight-line basis over the estimated period of benefit, which typically ranges from 2 to 3 years. As of April 4, 2026, the Company had fully recognized deferred costs incurred to obtain revenue contracts with customers, which amounts were previously included in Prepaid expenses and other current assets and Other long-term assets in the Company’s condensed consolidated balance sheet. Amortization expense was $0 thousand and $19 thousand, respectively, for the three months ended April 4, 2026 and March 29, 2025. There were no impairment expenses during each of the three months ended April 4, 2026 and March 29, 2025.</w:t>
      </w:r>
    </w:p>
    <w:p>
      <w:pPr>
        <w:spacing w:after="0" w:line="84"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Sales commissions that do not represent incremental and recoverable costs of obtaining a contract are expensed as incurred. As a practical expedient, the Company will not recognize such sales commission as a contract asset but rather recognize as expense when incurred if the amortization period of the asset that the Company would have otherwise recognized is one year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Fulfillment Costs</w:t>
      </w:r>
    </w:p>
    <w:p>
      <w:pPr>
        <w:spacing w:after="0" w:line="11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April 4, 2026, the Company recognized deferred costs incurred to fulfill a contract with a customer, net of accumulated amortization, of $0.5 million, and included these amounts in Prepaid expenses and other current assets and Other long-term assets in the Company’s condensed consolidated balance sheets. Amortization expense was $21 thousand for each of the three months ended April 4, 2026 and March 29, 2025. There were no impairment expenses for each of three months ended April 4, 2026 and March 29,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net and Operating lease liabilities in the Company's condensed consolidated balance sheets. As of April 4, 2026 and January 3, 2026, the Company was not a party to any finance lease arrangements.</w:t>
      </w:r>
    </w:p>
    <w:p>
      <w:pPr>
        <w:spacing w:after="0" w:line="68"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the Company's leases do not provide an implicit rate, the Company uses its incremental borrowing rate based on information available at the commencement date in determining the present value of lease payments. The Company uses the implicit rate when readily determinable. The operating lease ROU asset also includes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84" w:lineRule="exact"/>
        <w:rPr>
          <w:sz w:val="20"/>
          <w:szCs w:val="20"/>
          <w:color w:val="auto"/>
        </w:rPr>
      </w:pPr>
    </w:p>
    <w:p>
      <w:pPr>
        <w:ind w:right="660" w:firstLine="441"/>
        <w:spacing w:after="0" w:line="282" w:lineRule="auto"/>
        <w:rPr>
          <w:sz w:val="20"/>
          <w:szCs w:val="20"/>
          <w:color w:val="auto"/>
        </w:rPr>
      </w:pPr>
      <w:r>
        <w:rPr>
          <w:rFonts w:ascii="Times New Roman" w:cs="Times New Roman" w:eastAsia="Times New Roman" w:hAnsi="Times New Roman"/>
          <w:sz w:val="18"/>
          <w:szCs w:val="18"/>
          <w:color w:val="auto"/>
        </w:rPr>
        <w:t>Under the available practical expedient, the Company accounts for the lease and non-lease components as a single lease component.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 and Other Risks and Uncertainties</w:t>
      </w:r>
    </w:p>
    <w:p>
      <w:pPr>
        <w:spacing w:after="0" w:line="119"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deposited in demand and money market accounts. Deposits held with banks may exceed the amount of insurance provided on such deposits. Generally, these deposits may be redeemed upon demand.</w:t>
      </w:r>
    </w:p>
    <w:p>
      <w:pPr>
        <w:spacing w:after="0" w:line="54"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The Company markets its products to distributors and end-users throughout the world. Sales to international distributors are generally made on open credit terms and letters of credit. Management performs ongoing credit evaluations of the Company's customers and maintains a provision for potential credit losses. Historically, we have not experienced any significant losses related to individual customers or a group of customers in any particular geographic area. For the three months ended April 4, 2026 and March 29, 2025, one customer, Topcon, accounted for more than 10% of total revenues, representing 27% and 30%, respectively. For the three months ended April 4, 2026 and March 29, 2025, one customer, Topcon, accounted for over 10% of our accounts receivable, representing 19% and 29%,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Collected from Customers and Remitted to Governmental Authorities</w:t>
      </w:r>
    </w:p>
    <w:p>
      <w:pPr>
        <w:spacing w:after="0" w:line="119" w:lineRule="exact"/>
        <w:rPr>
          <w:sz w:val="20"/>
          <w:szCs w:val="20"/>
          <w:color w:val="auto"/>
        </w:rPr>
      </w:pPr>
    </w:p>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recognized on a net basis in the accompanying condensed consolidated statements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The Company's shipping and handling costs billed to customers are included in revenues and the associated expense is recorded in cost of revenues for all periods presented.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ind w:right="80" w:firstLine="441"/>
        <w:spacing w:after="0" w:line="289" w:lineRule="auto"/>
        <w:rPr>
          <w:sz w:val="20"/>
          <w:szCs w:val="20"/>
          <w:color w:val="auto"/>
        </w:rPr>
      </w:pPr>
      <w:r>
        <w:rPr>
          <w:rFonts w:ascii="Times New Roman" w:cs="Times New Roman" w:eastAsia="Times New Roman" w:hAnsi="Times New Roman"/>
          <w:sz w:val="17"/>
          <w:szCs w:val="17"/>
          <w:color w:val="auto"/>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spacing w:after="0" w:line="50" w:lineRule="exact"/>
        <w:rPr>
          <w:sz w:val="20"/>
          <w:szCs w:val="20"/>
          <w:color w:val="auto"/>
        </w:rPr>
      </w:pPr>
    </w:p>
    <w:p>
      <w:pPr>
        <w:ind w:right="40" w:firstLine="441"/>
        <w:spacing w:after="0" w:line="278" w:lineRule="auto"/>
        <w:rPr>
          <w:sz w:val="20"/>
          <w:szCs w:val="20"/>
          <w:color w:val="auto"/>
        </w:rPr>
      </w:pPr>
      <w:r>
        <w:rPr>
          <w:rFonts w:ascii="Times New Roman" w:cs="Times New Roman" w:eastAsia="Times New Roman" w:hAnsi="Times New Roman"/>
          <w:sz w:val="18"/>
          <w:szCs w:val="18"/>
          <w:color w:val="auto"/>
        </w:rPr>
        <w:t>A reconciliation of the changes in the Company’s deferred revenue balance for the three months ended April 4, 2026 and March 29, 2025, is as follows:</w:t>
      </w: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9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7"/>
                <w:szCs w:val="17"/>
                <w:color w:val="auto"/>
              </w:rPr>
            </w:pPr>
          </w:p>
        </w:tc>
      </w:tr>
      <w:tr>
        <w:trPr>
          <w:trHeight w:val="209"/>
        </w:trPr>
        <w:tc>
          <w:tcPr>
            <w:tcW w:w="5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10,526</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deferral</w:t>
            </w:r>
          </w:p>
        </w:tc>
        <w:tc>
          <w:tcPr>
            <w:tcW w:w="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5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36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(797)</w:t>
            </w:r>
          </w:p>
        </w:tc>
      </w:tr>
      <w:tr>
        <w:trPr>
          <w:trHeight w:val="20"/>
        </w:trPr>
        <w:tc>
          <w:tcPr>
            <w:tcW w:w="596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0" w:type="dxa"/>
            <w:vAlign w:val="bottom"/>
            <w:tcBorders>
              <w:right w:val="single" w:sz="8" w:color="CFF0FC"/>
            </w:tcBorders>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the period</w:t>
            </w:r>
          </w:p>
        </w:tc>
        <w:tc>
          <w:tcPr>
            <w:tcW w:w="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10,058</w:t>
            </w:r>
          </w:p>
        </w:tc>
      </w:tr>
      <w:tr>
        <w:trPr>
          <w:trHeight w:val="216"/>
        </w:trPr>
        <w:tc>
          <w:tcPr>
            <w:tcW w:w="5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portion of deferred revenue</w:t>
            </w:r>
          </w:p>
        </w:tc>
        <w:tc>
          <w:tcPr>
            <w:tcW w:w="360" w:type="dxa"/>
            <w:vAlign w:val="bottom"/>
            <w:shd w:val="clear" w:color="auto" w:fill="CFF0FC"/>
          </w:tcPr>
          <w:p>
            <w:pPr>
              <w:spacing w:after="0"/>
              <w:rPr>
                <w:sz w:val="18"/>
                <w:szCs w:val="18"/>
                <w:color w:val="auto"/>
              </w:rPr>
            </w:pPr>
          </w:p>
        </w:tc>
        <w:tc>
          <w:tcPr>
            <w:tcW w:w="1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7,968</w:t>
            </w: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-454025</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-454025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4, 2026 and March 29, 2025, approximately $0.4 million and $0.6 million were recognized pertaining to amounts deferred as of January 3, 2026 and December 28, 2024, respectively. As of April 4, 2026, approximately $6.4 million of the non-current portion of deferred revenue and $1.5 million of the current portion of deferred revenue pertain to exclusivity distribution rights deferred revenue.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spacing w:after="0" w:line="72"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As warranty reserves do not meet the criteria to have separate captions on the face of the condensed consolidated balance sheet, the Company has removed these captions and included those amounts in other current and long-term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Costs Incurred in a Cloud Computing Service Arrangement</w:t>
      </w:r>
    </w:p>
    <w:p>
      <w:pPr>
        <w:spacing w:after="0" w:line="119"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The Company’s enterprise resource planning (“ERP”) system operates in a cloud-based environment. The Company concluded that this cloud computing arrangement does not include a license, and therefore, has accounted for this arrangement as a service contract. The Company capitalized $1.1 million in implementation costs and began utilizing the ERP system near the end of the third quarter of 2023 and is recognizing amortization of the capitalized implementation costs over five years on a straight-line basis. Amortization expense was approximately $57 thousand for each of the three months ended April 4, 2026 and March 29,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11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As of April 4, 2026, the Company consolidated a foreign subsidiary in accordance with accounting standards for consolidation of variable interest entities (“VIE”). The Company consolidates the subsidiary because it is the primary beneficiary. Noncontrolling interests in the entity were immaterial as of April 4, 2026 and January 3, 2026, respectively. The Company will consolidate certain general and administrative expenses of this subsidiary. The consolidated total assets and liabilities related to the above consolidated VIE, net of intercompany eliminations, were $120 thousand and $74 thousand, respectively, as of April 4, 2026. The consolidated total assets and liabilities related to the above consolidated VIE, net of intercompany eliminations, were both $74 thousand as of January 3, 2026. The Company’s financial risk in the VIE primarily includes its equity investment in the VIE and liabilities related to an office lease.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providing a practical expedient available for all entities to assume that current conditions as of the balance sheet date remain unchanged for the asset’s remaining life. This update became effective for fiscal years beginning after December 15, 2025, and interim periods within those annual reporting periods. The adopted ASU had no material impact on the Company’s condensed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9" w:lineRule="exact"/>
        <w:rPr>
          <w:sz w:val="20"/>
          <w:szCs w:val="20"/>
          <w:color w:val="auto"/>
        </w:rPr>
      </w:pPr>
    </w:p>
    <w:p>
      <w:pPr>
        <w:ind w:right="320" w:firstLine="441"/>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disclosure of disaggregated information about certain income statement expense line items on an annual and interim basis. This update will be effective for fiscal years beginning after December 15, 2026, and interim periods within fiscal years beginning after December 15,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18" w:right="1099" w:bottom="1440" w:gutter="0" w:footer="0" w:header="0"/>
        </w:sectPr>
      </w:pPr>
    </w:p>
    <w:bookmarkStart w:id="13" w:name="page14"/>
    <w:bookmarkEnd w:id="13"/>
    <w:p>
      <w:pPr>
        <w:ind w:right="440"/>
        <w:spacing w:after="0" w:line="282" w:lineRule="auto"/>
        <w:rPr>
          <w:sz w:val="20"/>
          <w:szCs w:val="20"/>
          <w:color w:val="auto"/>
        </w:rPr>
      </w:pPr>
      <w:r>
        <w:rPr>
          <w:rFonts w:ascii="Times New Roman" w:cs="Times New Roman" w:eastAsia="Times New Roman" w:hAnsi="Times New Roman"/>
          <w:sz w:val="18"/>
          <w:szCs w:val="18"/>
          <w:color w:val="auto"/>
        </w:rPr>
        <w:t>2027. Early adoption is permitted. As this accounting standard only impacts disclosures, it will not have a material impact on the Company’s consolidated financial statements.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3. Accounts Receivable and Provision for Credit Losses</w:t>
      </w:r>
    </w:p>
    <w:p>
      <w:pPr>
        <w:spacing w:after="0" w:line="121"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Company has trade receivables with various individual customers such as private businesses, hospitals, universities, government and non-profit entities, and distributors. The Company has determined that geography is the similar risk characteristic to pool its trade receivables balances, and accordingly, groups such balances into either the domestic pool or the international pool. The domestic pool is primarily comprised of individual customers, and the international pool is primarily comprised of distributors.</w:t>
      </w:r>
    </w:p>
    <w:p>
      <w:pPr>
        <w:spacing w:after="0" w:line="72"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provision for credit losses represents an estimate of the lifetime expected credit losses inherent in trade receivables as of the consolidated balance sheet date. The Company assesses the adequacy of the provision for credit losses on a quarterly basis based on historical information and current economic conditions and forecasts. Subsequent changes in the provision for credit losses are recorded in current earnings and reversal of previous losses are permitted under the current guidance.</w:t>
      </w:r>
    </w:p>
    <w:p>
      <w:pPr>
        <w:spacing w:after="0" w:line="7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While the Company believes it has exercised prudent judgment and applied reasonable assumptions, there can be no assurance that in the future, changes in economic conditions or other factors would not cause changes in the financial health of its customers. If the financial health of the Company’s customers deteriorates, the timing and level of payments received could be impacted and therefore, could result in a change to the Company’s estimated losses.</w:t>
      </w:r>
    </w:p>
    <w:p>
      <w:pPr>
        <w:spacing w:after="0" w:line="72" w:lineRule="exact"/>
        <w:rPr>
          <w:sz w:val="20"/>
          <w:szCs w:val="20"/>
          <w:color w:val="auto"/>
        </w:rPr>
      </w:pPr>
    </w:p>
    <w:p>
      <w:pPr>
        <w:ind w:right="540" w:firstLine="324"/>
        <w:spacing w:after="0" w:line="257" w:lineRule="auto"/>
        <w:rPr>
          <w:sz w:val="20"/>
          <w:szCs w:val="20"/>
          <w:color w:val="auto"/>
        </w:rPr>
      </w:pPr>
      <w:r>
        <w:rPr>
          <w:rFonts w:ascii="Times New Roman" w:cs="Times New Roman" w:eastAsia="Times New Roman" w:hAnsi="Times New Roman"/>
          <w:sz w:val="18"/>
          <w:szCs w:val="18"/>
          <w:color w:val="auto"/>
        </w:rPr>
        <w:t>The following table presents the activity in the provision for credit losses for accounts receivable by pool type for the three months ended April 4, 2026 (in thousands):</w:t>
      </w:r>
    </w:p>
    <w:tbl>
      <w:tblPr>
        <w:tblLayout w:type="fixed"/>
        <w:tblInd w:w="0" w:type="dxa"/>
        <w:tblCellMar>
          <w:top w:w="0" w:type="dxa"/>
          <w:left w:w="0" w:type="dxa"/>
          <w:bottom w:w="0" w:type="dxa"/>
          <w:right w:w="0" w:type="dxa"/>
        </w:tblCellMar>
      </w:tblPr>
      <w:tr>
        <w:trPr>
          <w:trHeight w:val="156"/>
        </w:trPr>
        <w:tc>
          <w:tcPr>
            <w:tcW w:w="4540" w:type="dxa"/>
            <w:vAlign w:val="bottom"/>
          </w:tcPr>
          <w:p>
            <w:pPr>
              <w:spacing w:after="0"/>
              <w:rPr>
                <w:sz w:val="13"/>
                <w:szCs w:val="13"/>
                <w:color w:val="auto"/>
              </w:rPr>
            </w:pPr>
          </w:p>
        </w:tc>
        <w:tc>
          <w:tcPr>
            <w:tcW w:w="1140" w:type="dxa"/>
            <w:vAlign w:val="bottom"/>
            <w:tcBorders>
              <w:bottom w:val="single" w:sz="8" w:color="auto"/>
            </w:tcBorders>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Domestic</w:t>
            </w:r>
          </w:p>
        </w:tc>
        <w:tc>
          <w:tcPr>
            <w:tcW w:w="3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22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Change to provision</w:t>
            </w:r>
          </w:p>
        </w:tc>
        <w:tc>
          <w:tcPr>
            <w:tcW w:w="11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14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(34)</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-25400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-8255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-170815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-25400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-8255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-170815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4. Related Party - Topcon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April 4, 2026, Topcon holds a 9.3% voting interest in the Company. It currently does not have significant influence over the Company’s operations.</w:t>
      </w:r>
    </w:p>
    <w:p>
      <w:pPr>
        <w:spacing w:after="0" w:line="5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Topcon resells certain of our products as our exclusive distributor in certain international regions. At the same time, the Company also purchases certain raw materials from Topcon. During the three months ended April 4, 2026, the Company’s revenues related to Topcon amounted to approximately $3.2 million, including $0.4 million in recognized exclusive distribution rights revenue. During the three months ended March 29, 2025, the Company’s revenues related to Topcon amounted to approximately $3.6 million, including $0.4 million in recognized exclusive distribution rights revenue. The Company’s purchases from Topcon during the three months ended April 4, 2026 amounted to approximately $0.3 million. As of April 4, 2026, the amounts receivable from and payable to Topcon were $1.6 million and $0.3 million, respectively. As of January 3, 2026, the amounts receivable from and payable to Topcon were $1.9 million and $0.1 million,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the Company’s inventories as of April 4, 2026 and January 3, 2026 are as follows:</w:t>
      </w:r>
    </w:p>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80" w:type="dxa"/>
            <w:vAlign w:val="bottom"/>
          </w:tcPr>
          <w:p>
            <w:pPr>
              <w:spacing w:after="0"/>
              <w:rPr>
                <w:sz w:val="15"/>
                <w:szCs w:val="15"/>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4,148</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3,729</w:t>
            </w:r>
          </w:p>
        </w:tc>
      </w:tr>
      <w:tr>
        <w:trPr>
          <w:trHeight w:val="20"/>
        </w:trPr>
        <w:tc>
          <w:tcPr>
            <w:tcW w:w="4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7,877</w:t>
            </w:r>
          </w:p>
        </w:tc>
      </w:tr>
      <w:tr>
        <w:trPr>
          <w:trHeight w:val="20"/>
        </w:trPr>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4468495</wp:posOffset>
            </wp:positionH>
            <wp:positionV relativeFrom="paragraph">
              <wp:posOffset>-170815</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5514340</wp:posOffset>
            </wp:positionH>
            <wp:positionV relativeFrom="paragraph">
              <wp:posOffset>-170815</wp:posOffset>
            </wp:positionV>
            <wp:extent cx="43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carrying value of goodwill was $1.0 million as of both April 4, 2026 and January 3, 2026.</w:t>
      </w:r>
    </w:p>
    <w:p>
      <w:pPr>
        <w:spacing w:after="0" w:line="117"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14" w:name="page15"/>
    <w:bookmarkEnd w:id="14"/>
    <w:p>
      <w:pPr>
        <w:ind w:right="80"/>
        <w:spacing w:after="0" w:line="255" w:lineRule="auto"/>
        <w:rPr>
          <w:sz w:val="20"/>
          <w:szCs w:val="20"/>
          <w:color w:val="auto"/>
        </w:rPr>
      </w:pPr>
      <w:r>
        <w:rPr>
          <w:rFonts w:ascii="Times New Roman" w:cs="Times New Roman" w:eastAsia="Times New Roman" w:hAnsi="Times New Roman"/>
          <w:sz w:val="18"/>
          <w:szCs w:val="18"/>
          <w:color w:val="auto"/>
        </w:rPr>
        <w:t>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common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2025 and determined that its goodwill was not impaired.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components of gross and net carrying amounts of intangible assets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0"/>
                <w:szCs w:val="10"/>
                <w:color w:val="auto"/>
              </w:rPr>
            </w:pPr>
          </w:p>
        </w:tc>
        <w:tc>
          <w:tcPr>
            <w:tcW w:w="11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40" w:type="dxa"/>
            <w:vAlign w:val="bottom"/>
          </w:tcPr>
          <w:p>
            <w:pPr>
              <w:spacing w:after="0"/>
              <w:rPr>
                <w:sz w:val="10"/>
                <w:szCs w:val="10"/>
                <w:color w:val="auto"/>
              </w:rPr>
            </w:pPr>
          </w:p>
        </w:tc>
        <w:tc>
          <w:tcPr>
            <w:tcW w:w="82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Customer relations</w:t>
            </w:r>
          </w:p>
        </w:tc>
        <w:tc>
          <w:tcPr>
            <w:tcW w:w="140" w:type="dxa"/>
            <w:vAlign w:val="bottom"/>
          </w:tcPr>
          <w:p>
            <w:pPr>
              <w:spacing w:after="0"/>
              <w:rPr>
                <w:sz w:val="15"/>
                <w:szCs w:val="15"/>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16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118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color w:val="auto"/>
                <w:w w:val="99"/>
              </w:rPr>
              <w:t>1.92 Years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440" w:type="dxa"/>
            <w:vAlign w:val="bottom"/>
            <w:tcBorders>
              <w:top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Developed</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jc w:val="center"/>
              <w:ind w:right="77"/>
              <w:spacing w:after="0"/>
              <w:rPr>
                <w:sz w:val="20"/>
                <w:szCs w:val="20"/>
                <w:color w:val="auto"/>
              </w:rPr>
            </w:pPr>
            <w:r>
              <w:rPr>
                <w:rFonts w:ascii="Times New Roman" w:cs="Times New Roman" w:eastAsia="Times New Roman" w:hAnsi="Times New Roman"/>
                <w:sz w:val="18"/>
                <w:szCs w:val="18"/>
                <w:color w:val="auto"/>
                <w:w w:val="99"/>
              </w:rPr>
              <w:t>2.98 Years</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118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9"/>
              </w:rPr>
              <w:t>3.92 Years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52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540" w:type="dxa"/>
            <w:vAlign w:val="bottom"/>
            <w:gridSpan w:val="3"/>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-25400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1673860</wp:posOffset>
            </wp:positionH>
            <wp:positionV relativeFrom="paragraph">
              <wp:posOffset>-8255</wp:posOffset>
            </wp:positionV>
            <wp:extent cx="59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-25400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-8255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-25400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-8255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-25400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-8255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-25400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-8255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Amortization expense was $80 thousand and $84 thousand, respectively, for the three months ended April 4, 2026 and March 29, 2025.</w:t>
      </w:r>
    </w:p>
    <w:p>
      <w:pPr>
        <w:spacing w:after="0" w:line="54"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amortization of developed technology was charged to research and development expense and the amortization of customer relations and trade names was charged to sales and marketing expense. Estimated future amortization expense for purchased intangible assets is as follows (in thousands):</w:t>
      </w:r>
    </w:p>
    <w:p>
      <w:pPr>
        <w:spacing w:after="0" w:line="194"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w:t>
            </w:r>
          </w:p>
        </w:tc>
        <w:tc>
          <w:tcPr>
            <w:tcW w:w="8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Remainder of 2026 (nine months)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50"/>
        </w:trPr>
        <w:tc>
          <w:tcPr>
            <w:tcW w:w="4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-24765</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-7620</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180" w:firstLine="441"/>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1" w:lineRule="exact"/>
        <w:rPr>
          <w:sz w:val="20"/>
          <w:szCs w:val="20"/>
          <w:color w:val="auto"/>
        </w:rPr>
      </w:pPr>
    </w:p>
    <w:p>
      <w:pPr>
        <w:ind w:left="880" w:hanging="435"/>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w:t>
      </w:r>
    </w:p>
    <w:p>
      <w:pPr>
        <w:spacing w:after="0" w:line="117" w:lineRule="exact"/>
        <w:rPr>
          <w:rFonts w:ascii="Times New Roman" w:cs="Times New Roman" w:eastAsia="Times New Roman" w:hAnsi="Times New Roman"/>
          <w:sz w:val="18"/>
          <w:szCs w:val="18"/>
          <w:color w:val="auto"/>
        </w:rPr>
      </w:pPr>
    </w:p>
    <w:p>
      <w:pPr>
        <w:ind w:left="880" w:right="220" w:hanging="435"/>
        <w:spacing w:after="0" w:line="256"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15" w:name="page16"/>
    <w:bookmarkEnd w:id="15"/>
    <w:p>
      <w:pPr>
        <w:ind w:left="880" w:right="340" w:hanging="435"/>
        <w:spacing w:after="0" w:line="266"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68"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54" w:lineRule="exact"/>
        <w:rPr>
          <w:sz w:val="20"/>
          <w:szCs w:val="20"/>
          <w:color w:val="auto"/>
        </w:rPr>
      </w:pPr>
    </w:p>
    <w:p>
      <w:pPr>
        <w:ind w:right="320" w:firstLine="441"/>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accounts receivable, accounts payable, and accrued expenses as of April 4, 2026 and January 3, 2026, approximate fair value because of the short maturity of these instruments.</w:t>
      </w:r>
    </w:p>
    <w:p>
      <w:pPr>
        <w:spacing w:after="0" w:line="68" w:lineRule="exact"/>
        <w:rPr>
          <w:sz w:val="20"/>
          <w:szCs w:val="20"/>
          <w:color w:val="auto"/>
        </w:rPr>
      </w:pPr>
    </w:p>
    <w:p>
      <w:pPr>
        <w:ind w:right="660" w:firstLine="441"/>
        <w:spacing w:after="0" w:line="282" w:lineRule="auto"/>
        <w:rPr>
          <w:sz w:val="20"/>
          <w:szCs w:val="20"/>
          <w:color w:val="auto"/>
        </w:rPr>
      </w:pPr>
      <w:r>
        <w:rPr>
          <w:rFonts w:ascii="Times New Roman" w:cs="Times New Roman" w:eastAsia="Times New Roman" w:hAnsi="Times New Roman"/>
          <w:sz w:val="18"/>
          <w:szCs w:val="18"/>
          <w:color w:val="auto"/>
        </w:rPr>
        <w:t>As of April 4, 2026 and January 3, 2026, financial assets measured and recognized at fair value on a recurring basis and classified under the appropriate level of the fair value hierarchy as described above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 April 4, 2026</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8"/>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7"/>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9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and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Company's operating leases consist of facility and office equipment leases. Operating lease expenses was $0.3 million for each of the three months ended April 4, 2026 and March 29, 2025. Cash paid for operating leases totaled $0.3 million for both the three months ended April 4, 2026 and March 29, 2025. As of April 4, 2026, the weighted average discount rate used in calculating the present value of lease payments was 5.8%. As of April 4, 2026, the weighted average remaining lease term for the operating leases was 1.1 years.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April 4, 2026 (in thousands):</w:t>
      </w:r>
    </w:p>
    <w:tbl>
      <w:tblPr>
        <w:tblLayout w:type="fixed"/>
        <w:tblInd w:w="0" w:type="dxa"/>
        <w:tblCellMar>
          <w:top w:w="0" w:type="dxa"/>
          <w:left w:w="0" w:type="dxa"/>
          <w:bottom w:w="0" w:type="dxa"/>
          <w:right w:w="0" w:type="dxa"/>
        </w:tblCellMar>
      </w:tblPr>
      <w:tr>
        <w:trPr>
          <w:trHeight w:val="151"/>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2"/>
          </w:tcPr>
          <w:p>
            <w:pPr>
              <w:jc w:val="right"/>
              <w:ind w:right="940"/>
              <w:spacing w:after="0" w:line="15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0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 (nine months)</w:t>
            </w:r>
          </w:p>
        </w:tc>
        <w:tc>
          <w:tcPr>
            <w:tcW w:w="6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9"/>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The Company’s purchase commitments consist primarily of non-cancellable purchase commitments with vendors to manufacture certain components and ophthalmic instrumentation. As of April 4, 2026, the Company’s future minimum payments through fiscal year 2028 for its purchase commitments were approximately $27.4 million, with $27.3 million committed for the next 12 months.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Indemnities</w:t>
      </w:r>
    </w:p>
    <w:p>
      <w:pPr>
        <w:spacing w:after="0" w:line="11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parties (generally the Company’s business partners or customers) in connection with any trade secret, copyright, patent or other intellectual property infringement claim by any third-party with respect to the Company’s products. The term of these indemnification agreements is generally perpetual any time after the execution of the agreement. The maximum potential amount of future payments that we could be required to make under these agreements is not determinable. The Company has never incurred costs to defend lawsuits or settle claims related to these indemnification agreements. As a result, the Company believes the estimated fair value of these agreements is minimal.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16" w:name="page17"/>
    <w:bookmarkEnd w:id="16"/>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a culpable nature. These agreements also require the Company to advance their expenses incurred as a result of any proceeding against them as to which they could be indemnified and to make a good faith determination whether or not it is practicable for the Company to obtain directors and officers insurance. The Company currently has directors and officers liability insurance.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Although the results of litigation and claims cannot be predicted with certainty, the Company currently believes that the final outcome of these ordinary course matters will not have a material adverse effect on the Company’s condensed consolidated operating results, financial condition or cash flows. Regardless of the outcome, litigation can have an adverse impact on the Company because of defense and settlement costs, diversion of management resources and other factors.</w:t>
      </w:r>
    </w:p>
    <w:p>
      <w:pPr>
        <w:spacing w:after="0" w:line="166" w:lineRule="exact"/>
        <w:rPr>
          <w:sz w:val="20"/>
          <w:szCs w:val="20"/>
          <w:color w:val="auto"/>
        </w:rPr>
      </w:pPr>
    </w:p>
    <w:p>
      <w:pPr>
        <w:ind w:left="180" w:hanging="176"/>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Convertible Preferred Shares and Convertible Debt</w:t>
      </w:r>
    </w:p>
    <w:p>
      <w:pPr>
        <w:spacing w:after="0" w:line="121"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On March 18, 2025, the Company filed a Certificate of Designation, Preferences and Rights of the Series B Preferred Stock (the “Series B Certificate of Designation”) authorizing the Company to issue up to 1,000,000 shares of authorized undesignated preferred stock as shares of Series B Preferred stock, par value $0.01 per share (the “Series B Preferred Stock”). At the Company’s annual meeting of stockholders held on June 11, 2025 (the “Annual Meeting”), the Company’s stockholders approved an amendment and restatement of the Company’s Amended and Restated Certificate of Incorporation (the “Charter”) in the form of the Amended and Restated Certificate of Incorporation (the “Restated Charter”) which, among other matters, authorized 1,000,000 shares to be designated as Series B Preferred Stock and 1,000,000 shares to be undesignated preferred stock, for a total of 2,000,000 shares of preferred stock and reestablished the designations, powers, preferences and relative and other special rights and the qualifications, limitations and restrictions of the preferred stock, including the Company’s Series B Preferred Stock, which, with respect to the Series B Preferred Stock and except as noted in the Company’s definitive proxy statement filed with the SEC on April 28, 2025 and as supplemented by its definitive additional materials filed with the SEC on May 20, 2025 and June 2, 2025, are substantially the same rights for the Series B Preferred Stock as are provided for pursuant to the Series B Certificate of Designation. Following the stockholders’ approval of the form of Restated Charter, the Company filed the Restated Charter with the Secretary of State of the State of Delaware on June 11, 2025. Also, with the approval of the Restated Charter, certain provisions related to the Series B Preferred Stock were revised, allowing the Series B Preferred Stock to meet the definition of permanent equity from an accounting perspective. As a result, the Company reclassified the Series B Preferred Stock from mezzanine equity to permanent equity in the second fiscal quarter of 2025.</w:t>
      </w:r>
    </w:p>
    <w:p>
      <w:pPr>
        <w:spacing w:after="0" w:line="85"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On March 19, 2025, the Company entered into a securities purchase agreement (the “Novel Securities Agreement”) and a Note Purchase Agreement (the “Novel Note Purchase Agreement”) with Novel Inspirational International Co., Ltd. (“Novel”). Pursuant to the Novel Securities Agreement and the Novel Note Purchase Agreement, the Company issued 600,000 shares of its Series B Preferred Stock at $10.00 per share, initially convertible into 3,000,000 shares of the Company’s common stock, par value $0.01 per share and an initial convertible promissory note in an aggregate principal amount of $4,000,000 (the “Initial Novel Note”). The Initial Novel Note is convertible into 400,000 shares of the Company’s Series B Preferred Stock.</w:t>
      </w:r>
    </w:p>
    <w:p>
      <w:pPr>
        <w:spacing w:after="0" w:line="7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Concurrently with the purchase of the shares of Series B Preferred Stock and the Initial Novel Note, the Company also entered into an Investor Rights Agreement and an amendment to the Investor Rights Agreement (together, the “Rights Agreement”) with Novel, pursuant to which the Company has agreed to, among other matters, grant Novel certain rights, including: (i) registration rights and indemnification obligations related thereto; (ii) subject to certain restrictions (including satisfying certain beneficial ownership thresholds), the right to appoint and maintain two individuals to the Company’s board of directors; and (iii) the right to approve certain corporate actions of the Company.</w:t>
      </w:r>
    </w:p>
    <w:p>
      <w:pPr>
        <w:spacing w:after="0" w:line="7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Initial Novel Note has a 36-month term and will bear interest at 12% per annum. Interest on the Initial Novel Note will be payable quarterly on the first business day of each calendar quarter, beginning on July 1, 2025, in a number of shares of the common stock equal to (i) the accrued and unpaid interest due on the applicable interest payment date divided by (ii) the greater of (a) the average closing price of the common stock for each trading day after March 19, 2025 in the calendar quarter immediately preceding such interest payment date and (b) a price floor of $0.21. The Initial Novel Note is convertible at Novel’s option into shares of the Series B Preferred Stock at an initial conversion price of $10.00, subject to adjustments set forth in the Initial Novel Note. In addition, the Company incurred $0.4 million in debt issuance costs. For the three months ended April 4, 2026 and March 29, 2025, debt issuance costs of $30 thousand and $4 thousand, respectively, were recorded on a straight-line basis over the term of the loan. The accretion of debt issuance costs under that method is deemed materially consistent with the effective interest rate method.</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represents the payments of notes payable as of April 4, 2026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3"/>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5"/>
                <w:szCs w:val="15"/>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payments</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220" w:firstLine="441"/>
        <w:spacing w:after="0" w:line="261" w:lineRule="auto"/>
        <w:rPr>
          <w:sz w:val="20"/>
          <w:szCs w:val="20"/>
          <w:color w:val="auto"/>
        </w:rPr>
      </w:pPr>
      <w:r>
        <w:rPr>
          <w:rFonts w:ascii="Times New Roman" w:cs="Times New Roman" w:eastAsia="Times New Roman" w:hAnsi="Times New Roman"/>
          <w:sz w:val="18"/>
          <w:szCs w:val="18"/>
          <w:color w:val="212529"/>
        </w:rPr>
        <w:t xml:space="preserve">In addition to the Initial Novel Note, Novel has the right to purchase additional convertible promissory notes (the “Growth Notes”) in an aggregate principal amount of $10,000,000. The Growth Notes are issuable in three installments, with one third of the aggregate principal amount issuable upon each yearly anniversary. </w:t>
      </w:r>
      <w:r>
        <w:rPr>
          <w:rFonts w:ascii="Times New Roman" w:cs="Times New Roman" w:eastAsia="Times New Roman" w:hAnsi="Times New Roman"/>
          <w:sz w:val="18"/>
          <w:szCs w:val="18"/>
          <w:color w:val="000000"/>
        </w:rPr>
        <w:t>As of April 4, 2026, the Company has not issued any Growth</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Notes.</w:t>
      </w:r>
    </w:p>
    <w:p>
      <w:pPr>
        <w:spacing w:after="0" w:line="72"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color w:val="auto"/>
        </w:rPr>
        <w:t>On March 18, 2025, the Company also entered into that certain repayment notice (the “Repayment Notice”) with Lind Global Asset Management IX LLC (“Lind”). Pursuant to the Repayment Notice and upon the subsequent delivery of a cash payment to Lind in the amount of $3,330,999.99, the Company thereafter fully discharged its outstanding obligations (other than certain indemnification obligations that survived pursuant to the terms of the Repayment Notice) under that certain Securities Purchase Agreement, dated August 4, 2024, by and between the Company and Lind, and terminated the Senior Convertible Promissory Note, dated August 7, 2024, issued by the Company to Lind thereunder (the “Lind Note”). As a result of the early repayment of the Lind Note on March 19, 2025, the Company recognized a loss of $1.3 million on the extinguishment of the convertible note payable, reflected in the consolidated statements of operations as other expense, net.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granted to employees and directors, including stock option awards, restricted stock and restricted stock units (“RSUs”) in accordance with FASB ASC Topic 718</w:t>
      </w:r>
      <w:r>
        <w:rPr>
          <w:rFonts w:ascii="Times New Roman" w:cs="Times New Roman" w:eastAsia="Times New Roman" w:hAnsi="Times New Roman"/>
          <w:sz w:val="18"/>
          <w:szCs w:val="18"/>
          <w:i w:val="1"/>
          <w:iCs w:val="1"/>
          <w:color w:val="auto"/>
        </w:rPr>
        <w:t>, “Compensation – Stock Compensation'</w:t>
      </w:r>
      <w:r>
        <w:rPr>
          <w:rFonts w:ascii="Times New Roman" w:cs="Times New Roman" w:eastAsia="Times New Roman" w:hAnsi="Times New Roman"/>
          <w:sz w:val="18"/>
          <w:szCs w:val="18"/>
          <w:color w:val="auto"/>
        </w:rPr>
        <w:t>. Accordingly, stock-based compensation cost is measured at grant date, based on the fair value of the award, and is recognized as an expense over the employee’s service period. The Company recognizes compensation expense on a ratable basis over the requisite service period of the award.</w:t>
      </w:r>
    </w:p>
    <w:p>
      <w:pPr>
        <w:spacing w:after="0" w:line="75"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The Company’s stockholders approved an amendment to the Amended and Restated 2008 Equity Incentive Plan (the “Plan”) at the annual stockholders’ meeting in June 2025, which among other things, added 1,000,000 shares to the plan and extended the term of the Plan. 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2008 Equity Incentive Plan, as amended.</w:t>
      </w:r>
    </w:p>
    <w:p>
      <w:pPr>
        <w:spacing w:after="0" w:line="119" w:lineRule="exact"/>
        <w:rPr>
          <w:sz w:val="20"/>
          <w:szCs w:val="20"/>
          <w:color w:val="auto"/>
        </w:rPr>
      </w:pPr>
    </w:p>
    <w:p>
      <w:pPr>
        <w:ind w:right="840" w:firstLine="441"/>
        <w:spacing w:after="0" w:line="282" w:lineRule="auto"/>
        <w:rPr>
          <w:sz w:val="20"/>
          <w:szCs w:val="20"/>
          <w:color w:val="auto"/>
        </w:rPr>
      </w:pPr>
      <w:r>
        <w:rPr>
          <w:rFonts w:ascii="Times New Roman" w:cs="Times New Roman" w:eastAsia="Times New Roman" w:hAnsi="Times New Roman"/>
          <w:sz w:val="18"/>
          <w:szCs w:val="18"/>
          <w:color w:val="auto"/>
        </w:rPr>
        <w:t>The terms of awards granted during the three months ended April 4, 2026 were consistent with those described in the consolidated financial statements included in our Annual Report on Form 10-K for the year ended January 3, 2026.</w:t>
      </w:r>
    </w:p>
    <w:p>
      <w:pPr>
        <w:spacing w:after="0" w:line="54"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shows stock-based compensation expense included in the condensed consolidated statements of operations for the three months ended April 4, 2026 and March 29, 2025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52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40" w:type="dxa"/>
            <w:vAlign w:val="bottom"/>
            <w:gridSpan w:val="2"/>
            <w:shd w:val="clear" w:color="auto" w:fill="CFF0FC"/>
          </w:tcPr>
          <w:p>
            <w:pPr>
              <w:jc w:val="right"/>
              <w:ind w:right="126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shd w:val="clear" w:color="auto" w:fill="CFF0FC"/>
          </w:tcPr>
          <w:p>
            <w:pPr>
              <w:jc w:val="right"/>
              <w:ind w:right="128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14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6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8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-24765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-8255</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Stock-based compensation expense capitalized to inventory was immaterial for the three months ended April 4, 2026 and March 29, 2025.</w:t>
      </w:r>
    </w:p>
    <w:p>
      <w:pPr>
        <w:spacing w:after="0" w:line="54" w:lineRule="exact"/>
        <w:rPr>
          <w:sz w:val="20"/>
          <w:szCs w:val="20"/>
          <w:color w:val="auto"/>
        </w:rPr>
      </w:pPr>
    </w:p>
    <w:p>
      <w:pPr>
        <w:ind w:right="100" w:firstLine="441"/>
        <w:spacing w:after="0" w:line="312" w:lineRule="auto"/>
        <w:rPr>
          <w:sz w:val="20"/>
          <w:szCs w:val="20"/>
          <w:color w:val="auto"/>
        </w:rPr>
      </w:pPr>
      <w:r>
        <w:rPr>
          <w:rFonts w:ascii="Times New Roman" w:cs="Times New Roman" w:eastAsia="Times New Roman" w:hAnsi="Times New Roman"/>
          <w:sz w:val="17"/>
          <w:szCs w:val="17"/>
          <w:color w:val="auto"/>
        </w:rPr>
        <w:t>As of April 4, 2026, there was $0.9 million of total unrecognized compensation cost, net of expected forfeitures, related to non-vested stock-based compensation arrangements. The cost is expected to be recognized over a weighted average period of 1.7 years.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6" w:right="10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Summary of Stock Options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stock options information during the three months ended April 4, 2026:</w:t>
      </w:r>
    </w:p>
    <w:p>
      <w:pPr>
        <w:spacing w:after="0" w:line="20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4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9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3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3, 2026</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1,921,298</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63,200</w:t>
            </w:r>
          </w:p>
        </w:tc>
        <w:tc>
          <w:tcPr>
            <w:tcW w:w="140" w:type="dxa"/>
            <w:vAlign w:val="bottom"/>
          </w:tcPr>
          <w:p>
            <w:pPr>
              <w:spacing w:after="0"/>
              <w:rPr>
                <w:sz w:val="18"/>
                <w:szCs w:val="18"/>
                <w:color w:val="auto"/>
              </w:rPr>
            </w:pPr>
          </w:p>
        </w:tc>
        <w:tc>
          <w:tcPr>
            <w:tcW w:w="104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Canceled or forfeited</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(37,124)</w:t>
            </w:r>
          </w:p>
        </w:tc>
        <w:tc>
          <w:tcPr>
            <w:tcW w:w="10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April 4, 2026</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1,947,374</w:t>
            </w:r>
          </w:p>
        </w:tc>
        <w:tc>
          <w:tcPr>
            <w:tcW w:w="14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FF0FC"/>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Borders>
              <w:top w:val="single" w:sz="8" w:color="CFF0FC"/>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-170815</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the options granted was $0.70 per share for each of the three months ended April 4, 2026 and March 29, 2025.</w:t>
      </w:r>
    </w:p>
    <w:p>
      <w:pPr>
        <w:spacing w:after="0" w:line="54"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stock-based awards (options) with the following weighted-average assumptions:</w:t>
      </w:r>
    </w:p>
    <w:p>
      <w:pPr>
        <w:spacing w:after="0" w:line="155"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1500" w:type="dxa"/>
            <w:vAlign w:val="bottom"/>
            <w:tcBorders>
              <w:bottom w:val="single" w:sz="8" w:color="auto"/>
            </w:tcBorders>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5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60" w:type="dxa"/>
            <w:vAlign w:val="bottom"/>
          </w:tcPr>
          <w:p>
            <w:pPr>
              <w:spacing w:after="0"/>
              <w:rPr>
                <w:sz w:val="12"/>
                <w:szCs w:val="12"/>
                <w:color w:val="auto"/>
              </w:rPr>
            </w:pPr>
          </w:p>
        </w:tc>
      </w:tr>
      <w:tr>
        <w:trPr>
          <w:trHeight w:val="209"/>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5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20" w:type="dxa"/>
            <w:vAlign w:val="bottom"/>
            <w:gridSpan w:val="3"/>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volatility</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bl>
    <w:p>
      <w:pPr>
        <w:spacing w:after="0" w:line="314"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Option-pricing models require the input of various subjective assumptions, including the option’s expected life and the price volatility of the underlying stock. The expected stock price volatility is based on an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80"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Information regarding stock options outstanding, vested, expected to vest, and exercisable as of April 4, 2026 is summarized below:</w:t>
      </w:r>
    </w:p>
    <w:p>
      <w:pPr>
        <w:spacing w:after="0" w:line="14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1,947,374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1,876,042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963,896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2.89</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pre-tax intrinsic value, based on the Company’s closing price as of April 4, 2026, that would have been received by option holders had all option holders exercised their stock options as of that date. This amount changes based on the fair market value of the Company’s common stock. There were no options exercised during each of the three months ended April 4, 2026 and March 29, 2025.</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18" w:right="11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Summary of RSUs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RSUs activity for the three months ended April 4, 2026 is summarized below:</w:t>
      </w:r>
    </w:p>
    <w:p>
      <w:pPr>
        <w:spacing w:after="0" w:line="32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6"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617220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72200" cy="146050"/>
                    </a:xfrm>
                    <a:prstGeom prst="rect">
                      <a:avLst/>
                    </a:prstGeom>
                    <a:noFill/>
                  </pic:spPr>
                </pic:pic>
              </a:graphicData>
            </a:graphic>
          </wp:anchor>
        </w:drawing>
      </w:r>
    </w:p>
    <w:p>
      <w:pPr>
        <w:sectPr>
          <w:pgSz w:w="11900" w:h="16838" w:orient="portrait"/>
          <w:cols w:equalWidth="0" w:num="1">
            <w:col w:w="9700"/>
          </w:cols>
          <w:pgMar w:left="1080" w:top="1118" w:right="111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as of January 3, 2026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617220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7220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Restricted stock units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April 4, 2026</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535,630</w:t>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(1,250)</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528,047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14605</wp:posOffset>
            </wp:positionV>
            <wp:extent cx="1680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-1305560</wp:posOffset>
            </wp:positionH>
            <wp:positionV relativeFrom="paragraph">
              <wp:posOffset>31750</wp:posOffset>
            </wp:positionV>
            <wp:extent cx="16802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014" w:lineRule="exact"/>
        <w:rPr>
          <w:sz w:val="20"/>
          <w:szCs w:val="20"/>
          <w:color w:val="auto"/>
        </w:rPr>
      </w:pPr>
    </w:p>
    <w:p>
      <w:pPr>
        <w:sectPr>
          <w:pgSz w:w="11900" w:h="16838" w:orient="portrait"/>
          <w:cols w:equalWidth="0" w:num="2">
            <w:col w:w="8320" w:space="720"/>
            <w:col w:w="660"/>
          </w:cols>
          <w:pgMar w:left="1080" w:top="1118" w:right="1119" w:bottom="1440" w:gutter="0" w:footer="0" w:header="0"/>
          <w:type w:val="continuous"/>
        </w:sect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The Company calculates its interim tax provision in accordance with the provisions of ASC Topic 740-270,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For interim periods, the Company estimates its annual effective income tax rate and applies the estimated rate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enacted in tax laws or rates in the interim periods in which the changes occur. The Company recorded a provision for income tax of $58 thousand and $12 thousand for the three months ended April 4, 2026 and March 29, 2025,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11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Income Taxes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first quarter of fiscal year 2026, based on the Company’s recent history of losses and its forecasted losses, management believes it is more likely than not that a full valuation allowance is required. Accordingly, the Company continues to provide a full valuation allowance on its federal and states deferred tax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The Company accounts for its uncertain tax positions in accordance with ASC 740. As of January 3, 2026, the Company had $1.4 million of unrecognized tax benefits, and none of the unrecognized tax benefits would result in a change in the Company’s effective tax rate if recognized in future years.</w:t>
      </w:r>
    </w:p>
    <w:p>
      <w:pPr>
        <w:spacing w:after="0" w:line="68"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On July 4, 2025, President Trump signed the tax act referred to as The One Big Beautiful Bill (“OBBB”) Act, which includes comprehensive U.S. corporate tax legislation. The legislation includes the permanent extension and modification of provisions originally introduced under the Tax Cuts and Jobs Act of 2017 and the introduction of new provisions. Key provisions include the permanent restoration of bonus depreciation allowances, changes to the limitations on deductibility of business interest expense, and the reintroduction of immediate expensing of U.S./domestic research and development costs. The impact on current and deferred taxes for tax law changes is reported in continuing operations in the interim period that includes the enactment date. The company has determined that new act would not have a material impact to the Company’s interim tax provision due to its valuation allowance. The Company will continue to assess the tax accounting impacts, as well as the various state legislation and conformity rules, as more information becomes available.</w:t>
      </w:r>
    </w:p>
    <w:p>
      <w:pPr>
        <w:spacing w:after="0" w:line="80" w:lineRule="exact"/>
        <w:rPr>
          <w:sz w:val="20"/>
          <w:szCs w:val="20"/>
          <w:color w:val="auto"/>
        </w:rPr>
      </w:pPr>
    </w:p>
    <w:p>
      <w:pPr>
        <w:jc w:val="both"/>
        <w:ind w:right="280" w:firstLine="441"/>
        <w:spacing w:after="0" w:line="312" w:lineRule="auto"/>
        <w:rPr>
          <w:sz w:val="20"/>
          <w:szCs w:val="20"/>
          <w:color w:val="auto"/>
        </w:rPr>
      </w:pPr>
      <w:r>
        <w:rPr>
          <w:rFonts w:ascii="Times New Roman" w:cs="Times New Roman" w:eastAsia="Times New Roman" w:hAnsi="Times New Roman"/>
          <w:sz w:val="17"/>
          <w:szCs w:val="17"/>
          <w:color w:val="auto"/>
        </w:rPr>
        <w:t>The Company is subject to United States federal income tax as well as to income taxes in state jurisdictions. The Company’s federal and state income tax returns are open to examination by tax authorities for three years and three to five years,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Computation of Basic and Diluted Net Loss Per Share</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the Company incurs a net loss or if the exercise price of such options is greater than the average market price of our common stock for the period as their effect would be anti-dilutive. Common stock equivalents consisting of incremental common stock issuable upon conversion of convertible debt and preferred shares are calculated under the if-converted method. Common stock equivalent shares from convertible debt and preferred shares are excluded from the computation for periods in which the Company incurs a net loss or if their effect would be anti-dilutive.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18" w:right="1119" w:bottom="1440" w:gutter="0" w:footer="0" w:header="0"/>
          <w:type w:val="continuous"/>
        </w:sectPr>
      </w:pPr>
    </w:p>
    <w:bookmarkStart w:id="20" w:name="page21"/>
    <w:bookmarkEnd w:id="20"/>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4, 2026 and March 29, 2025, potential shares from stock options and RSUs totaling 2,512,284 and 2,269,639 shares, respectively, were excluded from the computation of diluted weighted average shares outstanding.</w:t>
      </w:r>
    </w:p>
    <w:p>
      <w:pPr>
        <w:spacing w:after="0" w:line="54"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For each of the three months ended April 4, 2026 and March 29, 2025, potential shares from the conversion of convertible debt and preferred shares totaling 5,000,000 were excluded from the computation of diluted weighted average shares outstanding, respectively.</w:t>
      </w:r>
    </w:p>
    <w:p>
      <w:pPr>
        <w:spacing w:after="0" w:line="68"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of basic and diluted net loss per common share is provided as follows (in thousands except per share data):</w:t>
      </w:r>
    </w:p>
    <w:p>
      <w:pPr>
        <w:spacing w:after="0" w:line="155"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160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2"/>
                <w:szCs w:val="12"/>
                <w:color w:val="auto"/>
              </w:rPr>
            </w:pPr>
          </w:p>
        </w:tc>
      </w:tr>
      <w:tr>
        <w:trPr>
          <w:trHeight w:val="209"/>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tcPr>
          <w:p>
            <w:pPr>
              <w:jc w:val="right"/>
              <w:ind w:right="14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w:t>
            </w:r>
          </w:p>
        </w:tc>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r>
      <w:tr>
        <w:trPr>
          <w:trHeight w:val="20"/>
        </w:trPr>
        <w:tc>
          <w:tcPr>
            <w:tcW w:w="39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9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6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8"/>
        </w:trPr>
        <w:tc>
          <w:tcPr>
            <w:tcW w:w="39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1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17,311</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16,727</w:t>
            </w:r>
          </w:p>
        </w:tc>
      </w:tr>
      <w:tr>
        <w:trPr>
          <w:trHeight w:val="198"/>
        </w:trPr>
        <w:tc>
          <w:tcPr>
            <w:tcW w:w="39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16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17,311</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16,727</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600" w:type="dxa"/>
            <w:vAlign w:val="bottom"/>
            <w:shd w:val="clear" w:color="auto" w:fill="CFF0FC"/>
          </w:tcPr>
          <w:p>
            <w:pPr>
              <w:jc w:val="right"/>
              <w:ind w:right="141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7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39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Diluted net loss per share</w:t>
            </w:r>
          </w:p>
        </w:tc>
        <w:tc>
          <w:tcPr>
            <w:tcW w:w="1600" w:type="dxa"/>
            <w:vAlign w:val="bottom"/>
          </w:tcPr>
          <w:p>
            <w:pPr>
              <w:jc w:val="right"/>
              <w:ind w:right="14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700" w:type="dxa"/>
            <w:vAlign w:val="bottom"/>
            <w:gridSpan w:val="2"/>
          </w:tcPr>
          <w:p>
            <w:pPr>
              <w:jc w:val="right"/>
              <w:ind w:right="4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(0.10)</w:t>
            </w:r>
          </w:p>
        </w:tc>
      </w:tr>
      <w:tr>
        <w:trPr>
          <w:trHeight w:val="20"/>
        </w:trPr>
        <w:tc>
          <w:tcPr>
            <w:tcW w:w="39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4211320</wp:posOffset>
            </wp:positionH>
            <wp:positionV relativeFrom="paragraph">
              <wp:posOffset>-187960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4211320</wp:posOffset>
            </wp:positionH>
            <wp:positionV relativeFrom="paragraph">
              <wp:posOffset>-170815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-187960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5805805</wp:posOffset>
            </wp:positionH>
            <wp:positionV relativeFrom="paragraph">
              <wp:posOffset>-170815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Business Segments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operates in one segment: ophthalmology. The Company develops, manufactures and markets medical devices.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arise from the sale of consoles, delivery devices, consumables, service, and support activities.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information shown by product group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460" w:type="dxa"/>
            <w:vAlign w:val="bottom"/>
          </w:tcPr>
          <w:p>
            <w:pPr>
              <w:spacing w:after="0"/>
              <w:rPr>
                <w:sz w:val="12"/>
                <w:szCs w:val="12"/>
                <w:color w:val="auto"/>
              </w:rPr>
            </w:pPr>
          </w:p>
        </w:tc>
        <w:tc>
          <w:tcPr>
            <w:tcW w:w="1780" w:type="dxa"/>
            <w:vAlign w:val="bottom"/>
            <w:tcBorders>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2"/>
                <w:szCs w:val="12"/>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Cyclo G6</w:t>
            </w:r>
          </w:p>
        </w:tc>
        <w:tc>
          <w:tcPr>
            <w:tcW w:w="1780" w:type="dxa"/>
            <w:vAlign w:val="bottom"/>
            <w:shd w:val="clear" w:color="auto" w:fill="CFF0FC"/>
          </w:tcPr>
          <w:p>
            <w:pPr>
              <w:jc w:val="right"/>
              <w:ind w:right="16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3,643</w:t>
            </w:r>
          </w:p>
        </w:tc>
        <w:tc>
          <w:tcPr>
            <w:tcW w:w="7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3,181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Retina</w:t>
            </w:r>
          </w:p>
        </w:tc>
        <w:tc>
          <w:tcPr>
            <w:tcW w:w="17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5,827</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6,645</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Other(1)</w:t>
            </w:r>
          </w:p>
        </w:tc>
        <w:tc>
          <w:tcPr>
            <w:tcW w:w="17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2,329</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2,070</w:t>
            </w:r>
          </w:p>
        </w:tc>
      </w:tr>
      <w:tr>
        <w:trPr>
          <w:trHeight w:val="20"/>
        </w:trPr>
        <w:tc>
          <w:tcPr>
            <w:tcW w:w="446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80" w:type="dxa"/>
            <w:vAlign w:val="bottom"/>
          </w:tcPr>
          <w:p>
            <w:pPr>
              <w:jc w:val="right"/>
              <w:ind w:right="16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11,799</w:t>
            </w:r>
          </w:p>
        </w:tc>
        <w:tc>
          <w:tcPr>
            <w:tcW w:w="7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4374515</wp:posOffset>
            </wp:positionH>
            <wp:positionV relativeFrom="paragraph">
              <wp:posOffset>-156845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-156845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-10795</wp:posOffset>
            </wp:positionV>
            <wp:extent cx="32829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ind w:right="40" w:firstLine="445"/>
        <w:spacing w:after="0" w:line="261" w:lineRule="auto"/>
        <w:tabs>
          <w:tab w:leader="none" w:pos="6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service contract revenues of $349 thousand and $334 thousand recognized during the three months ended April 4, 2026 and March 29, 2025, respectively. Includes $364 thousand recognized revenue related to the exclusive distribution rights during both of the three months ended April 4, 2026 and March 29, 2025. Other also includes revenues from paid service, royalty, freight and legacy G probes.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-568325</wp:posOffset>
            </wp:positionV>
            <wp:extent cx="32829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information shown by geographic region, based on the sales destination, is as follows (in thousands):</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80" w:type="dxa"/>
            <w:vAlign w:val="bottom"/>
          </w:tcPr>
          <w:p>
            <w:pPr>
              <w:spacing w:after="0"/>
              <w:rPr>
                <w:sz w:val="12"/>
                <w:szCs w:val="12"/>
                <w:color w:val="auto"/>
              </w:rPr>
            </w:pPr>
          </w:p>
        </w:tc>
      </w:tr>
      <w:tr>
        <w:trPr>
          <w:trHeight w:val="210"/>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40" w:type="dxa"/>
            <w:vAlign w:val="bottom"/>
            <w:gridSpan w:val="2"/>
            <w:shd w:val="clear" w:color="auto" w:fill="CFF0FC"/>
          </w:tcPr>
          <w:p>
            <w:pPr>
              <w:jc w:val="right"/>
              <w:ind w:right="14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5,869</w:t>
            </w:r>
          </w:p>
        </w:tc>
        <w:tc>
          <w:tcPr>
            <w:tcW w:w="7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5,283</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2,861</w:t>
            </w:r>
          </w:p>
        </w:tc>
      </w:tr>
      <w:tr>
        <w:trPr>
          <w:trHeight w:val="21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Asia/Pacific Rim</w:t>
            </w:r>
          </w:p>
        </w:tc>
        <w:tc>
          <w:tcPr>
            <w:tcW w:w="8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2,039</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3,360</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 excluding the U.S.</w:t>
            </w: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w:t>
            </w:r>
          </w:p>
        </w:tc>
      </w:tr>
      <w:tr>
        <w:trPr>
          <w:trHeight w:val="20"/>
        </w:trPr>
        <w:tc>
          <w:tcPr>
            <w:tcW w:w="3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160" w:type="dxa"/>
            <w:vAlign w:val="bottom"/>
            <w:shd w:val="clear" w:color="auto" w:fill="CFF0FC"/>
          </w:tcPr>
          <w:p>
            <w:pPr>
              <w:spacing w:after="0"/>
              <w:rPr>
                <w:sz w:val="19"/>
                <w:szCs w:val="19"/>
                <w:color w:val="auto"/>
              </w:rPr>
            </w:pPr>
          </w:p>
        </w:tc>
        <w:tc>
          <w:tcPr>
            <w:tcW w:w="2440" w:type="dxa"/>
            <w:vAlign w:val="bottom"/>
            <w:gridSpan w:val="2"/>
            <w:shd w:val="clear" w:color="auto" w:fill="CFF0FC"/>
          </w:tcPr>
          <w:p>
            <w:pPr>
              <w:jc w:val="right"/>
              <w:ind w:right="14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11,799</w:t>
            </w:r>
          </w:p>
        </w:tc>
        <w:tc>
          <w:tcPr>
            <w:tcW w:w="7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11,896</w:t>
            </w: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-24765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-8255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-24765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-8255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Revenues are attributed to countries based on the location of end customers.</w:t>
      </w:r>
    </w:p>
    <w:p>
      <w:pPr>
        <w:spacing w:after="0" w:line="117"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The United States accounted for 49.7% and 44.4% of revenues for the three months ended April 4, 2026 and March 29, 2025, respectively. Other than the United States, the Netherlands accounted for at least 10% of the Company’s revenues during the three months ended April 4, 2026 and March 29, 2025, representing 15.4% and 13.1%,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 differ materially from those discussed in these forward-looking statements. Factors that could cause or contribute to such differences include, but are not limited to, those discussed in the section entitled “Risk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IRIDEX is an ophthalmic medical technology company focused on the development and commercialization of breakthrough products and procedures used to treat sight-threatening eye conditions, including glaucoma and retinal diseases.</w:t>
      </w:r>
    </w:p>
    <w:p>
      <w:pPr>
        <w:spacing w:after="0" w:line="61" w:lineRule="exact"/>
        <w:rPr>
          <w:sz w:val="20"/>
          <w:szCs w:val="20"/>
          <w:color w:val="auto"/>
        </w:rPr>
      </w:pPr>
    </w:p>
    <w:p>
      <w:pPr>
        <w:ind w:firstLine="441"/>
        <w:spacing w:after="0" w:line="244" w:lineRule="auto"/>
        <w:rPr>
          <w:sz w:val="20"/>
          <w:szCs w:val="20"/>
          <w:color w:val="auto"/>
        </w:rPr>
      </w:pPr>
      <w:r>
        <w:rPr>
          <w:rFonts w:ascii="Times New Roman" w:cs="Times New Roman" w:eastAsia="Times New Roman" w:hAnsi="Times New Roman"/>
          <w:sz w:val="18"/>
          <w:szCs w:val="18"/>
          <w:color w:val="auto"/>
        </w:rPr>
        <w:t>Our proprietary MicroPulse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retinal diseases and glaucoma.</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products consist of laser consoles, delivery devices and consumable probes.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Our laser consoles consist of the following product lines:</w:t>
      </w:r>
    </w:p>
    <w:p>
      <w:pPr>
        <w:spacing w:after="0" w:line="126" w:lineRule="exact"/>
        <w:rPr>
          <w:sz w:val="20"/>
          <w:szCs w:val="20"/>
          <w:color w:val="auto"/>
        </w:rPr>
      </w:pPr>
    </w:p>
    <w:p>
      <w:pPr>
        <w:ind w:left="880" w:right="120" w:hanging="436"/>
        <w:spacing w:after="0" w:line="233"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Our primary glaucoma console line is the Cyclo G6</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 system with MicroPulse technology. In addition,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medical retina consoles have features supporting glaucoma laser treatments.</w:t>
      </w:r>
    </w:p>
    <w:p>
      <w:pPr>
        <w:spacing w:after="0" w:line="98" w:lineRule="exact"/>
        <w:rPr>
          <w:rFonts w:ascii="Times New Roman" w:cs="Times New Roman" w:eastAsia="Times New Roman" w:hAnsi="Times New Roman"/>
          <w:sz w:val="18"/>
          <w:szCs w:val="18"/>
          <w:color w:val="auto"/>
        </w:rPr>
      </w:pPr>
    </w:p>
    <w:p>
      <w:pPr>
        <w:ind w:left="880" w:right="100" w:hanging="436"/>
        <w:spacing w:after="0" w:line="260" w:lineRule="auto"/>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Medical Retina </w:t>
      </w:r>
      <w:r>
        <w:rPr>
          <w:rFonts w:ascii="Times New Roman" w:cs="Times New Roman" w:eastAsia="Times New Roman" w:hAnsi="Times New Roman"/>
          <w:sz w:val="17"/>
          <w:szCs w:val="17"/>
          <w:color w:val="auto"/>
        </w:rPr>
        <w:t>– Our medical-retina product line includes our portable IQ 532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IQ 577</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laser systems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spacing w:after="0" w:line="81" w:lineRule="exact"/>
        <w:rPr>
          <w:rFonts w:ascii="Times New Roman" w:cs="Times New Roman" w:eastAsia="Times New Roman" w:hAnsi="Times New Roman"/>
          <w:sz w:val="17"/>
          <w:szCs w:val="17"/>
          <w:color w:val="auto"/>
        </w:rPr>
      </w:pPr>
    </w:p>
    <w:p>
      <w:pPr>
        <w:ind w:left="880" w:right="300" w:hanging="436"/>
        <w:spacing w:after="0" w:line="238"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Our surgical-retina product line includes our OcuLight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TX and OcuLight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SLx (with MicroPulse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laser photocoagulation systems. These systems are often used in vitrectomy procedures, which are used to treat proliferative diabetic retinopathy, macular holes, retinal tears and detachments.</w:t>
      </w:r>
    </w:p>
    <w:p>
      <w:pPr>
        <w:spacing w:after="0" w:line="92"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Our business generates recurring revenues through sales of consumable products, predominantly single-use laser probe devices and other instrumentation, as well as repair, service and extended service contracts for our laser systems.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Our laser probes consist of the following product lines:</w:t>
      </w:r>
    </w:p>
    <w:p>
      <w:pPr>
        <w:spacing w:after="0" w:line="126" w:lineRule="exact"/>
        <w:rPr>
          <w:sz w:val="20"/>
          <w:szCs w:val="20"/>
          <w:color w:val="auto"/>
        </w:rPr>
      </w:pPr>
    </w:p>
    <w:p>
      <w:pPr>
        <w:ind w:left="880" w:right="20" w:hanging="436"/>
        <w:spacing w:after="0" w:line="295"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Probes used in our glaucoma product line include our patented single-use delivery devices - MicroPulse P3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G-Probe Illuminate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ind w:left="880" w:right="860" w:hanging="436"/>
        <w:spacing w:after="0" w:line="233"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Probes used in our surgical-retina product line include our family of single-use EndoProbe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handpieces.</w:t>
      </w:r>
    </w:p>
    <w:p>
      <w:pPr>
        <w:spacing w:after="0" w:line="91" w:lineRule="exact"/>
        <w:rPr>
          <w:sz w:val="20"/>
          <w:szCs w:val="20"/>
          <w:color w:val="auto"/>
        </w:rPr>
      </w:pPr>
    </w:p>
    <w:p>
      <w:pPr>
        <w:ind w:right="80" w:firstLine="441"/>
        <w:spacing w:after="0" w:line="243" w:lineRule="auto"/>
        <w:rPr>
          <w:sz w:val="20"/>
          <w:szCs w:val="20"/>
          <w:color w:val="auto"/>
        </w:rPr>
      </w:pPr>
      <w:r>
        <w:rPr>
          <w:rFonts w:ascii="Times New Roman" w:cs="Times New Roman" w:eastAsia="Times New Roman" w:hAnsi="Times New Roman"/>
          <w:sz w:val="18"/>
          <w:szCs w:val="18"/>
          <w:color w:val="auto"/>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G-Probe Illuminate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delivery devices, and EndoProbe handpieces. In the offices and clinics, ophthalmologists use our laser systems with either an indirect laser ophthalmoscope or a slit-lamp adapter. Our proprietary MicroPulse® and Continuous Wave laser therapies for glaucoma have been adopted by physicians around the globe as effective tools for managing and slowing the progression of glaucoma.</w:t>
      </w:r>
    </w:p>
    <w:p>
      <w:pPr>
        <w:spacing w:after="0" w:line="90"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Our products are sold in the United States and Germany predominantly through a direct sales force and internationally (aside from Germany, Italy, UK (Glaucoma), India, and other smaller markets) primarily through Topcon Corporation (“Topcon”) and other independent distributors.</w:t>
      </w:r>
    </w:p>
    <w:p>
      <w:pPr>
        <w:spacing w:after="0" w:line="68"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22" w:name="page23"/>
    <w:bookmarkEnd w:id="22"/>
    <w:p>
      <w:pPr>
        <w:jc w:val="both"/>
        <w:ind w:left="660" w:right="680" w:firstLine="441"/>
        <w:spacing w:after="0" w:line="266" w:lineRule="auto"/>
        <w:rPr>
          <w:sz w:val="20"/>
          <w:szCs w:val="20"/>
          <w:color w:val="auto"/>
        </w:rPr>
      </w:pPr>
      <w:r>
        <w:rPr>
          <w:rFonts w:ascii="Times New Roman" w:cs="Times New Roman" w:eastAsia="Times New Roman" w:hAnsi="Times New Roman"/>
          <w:sz w:val="18"/>
          <w:szCs w:val="18"/>
          <w:color w:val="auto"/>
        </w:rPr>
        <w:t>Our overall manufacturing strategy is to continuously develop and refine our processes to achieve our objectives of continuity of supply, quality of supply and margin enhancement. Over time, this may lead to in-sourcing or outsourcing certain functions in various geographic locations to achieve our objectives.</w:t>
      </w:r>
    </w:p>
    <w:p>
      <w:pPr>
        <w:spacing w:after="0" w:line="68" w:lineRule="exact"/>
        <w:rPr>
          <w:sz w:val="20"/>
          <w:szCs w:val="20"/>
          <w:color w:val="auto"/>
        </w:rPr>
      </w:pPr>
    </w:p>
    <w:p>
      <w:pPr>
        <w:ind w:left="660" w:right="920" w:firstLine="441"/>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our direct manufacturing costs which include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72" w:lineRule="exact"/>
        <w:rPr>
          <w:sz w:val="20"/>
          <w:szCs w:val="20"/>
          <w:color w:val="auto"/>
        </w:rPr>
      </w:pPr>
    </w:p>
    <w:p>
      <w:pPr>
        <w:ind w:left="660" w:right="840" w:firstLine="441"/>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68" w:lineRule="exact"/>
        <w:rPr>
          <w:sz w:val="20"/>
          <w:szCs w:val="20"/>
          <w:color w:val="auto"/>
        </w:rPr>
      </w:pPr>
    </w:p>
    <w:p>
      <w:pPr>
        <w:ind w:left="660" w:right="1180" w:firstLine="441"/>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primarily of costs of personnel, sales commissions, travel expenses, advertising and promotional expenses.</w:t>
      </w:r>
    </w:p>
    <w:p>
      <w:pPr>
        <w:spacing w:after="0" w:line="54" w:lineRule="exact"/>
        <w:rPr>
          <w:sz w:val="20"/>
          <w:szCs w:val="20"/>
          <w:color w:val="auto"/>
        </w:rPr>
      </w:pPr>
    </w:p>
    <w:p>
      <w:pPr>
        <w:ind w:left="660" w:right="800" w:firstLine="441"/>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costs of personnel, legal, accounting and other public company costs, insurance and other expenses not allocated to other departments.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Impact of Macroeconomic Conditions to our Business</w:t>
      </w:r>
    </w:p>
    <w:p>
      <w:pPr>
        <w:spacing w:after="0" w:line="121" w:lineRule="exact"/>
        <w:rPr>
          <w:sz w:val="20"/>
          <w:szCs w:val="20"/>
          <w:color w:val="auto"/>
        </w:rPr>
      </w:pPr>
    </w:p>
    <w:p>
      <w:pPr>
        <w:ind w:left="660" w:right="680" w:firstLine="441"/>
        <w:spacing w:after="0" w:line="258" w:lineRule="auto"/>
        <w:rPr>
          <w:sz w:val="20"/>
          <w:szCs w:val="20"/>
          <w:color w:val="auto"/>
        </w:rPr>
      </w:pPr>
      <w:r>
        <w:rPr>
          <w:rFonts w:ascii="Times New Roman" w:cs="Times New Roman" w:eastAsia="Times New Roman" w:hAnsi="Times New Roman"/>
          <w:sz w:val="18"/>
          <w:szCs w:val="18"/>
          <w:color w:val="auto"/>
        </w:rPr>
        <w:t>Current macroeconomic conditions exhibit challenges that can affect capital equipment purchasing demand and timing, including recessionary fears, tariffs and retaliatory responses, trade wars, conflicts in the Middle East, lapse in government funding, healthcare reform initiatives, unexpected changes in taxes or policies, inflation concerns, changing interest rates, as well as other geopolitical developments and uncertainty, have impacted and may continue to impact business spending and the economy as a whole. As a result, we have seen customers extend purchase decision cycles.</w:t>
      </w:r>
    </w:p>
    <w:p>
      <w:pPr>
        <w:spacing w:after="0" w:line="75" w:lineRule="exact"/>
        <w:rPr>
          <w:sz w:val="20"/>
          <w:szCs w:val="20"/>
          <w:color w:val="auto"/>
        </w:rPr>
      </w:pPr>
    </w:p>
    <w:p>
      <w:pPr>
        <w:ind w:left="660" w:right="1120" w:firstLine="441"/>
        <w:spacing w:after="0" w:line="282" w:lineRule="auto"/>
        <w:rPr>
          <w:sz w:val="20"/>
          <w:szCs w:val="20"/>
          <w:color w:val="auto"/>
        </w:rPr>
      </w:pPr>
      <w:r>
        <w:rPr>
          <w:rFonts w:ascii="Times New Roman" w:cs="Times New Roman" w:eastAsia="Times New Roman" w:hAnsi="Times New Roman"/>
          <w:sz w:val="18"/>
          <w:szCs w:val="18"/>
          <w:color w:val="auto"/>
        </w:rPr>
        <w:t>The macroeconomic conditions on our business and operations remain uncertain, and it is not possible for us to predict the duration and extent to which they will affect our business, future results of operations, and financial condition.</w:t>
      </w:r>
    </w:p>
    <w:p>
      <w:pPr>
        <w:spacing w:after="0" w:line="54" w:lineRule="exact"/>
        <w:rPr>
          <w:sz w:val="20"/>
          <w:szCs w:val="20"/>
          <w:color w:val="auto"/>
        </w:rPr>
      </w:pPr>
    </w:p>
    <w:p>
      <w:pPr>
        <w:ind w:left="660" w:right="900" w:firstLine="441"/>
        <w:spacing w:after="0" w:line="282" w:lineRule="auto"/>
        <w:rPr>
          <w:sz w:val="20"/>
          <w:szCs w:val="20"/>
          <w:color w:val="auto"/>
        </w:rPr>
      </w:pPr>
      <w:r>
        <w:rPr>
          <w:rFonts w:ascii="Times New Roman" w:cs="Times New Roman" w:eastAsia="Times New Roman" w:hAnsi="Times New Roman"/>
          <w:sz w:val="18"/>
          <w:szCs w:val="18"/>
          <w:color w:val="auto"/>
        </w:rPr>
        <w:t>For more information on risks associated with the current macroeconomic conditions, see the sections titled “Risk Factors” in Item 1A of Part I of our Annual Report on Form 10-K for the year ended January 3, 2026.</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revenues: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322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540" w:type="dxa"/>
            <w:vAlign w:val="bottom"/>
          </w:tcPr>
          <w:p>
            <w:pPr>
              <w:spacing w:after="0"/>
              <w:rPr>
                <w:sz w:val="12"/>
                <w:szCs w:val="12"/>
                <w:color w:val="auto"/>
              </w:rPr>
            </w:pPr>
          </w:p>
        </w:tc>
        <w:tc>
          <w:tcPr>
            <w:tcW w:w="134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32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Pr>
          <w:p>
            <w:pPr>
              <w:spacing w:after="0"/>
              <w:rPr>
                <w:sz w:val="12"/>
                <w:szCs w:val="12"/>
                <w:color w:val="auto"/>
              </w:rPr>
            </w:pPr>
          </w:p>
        </w:tc>
      </w:tr>
      <w:tr>
        <w:trPr>
          <w:trHeight w:val="209"/>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w:t>
            </w:r>
          </w:p>
        </w:tc>
      </w:tr>
      <w:tr>
        <w:trPr>
          <w:trHeight w:val="20"/>
        </w:trPr>
        <w:tc>
          <w:tcPr>
            <w:tcW w:w="5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40.2%</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r>
      <w:tr>
        <w:trPr>
          <w:trHeight w:val="210"/>
        </w:trPr>
        <w:tc>
          <w:tcPr>
            <w:tcW w:w="5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55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w:t>
            </w:r>
          </w:p>
        </w:tc>
      </w:tr>
      <w:tr>
        <w:trPr>
          <w:trHeight w:val="20"/>
        </w:trPr>
        <w:tc>
          <w:tcPr>
            <w:tcW w:w="5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5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5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5093335</wp:posOffset>
            </wp:positionH>
            <wp:positionV relativeFrom="paragraph">
              <wp:posOffset>-1439545</wp:posOffset>
            </wp:positionV>
            <wp:extent cx="137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-1439545</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-882015</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-882015</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-24765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5093335</wp:posOffset>
            </wp:positionH>
            <wp:positionV relativeFrom="paragraph">
              <wp:posOffset>-7620</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-24765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-7620</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The following comparisons are between the three months ended April 4, 2026 and March 29, 2025 (in thousands):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00" w:type="dxa"/>
            <w:vAlign w:val="bottom"/>
          </w:tcPr>
          <w:p>
            <w:pPr>
              <w:spacing w:after="0"/>
              <w:rPr>
                <w:sz w:val="13"/>
                <w:szCs w:val="13"/>
                <w:color w:val="auto"/>
              </w:rPr>
            </w:pPr>
          </w:p>
        </w:tc>
        <w:tc>
          <w:tcPr>
            <w:tcW w:w="1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Cyclo G6</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220" w:type="dxa"/>
            <w:vAlign w:val="bottom"/>
          </w:tcPr>
          <w:p>
            <w:pPr>
              <w:spacing w:after="0"/>
              <w:rPr>
                <w:sz w:val="12"/>
                <w:szCs w:val="12"/>
                <w:color w:val="auto"/>
              </w:rPr>
            </w:pPr>
          </w:p>
        </w:tc>
        <w:tc>
          <w:tcPr>
            <w:tcW w:w="120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40" w:type="dxa"/>
            <w:vAlign w:val="bottom"/>
          </w:tcPr>
          <w:p>
            <w:pPr>
              <w:spacing w:after="0"/>
              <w:rPr>
                <w:sz w:val="12"/>
                <w:szCs w:val="12"/>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462</w:t>
            </w:r>
          </w:p>
        </w:tc>
        <w:tc>
          <w:tcPr>
            <w:tcW w:w="1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2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Retina</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5,827</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6,645</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(818)</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11,799</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11,896</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660" w:type="dxa"/>
            <w:vAlign w:val="bottom"/>
          </w:tcPr>
          <w:p>
            <w:pPr>
              <w:spacing w:after="0"/>
              <w:rPr>
                <w:sz w:val="24"/>
                <w:szCs w:val="24"/>
                <w:color w:val="auto"/>
              </w:rPr>
            </w:pPr>
          </w:p>
        </w:tc>
        <w:tc>
          <w:tcPr>
            <w:tcW w:w="208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23</w:t>
            </w:r>
          </w:p>
        </w:tc>
        <w:tc>
          <w:tcPr>
            <w:tcW w:w="12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-933450</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-916305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4338955</wp:posOffset>
            </wp:positionH>
            <wp:positionV relativeFrom="paragraph">
              <wp:posOffset>-933450</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4338955</wp:posOffset>
            </wp:positionH>
            <wp:positionV relativeFrom="paragraph">
              <wp:posOffset>-916305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5401945</wp:posOffset>
            </wp:positionH>
            <wp:positionV relativeFrom="paragraph">
              <wp:posOffset>-933450</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5401945</wp:posOffset>
            </wp:positionH>
            <wp:positionV relativeFrom="paragraph">
              <wp:posOffset>-916305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120" w:right="439" w:bottom="1440" w:gutter="0" w:footer="0" w:header="0"/>
        </w:sectPr>
      </w:pPr>
    </w:p>
    <w:bookmarkStart w:id="23" w:name="page24"/>
    <w:bookmarkEnd w:id="23"/>
    <w:p>
      <w:pPr>
        <w:jc w:val="both"/>
        <w:ind w:right="80" w:firstLine="441"/>
        <w:spacing w:after="0" w:line="282" w:lineRule="auto"/>
        <w:rPr>
          <w:sz w:val="20"/>
          <w:szCs w:val="20"/>
          <w:color w:val="auto"/>
        </w:rPr>
      </w:pPr>
      <w:r>
        <w:rPr>
          <w:rFonts w:ascii="Times New Roman" w:cs="Times New Roman" w:eastAsia="Times New Roman" w:hAnsi="Times New Roman"/>
          <w:sz w:val="18"/>
          <w:szCs w:val="18"/>
          <w:color w:val="auto"/>
        </w:rPr>
        <w:t>Our total revenues decreased by $0.1 million, or 0.8%, from $11.9 million to $11.8 million. Revenue in our glaucoma and other revenue product groups increased, partially offset by a decrease in our retina products.</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While we believe that the market for our products remains strong, the overall capital expenditure landscape within hospitals, surgical centers and physician offices may continue to be negatively impacted by persistent macroeconomic concerns, including those from ongoing geopolitical uncertainties, including the conflicts in the Middle East, tariffs and trade wars, and other factors.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Gross profit decreased by $0.3 million, or 6.2% from $5.0 million to $4.7 million. Gross margin decreased by 2.3% from 42.5% to 40.2%. The decrease in gross margin was primarily due to higher manufacturing costs and increased product costs related to recent tariff developments as the Company continues its transition to lower-cost contract manufacturers.</w:t>
      </w:r>
    </w:p>
    <w:p>
      <w:pPr>
        <w:spacing w:after="0" w:line="68" w:lineRule="exact"/>
        <w:rPr>
          <w:sz w:val="20"/>
          <w:szCs w:val="20"/>
          <w:color w:val="auto"/>
        </w:rPr>
      </w:pPr>
    </w:p>
    <w:p>
      <w:pPr>
        <w:jc w:val="both"/>
        <w:ind w:right="280" w:firstLine="441"/>
        <w:spacing w:after="0" w:line="266" w:lineRule="auto"/>
        <w:rPr>
          <w:sz w:val="20"/>
          <w:szCs w:val="20"/>
          <w:color w:val="auto"/>
        </w:rPr>
      </w:pPr>
      <w:r>
        <w:rPr>
          <w:rFonts w:ascii="Times New Roman" w:cs="Times New Roman" w:eastAsia="Times New Roman" w:hAnsi="Times New Roman"/>
          <w:sz w:val="18"/>
          <w:szCs w:val="18"/>
          <w:color w:val="auto"/>
        </w:rPr>
        <w:t>Gross margins may fluctuate due to changes in the relative proportion of domestic and international sales, the product mix of sales, introduction of new products, manufacturing variances, total unit volume changes, responses to the evolving macroeconomic and geopolitical uncertainty, conflicts in the Middle East, including tariffs and trade wars, and other factors.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remained relatively flat at $0.9 million. This reflects management’s continued focus on cost saving initiatives, including reduced spending on new and expanded product investments.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Sales and marketing expenses remained relatively flat at $2.5 million. This also reflects management’s continued focus on cost saving initiatives and maintaining stable spending levels within this function.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$0.3 million, or 16.0% from $1.9 million to $1.6 million. The decrease was primarily attributable to lower consulting costs, reduced deal related legal expenses, and cost savings realized from the general and administrative function transfer initiative announced in prior periods.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Other expense, net, was $0.1 million for the three months ended April 4, 2026, primarily consisting of interest and amortization of loan expenses. Other expense, net, was $1.5 million for the three months ended March 29, 2025, driven primarily by the costs associated with the Lind Note payable settlement.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We recorded an income tax provision of $58 thousand and $12 thousand for the three months ended April 4, 2026 and March 29, 2025,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Capital Resources and Management Plans</w:t>
      </w:r>
    </w:p>
    <w:p>
      <w:pPr>
        <w:spacing w:after="0" w:line="119"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54"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As of April 4, 2026, we had cash and cash equivalents of $4.6 million and working capital of $11.8 million compared to cash and cash equivalents of $6.0 million and working capital of $12.0 million as of January 3, 2026.</w:t>
      </w:r>
    </w:p>
    <w:p>
      <w:pPr>
        <w:spacing w:after="0" w:line="54"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 million in the three months ended April 4, 2026 compared to net cash used in operating activities of $1.1 million in the three months ended March 29, 2025. The increase in net cash used in operating activities was primarily due to increase in loss from operations.</w:t>
      </w:r>
    </w:p>
    <w:p>
      <w:pPr>
        <w:spacing w:after="0" w:line="68"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For the three months ended April 4, 2026, net cash used in investing activities was $0.1 million, which consisted of capital expenditures. For the three months ended March 29, 2025, net cash used in investing activities was $11 thousand, which consisted of capital expenditures.</w:t>
      </w:r>
    </w:p>
    <w:p>
      <w:pPr>
        <w:spacing w:after="0" w:line="68"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For the three months ended April 4, 2026, net cash used in financing activities was $1 thousand, primarily related to taxes paid to net share settlement of equity awards. For the three months ended March 29, 2025, net cash from financing activities was $6.0 million. In the first fiscal quarter of 2025, we received $10 million in issuance of convertible preferred shares and convertible debt, offset by $4.0 million in early prepayment of convertible debt.</w:t>
      </w:r>
    </w:p>
    <w:p>
      <w:pPr>
        <w:spacing w:after="0" w:line="7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primarily through sales of our products to customers, sales of our common stock and borrowing arrangements. As of April 4, 2026, our principal sources of liquidity consisted of cash and cash equivalents of $4.6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12" w:right="1099" w:bottom="1440" w:gutter="0" w:footer="0" w:header="0"/>
        </w:sectPr>
      </w:pPr>
    </w:p>
    <w:bookmarkStart w:id="24" w:name="page25"/>
    <w:bookmarkEnd w:id="24"/>
    <w:p>
      <w:pPr>
        <w:ind w:right="220"/>
        <w:spacing w:after="0" w:line="282" w:lineRule="auto"/>
        <w:rPr>
          <w:sz w:val="20"/>
          <w:szCs w:val="20"/>
          <w:color w:val="auto"/>
        </w:rPr>
      </w:pPr>
      <w:r>
        <w:rPr>
          <w:rFonts w:ascii="Times New Roman" w:cs="Times New Roman" w:eastAsia="Times New Roman" w:hAnsi="Times New Roman"/>
          <w:sz w:val="18"/>
          <w:szCs w:val="18"/>
          <w:color w:val="auto"/>
        </w:rPr>
        <w:t>We have incurred net losses over the last several years, and as of April 4, 2026, have an accumulated deficit of approximately $92.9 million.</w:t>
      </w:r>
    </w:p>
    <w:p>
      <w:pPr>
        <w:spacing w:after="0" w:line="54"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On March 19, 2025, the Company entered into the Novel Securities Agreement and the Novel Note Purchase Agreement with Novel. Pursuant to the Novel Securities Agreement and the Novel Note Purchase Agreement, Novel has the right to purchase additional convertible promissory notes (the “Growth Notes”) in an aggregate principal amount of $10,000,000. The Growth Notes are issuable in three installments, with one third of the aggregate principal amount issuable upon each yearly anniversary after March 19, 2025. We have not issued any Growth Notes, but may do so in the future.</w:t>
      </w:r>
    </w:p>
    <w:p>
      <w:pPr>
        <w:spacing w:after="0" w:line="75"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We believe our existing cash and cash equivalents will be sufficient to meet our anticipated cash needs over the next 12 months. Our future capital requirements will depend on many factors, including our growth rates,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provide the information called for by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4" w:lineRule="exact"/>
        <w:rPr>
          <w:sz w:val="20"/>
          <w:szCs w:val="20"/>
          <w:color w:val="auto"/>
        </w:rPr>
      </w:pPr>
    </w:p>
    <w:p>
      <w:pPr>
        <w:ind w:right="80" w:firstLine="441"/>
        <w:spacing w:after="0" w:line="281" w:lineRule="auto"/>
        <w:rPr>
          <w:sz w:val="20"/>
          <w:szCs w:val="20"/>
          <w:color w:val="auto"/>
        </w:rPr>
      </w:pPr>
      <w:r>
        <w:rPr>
          <w:rFonts w:ascii="Times New Roman" w:cs="Times New Roman" w:eastAsia="Times New Roman" w:hAnsi="Times New Roman"/>
          <w:sz w:val="17"/>
          <w:szCs w:val="17"/>
          <w:color w:val="auto"/>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April 4, 2026. Based on the foregoing, our Principal Executive Officer and our Principal Financial Officer concluded that our disclosure controls and procedures were effective at the reasonable assurance level.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in our Annual Report on Form 10-K for the year ended January 3, 2026, which was filed with the SEC on April 2, 2026, a description of certain risks and uncertainties that could affect our business, future performance or financial condition (the “Risk Factors”). There have been no material changes from the disclosure provided in the Form 10-K with respect to the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1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4, 2026, the Company did not adopt or terminate, and no directors or officers, as defined in Rule 16a-1(f), adopted or terminated a “Rule 10b5-1 trading arrangement” or a “non-Rule 10b5-1 trading arrangement,” each as defined in Regulation S-K Item 408.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08" w:right="11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9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Form Filing No.   Exhibit</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4900" w:type="dxa"/>
            <w:vAlign w:val="bottom"/>
            <w:gridSpan w:val="6"/>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2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4900" w:type="dxa"/>
            <w:vAlign w:val="bottom"/>
            <w:gridSpan w:val="6"/>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Lease dated March 9, 2026 by and between SFIII Hellyer, LLC and</w:t>
              </w:r>
            </w:hyperlink>
          </w:p>
        </w:tc>
        <w:tc>
          <w:tcPr>
            <w:tcW w:w="1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 000-27598 10.1</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13, 2026</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gridSpan w:val="6"/>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SFIII FOS Hellyer Holding, LLC and the Company.</w:t>
              </w:r>
            </w:hyperlink>
          </w:p>
        </w:tc>
        <w:tc>
          <w:tcPr>
            <w:tcW w:w="1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Rules 13a-14(a) and 15d-14(a), as adopted pursuant</w:t>
            </w:r>
          </w:p>
        </w:tc>
        <w:tc>
          <w:tcPr>
            <w:tcW w:w="1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1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Securities</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Rules 13a-14(a) and 15d-14(a), as adopted pursuant</w:t>
            </w:r>
          </w:p>
        </w:tc>
        <w:tc>
          <w:tcPr>
            <w:tcW w:w="1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1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1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1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70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appear in the Interactive Data File as its XBRL tags are embedded</w:t>
            </w: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Cover Page formatted as Inline XBRL and contained in Exhibit 101</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4"/>
        <w:spacing w:after="0" w:line="261" w:lineRule="auto"/>
        <w:tabs>
          <w:tab w:leader="none" w:pos="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Acknowledgments</w:t>
      </w:r>
    </w:p>
    <w:p>
      <w:pPr>
        <w:spacing w:after="0" w:line="121"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Iridex, the Iridex logo, IRIS Medical, MicroPulse, OcuLight, EndoProbe, MicroPulse P3, G-Probe, G-Probe Illuminate, TruFocus LIO Premiere, IQ 577, IQ 532, Cyclo G6, and TxCell are our registered trademarks. All other trademarks or trade names appearing in this Quarterly Report on Form 10-Q are the property of their respective owners.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8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IRIDEX Corporation</w:t>
            </w:r>
          </w:p>
        </w:tc>
      </w:tr>
      <w:tr>
        <w:trPr>
          <w:trHeight w:val="459"/>
        </w:trPr>
        <w:tc>
          <w:tcPr>
            <w:tcW w:w="3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19, 2026</w:t>
            </w:r>
          </w:p>
        </w:tc>
        <w:tc>
          <w:tcPr>
            <w:tcW w:w="2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PATRICK MERCER</w:t>
            </w:r>
          </w:p>
        </w:tc>
      </w:tr>
      <w:tr>
        <w:trPr>
          <w:trHeight w:val="191"/>
        </w:trPr>
        <w:tc>
          <w:tcPr>
            <w:tcW w:w="37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Patrick Mercer</w:t>
            </w:r>
          </w:p>
        </w:tc>
        <w:tc>
          <w:tcPr>
            <w:tcW w:w="66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19, 2026</w:t>
            </w:r>
          </w:p>
        </w:tc>
        <w:tc>
          <w:tcPr>
            <w:tcW w:w="2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ROMEO R. DIZON</w:t>
            </w:r>
          </w:p>
        </w:tc>
      </w:tr>
      <w:tr>
        <w:trPr>
          <w:trHeight w:val="191"/>
        </w:trPr>
        <w:tc>
          <w:tcPr>
            <w:tcW w:w="37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Romeo R. Dizon</w:t>
            </w:r>
          </w:p>
        </w:tc>
        <w:tc>
          <w:tcPr>
            <w:tcW w:w="66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3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648"/>
        </w:trPr>
        <w:tc>
          <w:tcPr>
            <w:tcW w:w="3760" w:type="dxa"/>
            <w:vAlign w:val="bottom"/>
          </w:tcPr>
          <w:p>
            <w:pPr>
              <w:spacing w:after="0"/>
              <w:rPr>
                <w:sz w:val="24"/>
                <w:szCs w:val="24"/>
                <w:color w:val="auto"/>
              </w:rPr>
            </w:pPr>
          </w:p>
        </w:tc>
        <w:tc>
          <w:tcPr>
            <w:tcW w:w="27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08" w:right="439" w:bottom="1440" w:gutter="0" w:footer="0" w:header="0"/>
        </w:sectPr>
      </w:pPr>
    </w:p>
    <w:bookmarkStart w:id="28" w:name="page29"/>
    <w:bookmarkEnd w:id="28"/>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SECTIONS 13(a)-14(a) AND 15(d)-14(a) OF THE SECURITIES EXCHANGE ACT OF 1934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Patrick Mercer, certify that:</w:t>
      </w:r>
    </w:p>
    <w:p>
      <w:pPr>
        <w:spacing w:after="0" w:line="117" w:lineRule="exact"/>
        <w:rPr>
          <w:sz w:val="20"/>
          <w:szCs w:val="20"/>
          <w:color w:val="auto"/>
        </w:rPr>
      </w:pPr>
    </w:p>
    <w:p>
      <w:pPr>
        <w:ind w:left="1540" w:hanging="436"/>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IRIDEX Corporation;</w:t>
      </w:r>
    </w:p>
    <w:p>
      <w:pPr>
        <w:spacing w:after="0" w:line="117" w:lineRule="exact"/>
        <w:rPr>
          <w:rFonts w:ascii="Times New Roman" w:cs="Times New Roman" w:eastAsia="Times New Roman" w:hAnsi="Times New Roman"/>
          <w:sz w:val="18"/>
          <w:szCs w:val="18"/>
          <w:color w:val="auto"/>
        </w:rPr>
      </w:pPr>
    </w:p>
    <w:p>
      <w:pPr>
        <w:ind w:left="1540" w:right="660" w:hanging="436"/>
        <w:spacing w:after="0" w:line="266"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540" w:right="660" w:hanging="436"/>
        <w:spacing w:after="0" w:line="266"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1540" w:right="860" w:hanging="436"/>
        <w:spacing w:after="0" w:line="266"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80" w:right="680" w:hanging="435"/>
        <w:spacing w:after="0" w:line="261" w:lineRule="auto"/>
        <w:tabs>
          <w:tab w:leader="none" w:pos="1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980" w:right="660" w:hanging="435"/>
        <w:spacing w:after="0" w:line="261" w:lineRule="auto"/>
        <w:tabs>
          <w:tab w:leader="none" w:pos="1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980" w:right="700" w:hanging="435"/>
        <w:spacing w:after="0" w:line="266" w:lineRule="auto"/>
        <w:tabs>
          <w:tab w:leader="none" w:pos="1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80" w:right="820" w:hanging="435"/>
        <w:spacing w:after="0" w:line="261" w:lineRule="auto"/>
        <w:tabs>
          <w:tab w:leader="none" w:pos="1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1540" w:right="960" w:hanging="436"/>
        <w:spacing w:after="0" w:line="266"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80" w:right="860" w:hanging="435"/>
        <w:spacing w:after="0" w:line="266" w:lineRule="auto"/>
        <w:tabs>
          <w:tab w:leader="none" w:pos="1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80" w:right="700" w:hanging="435"/>
        <w:spacing w:after="0" w:line="282" w:lineRule="auto"/>
        <w:tabs>
          <w:tab w:leader="none" w:pos="1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65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PATRICK MERCER</w:t>
            </w:r>
          </w:p>
        </w:tc>
      </w:tr>
      <w:tr>
        <w:trPr>
          <w:trHeight w:val="205"/>
        </w:trPr>
        <w:tc>
          <w:tcPr>
            <w:tcW w:w="7100" w:type="dxa"/>
            <w:vAlign w:val="bottom"/>
          </w:tcPr>
          <w:p>
            <w:pPr>
              <w:ind w:left="65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2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Patrick Mercer</w:t>
            </w:r>
          </w:p>
        </w:tc>
        <w:tc>
          <w:tcPr>
            <w:tcW w:w="660" w:type="dxa"/>
            <w:vAlign w:val="bottom"/>
          </w:tcPr>
          <w:p>
            <w:pPr>
              <w:spacing w:after="0"/>
              <w:rPr>
                <w:sz w:val="17"/>
                <w:szCs w:val="17"/>
                <w:color w:val="auto"/>
              </w:rPr>
            </w:pPr>
          </w:p>
        </w:tc>
      </w:tr>
      <w:tr>
        <w:trPr>
          <w:trHeight w:val="216"/>
        </w:trPr>
        <w:tc>
          <w:tcPr>
            <w:tcW w:w="7100" w:type="dxa"/>
            <w:vAlign w:val="bottom"/>
          </w:tcPr>
          <w:p>
            <w:pPr>
              <w:ind w:left="650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10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71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29" w:name="page30"/>
    <w:bookmarkEnd w:id="29"/>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SECTIONS 13(a)-14(a) AND 15(d)-14(a) OF THE SECURITIES EXCHANGE ACT OF 1934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Romeo R. Dizon, certify that:</w:t>
      </w:r>
    </w:p>
    <w:p>
      <w:pPr>
        <w:spacing w:after="0" w:line="117" w:lineRule="exact"/>
        <w:rPr>
          <w:sz w:val="20"/>
          <w:szCs w:val="20"/>
          <w:color w:val="auto"/>
        </w:rPr>
      </w:pPr>
    </w:p>
    <w:p>
      <w:pPr>
        <w:ind w:left="1540" w:hanging="436"/>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IRIDEX Corporation;</w:t>
      </w:r>
    </w:p>
    <w:p>
      <w:pPr>
        <w:spacing w:after="0" w:line="117" w:lineRule="exact"/>
        <w:rPr>
          <w:rFonts w:ascii="Times New Roman" w:cs="Times New Roman" w:eastAsia="Times New Roman" w:hAnsi="Times New Roman"/>
          <w:sz w:val="18"/>
          <w:szCs w:val="18"/>
          <w:color w:val="auto"/>
        </w:rPr>
      </w:pPr>
    </w:p>
    <w:p>
      <w:pPr>
        <w:ind w:left="1540" w:right="660" w:hanging="436"/>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540" w:right="660" w:hanging="436"/>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1540" w:right="860" w:hanging="436"/>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80" w:right="680" w:hanging="435"/>
        <w:spacing w:after="0" w:line="261" w:lineRule="auto"/>
        <w:tabs>
          <w:tab w:leader="none" w:pos="1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980" w:right="660" w:hanging="435"/>
        <w:spacing w:after="0" w:line="261" w:lineRule="auto"/>
        <w:tabs>
          <w:tab w:leader="none" w:pos="1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980" w:right="700" w:hanging="435"/>
        <w:spacing w:after="0" w:line="266" w:lineRule="auto"/>
        <w:tabs>
          <w:tab w:leader="none" w:pos="1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80" w:right="820" w:hanging="435"/>
        <w:spacing w:after="0" w:line="261" w:lineRule="auto"/>
        <w:tabs>
          <w:tab w:leader="none" w:pos="1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1540" w:right="960" w:hanging="436"/>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80" w:right="860" w:hanging="435"/>
        <w:spacing w:after="0" w:line="266" w:lineRule="auto"/>
        <w:tabs>
          <w:tab w:leader="none" w:pos="1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80" w:right="700" w:hanging="435"/>
        <w:spacing w:after="0" w:line="282" w:lineRule="auto"/>
        <w:tabs>
          <w:tab w:leader="none" w:pos="1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65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ROMEO R. DIZON</w:t>
            </w:r>
          </w:p>
        </w:tc>
      </w:tr>
      <w:tr>
        <w:trPr>
          <w:trHeight w:val="205"/>
        </w:trPr>
        <w:tc>
          <w:tcPr>
            <w:tcW w:w="7100" w:type="dxa"/>
            <w:vAlign w:val="bottom"/>
          </w:tcPr>
          <w:p>
            <w:pPr>
              <w:ind w:left="65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2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Romeo R. Dizon</w:t>
            </w:r>
          </w:p>
        </w:tc>
        <w:tc>
          <w:tcPr>
            <w:tcW w:w="660" w:type="dxa"/>
            <w:vAlign w:val="bottom"/>
          </w:tcPr>
          <w:p>
            <w:pPr>
              <w:spacing w:after="0"/>
              <w:rPr>
                <w:sz w:val="17"/>
                <w:szCs w:val="17"/>
                <w:color w:val="auto"/>
              </w:rPr>
            </w:pPr>
          </w:p>
        </w:tc>
      </w:tr>
      <w:tr>
        <w:trPr>
          <w:trHeight w:val="216"/>
        </w:trPr>
        <w:tc>
          <w:tcPr>
            <w:tcW w:w="7100" w:type="dxa"/>
            <w:vAlign w:val="bottom"/>
          </w:tcPr>
          <w:p>
            <w:pPr>
              <w:ind w:left="650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710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710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1371"/>
        </w:trPr>
        <w:tc>
          <w:tcPr>
            <w:tcW w:w="71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 Patrick Mercer, pursuant to 18 U.S.C. Section 1350, as adopted pursuant to Section 906 of the Sarbanes-Oxley Act of 2002, certify that the Quarterly Report of IRIDEX Corporation on Form 10-Q for the fiscal quarter ended April 4, 2026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25" w:lineRule="exact"/>
        <w:rPr>
          <w:sz w:val="20"/>
          <w:szCs w:val="20"/>
          <w:color w:val="auto"/>
        </w:rPr>
      </w:pPr>
    </w:p>
    <w:p>
      <w:pPr>
        <w:ind w:left="4760"/>
        <w:spacing w:after="0"/>
        <w:tabs>
          <w:tab w:leader="none" w:pos="5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17145</wp:posOffset>
            </wp:positionV>
            <wp:extent cx="27774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Name: Patrick Mercer</w:t>
      </w:r>
    </w:p>
    <w:p>
      <w:pPr>
        <w:spacing w:after="0" w:line="23" w:lineRule="exact"/>
        <w:rPr>
          <w:sz w:val="20"/>
          <w:szCs w:val="20"/>
          <w:color w:val="auto"/>
        </w:rPr>
      </w:pPr>
    </w:p>
    <w:p>
      <w:pPr>
        <w:ind w:left="4760"/>
        <w:spacing w:after="0"/>
        <w:tabs>
          <w:tab w:leader="none" w:pos="53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747395</wp:posOffset>
            </wp:positionV>
            <wp:extent cx="703770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31" w:name="page32"/>
    <w:bookmarkEnd w:id="31"/>
    <w:p>
      <w:pPr>
        <w:ind w:left="94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60" w:right="660" w:firstLine="441"/>
        <w:spacing w:after="0" w:line="258" w:lineRule="auto"/>
        <w:rPr>
          <w:sz w:val="20"/>
          <w:szCs w:val="20"/>
          <w:color w:val="auto"/>
        </w:rPr>
      </w:pPr>
      <w:r>
        <w:rPr>
          <w:rFonts w:ascii="Times New Roman" w:cs="Times New Roman" w:eastAsia="Times New Roman" w:hAnsi="Times New Roman"/>
          <w:sz w:val="18"/>
          <w:szCs w:val="18"/>
          <w:color w:val="auto"/>
        </w:rPr>
        <w:t>I, Romeo R. Dizon, pursuant to 18 U.S.C. Section 1350, as adopted pursuant to Section 906 of the Sarbanes-Oxley Act of 2002, certify that the Quarterly Report of IRIDEX Corporation on Form 10-Q for the fiscal quarter ended April 4, 2026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ROMEO R. DIZON</w:t>
            </w:r>
          </w:p>
        </w:tc>
      </w:tr>
      <w:tr>
        <w:trPr>
          <w:trHeight w:val="191"/>
        </w:trPr>
        <w:tc>
          <w:tcPr>
            <w:tcW w:w="6000" w:type="dxa"/>
            <w:vAlign w:val="bottom"/>
          </w:tcPr>
          <w:p>
            <w:pPr>
              <w:ind w:left="5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Romeo R. Dizon</w:t>
            </w:r>
          </w:p>
        </w:tc>
        <w:tc>
          <w:tcPr>
            <w:tcW w:w="660" w:type="dxa"/>
            <w:vAlign w:val="bottom"/>
          </w:tcPr>
          <w:p>
            <w:pPr>
              <w:spacing w:after="0"/>
              <w:rPr>
                <w:sz w:val="16"/>
                <w:szCs w:val="16"/>
                <w:color w:val="auto"/>
              </w:rPr>
            </w:pPr>
          </w:p>
        </w:tc>
      </w:tr>
      <w:tr>
        <w:trPr>
          <w:trHeight w:val="216"/>
        </w:trPr>
        <w:tc>
          <w:tcPr>
            <w:tcW w:w="60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6000" w:type="dxa"/>
            <w:vAlign w:val="bottom"/>
          </w:tcPr>
          <w:p>
            <w:pPr>
              <w:spacing w:after="0"/>
              <w:rPr>
                <w:sz w:val="18"/>
                <w:szCs w:val="18"/>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600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1195"/>
        </w:trPr>
        <w:tc>
          <w:tcPr>
            <w:tcW w:w="60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2"/>
    </w:lvl>
    <w:lvl w:ilvl="1">
      <w:lvlJc w:val="left"/>
      <w:lvlText w:val="%2)"/>
      <w:numFmt w:val="lowerLetter"/>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79" Type="http://schemas.openxmlformats.org/officeDocument/2006/relationships/hyperlink" Target="https://www.sec.gov/Archives/edgar/data/1006045/000119312526106190/iri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2026-05-19T15:25:51Z</dcterms:created>
  <dcterms:modified xsi:type="dcterms:W3CDTF">2026-05-19T15:25:51Z</dcterms:modified>
</cp:coreProperties>
</file>