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77-0210467</w:t>
            </w:r>
          </w:p>
        </w:tc>
      </w:tr>
      <w:tr>
        <w:trPr>
          <w:trHeight w:val="149"/>
        </w:trPr>
        <w:tc>
          <w:tcPr>
            <w:tcW w:w="434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38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3"/>
              </w:rPr>
              <w:t>incorporation or organization)</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1212 Terra Bella Avenue</w:t>
            </w:r>
          </w:p>
        </w:tc>
        <w:tc>
          <w:tcPr>
            <w:tcW w:w="3380" w:type="dxa"/>
            <w:vAlign w:val="bottom"/>
          </w:tcPr>
          <w:p>
            <w:pPr>
              <w:spacing w:after="0"/>
              <w:rPr>
                <w:sz w:val="24"/>
                <w:szCs w:val="24"/>
                <w:color w:val="auto"/>
              </w:rPr>
            </w:pPr>
          </w:p>
        </w:tc>
      </w:t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4"/>
              </w:rPr>
              <w:t>Mountain View, California</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94043-1824</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442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7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October 19, 2017 was 11,579,817.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Items</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291"/>
        </w:trPr>
        <w:tc>
          <w:tcPr>
            <w:tcW w:w="290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80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September 30, 2017 and December 31, 2016</w:t>
              </w:r>
            </w:hyperlink>
          </w:p>
        </w:tc>
        <w:tc>
          <w:tcPr>
            <w:tcW w:w="226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2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Statements of Operations for the three and nine months ended September 30, 2017 and October 1,</w:t>
              </w:r>
            </w:hyperlink>
          </w:p>
        </w:tc>
        <w:tc>
          <w:tcPr>
            <w:tcW w:w="7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2016</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2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Comprehensive Loss for the three and nine months ended September 30, 2017</w:t>
              </w:r>
            </w:hyperlink>
          </w:p>
        </w:tc>
        <w:tc>
          <w:tcPr>
            <w:tcW w:w="7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and October 1, 2016</w:t>
              </w:r>
            </w:hyperlink>
          </w:p>
        </w:tc>
        <w:tc>
          <w:tcPr>
            <w:tcW w:w="7600" w:type="dxa"/>
            <w:vAlign w:val="bottom"/>
            <w:tcBorders>
              <w:top w:val="single" w:sz="8" w:color="0000EE"/>
            </w:tcBorders>
            <w:gridSpan w:val="10"/>
          </w:tcPr>
          <w:p>
            <w:pPr>
              <w:spacing w:after="0"/>
              <w:rPr>
                <w:sz w:val="17"/>
                <w:szCs w:val="17"/>
                <w:color w:val="auto"/>
              </w:rPr>
            </w:pPr>
          </w:p>
        </w:tc>
        <w:tc>
          <w:tcPr>
            <w:tcW w:w="34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for the nine months ended September 30, 2017 and October 1, 2016</w:t>
              </w:r>
            </w:hyperlink>
          </w:p>
        </w:tc>
        <w:tc>
          <w:tcPr>
            <w:tcW w:w="20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84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4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18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786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99"/>
        </w:trPr>
        <w:tc>
          <w:tcPr>
            <w:tcW w:w="10700" w:type="dxa"/>
            <w:vAlign w:val="bottom"/>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180" w:type="dxa"/>
            <w:vAlign w:val="bottom"/>
            <w:tcBorders>
              <w:top w:val="single" w:sz="8" w:color="0000EE"/>
            </w:tcBorders>
          </w:tcPr>
          <w:p>
            <w:pPr>
              <w:spacing w:after="0"/>
              <w:rPr>
                <w:sz w:val="24"/>
                <w:szCs w:val="24"/>
                <w:color w:val="auto"/>
              </w:rPr>
            </w:pPr>
          </w:p>
        </w:tc>
        <w:tc>
          <w:tcPr>
            <w:tcW w:w="812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4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528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4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32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8320" w:type="dxa"/>
            <w:vAlign w:val="bottom"/>
            <w:gridSpan w:val="1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4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700" w:type="dxa"/>
            <w:vAlign w:val="bottom"/>
            <w:tcBorders>
              <w:bottom w:val="single" w:sz="8" w:color="0000EE"/>
            </w:tcBorders>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Signature</w:t>
              </w:r>
            </w:hyperlink>
          </w:p>
        </w:tc>
        <w:tc>
          <w:tcPr>
            <w:tcW w:w="3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vMerge w:val="restart"/>
          </w:tcPr>
          <w:p>
            <w:pPr>
              <w:ind w:left="31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September 30, 2017</w:t>
            </w:r>
          </w:p>
        </w:tc>
        <w:tc>
          <w:tcPr>
            <w:tcW w:w="240" w:type="dxa"/>
            <w:vAlign w:val="bottom"/>
          </w:tcPr>
          <w:p>
            <w:pPr>
              <w:spacing w:after="0"/>
              <w:rPr>
                <w:sz w:val="14"/>
                <w:szCs w:val="14"/>
                <w:color w:val="auto"/>
              </w:rPr>
            </w:pPr>
          </w:p>
        </w:tc>
        <w:tc>
          <w:tcPr>
            <w:tcW w:w="2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 2016 (1)</w:t>
            </w:r>
          </w:p>
        </w:tc>
        <w:tc>
          <w:tcPr>
            <w:tcW w:w="0" w:type="dxa"/>
            <w:vAlign w:val="bottom"/>
          </w:tcPr>
          <w:p>
            <w:pPr>
              <w:spacing w:after="0"/>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22,751</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23,747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$226 as of September 30, 2017 and $230 as of December 31, 2016</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10,669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41,481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45,865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43,610</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15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1,864</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1,680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8,508</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w w:val="90"/>
              </w:rPr>
              <w:t>Preferred stock, $0.01 par value, 2,000,000 shares authorized, no shares issued and outstanding</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Authorized: 30,000,000 shares;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0" w:type="dxa"/>
            <w:vAlign w:val="bottom"/>
          </w:tcPr>
          <w:p>
            <w:pPr>
              <w:ind w:left="260"/>
              <w:spacing w:after="0"/>
              <w:rPr>
                <w:sz w:val="20"/>
                <w:szCs w:val="20"/>
                <w:color w:val="auto"/>
              </w:rPr>
            </w:pPr>
            <w:r>
              <w:rPr>
                <w:rFonts w:ascii="Arial" w:cs="Arial" w:eastAsia="Arial" w:hAnsi="Arial"/>
                <w:sz w:val="18"/>
                <w:szCs w:val="18"/>
                <w:color w:val="auto"/>
              </w:rPr>
              <w:t>Issued and outstanding 11,579,379 and 11,304,736 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as of September 30, 2017 and December 31, 2016, respectively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58,810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(23,834)</w:t>
            </w:r>
          </w:p>
        </w:tc>
        <w:tc>
          <w:tcPr>
            <w:tcW w:w="240" w:type="dxa"/>
            <w:vAlign w:val="bottom"/>
          </w:tcPr>
          <w:p>
            <w:pPr>
              <w:spacing w:after="0"/>
              <w:rPr>
                <w:sz w:val="19"/>
                <w:szCs w:val="19"/>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35,102</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43,610</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6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December 31,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October 1, 2016</w:t>
            </w:r>
          </w:p>
        </w:tc>
        <w:tc>
          <w:tcPr>
            <w:tcW w:w="100" w:type="dxa"/>
            <w:vAlign w:val="bottom"/>
          </w:tcPr>
          <w:p>
            <w:pPr>
              <w:spacing w:after="0"/>
              <w:rPr>
                <w:sz w:val="14"/>
                <w:szCs w:val="14"/>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October 1, 2016</w:t>
            </w: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420" w:type="dxa"/>
            <w:vAlign w:val="bottom"/>
            <w:tcBorders>
              <w:top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10,865</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intellectual property</w:t>
            </w: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7,444</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Other expense, net</w:t>
            </w: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Loss from operations before provision for (benefit from) income taxes</w:t>
            </w:r>
          </w:p>
        </w:tc>
        <w:tc>
          <w:tcPr>
            <w:tcW w:w="4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bottom w:val="single" w:sz="8" w:color="auto"/>
            </w:tcBorders>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(0.07)</w:t>
            </w:r>
          </w:p>
        </w:tc>
        <w:tc>
          <w:tcPr>
            <w:tcW w:w="520" w:type="dxa"/>
            <w:vAlign w:val="bottom"/>
            <w:gridSpan w:val="2"/>
            <w:shd w:val="clear" w:color="auto" w:fill="CFF0FC"/>
          </w:tcPr>
          <w:p>
            <w:pPr>
              <w:jc w:val="right"/>
              <w:ind w:right="26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(0.67)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w w:val="92"/>
              </w:rPr>
              <w:t>Weighted average shares used in computing net loss per common share:</w:t>
            </w: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11,569</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10,129</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11,544</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11,569</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40" w:type="dxa"/>
            <w:vAlign w:val="bottom"/>
            <w:gridSpan w:val="5"/>
          </w:tcPr>
          <w:p>
            <w:pPr>
              <w:ind w:left="9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400" w:type="dxa"/>
            <w:vAlign w:val="bottom"/>
            <w:gridSpan w:val="6"/>
          </w:tcPr>
          <w:p>
            <w:pPr>
              <w:ind w:left="9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2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1, 2016</w:t>
            </w:r>
          </w:p>
        </w:tc>
        <w:tc>
          <w:tcPr>
            <w:tcW w:w="140" w:type="dxa"/>
            <w:vAlign w:val="bottom"/>
          </w:tcPr>
          <w:p>
            <w:pPr>
              <w:spacing w:after="0"/>
              <w:rPr>
                <w:sz w:val="14"/>
                <w:szCs w:val="14"/>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2016</w:t>
            </w:r>
          </w:p>
        </w:tc>
        <w:tc>
          <w:tcPr>
            <w:tcW w:w="0" w:type="dxa"/>
            <w:vAlign w:val="bottom"/>
          </w:tcPr>
          <w:p>
            <w:pPr>
              <w:spacing w:after="0"/>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2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4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October 1, 2016</w:t>
            </w:r>
          </w:p>
        </w:tc>
        <w:tc>
          <w:tcPr>
            <w:tcW w:w="0" w:type="dxa"/>
            <w:vAlign w:val="bottom"/>
          </w:tcPr>
          <w:p>
            <w:pPr>
              <w:spacing w:after="0"/>
              <w:rPr>
                <w:sz w:val="1"/>
                <w:szCs w:val="1"/>
                <w:color w:val="auto"/>
              </w:rPr>
            </w:pPr>
          </w:p>
        </w:tc>
      </w:tr>
      <w:tr>
        <w:trPr>
          <w:trHeight w:val="223"/>
        </w:trPr>
        <w:tc>
          <w:tcPr>
            <w:tcW w:w="63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(7,712)</w:t>
            </w:r>
          </w:p>
        </w:tc>
        <w:tc>
          <w:tcPr>
            <w:tcW w:w="6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5"/>
        </w:trPr>
        <w:tc>
          <w:tcPr>
            <w:tcW w:w="634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provided by operating</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intellectual property</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earn-out liability</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Accrued warranty</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Investing activities: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Acquisition of property and equipment</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(542)</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Proceeds from sale of intellectual property</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 on earn-out liability</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Proceeds from issuance of common stock, net of issuance costs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stock option exercises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Repurchase of common stock</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22,751</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during the period for:</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10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18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31, 2016, which was filed with the Securities and Exchange Commission (“SEC”) on March 15, 2017. The results of operations for the three and nine months ended September 30, 2017 and October 1, 2016 are not necessarily indicative of the results for the fiscal year ending December 30, 2017 or any future interim period. The three and nine month periods ended September 30, 2017 and October 1, 2016,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December 31, 2016, which was filed with the SEC on March 15,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preparation of unaudited condensed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Our revenues arise from the sale of laser consoles, delivery devices, consumables and service and support activities. Revenue from product sales is recognized upon receipt of a purchase order and product shipment provided that no significant obligations remain and collectibility is reasonably assured. Shipments are generally made with Free-On-Board (“FOB”) shipping point terms, whereby title passes upon shipment from our dock. Any shipments with FOB receiving point terms are recorded as revenue when the shipment arrives at the receiving point. Cost is recognized as product sales revenue is recognized. The Company’s sales may include post-sales obligations for training or other deliverables. For revenue arrangements such as these, we recognize revenue in accordance with Accounting Standards Codification (“ASC”) 605,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The Company allocates revenue among deliverables in multiple-element arrangements using the relative selling price method. Revenue allocated to each element is recognized when the basic revenue recognition criteria is met for each element. The Company is required to apply a hierarchy to determine the selling price to be used for allocating revenue to deliverables: (i) vendor-specific objective evidence of selling price (“VSOE”), (ii) third-party evidence of selling price (“TPE”) and (iii) best estimate of the selling price (“ESP”). In general, the Company is unable to establish VSOE or TPE for all of the elements in the arrangement; therefore, revenue is allocated to these elements based on the Company’s ESP, which the Company determines after considering multiple factors such as management approved pricing guidelines, geographic differences, market conditions, competitor pricing strategies, internal costs and gross margin objectives. These factors may vary over time depending upon the unique facts and circumstances related to each deliverable. As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result, the Company’s ESP for products and services could change. Revenues for post-sales obligations are recognized as the obligations are fulfilled.</w:t>
      </w:r>
    </w:p>
    <w:p>
      <w:pPr>
        <w:spacing w:after="0" w:line="23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international regions, we utilize distributors to market and sell our products. We recognize revenue upon shipment for sales to these independent, third-party distributors as we have no continuing obligations subsequent to shipment. Generally our distributors are responsible for all marketing, sales, installation, training and warranty labor coverage for our products. Our standard terms and conditions do not provide price protection or stock retention rights to any of our distributors.</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Royalty revenues are typically based on licensees’ net sales of products that utilize our technology and are recognized as earned in accordance with the contract terms when royalties from licensees can be reliably measured and collectibility is reasonably assured, such as upon the earlier of the receipt of a royalty statement from the licensee or upon payment by the licensee.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and nine month periods ended September 30, 2017 and October 1, 2016 no single customer accounted for more than 10% of total revenues. As of September 30, 2017, one customer accounted for 12% of our accounts receivable and no customer accounted for over 10% of our accounts receivable as of December 31, 2016.</w:t>
      </w:r>
    </w:p>
    <w:p>
      <w:pPr>
        <w:spacing w:after="0" w:line="193"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For the three month period ended September 30, 2017, one supplier accounted for 14% of our purchases and no supplier accounted for over 10% of our purchases for the nine month period then ended. For the three and nine month periods ended October 1, 2016 no supplier accounted for over 10% of our purchases.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related to extended service contracts is deferred and recognized on a straight line basis over the period of the applicable service contract.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these service arrangements are recognized as incurred.</w:t>
      </w:r>
    </w:p>
    <w:p>
      <w:pPr>
        <w:spacing w:after="0" w:line="21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 reconciliation of the changes in the Company’s deferred revenue balance for the nine months ended September 30, 2017 and October 1, 2016 is as follows: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5"/>
          </w:tcPr>
          <w:p>
            <w:pPr>
              <w:jc w:val="right"/>
              <w:ind w:right="1294"/>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September 30, 2017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October 1, 2016</w:t>
            </w: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Additions to deferral</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2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(1,031)</w:t>
            </w: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In March 2017, the Company began offering a 5 year warranty on the laser heads for its IQ 532/577 laser consoles. The Company has previously provided a one to two year warranty on its products, which is accrued for upon shipment of products. Actual warranty costs incurred have not materially differed from those accrued. The Company’s warranty policy is applicable to products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8" w:name="page9"/>
    <w:bookmarkEnd w:id="8"/>
    <w:p>
      <w:pPr>
        <w:ind w:right="240"/>
        <w:spacing w:after="0" w:line="277" w:lineRule="auto"/>
        <w:rPr>
          <w:sz w:val="20"/>
          <w:szCs w:val="20"/>
          <w:color w:val="auto"/>
        </w:rPr>
      </w:pPr>
      <w:r>
        <w:rPr>
          <w:rFonts w:ascii="Arial" w:cs="Arial" w:eastAsia="Arial" w:hAnsi="Arial"/>
          <w:sz w:val="18"/>
          <w:szCs w:val="18"/>
          <w:color w:val="auto"/>
        </w:rPr>
        <w:t>which are considered defective in their performance or fail to meet the product specifications. Warranty costs are reflected in the statement of operations as cost of revenues.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reconciliation of the changes in the Company’s warranty liability for the nine months ended September 30, 2017 and October 1, 2016 is as follows: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640" w:type="dxa"/>
            <w:vAlign w:val="bottom"/>
            <w:tcBorders>
              <w:bottom w:val="single" w:sz="8" w:color="auto"/>
            </w:tcBorders>
            <w:gridSpan w:val="5"/>
          </w:tcPr>
          <w:p>
            <w:pPr>
              <w:jc w:val="right"/>
              <w:ind w:right="946"/>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2017</w:t>
            </w: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1, 2016</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540" w:type="dxa"/>
            <w:vAlign w:val="bottom"/>
            <w:shd w:val="clear" w:color="auto" w:fill="CFF0FC"/>
          </w:tcPr>
          <w:p>
            <w:pPr>
              <w:jc w:val="right"/>
              <w:ind w:right="138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30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15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0"/>
              </w:rPr>
              <w:t>(240)</w:t>
            </w:r>
          </w:p>
        </w:tc>
        <w:tc>
          <w:tcPr>
            <w:tcW w:w="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(351)</w:t>
            </w: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540" w:type="dxa"/>
            <w:vAlign w:val="bottom"/>
            <w:tcBorders>
              <w:top w:val="single" w:sz="8" w:color="auto"/>
              <w:bottom w:val="single" w:sz="8" w:color="auto"/>
            </w:tcBorders>
          </w:tcPr>
          <w:p>
            <w:pPr>
              <w:jc w:val="right"/>
              <w:ind w:right="13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682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30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44" w:lineRule="exact"/>
        <w:rPr>
          <w:sz w:val="20"/>
          <w:szCs w:val="20"/>
          <w:color w:val="auto"/>
        </w:rPr>
      </w:pPr>
    </w:p>
    <w:p>
      <w:pPr>
        <w:ind w:right="340" w:firstLine="761"/>
        <w:spacing w:after="0" w:line="308" w:lineRule="auto"/>
        <w:rPr>
          <w:sz w:val="20"/>
          <w:szCs w:val="20"/>
          <w:color w:val="auto"/>
        </w:rPr>
      </w:pPr>
      <w:r>
        <w:rPr>
          <w:rFonts w:ascii="Arial" w:cs="Arial" w:eastAsia="Arial" w:hAnsi="Arial"/>
          <w:sz w:val="17"/>
          <w:szCs w:val="17"/>
          <w:color w:val="auto"/>
        </w:rPr>
        <w:t>Certain reclassifications have been made to the prior year financial statements included in these condensed consolidated financial statements to conform to the current year presentation. The reclassifications had no impact on previously reported net loss or accumulated deficit.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Standards.</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May 2014, as part of its ongoing efforts to assist in the convergence of accounting principles generally accepted in the United States (“U.S. GAAP”) and International Financial Reporting Standards (“IFRS”), the Financial Accounting Standards Board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new guidance sets forth a new five-step revenue recognition model which replaces the prior revenue recognition guidance in its entirety and is intended to eliminate numerous industry-specific pieces of revenue recognition guidance that have historically existed in U.S. GAAP. The underlying principle of the new standard is that a business or other organization will recognize revenue to depict the transfer of promised goods or services to customers in an amount that reflects what it expects in exchange for the goods or services. The standard also requires more detailed disclosures and provides additional guidance for transactions that were not addressed completely in the prior accounting guidance. The ASU provides alternative methods of initial adoption and is effective for annual and interim periods beginning after December 15, 2017. The FASB has issued several updates to the standard which i) defer the original effective date from January 1, 2017 to January 1, 2018, while allowing for early adoption as of January 1, 2017 (ASU 2015-14); ii) clarify the application of the principal versus agent guidance (ASU 2016-08); iii) clarify the guidance on inconsequential and perfunctory promises and licensing (ASU 2016-10); and (iv) clarify the guidance on certain sections of the guidance providing technical corrections and improvements (ASU 2016-10). In May 2016, the FASB issued ASU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to address certain narrow aspects of the guidance including collectibility criterion, collection of sales taxes</w:t>
      </w:r>
      <w:r>
        <w:rPr>
          <w:rFonts w:ascii="Arial" w:cs="Arial" w:eastAsia="Arial" w:hAnsi="Arial"/>
          <w:sz w:val="16"/>
          <w:szCs w:val="16"/>
          <w:i w:val="1"/>
          <w:iCs w:val="1"/>
          <w:color w:val="auto"/>
        </w:rPr>
        <w:t xml:space="preserve"> </w:t>
      </w:r>
      <w:r>
        <w:rPr>
          <w:rFonts w:ascii="Arial" w:cs="Arial" w:eastAsia="Arial" w:hAnsi="Arial"/>
          <w:sz w:val="16"/>
          <w:szCs w:val="16"/>
          <w:color w:val="auto"/>
        </w:rPr>
        <w:t>from customers, noncash consideration, contract modifications and completed contracts. This issuance does not change the core principle of the guidance in the initial topic issued in May 2014. We currently anticipate adopting the standard using the modified retrospective method. We are currently evaluating the impact of this new standard on our consolidated financial statements.</w:t>
      </w:r>
    </w:p>
    <w:p>
      <w:pPr>
        <w:spacing w:after="0" w:line="385" w:lineRule="exact"/>
        <w:rPr>
          <w:sz w:val="20"/>
          <w:szCs w:val="20"/>
          <w:color w:val="auto"/>
        </w:rPr>
      </w:pPr>
    </w:p>
    <w:p>
      <w:pPr>
        <w:ind w:right="20" w:firstLine="761"/>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amending ASC 842. This ASU requires us to recognize on the balance sheet the assets and liabilities for the rights and obligations created by leases with terms of more than twelve months. This ASU also requires disclosures enabling the users of financial statements to understand the amount, timing and uncertainty of cash flows arising from leases. This new standard will become effective for annual periods beginning after December 15, 2018 (including interim reporting periods within those periods). Early adoption is permitted as of the beginning of an interim or annual reporting period. We are currently evaluating the impact of this new standard on our consolidated financial statements.</w:t>
      </w:r>
    </w:p>
    <w:p>
      <w:pPr>
        <w:spacing w:after="0" w:line="158" w:lineRule="exact"/>
        <w:rPr>
          <w:sz w:val="20"/>
          <w:szCs w:val="20"/>
          <w:color w:val="auto"/>
        </w:rPr>
      </w:pPr>
    </w:p>
    <w:p>
      <w:pPr>
        <w:jc w:val="both"/>
        <w:ind w:right="100" w:firstLine="518"/>
        <w:spacing w:after="0" w:line="276" w:lineRule="auto"/>
        <w:rPr>
          <w:sz w:val="20"/>
          <w:szCs w:val="20"/>
          <w:color w:val="auto"/>
        </w:rPr>
      </w:pPr>
      <w:r>
        <w:rPr>
          <w:rFonts w:ascii="Arial" w:cs="Arial" w:eastAsia="Arial" w:hAnsi="Arial"/>
          <w:sz w:val="17"/>
          <w:szCs w:val="17"/>
          <w:color w:val="auto"/>
        </w:rPr>
        <w:t>In October 2016, the FASB issued ASU 2016-16 to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simplifies the recording of an inter-entity transfer of assets other than inventory. The new guidance requires that a company recognize the income tax consequences of an intra-entity transfer of an asset other than inventory when the transfer occurs. The new guidance becomes effective for annual reporting periods beginning after December 15, 2017 and must be applied using a modified retrospective basis through a cumulative-effect adjustment directly to retained earnings as of the beginning of the adoption period. We are currently evaluating the impact of this guidance on our financial statements and the timing of adoption.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September 30, 2017 and December 31, 2016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2,337</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w:t>
            </w:r>
          </w:p>
        </w:tc>
        <w:tc>
          <w:tcPr>
            <w:tcW w:w="60" w:type="dxa"/>
            <w:vAlign w:val="bottom"/>
            <w:shd w:val="clear" w:color="auto" w:fill="CFF0FC"/>
          </w:tcPr>
          <w:p>
            <w:pPr>
              <w:spacing w:after="0"/>
              <w:rPr>
                <w:sz w:val="19"/>
                <w:szCs w:val="19"/>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goodwill was $0.5 million as of September 30, 2017 and December 31, 2016.</w:t>
      </w:r>
    </w:p>
    <w:p>
      <w:pPr>
        <w:spacing w:after="0" w:line="225"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2017 and determined that its goodwill was not impaired. As of September 30, 2017, the Company had not identified any factors that indicated there was an impairment of its goodwill and determined that no additional impairment analysis was then required.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intangible asset balances: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1"/>
              </w:rPr>
              <w:t>September 30, 2017</w:t>
            </w: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1"/>
                <w:szCs w:val="11"/>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Remaining</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54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Amortization Life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7.50 Years</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 months ended September 30, 2017 and October 1, 2016, amortization expense totaled $12 thousand for each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amortization of customer relations was charged to sales and marketing expense and the amortization of patents was charged to cost of revenues.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 estimated amortization expense (in thousands):</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Fiscal Year:</w:t>
            </w: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2017 (three months)</w:t>
            </w:r>
          </w:p>
        </w:tc>
        <w:tc>
          <w:tcPr>
            <w:tcW w:w="860" w:type="dxa"/>
            <w:vAlign w:val="bottom"/>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2018</w:t>
            </w:r>
          </w:p>
        </w:tc>
        <w:tc>
          <w:tcPr>
            <w:tcW w:w="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8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2020</w:t>
            </w:r>
          </w:p>
        </w:tc>
        <w:tc>
          <w:tcPr>
            <w:tcW w:w="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8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r>
      <w:tr>
        <w:trPr>
          <w:trHeight w:val="230"/>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CFF0FC"/>
            </w:tcBorders>
          </w:tcPr>
          <w:p>
            <w:pPr>
              <w:spacing w:after="0"/>
              <w:rPr>
                <w:sz w:val="19"/>
                <w:szCs w:val="19"/>
                <w:color w:val="auto"/>
              </w:rPr>
            </w:pPr>
          </w:p>
        </w:tc>
      </w:tr>
      <w:tr>
        <w:trPr>
          <w:trHeight w:val="223"/>
        </w:trPr>
        <w:tc>
          <w:tcPr>
            <w:tcW w:w="5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August 2017, we closed the sale of certain intellectual property. Proceeds from the sale were $175 thousand.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5"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17" w:lineRule="exact"/>
        <w:rPr>
          <w:rFonts w:ascii="Arial" w:cs="Arial" w:eastAsia="Arial" w:hAnsi="Arial"/>
          <w:sz w:val="18"/>
          <w:szCs w:val="18"/>
          <w:color w:val="auto"/>
        </w:rPr>
      </w:pPr>
    </w:p>
    <w:p>
      <w:pPr>
        <w:ind w:left="1040" w:hanging="519"/>
        <w:spacing w:after="0" w:line="25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80"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70"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accounts payable, and accrued expenses as of September 30, 2017 and December 31, 2016, approximate fair value because of the short maturity of these instruments.</w:t>
      </w:r>
    </w:p>
    <w:p>
      <w:pPr>
        <w:spacing w:after="0" w:line="124"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As of September 30, 2017 and December 31, 2016, financial assets and liabilities measured and recognized at fair value on a recurring basis and classified under the appropriate level of the fair value hierarchy as described above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w w:val="96"/>
              </w:rPr>
              <w:t>As of September 30, 2017</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0"/>
              </w:rPr>
              <w:t>As of December 31, 2016</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jc w:val="right"/>
              <w:ind w:right="116"/>
              <w:spacing w:after="0" w:line="155" w:lineRule="exact"/>
              <w:rPr>
                <w:sz w:val="20"/>
                <w:szCs w:val="20"/>
                <w:color w:val="auto"/>
              </w:rPr>
            </w:pPr>
            <w:r>
              <w:rPr>
                <w:rFonts w:ascii="Arial" w:cs="Arial" w:eastAsia="Arial" w:hAnsi="Arial"/>
                <w:sz w:val="14"/>
                <w:szCs w:val="14"/>
                <w:b w:val="1"/>
                <w:bCs w:val="1"/>
                <w:color w:val="auto"/>
                <w:w w:val="97"/>
              </w:rPr>
              <w:t>Fair Value Measurements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jc w:val="center"/>
              <w:ind w:right="420"/>
              <w:spacing w:after="0" w:line="155" w:lineRule="exact"/>
              <w:rPr>
                <w:sz w:val="20"/>
                <w:szCs w:val="20"/>
                <w:color w:val="auto"/>
              </w:rPr>
            </w:pPr>
            <w:r>
              <w:rPr>
                <w:rFonts w:ascii="Arial" w:cs="Arial" w:eastAsia="Arial" w:hAnsi="Arial"/>
                <w:sz w:val="14"/>
                <w:szCs w:val="14"/>
                <w:b w:val="1"/>
                <w:bCs w:val="1"/>
                <w:color w:val="auto"/>
                <w:w w:val="93"/>
              </w:rPr>
              <w:t>Fair Value Measurements</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10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3"/>
                <w:szCs w:val="13"/>
                <w:color w:val="auto"/>
              </w:rPr>
            </w:pPr>
          </w:p>
        </w:tc>
        <w:tc>
          <w:tcPr>
            <w:tcW w:w="720" w:type="dxa"/>
            <w:vAlign w:val="bottom"/>
          </w:tcPr>
          <w:p>
            <w:pPr>
              <w:jc w:val="right"/>
              <w:ind w:right="136"/>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196"/>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10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3"/>
                <w:szCs w:val="13"/>
                <w:color w:val="auto"/>
              </w:rPr>
            </w:pPr>
          </w:p>
        </w:tc>
        <w:tc>
          <w:tcPr>
            <w:tcW w:w="10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3"/>
                <w:szCs w:val="13"/>
                <w:color w:val="auto"/>
              </w:rPr>
            </w:pPr>
          </w:p>
        </w:tc>
        <w:tc>
          <w:tcPr>
            <w:tcW w:w="72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22,149</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22,149</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8,270</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524</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524</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694</w:t>
            </w:r>
          </w:p>
        </w:tc>
        <w:tc>
          <w:tcPr>
            <w:tcW w:w="30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financial assets or liabilities. The fair value of the earn-out liability arising from the acquisition of RetinaLabs, Inc. is classified within Level 3 of the fair value hierarchy since it is based on significant unobservable inputs. The significant unobservable inputs include projected royalties and discount rates to present value the payments. A significant increase (decrease) in the projected royalty payments in isolation could result in a significantly higher (lower) fair value measurement and a significant increase (decrease) in the discount rate in isolation could result in a significantly lower (higher) fair value measurement. The fair value of the earn-out liability is calculated on a quarterly basis by the Company based on a collaborative effort of the Company’s operations, finance and accounting groups as additional information becomes available. Any change in the fair value adjustment is recorded in the statement of operations of that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ind w:right="100" w:firstLine="518"/>
        <w:spacing w:after="0" w:line="277" w:lineRule="auto"/>
        <w:rPr>
          <w:sz w:val="20"/>
          <w:szCs w:val="20"/>
          <w:color w:val="auto"/>
        </w:rPr>
      </w:pPr>
      <w:r>
        <w:rPr>
          <w:rFonts w:ascii="Arial" w:cs="Arial" w:eastAsia="Arial" w:hAnsi="Arial"/>
          <w:sz w:val="18"/>
          <w:szCs w:val="18"/>
          <w:color w:val="auto"/>
        </w:rPr>
        <w:t>The following tables present quantitative information about the inputs and valuation methodologies used for our fair value measurements classified in Level 3 of the fair value hierarchy as of September 30, 2017 and December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left="207"/>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Valuation</w:t>
            </w:r>
          </w:p>
        </w:tc>
        <w:tc>
          <w:tcPr>
            <w:tcW w:w="2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As of September 30, 2017</w:t>
            </w:r>
          </w:p>
        </w:tc>
        <w:tc>
          <w:tcPr>
            <w:tcW w:w="1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2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440" w:type="dxa"/>
            <w:vAlign w:val="bottom"/>
            <w:gridSpan w:val="2"/>
            <w:vMerge w:val="continue"/>
          </w:tcPr>
          <w:p>
            <w:pPr>
              <w:spacing w:after="0"/>
              <w:rPr>
                <w:sz w:val="14"/>
                <w:szCs w:val="14"/>
                <w:color w:val="auto"/>
              </w:rPr>
            </w:pPr>
          </w:p>
        </w:tc>
        <w:tc>
          <w:tcPr>
            <w:tcW w:w="1160" w:type="dxa"/>
            <w:vAlign w:val="bottom"/>
          </w:tcPr>
          <w:p>
            <w:pPr>
              <w:jc w:val="center"/>
              <w:ind w:left="207"/>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Technique</w:t>
            </w:r>
          </w:p>
        </w:tc>
        <w:tc>
          <w:tcPr>
            <w:tcW w:w="2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Input</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6"/>
              </w:rPr>
              <w:t>(range)</w:t>
            </w:r>
          </w:p>
        </w:tc>
        <w:tc>
          <w:tcPr>
            <w:tcW w:w="0" w:type="dxa"/>
            <w:vAlign w:val="bottom"/>
          </w:tcPr>
          <w:p>
            <w:pPr>
              <w:spacing w:after="0"/>
              <w:rPr>
                <w:sz w:val="1"/>
                <w:szCs w:val="1"/>
                <w:color w:val="auto"/>
              </w:rPr>
            </w:pPr>
          </w:p>
        </w:tc>
      </w:tr>
      <w:tr>
        <w:trPr>
          <w:trHeight w:val="209"/>
        </w:trPr>
        <w:tc>
          <w:tcPr>
            <w:tcW w:w="22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3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Projected royalties</w:t>
            </w:r>
          </w:p>
        </w:tc>
        <w:tc>
          <w:tcPr>
            <w:tcW w:w="200" w:type="dxa"/>
            <w:vAlign w:val="bottom"/>
            <w:tcBorders>
              <w:top w:val="single" w:sz="8" w:color="CFF0FC"/>
            </w:tcBorders>
            <w:shd w:val="clear" w:color="auto" w:fill="CFF0FC"/>
          </w:tcPr>
          <w:p>
            <w:pPr>
              <w:spacing w:after="0"/>
              <w:rPr>
                <w:sz w:val="18"/>
                <w:szCs w:val="18"/>
                <w:color w:val="auto"/>
              </w:rPr>
            </w:pPr>
          </w:p>
        </w:tc>
        <w:tc>
          <w:tcPr>
            <w:tcW w:w="23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1160" w:type="dxa"/>
            <w:vAlign w:val="bottom"/>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524</w:t>
            </w:r>
          </w:p>
        </w:tc>
        <w:tc>
          <w:tcPr>
            <w:tcW w:w="30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Discounted cash flow</w:t>
            </w:r>
          </w:p>
        </w:tc>
        <w:tc>
          <w:tcPr>
            <w:tcW w:w="236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(in thousands)</w:t>
            </w:r>
          </w:p>
        </w:tc>
        <w:tc>
          <w:tcPr>
            <w:tcW w:w="2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$1,719</w:t>
            </w:r>
          </w:p>
        </w:tc>
        <w:tc>
          <w:tcPr>
            <w:tcW w:w="0" w:type="dxa"/>
            <w:vAlign w:val="bottom"/>
          </w:tcPr>
          <w:p>
            <w:pPr>
              <w:spacing w:after="0"/>
              <w:rPr>
                <w:sz w:val="1"/>
                <w:szCs w:val="1"/>
                <w:color w:val="auto"/>
              </w:rPr>
            </w:pPr>
          </w:p>
        </w:tc>
      </w:tr>
      <w:tr>
        <w:trPr>
          <w:trHeight w:val="209"/>
        </w:trPr>
        <w:tc>
          <w:tcPr>
            <w:tcW w:w="2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200" w:type="dxa"/>
            <w:vAlign w:val="bottom"/>
          </w:tcPr>
          <w:p>
            <w:pPr>
              <w:spacing w:after="0"/>
              <w:rPr>
                <w:sz w:val="18"/>
                <w:szCs w:val="18"/>
                <w:color w:val="auto"/>
              </w:rPr>
            </w:pPr>
          </w:p>
        </w:tc>
        <w:tc>
          <w:tcPr>
            <w:tcW w:w="2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10.89%</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(10.89% - 27.00%)</w:t>
            </w:r>
          </w:p>
        </w:tc>
        <w:tc>
          <w:tcPr>
            <w:tcW w:w="0" w:type="dxa"/>
            <w:vAlign w:val="bottom"/>
          </w:tcPr>
          <w:p>
            <w:pPr>
              <w:spacing w:after="0"/>
              <w:rPr>
                <w:sz w:val="1"/>
                <w:szCs w:val="1"/>
                <w:color w:val="auto"/>
              </w:rPr>
            </w:pPr>
          </w:p>
        </w:tc>
      </w:tr>
      <w:tr>
        <w:trPr>
          <w:trHeight w:val="382"/>
        </w:trPr>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vMerge w:val="restart"/>
          </w:tcPr>
          <w:p>
            <w:pPr>
              <w:jc w:val="center"/>
              <w:ind w:left="207"/>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Valuation</w:t>
            </w:r>
          </w:p>
        </w:tc>
        <w:tc>
          <w:tcPr>
            <w:tcW w:w="2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As of December 31, 2016</w:t>
            </w:r>
          </w:p>
        </w:tc>
        <w:tc>
          <w:tcPr>
            <w:tcW w:w="1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2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440" w:type="dxa"/>
            <w:vAlign w:val="bottom"/>
            <w:gridSpan w:val="2"/>
            <w:vMerge w:val="continue"/>
          </w:tcPr>
          <w:p>
            <w:pPr>
              <w:spacing w:after="0"/>
              <w:rPr>
                <w:sz w:val="14"/>
                <w:szCs w:val="14"/>
                <w:color w:val="auto"/>
              </w:rPr>
            </w:pPr>
          </w:p>
        </w:tc>
        <w:tc>
          <w:tcPr>
            <w:tcW w:w="1160" w:type="dxa"/>
            <w:vAlign w:val="bottom"/>
          </w:tcPr>
          <w:p>
            <w:pPr>
              <w:jc w:val="center"/>
              <w:ind w:left="207"/>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Technique</w:t>
            </w:r>
          </w:p>
        </w:tc>
        <w:tc>
          <w:tcPr>
            <w:tcW w:w="2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Input</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6"/>
              </w:rPr>
              <w:t>(range)</w:t>
            </w:r>
          </w:p>
        </w:tc>
        <w:tc>
          <w:tcPr>
            <w:tcW w:w="0" w:type="dxa"/>
            <w:vAlign w:val="bottom"/>
          </w:tcPr>
          <w:p>
            <w:pPr>
              <w:spacing w:after="0"/>
              <w:rPr>
                <w:sz w:val="1"/>
                <w:szCs w:val="1"/>
                <w:color w:val="auto"/>
              </w:rPr>
            </w:pPr>
          </w:p>
        </w:tc>
      </w:tr>
      <w:tr>
        <w:trPr>
          <w:trHeight w:val="209"/>
        </w:trPr>
        <w:tc>
          <w:tcPr>
            <w:tcW w:w="22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3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Projected royalties</w:t>
            </w:r>
          </w:p>
        </w:tc>
        <w:tc>
          <w:tcPr>
            <w:tcW w:w="200" w:type="dxa"/>
            <w:vAlign w:val="bottom"/>
            <w:tcBorders>
              <w:top w:val="single" w:sz="8" w:color="CFF0FC"/>
            </w:tcBorders>
            <w:shd w:val="clear" w:color="auto" w:fill="CFF0FC"/>
          </w:tcPr>
          <w:p>
            <w:pPr>
              <w:spacing w:after="0"/>
              <w:rPr>
                <w:sz w:val="18"/>
                <w:szCs w:val="18"/>
                <w:color w:val="auto"/>
              </w:rPr>
            </w:pPr>
          </w:p>
        </w:tc>
        <w:tc>
          <w:tcPr>
            <w:tcW w:w="23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1160" w:type="dxa"/>
            <w:vAlign w:val="bottom"/>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694</w:t>
            </w:r>
          </w:p>
        </w:tc>
        <w:tc>
          <w:tcPr>
            <w:tcW w:w="30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Discounted cash flow</w:t>
            </w:r>
          </w:p>
        </w:tc>
        <w:tc>
          <w:tcPr>
            <w:tcW w:w="236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(in thousands)</w:t>
            </w:r>
          </w:p>
        </w:tc>
        <w:tc>
          <w:tcPr>
            <w:tcW w:w="2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$2,154</w:t>
            </w:r>
          </w:p>
        </w:tc>
        <w:tc>
          <w:tcPr>
            <w:tcW w:w="0" w:type="dxa"/>
            <w:vAlign w:val="bottom"/>
          </w:tcPr>
          <w:p>
            <w:pPr>
              <w:spacing w:after="0"/>
              <w:rPr>
                <w:sz w:val="1"/>
                <w:szCs w:val="1"/>
                <w:color w:val="auto"/>
              </w:rPr>
            </w:pPr>
          </w:p>
        </w:tc>
      </w:tr>
      <w:tr>
        <w:trPr>
          <w:trHeight w:val="209"/>
        </w:trPr>
        <w:tc>
          <w:tcPr>
            <w:tcW w:w="2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200" w:type="dxa"/>
            <w:vAlign w:val="bottom"/>
          </w:tcPr>
          <w:p>
            <w:pPr>
              <w:spacing w:after="0"/>
              <w:rPr>
                <w:sz w:val="18"/>
                <w:szCs w:val="18"/>
                <w:color w:val="auto"/>
              </w:rPr>
            </w:pPr>
          </w:p>
        </w:tc>
        <w:tc>
          <w:tcPr>
            <w:tcW w:w="2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11.22%</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(11.22% - 27.00%)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 reconciliation of the changes in the Company’s earn-out liability (Level 3 liability) for the nine months ended September 30, 2017 and October 1, 2016 is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w w:val="94"/>
              </w:rPr>
              <w:t>September 30, 2017</w:t>
            </w:r>
          </w:p>
        </w:tc>
        <w:tc>
          <w:tcPr>
            <w:tcW w:w="2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October 1, 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beginning of the period</w:t>
            </w:r>
          </w:p>
        </w:tc>
        <w:tc>
          <w:tcPr>
            <w:tcW w:w="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Payments against earn-out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earn-out liability</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as of the end of the period</w:t>
            </w:r>
          </w:p>
        </w:tc>
        <w:tc>
          <w:tcPr>
            <w:tcW w:w="6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earn-out liability is included in accrued expenses and other long-term liabilities in the condensed consolidated balance sheets. Any change in the fair value adjustment is recorded to other expense in the condensed consolidated statements of operations.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Based Compensation</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accounts for stock-based compensation granted to employees and directors, including employees stock option awards, restricted stock and restricted stock units in accordance with ASC 718</w:t>
      </w:r>
      <w:r>
        <w:rPr>
          <w:rFonts w:ascii="Arial" w:cs="Arial" w:eastAsia="Arial" w:hAnsi="Arial"/>
          <w:sz w:val="18"/>
          <w:szCs w:val="18"/>
          <w:i w:val="1"/>
          <w:iCs w:val="1"/>
          <w:color w:val="auto"/>
        </w:rPr>
        <w:t>, “Compensation – Stock Compensation”</w:t>
      </w:r>
      <w:r>
        <w:rPr>
          <w:rFonts w:ascii="Arial" w:cs="Arial" w:eastAsia="Arial" w:hAnsi="Arial"/>
          <w:sz w:val="18"/>
          <w:szCs w:val="18"/>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18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The Company values options using the Black-Scholes option pricing model. Restricted stock and time-based restricted stock units are valued at the grant date fair value of the underlying common shares. Performance-based restricted stock units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For the nine months ended September 30, 2017, the only active stock-based compensation plan was the 2008 Equity Incentive Plan (the “Incentive Plan”). The terms of awards granted during the nine months ended September 30, 2017 were consistent with those described in the consolidated financial statements included in our Annual Report on Form 10-K for the year ended December 31, 2016.</w:t>
      </w:r>
    </w:p>
    <w:p>
      <w:pPr>
        <w:spacing w:after="0" w:line="7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On June 14, 2017, the stockholders approved an increase of 650,000 shares of Common Stock reserved for issuance under the Incentive Plan.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Summary of 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information regarding activity under the Incentive Plan during the nine months ended September 30, 2017:</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367"/>
              <w:spacing w:after="0"/>
              <w:rPr>
                <w:sz w:val="20"/>
                <w:szCs w:val="20"/>
                <w:color w:val="auto"/>
              </w:rPr>
            </w:pPr>
            <w:r>
              <w:rPr>
                <w:rFonts w:ascii="Arial" w:cs="Arial" w:eastAsia="Arial" w:hAnsi="Arial"/>
                <w:sz w:val="14"/>
                <w:szCs w:val="14"/>
                <w:b w:val="1"/>
                <w:bCs w:val="1"/>
                <w:color w:val="auto"/>
                <w:w w:val="95"/>
              </w:rPr>
              <w:t>Weighted</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080" w:type="dxa"/>
            <w:vAlign w:val="bottom"/>
          </w:tcPr>
          <w:p>
            <w:pPr>
              <w:jc w:val="center"/>
              <w:ind w:left="347"/>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80" w:type="dxa"/>
            <w:vAlign w:val="bottom"/>
          </w:tcPr>
          <w:p>
            <w:pPr>
              <w:jc w:val="center"/>
              <w:ind w:left="367"/>
              <w:spacing w:after="0"/>
              <w:rPr>
                <w:sz w:val="20"/>
                <w:szCs w:val="20"/>
                <w:color w:val="auto"/>
              </w:rPr>
            </w:pPr>
            <w:r>
              <w:rPr>
                <w:rFonts w:ascii="Arial" w:cs="Arial" w:eastAsia="Arial" w:hAnsi="Arial"/>
                <w:sz w:val="14"/>
                <w:szCs w:val="14"/>
                <w:b w:val="1"/>
                <w:bCs w:val="1"/>
                <w:color w:val="auto"/>
                <w:w w:val="91"/>
              </w:rPr>
              <w:t>Per Share</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2016</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470,985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465,900</w:t>
            </w:r>
          </w:p>
        </w:tc>
        <w:tc>
          <w:tcPr>
            <w:tcW w:w="140" w:type="dxa"/>
            <w:vAlign w:val="bottom"/>
          </w:tcPr>
          <w:p>
            <w:pPr>
              <w:spacing w:after="0"/>
              <w:rPr>
                <w:sz w:val="19"/>
                <w:szCs w:val="19"/>
                <w:color w:val="auto"/>
              </w:rPr>
            </w:pPr>
          </w:p>
        </w:tc>
        <w:tc>
          <w:tcPr>
            <w:tcW w:w="118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(55,752)</w:t>
            </w:r>
          </w:p>
        </w:tc>
        <w:tc>
          <w:tcPr>
            <w:tcW w:w="1180" w:type="dxa"/>
            <w:vAlign w:val="bottom"/>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(52,607)</w:t>
            </w:r>
          </w:p>
        </w:tc>
        <w:tc>
          <w:tcPr>
            <w:tcW w:w="118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2017</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828,526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48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weighted average grant date fair value of the options granted under the Incentive Plan as calculated using the Black-Scholes option-pricing model was $3.55 and $6.37 per share for the three months ended September 30, 2017 and October 1, 2016, respectively. The weighted average grant date fair value of the options granted under the Incentive Plan as calculated using the Black-Scholes option-pricing model was $3.75 and $5.23 per share for the nine months ended September 30, 2017 and October 1, 2016, respectively.</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uses the Black-Scholes option-pricing model to estimate fair value of stock-based awards (options) with the following weighted average assumptions: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44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September 30,</w:t>
            </w:r>
          </w:p>
        </w:tc>
        <w:tc>
          <w:tcPr>
            <w:tcW w:w="11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7"/>
              </w:rPr>
              <w:t>October 1, 2016</w:t>
            </w:r>
          </w:p>
        </w:tc>
        <w:tc>
          <w:tcPr>
            <w:tcW w:w="280" w:type="dxa"/>
            <w:vAlign w:val="bottom"/>
            <w:vMerge w:val="restart"/>
          </w:tcPr>
          <w:p>
            <w:pPr>
              <w:spacing w:after="0"/>
              <w:rPr>
                <w:sz w:val="11"/>
                <w:szCs w:val="11"/>
                <w:color w:val="auto"/>
              </w:rPr>
            </w:pPr>
          </w:p>
        </w:tc>
        <w:tc>
          <w:tcPr>
            <w:tcW w:w="146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September 30,</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October 1, 2016</w:t>
            </w:r>
          </w:p>
        </w:tc>
        <w:tc>
          <w:tcPr>
            <w:tcW w:w="1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0FC"/>
            </w:tcBorders>
            <w:vMerge w:val="continue"/>
          </w:tcPr>
          <w:p>
            <w:pPr>
              <w:spacing w:after="0"/>
              <w:rPr>
                <w:sz w:val="14"/>
                <w:szCs w:val="14"/>
                <w:color w:val="auto"/>
              </w:rPr>
            </w:pP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w w:val="99"/>
              </w:rPr>
              <w:t>Average risk free interest rate</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1.80%</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1.79%</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4.55 years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4.55 years</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4.55 years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4.55 years</w:t>
            </w:r>
          </w:p>
        </w:tc>
        <w:tc>
          <w:tcPr>
            <w:tcW w:w="0" w:type="dxa"/>
            <w:vAlign w:val="bottom"/>
          </w:tcPr>
          <w:p>
            <w:pPr>
              <w:spacing w:after="0"/>
              <w:rPr>
                <w:sz w:val="1"/>
                <w:szCs w:val="1"/>
                <w:color w:val="auto"/>
              </w:rPr>
            </w:pP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Average volatility</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16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table shows stock-based compensation expense included in the condensed consolidated statements of operations for the three and nine months ended September 30, 2017 and October 1, 2016:</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2520" w:type="dxa"/>
            <w:vAlign w:val="bottom"/>
          </w:tcPr>
          <w:p>
            <w:pPr>
              <w:spacing w:after="0"/>
              <w:rPr>
                <w:sz w:val="13"/>
                <w:szCs w:val="13"/>
                <w:color w:val="auto"/>
              </w:rPr>
            </w:pPr>
          </w:p>
        </w:tc>
        <w:tc>
          <w:tcPr>
            <w:tcW w:w="1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September 30, 2017</w:t>
            </w:r>
          </w:p>
        </w:tc>
        <w:tc>
          <w:tcPr>
            <w:tcW w:w="116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9"/>
              </w:rPr>
              <w:t>October 1, 2016</w:t>
            </w:r>
          </w:p>
        </w:tc>
        <w:tc>
          <w:tcPr>
            <w:tcW w:w="180" w:type="dxa"/>
            <w:vAlign w:val="bottom"/>
          </w:tcPr>
          <w:p>
            <w:pPr>
              <w:spacing w:after="0"/>
              <w:rPr>
                <w:sz w:val="13"/>
                <w:szCs w:val="13"/>
                <w:color w:val="auto"/>
              </w:rPr>
            </w:pPr>
          </w:p>
        </w:tc>
        <w:tc>
          <w:tcPr>
            <w:tcW w:w="14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September 30, 2017</w:t>
            </w:r>
          </w:p>
        </w:tc>
        <w:tc>
          <w:tcPr>
            <w:tcW w:w="116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w w:val="99"/>
              </w:rPr>
              <w:t>October 1, 2016</w:t>
            </w:r>
          </w:p>
        </w:tc>
        <w:tc>
          <w:tcPr>
            <w:tcW w:w="60" w:type="dxa"/>
            <w:vAlign w:val="bottom"/>
          </w:tcPr>
          <w:p>
            <w:pPr>
              <w:spacing w:after="0"/>
              <w:rPr>
                <w:sz w:val="13"/>
                <w:szCs w:val="13"/>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FF0FC"/>
          </w:tcPr>
          <w:p>
            <w:pPr>
              <w:spacing w:after="0"/>
              <w:rPr>
                <w:sz w:val="19"/>
                <w:szCs w:val="19"/>
                <w:color w:val="auto"/>
              </w:rPr>
            </w:pPr>
          </w:p>
        </w:tc>
      </w:tr>
      <w:tr>
        <w:trPr>
          <w:trHeight w:val="230"/>
        </w:trPr>
        <w:tc>
          <w:tcPr>
            <w:tcW w:w="2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60" w:type="dxa"/>
            <w:vAlign w:val="bottom"/>
            <w:tcBorders>
              <w:bottom w:val="single" w:sz="8" w:color="CFF0FC"/>
            </w:tcBorders>
          </w:tcPr>
          <w:p>
            <w:pPr>
              <w:spacing w:after="0"/>
              <w:rPr>
                <w:sz w:val="19"/>
                <w:szCs w:val="19"/>
                <w:color w:val="auto"/>
              </w:rPr>
            </w:pPr>
          </w:p>
        </w:tc>
      </w:tr>
      <w:tr>
        <w:trPr>
          <w:trHeight w:val="237"/>
        </w:trPr>
        <w:tc>
          <w:tcPr>
            <w:tcW w:w="25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1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0"/>
        </w:trPr>
        <w:tc>
          <w:tcPr>
            <w:tcW w:w="2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capitalized to inventory was immaterial for the nine months ended September 30, 2017 and October 1, 2016.</w:t>
      </w:r>
    </w:p>
    <w:p>
      <w:pPr>
        <w:spacing w:after="0" w:line="24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Occasionally, the Company will grant stock-based instruments to non-employees. During the nine months ended September 30, 2017 and October 1, 2016, the amount of stock-based compensation related to non-employee options was not material.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3" w:name="page14"/>
    <w:bookmarkEnd w:id="13"/>
    <w:p>
      <w:pPr>
        <w:ind w:left="520"/>
        <w:spacing w:after="0"/>
        <w:rPr>
          <w:sz w:val="20"/>
          <w:szCs w:val="20"/>
          <w:color w:val="auto"/>
        </w:rPr>
      </w:pPr>
      <w:r>
        <w:rPr>
          <w:rFonts w:ascii="Arial" w:cs="Arial" w:eastAsia="Arial" w:hAnsi="Arial"/>
          <w:sz w:val="17"/>
          <w:szCs w:val="17"/>
          <w:color w:val="auto"/>
        </w:rPr>
        <w:t>Information regarding stock options outstanding, vested, expected to vest, and exercisable as of September 30, 2017 is summarized below:</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60" w:type="dxa"/>
            <w:vAlign w:val="bottom"/>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828,526</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460" w:type="dxa"/>
            <w:vAlign w:val="bottom"/>
          </w:tcPr>
          <w:p>
            <w:pPr>
              <w:jc w:val="right"/>
              <w:spacing w:after="0"/>
              <w:rPr>
                <w:sz w:val="20"/>
                <w:szCs w:val="20"/>
                <w:color w:val="auto"/>
              </w:rPr>
            </w:pPr>
            <w:r>
              <w:rPr>
                <w:rFonts w:ascii="Arial" w:cs="Arial" w:eastAsia="Arial" w:hAnsi="Arial"/>
                <w:sz w:val="18"/>
                <w:szCs w:val="18"/>
                <w:color w:val="auto"/>
              </w:rPr>
              <w:t>743,785</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9.45</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5.30</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272,008</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September 30, 2017, that would have been received by option holders had all option holders exercised their stock options as of that date. This amount changes based on the fair market value of the Company’s common stock. The total intrinsic value of options exercised for the three months ended September 30, 2017 and October 1, 2016 was approximately $31 thousand and $187 thousand, respectively, and the nine months ended September 30, 2017 and October 1, 2016 was approximately $328 thousand and $735 thousand, respectively.</w:t>
      </w:r>
    </w:p>
    <w:p>
      <w:pPr>
        <w:spacing w:after="0" w:line="200" w:lineRule="exact"/>
        <w:rPr>
          <w:sz w:val="20"/>
          <w:szCs w:val="20"/>
          <w:color w:val="auto"/>
        </w:rPr>
      </w:pPr>
    </w:p>
    <w:p>
      <w:pPr>
        <w:spacing w:after="0" w:line="204"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As of September 30, 2017, there was $3.9 million of total unrecognized compensation cost, net of expected forfeitures, related to non-vested stock-based compensation arrangements under the Incentive Plan. The cost is expected to be recognized over a weighted average period of 3.41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Units and Awards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restricted stock units (“RSUs”) activity for the nine months ended September 30, 2017 is summarized below:</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granted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September 30, 2017</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335,805</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112,391</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(67,197)</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(30,789)</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350,210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31750</wp:posOffset>
            </wp:positionV>
            <wp:extent cx="12007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720"/>
            <w:col w:w="3600"/>
          </w:cols>
          <w:pgMar w:left="240" w:top="584" w:right="259" w:bottom="1440" w:gutter="0" w:footer="0" w:header="0"/>
          <w:type w:val="continuous"/>
        </w:sectPr>
      </w:pPr>
    </w:p>
    <w:p>
      <w:pPr>
        <w:spacing w:after="0" w:line="93"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During the nine months ended September 30, 2017, the Company awarded 112,391 restricted stock units at a weighted-average grant date fair value of $11.28 per share.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RSUs granted with market conditions are valued using the Monte Carlo simulation model and compensation expense is recognized ratably during the service period even if the market condition is not satisfied. To the extent that the market condition is not met, the RSUs will not vest and will be cancelled. No RSUs with market conditions were granted during the nine months ended September 30, 2017.</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RSUs granted with performance conditions are valued at the grant date fair value of the underlying common shares. The Company makes a determination regarding the probability of the performance criteria being achieved and compensation expense is recognized ratably over the vesting period, if it is expected that the performance criteria will be met.</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Information regarding the RSUs granted with performance conditions activity for the nine months ended September 30, 2017 is summarized below:</w:t>
      </w:r>
    </w:p>
    <w:p>
      <w:pPr>
        <w:sectPr>
          <w:pgSz w:w="11900" w:h="16838" w:orient="portrait"/>
          <w:cols w:equalWidth="0" w:num="1">
            <w:col w:w="11400"/>
          </w:cols>
          <w:pgMar w:left="240" w:top="584" w:right="25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awards granted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awards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September 30, 2017</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1,289</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4,301</w:t>
      </w:r>
    </w:p>
    <w:p>
      <w:pPr>
        <w:spacing w:after="0" w:line="23"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(1,289)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14605</wp:posOffset>
            </wp:positionV>
            <wp:extent cx="11664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14605</wp:posOffset>
            </wp:positionV>
            <wp:extent cx="11664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31750</wp:posOffset>
            </wp:positionV>
            <wp:extent cx="11664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20" w:space="720"/>
            <w:col w:w="3560"/>
          </w:cols>
          <w:pgMar w:left="240" w:top="584" w:right="25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type w:val="continuous"/>
        </w:sectPr>
      </w:pPr>
    </w:p>
    <w:bookmarkStart w:id="14" w:name="page15"/>
    <w:bookmarkEnd w:id="14"/>
    <w:p>
      <w:pPr>
        <w:ind w:right="280" w:firstLine="518"/>
        <w:spacing w:after="0" w:line="277" w:lineRule="auto"/>
        <w:rPr>
          <w:sz w:val="20"/>
          <w:szCs w:val="20"/>
          <w:color w:val="auto"/>
        </w:rPr>
      </w:pPr>
      <w:r>
        <w:rPr>
          <w:rFonts w:ascii="Arial" w:cs="Arial" w:eastAsia="Arial" w:hAnsi="Arial"/>
          <w:sz w:val="18"/>
          <w:szCs w:val="18"/>
          <w:color w:val="auto"/>
        </w:rPr>
        <w:t>During the nine months ended September 30, 2017, the Company awarded 4,301 RSUs granted with performance conditions at a weighted-average grant date fair value of $9.30 per share.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117" w:lineRule="exact"/>
        <w:rPr>
          <w:sz w:val="20"/>
          <w:szCs w:val="20"/>
          <w:color w:val="auto"/>
        </w:rPr>
      </w:pPr>
    </w:p>
    <w:p>
      <w:pPr>
        <w:ind w:right="60" w:firstLine="518"/>
        <w:spacing w:after="0" w:line="262"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$23 thousand and an income tax benefit of $674 thousand for the nine months ended September 30, 2017 and October 1, 2016,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7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The Company accounts for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fourth quarter of fiscal year 2016, based on the Company’s recent history of earnings and its forecasted losses, management believes on the more likely than not basis that a full valuation allowance is required. Accordingly, in the fourth quarter of fiscal year 2016, the company provided a full valuation allowance on its federal and states deferred tax assets.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The Company accounts for its uncertain tax positions in accordance with ASC 740. As of December 31, 2016, the Company had $1.0 million of unrecognized tax benefits none of unrecognized tax benefits would result in a change in the Company’s effective tax rate if recognized in future years.</w:t>
      </w:r>
    </w:p>
    <w:p>
      <w:pPr>
        <w:spacing w:after="0" w:line="124"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Computation of Basic and Diluted Net Loss Per Common Share</w:t>
      </w:r>
    </w:p>
    <w:p>
      <w:pPr>
        <w:spacing w:after="0" w:line="229" w:lineRule="exact"/>
        <w:rPr>
          <w:sz w:val="20"/>
          <w:szCs w:val="20"/>
          <w:color w:val="auto"/>
        </w:rPr>
      </w:pPr>
    </w:p>
    <w:p>
      <w:pPr>
        <w:ind w:right="120" w:firstLine="761"/>
        <w:spacing w:after="0" w:line="276" w:lineRule="auto"/>
        <w:rPr>
          <w:sz w:val="20"/>
          <w:szCs w:val="20"/>
          <w:color w:val="auto"/>
        </w:rPr>
      </w:pPr>
      <w:r>
        <w:rPr>
          <w:rFonts w:ascii="Arial" w:cs="Arial" w:eastAsia="Arial" w:hAnsi="Arial"/>
          <w:sz w:val="17"/>
          <w:szCs w:val="17"/>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restricted stock units and awards and are calculated under the treasury stock method. Common stock equivalent shares from unexercised stock options, and unvested restricted stock units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173" w:lineRule="exact"/>
        <w:rPr>
          <w:sz w:val="20"/>
          <w:szCs w:val="20"/>
          <w:color w:val="auto"/>
        </w:rPr>
      </w:pPr>
    </w:p>
    <w:p>
      <w:pPr>
        <w:ind w:right="380" w:firstLine="761"/>
        <w:spacing w:after="0" w:line="308" w:lineRule="auto"/>
        <w:rPr>
          <w:sz w:val="20"/>
          <w:szCs w:val="20"/>
          <w:color w:val="auto"/>
        </w:rPr>
      </w:pPr>
      <w:r>
        <w:rPr>
          <w:rFonts w:ascii="Arial" w:cs="Arial" w:eastAsia="Arial" w:hAnsi="Arial"/>
          <w:sz w:val="17"/>
          <w:szCs w:val="17"/>
          <w:color w:val="auto"/>
        </w:rPr>
        <w:t>For the nine months ended September 30, 2017 and October 1, 2016, stock options, RSUs, and Restricted Stock Awards (“RSAs”) to purchase 1,178,736 and 799,480 shares, respectively, were excluded from the computation of diluted weighted average shares outstanding.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200" w:lineRule="exact"/>
        <w:rPr>
          <w:sz w:val="20"/>
          <w:szCs w:val="20"/>
          <w:color w:val="auto"/>
        </w:rPr>
      </w:pP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0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October 1,</w:t>
            </w:r>
          </w:p>
        </w:tc>
        <w:tc>
          <w:tcPr>
            <w:tcW w:w="10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October 1,</w:t>
            </w:r>
          </w:p>
        </w:tc>
        <w:tc>
          <w:tcPr>
            <w:tcW w:w="0" w:type="dxa"/>
            <w:vAlign w:val="bottom"/>
          </w:tcPr>
          <w:p>
            <w:pPr>
              <w:spacing w:after="0"/>
              <w:rPr>
                <w:sz w:val="1"/>
                <w:szCs w:val="1"/>
                <w:color w:val="auto"/>
              </w:rPr>
            </w:pPr>
          </w:p>
        </w:tc>
      </w:tr>
      <w:tr>
        <w:trPr>
          <w:trHeight w:val="171"/>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48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(3,096)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(671)</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(7,712)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Weighted average shares of common</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(basic)</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11,569</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10,129</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11,544</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Effect of dilutive preferred shares</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FF0FC"/>
          </w:tcPr>
          <w:p>
            <w:pPr>
              <w:ind w:left="740"/>
              <w:spacing w:after="0" w:line="195" w:lineRule="exact"/>
              <w:rPr>
                <w:sz w:val="20"/>
                <w:szCs w:val="20"/>
                <w:color w:val="auto"/>
              </w:rPr>
            </w:pPr>
            <w:r>
              <w:rPr>
                <w:rFonts w:ascii="Arial" w:cs="Arial" w:eastAsia="Arial" w:hAnsi="Arial"/>
                <w:sz w:val="18"/>
                <w:szCs w:val="18"/>
                <w:color w:val="auto"/>
              </w:rPr>
              <w:t>Weighted average shares of</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common stock (diluted)</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11,569</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10,129</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11,544</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 net loss per share</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Diluted net loss per share</w:t>
            </w: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200" w:lineRule="exact"/>
        <w:rPr>
          <w:sz w:val="20"/>
          <w:szCs w:val="20"/>
          <w:color w:val="auto"/>
        </w:rPr>
      </w:pP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360" w:type="dxa"/>
            <w:vAlign w:val="bottom"/>
            <w:gridSpan w:val="7"/>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280" w:type="dxa"/>
            <w:vAlign w:val="bottom"/>
            <w:vMerge w:val="restart"/>
          </w:tcPr>
          <w:p>
            <w:pPr>
              <w:spacing w:after="0"/>
              <w:rPr>
                <w:sz w:val="20"/>
                <w:szCs w:val="20"/>
                <w:color w:val="auto"/>
              </w:rPr>
            </w:pPr>
            <w:r>
              <w:rPr>
                <w:rFonts w:ascii="Arial" w:cs="Arial" w:eastAsia="Arial" w:hAnsi="Arial"/>
                <w:sz w:val="18"/>
                <w:szCs w:val="18"/>
                <w:color w:val="auto"/>
              </w:rPr>
              <w:t>United States</w:t>
            </w: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1, 2016</w:t>
            </w: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1, 2016</w:t>
            </w:r>
          </w:p>
        </w:tc>
        <w:tc>
          <w:tcPr>
            <w:tcW w:w="0" w:type="dxa"/>
            <w:vAlign w:val="bottom"/>
          </w:tcPr>
          <w:p>
            <w:pPr>
              <w:spacing w:after="0"/>
              <w:rPr>
                <w:sz w:val="1"/>
                <w:szCs w:val="1"/>
                <w:color w:val="auto"/>
              </w:rPr>
            </w:pPr>
          </w:p>
        </w:tc>
      </w:tr>
      <w:tr>
        <w:trPr>
          <w:trHeight w:val="223"/>
        </w:trPr>
        <w:tc>
          <w:tcPr>
            <w:tcW w:w="2280" w:type="dxa"/>
            <w:vAlign w:val="bottom"/>
            <w:vMerge w:val="continue"/>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6,294</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20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17,880</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Rest of Americas</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Asia/Pacific Rim</w:t>
            </w: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9,789</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Revenues are attributed to countries based on location of end customers. No individual country accounted for more than 10% of the Company’s revenues, other than the United States. United States accounted for 57.9% and 60.0% of revenues for the three month periods ended September 30, 2017 and October 1, 2016, respectively. For the nine month period ended September 30, 2017 and October 1, 2016, the United States accounted for 57.0% and 55.4% of sales, respectively. International sales, other than the United States, accounted for 42.1% and 40.0% of revenues for the three month periods ended September 30, 2017 and October 1, 2016, respectively. For nine month period ended September 30, 2017 and October 1, 2016, International sales, other than the United States, accounted for 43.0% and 44.6% of sales,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has evaluated subsequent events and has concluded that no subsequent events that require disclosure in the financial statements have occurred since the quarter ended September 30, 2017.</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29"/>
        <w:spacing w:after="0" w:line="218" w:lineRule="exact"/>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as amended, and Section 21E of the Securities Exchange Act of 1934, as amended. These statements are based on management’s beliefs and assumptions and on information currently available to management. These statements include statements concerning future demand and order levels for the Company's products, future operating expenses, changes in personnel, product development and intellectual property related matters, the adoption and effect of Company products on its results, the markets in which the Company operates, usage and efficacy of the Company's products, the Company’s future financial results, the impact of the Company’s adoption of new or revised accounting standards, and the Company's strategic plans and objectives. In some cases, forward-looking statements can be identified by terminology, such as “may,” “will,” “should,” “expects,” “plans,” “anticipates,” “believes,” “estimates,” “predicts,” “intends,” “potential,” “continue,” or the negative of such terms or other comparable terminology, although not all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contain these words.</w:t>
      </w:r>
    </w:p>
    <w:p>
      <w:pPr>
        <w:spacing w:after="0" w:line="204" w:lineRule="exact"/>
        <w:rPr>
          <w:sz w:val="20"/>
          <w:szCs w:val="20"/>
          <w:color w:val="auto"/>
        </w:rPr>
      </w:pPr>
    </w:p>
    <w:p>
      <w:pPr>
        <w:ind w:right="20" w:firstLine="629"/>
        <w:spacing w:after="0" w:line="255" w:lineRule="auto"/>
        <w:rPr>
          <w:sz w:val="20"/>
          <w:szCs w:val="20"/>
          <w:color w:val="auto"/>
        </w:rPr>
      </w:pPr>
      <w:r>
        <w:rPr>
          <w:rFonts w:ascii="Arial" w:cs="Arial" w:eastAsia="Arial" w:hAnsi="Arial"/>
          <w:sz w:val="18"/>
          <w:szCs w:val="18"/>
          <w:i w:val="1"/>
          <w:iCs w:val="1"/>
          <w:color w:val="auto"/>
        </w:rPr>
        <w:t>These statements involve known and unknown risks, uncertainties and other factors which may cause our actual results, performance or achievements to differ materially from those expressed or implied by such forward-looking statements. The reader is strongly urged to read the information contained under Item 1A of Part II of this Quarterly Report on Form 10-Q for a more detailed description of these significant risks and uncertainties. The reader is cautioned not to place undue reliance on these forward-looking statements, which reflect management’s analysis only as of the date of this Quarterly Report on Form 10-Q. We undertake no obligation to update such forward-looking statements to reflect events or circumstances occurring after the date of this report.</w:t>
      </w:r>
    </w:p>
    <w:p>
      <w:pPr>
        <w:spacing w:after="0" w:line="193" w:lineRule="exact"/>
        <w:rPr>
          <w:sz w:val="20"/>
          <w:szCs w:val="20"/>
          <w:color w:val="auto"/>
        </w:rPr>
      </w:pPr>
    </w:p>
    <w:p>
      <w:pPr>
        <w:ind w:right="340" w:firstLine="629"/>
        <w:spacing w:after="0" w:line="277" w:lineRule="auto"/>
        <w:rPr>
          <w:sz w:val="20"/>
          <w:szCs w:val="20"/>
          <w:color w:val="auto"/>
        </w:rPr>
      </w:pPr>
      <w:r>
        <w:rPr>
          <w:rFonts w:ascii="Arial" w:cs="Arial" w:eastAsia="Arial" w:hAnsi="Arial"/>
          <w:sz w:val="18"/>
          <w:szCs w:val="18"/>
          <w:i w:val="1"/>
          <w:iCs w:val="1"/>
          <w:color w:val="auto"/>
        </w:rPr>
        <w:t>As used in this Quarterly Report on Form 10-Q, the terms “Company,” “IRIDEX,” “we,” “us” and “our” refer to IRIDEX Corporation,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32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225" w:lineRule="exact"/>
        <w:rPr>
          <w:rFonts w:ascii="Arial" w:cs="Arial" w:eastAsia="Arial" w:hAnsi="Arial"/>
          <w:sz w:val="18"/>
          <w:szCs w:val="18"/>
          <w:color w:val="auto"/>
        </w:rPr>
      </w:pPr>
    </w:p>
    <w:p>
      <w:pPr>
        <w:ind w:left="900" w:right="580" w:hanging="325"/>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161" w:lineRule="exact"/>
        <w:rPr>
          <w:rFonts w:ascii="Arial" w:cs="Arial" w:eastAsia="Arial" w:hAnsi="Arial"/>
          <w:sz w:val="18"/>
          <w:szCs w:val="18"/>
          <w:color w:val="auto"/>
        </w:rPr>
      </w:pPr>
    </w:p>
    <w:p>
      <w:pPr>
        <w:jc w:val="both"/>
        <w:ind w:left="900" w:right="40" w:hanging="325"/>
        <w:spacing w:after="0" w:line="26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 GLx</w:t>
      </w:r>
      <w:r>
        <w:rPr>
          <w:rFonts w:ascii="Arial" w:cs="Arial" w:eastAsia="Arial" w:hAnsi="Arial"/>
          <w:sz w:val="18"/>
          <w:szCs w:val="18"/>
          <w:b w:val="1"/>
          <w:bCs w:val="1"/>
          <w:color w:val="auto"/>
        </w:rPr>
        <w:t xml:space="preserve"> </w:t>
      </w:r>
      <w:r>
        <w:rPr>
          <w:rFonts w:ascii="Arial" w:cs="Arial" w:eastAsia="Arial" w:hAnsi="Arial"/>
          <w:sz w:val="18"/>
          <w:szCs w:val="18"/>
          <w:color w:val="auto"/>
        </w:rPr>
        <w:t>laser photocoagulation systems. These systems are often used in vitrectomy procedures, which are used to treat proliferative diabetic retinopathy, macular holes, retinal tears and detachments.</w:t>
      </w:r>
    </w:p>
    <w:p>
      <w:pPr>
        <w:spacing w:after="0" w:line="180"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 (“MP3”) probe and G-Probe;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products are sold in the United States predominantly through a direct sales force and internationally primarily through independent distributors.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recently established direct sales capabilities in Germany.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 w:name="page18"/>
    <w:bookmarkEnd w:id="17"/>
    <w:p>
      <w:pPr>
        <w:ind w:right="160" w:firstLine="518"/>
        <w:spacing w:after="0" w:line="257"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will be denominated in Euros and will be subject to risks associated with the currency fluctuations.</w:t>
      </w:r>
    </w:p>
    <w:p>
      <w:pPr>
        <w:spacing w:after="0" w:line="188"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14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24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4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1240" w:type="dxa"/>
            <w:vAlign w:val="bottom"/>
            <w:tcBorders>
              <w:top w:val="single" w:sz="8" w:color="auto"/>
            </w:tcBorders>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top w:val="single" w:sz="8" w:color="auto"/>
            </w:tcBorders>
          </w:tcPr>
          <w:p>
            <w:pPr>
              <w:jc w:val="right"/>
              <w:ind w:right="32"/>
              <w:spacing w:after="0" w:line="133" w:lineRule="exact"/>
              <w:rPr>
                <w:sz w:val="20"/>
                <w:szCs w:val="20"/>
                <w:color w:val="auto"/>
              </w:rPr>
            </w:pPr>
            <w:r>
              <w:rPr>
                <w:rFonts w:ascii="Arial" w:cs="Arial" w:eastAsia="Arial" w:hAnsi="Arial"/>
                <w:sz w:val="14"/>
                <w:szCs w:val="14"/>
                <w:b w:val="1"/>
                <w:bCs w:val="1"/>
                <w:color w:val="auto"/>
              </w:rPr>
              <w:t>October 1,</w:t>
            </w:r>
          </w:p>
        </w:tc>
        <w:tc>
          <w:tcPr>
            <w:tcW w:w="340" w:type="dxa"/>
            <w:vAlign w:val="bottom"/>
          </w:tcPr>
          <w:p>
            <w:pPr>
              <w:spacing w:after="0"/>
              <w:rPr>
                <w:sz w:val="11"/>
                <w:szCs w:val="11"/>
                <w:color w:val="auto"/>
              </w:rPr>
            </w:pPr>
          </w:p>
        </w:tc>
        <w:tc>
          <w:tcPr>
            <w:tcW w:w="1240" w:type="dxa"/>
            <w:vAlign w:val="bottom"/>
            <w:tcBorders>
              <w:top w:val="single" w:sz="8" w:color="auto"/>
            </w:tcBorders>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top w:val="single" w:sz="8" w:color="auto"/>
            </w:tcBorders>
          </w:tcPr>
          <w:p>
            <w:pPr>
              <w:jc w:val="right"/>
              <w:ind w:right="52"/>
              <w:spacing w:after="0" w:line="133"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Cost of revenues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56.6%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vMerge w:val="continue"/>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43.4%</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12.8%</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24.3%</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19.0%</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Gain on sale of intangible assets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vMerge w:val="continue"/>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56.1%</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vMerge w:val="continue"/>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w w:val="95"/>
              </w:rPr>
              <w:t>Loss from operations before provision for</w:t>
            </w: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w w:val="97"/>
              </w:rPr>
              <w:t>Provision for (benefit from) income taxes</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vMerge w:val="continue"/>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three month periods ended September 30, 2017 and October 1,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3"/>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vMerge w:val="restart"/>
          </w:tcPr>
          <w:p>
            <w:pPr>
              <w:spacing w:after="0"/>
              <w:rPr>
                <w:sz w:val="20"/>
                <w:szCs w:val="20"/>
                <w:color w:val="auto"/>
              </w:rPr>
            </w:pPr>
            <w:r>
              <w:rPr>
                <w:rFonts w:ascii="Arial" w:cs="Arial" w:eastAsia="Arial" w:hAnsi="Arial"/>
                <w:sz w:val="18"/>
                <w:szCs w:val="18"/>
                <w:color w:val="auto"/>
              </w:rPr>
              <w:t>Systems – domestic</w:t>
            </w: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September 30, 2017</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7"/>
              </w:rPr>
              <w:t>October 1, 2016</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 in $</w:t>
            </w:r>
          </w:p>
        </w:tc>
        <w:tc>
          <w:tcPr>
            <w:tcW w:w="280" w:type="dxa"/>
            <w:vAlign w:val="bottom"/>
          </w:tcPr>
          <w:p>
            <w:pPr>
              <w:spacing w:after="0"/>
              <w:rPr>
                <w:sz w:val="14"/>
                <w:szCs w:val="14"/>
                <w:color w:val="auto"/>
              </w:rPr>
            </w:pPr>
          </w:p>
        </w:tc>
        <w:tc>
          <w:tcPr>
            <w:tcW w:w="16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 in %</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2,497</w:t>
            </w:r>
          </w:p>
        </w:tc>
        <w:tc>
          <w:tcPr>
            <w:tcW w:w="3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2,227</w:t>
            </w:r>
          </w:p>
        </w:tc>
        <w:tc>
          <w:tcPr>
            <w:tcW w:w="3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9"/>
                <w:szCs w:val="19"/>
                <w:color w:val="auto"/>
              </w:rPr>
            </w:pP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Systems – international</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2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Recurring revenues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5,382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5,432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18</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18" w:name="page19"/>
    <w:bookmarkEnd w:id="18"/>
    <w:p>
      <w:pPr>
        <w:ind w:right="180" w:firstLine="518"/>
        <w:spacing w:after="0" w:line="297" w:lineRule="auto"/>
        <w:rPr>
          <w:sz w:val="20"/>
          <w:szCs w:val="20"/>
          <w:color w:val="auto"/>
        </w:rPr>
      </w:pPr>
      <w:r>
        <w:rPr>
          <w:rFonts w:ascii="Arial" w:cs="Arial" w:eastAsia="Arial" w:hAnsi="Arial"/>
          <w:sz w:val="16"/>
          <w:szCs w:val="16"/>
          <w:color w:val="auto"/>
        </w:rPr>
        <w:t>Our total revenues increased $1.1 million, or 11.0%, from $9.8 million to $10.9 million for the third quarter of fiscal year 2017. The increase is due mainly to the increase in our international system sales, which increased by $0.9 million or 40.2%, from $2.1 million to $3.0 million. Our domestic system sales increased by $0.3 million, or 12.1%, from $2.2 million to $2.5 million. The increase in our system sales was realized mainly in our medical retina products and to a lesser extent, in our surgical retina products. Our recurring revenues decreased $0.1 million, or 0.9%, from $5.43 million to $5.38 million which was driven primarily by a decrease in sales of our legacy probes which was partially offset by an increase in sales of our G6 related probes.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Gross profit was $4.4 million compared with $4.2 million, an increase of $0.1 million. Gross margin was 40.2% compared with 43.4%, a decrease of 3.1 percentage points. The decrease in gross margin was attributable primarily to an unfavorable shift to lower margin products due to product and geographic mix and an increase in manufacturing variances, partially offset by a decrease in manufacturing overhead spending.</w:t>
      </w:r>
    </w:p>
    <w:p>
      <w:pPr>
        <w:spacing w:after="0" w:line="166"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proportions of domestic and international sales, the product mix of sales, introduction of new products, manufacturing variances, total unit volume changes that lead to greater or lesser production efficiencies and other factors.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300" w:firstLine="761"/>
        <w:spacing w:after="0" w:line="277" w:lineRule="auto"/>
        <w:rPr>
          <w:sz w:val="20"/>
          <w:szCs w:val="20"/>
          <w:color w:val="auto"/>
        </w:rPr>
      </w:pPr>
      <w:r>
        <w:rPr>
          <w:rFonts w:ascii="Arial" w:cs="Arial" w:eastAsia="Arial" w:hAnsi="Arial"/>
          <w:sz w:val="18"/>
          <w:szCs w:val="18"/>
          <w:color w:val="auto"/>
        </w:rPr>
        <w:t>Research and development (“R&amp;D”) expenses increased by $0.2 million, or 13.7%, from $1.3 million to $1.4 million. The increase in spending was mainly attributable to increases in bonus expense, stock compensation charges, and other general engineering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Sales and marketing expenses increased $1.4 million, or 58.5%, from $2.4 million to $3.8 million. The increase in spending was attributable to an increase in salaries and related costs due to an increase in headcount, commission expense, and other general selling and marketing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General and administrative expenses increased $0.6 million, or 30.4%, from $1.9 million to $2.4 million. The increase in spending was attributable to an increase in severance costs, an increase in salaries and related costs due to an increase in headcount, and an increase in other public company reporting and compliance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intellectual property.</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August 2017, we closed the sale of certain intellectual property assets. Proceeds from the sale were $175 thousand.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Other expense, net amounted to $16 thousand and $51 thousand, respectively and consisted primarily of the change in expense associated with the re-measurement of the contingent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$9 thousand and a benefit of $627 thousand, respectively.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color w:val="auto"/>
        </w:rPr>
        <w:t>The following comparisons are between the nine month periods ended September 30, 2017 and October 1,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600" w:type="dxa"/>
            <w:vAlign w:val="bottom"/>
          </w:tcPr>
          <w:p>
            <w:pPr>
              <w:jc w:val="right"/>
              <w:ind w:right="196"/>
              <w:spacing w:after="0"/>
              <w:rPr>
                <w:sz w:val="20"/>
                <w:szCs w:val="20"/>
                <w:color w:val="auto"/>
              </w:rPr>
            </w:pPr>
            <w:r>
              <w:rPr>
                <w:rFonts w:ascii="Arial" w:cs="Arial" w:eastAsia="Arial" w:hAnsi="Arial"/>
                <w:sz w:val="14"/>
                <w:szCs w:val="14"/>
                <w:b w:val="1"/>
                <w:bCs w:val="1"/>
                <w:color w:val="auto"/>
                <w:w w:val="99"/>
              </w:rPr>
              <w:t>Nine Months Ended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8"/>
                <w:szCs w:val="18"/>
                <w:color w:val="auto"/>
              </w:rPr>
              <w:t>Systems – domestic</w:t>
            </w: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7"/>
              </w:rPr>
              <w:t>September 30, 2017</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October 1, 2016</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Change in $</w:t>
            </w:r>
          </w:p>
        </w:tc>
        <w:tc>
          <w:tcPr>
            <w:tcW w:w="300" w:type="dxa"/>
            <w:vAlign w:val="bottom"/>
          </w:tcPr>
          <w:p>
            <w:pPr>
              <w:spacing w:after="0"/>
              <w:rPr>
                <w:sz w:val="14"/>
                <w:szCs w:val="14"/>
                <w:color w:val="auto"/>
              </w:rPr>
            </w:pP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 in %</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6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6,463</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7,415</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(952)</w:t>
            </w:r>
          </w:p>
        </w:tc>
        <w:tc>
          <w:tcPr>
            <w:tcW w:w="300" w:type="dxa"/>
            <w:vAlign w:val="bottom"/>
          </w:tcPr>
          <w:p>
            <w:pPr>
              <w:spacing w:after="0"/>
              <w:rPr>
                <w:sz w:val="19"/>
                <w:szCs w:val="19"/>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Systems – international</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(1,164)</w:t>
            </w:r>
          </w:p>
        </w:tc>
        <w:tc>
          <w:tcPr>
            <w:tcW w:w="2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Recurring revenues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16,465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16,627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(162)</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31,350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total revenues decreased $2.3 million, or 6.8%, from $33.6 million to $31.3 million for the first nine months of fiscal year 2017. The decrease is due mainly to a decrease in our international system sales, which decreased by $1.2 million or 12.1%, from $9.6 million to $8.4 million and to a decrease in our domestic system sales, which decreased by $1.0 million, or 12.8%, from $7.4 million to $6.5 million. The decrease in our system sales was realized in our surgical retina and glaucoma products, partially offset by an increase in our medical retina products. Our recurring revenues decreased $0.2 million, or 1.0%, from $16.6 million to $16.5 million which was driven primarily by a decrease in sales of our legacy probes which was partially offset by an increase in sales of our G6 related probes.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Gross profit was $13.3 million compared with $15.3 million, a decrease of $1.9 million. Gross margin was 42.5% compared with 45.4%, a decrease of 2.9 percentage points. The decrease in gross margin was attributable primarily to lower manufacturing overhead absorption due to the decrease in revenues, an increase in manufacturing variances and an increase in manufacturing overhead spending, partially offset by an increase in direct margins primarily as a result of a favorable shift to higher margin products due to product and geographic mix.</w:t>
      </w:r>
    </w:p>
    <w:p>
      <w:pPr>
        <w:spacing w:after="0" w:line="18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Gross margins are expected to fluctuate due to changes in the relative proportions of domestic and international sales, the product mix of sales, introduction of new products, manufacturing variances, total unit volume changes that lead to greater or lesser production efficiencies and a variety of other factors.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firstLine="761"/>
        <w:spacing w:after="0" w:line="286" w:lineRule="auto"/>
        <w:rPr>
          <w:sz w:val="20"/>
          <w:szCs w:val="20"/>
          <w:color w:val="auto"/>
        </w:rPr>
      </w:pPr>
      <w:r>
        <w:rPr>
          <w:rFonts w:ascii="Arial" w:cs="Arial" w:eastAsia="Arial" w:hAnsi="Arial"/>
          <w:sz w:val="17"/>
          <w:szCs w:val="17"/>
          <w:color w:val="auto"/>
        </w:rPr>
        <w:t>Research and development (“R&amp;D”) expenses increased by $0.4 million, or 11.1%, from $4.0 million to $4.5 million. The increase in spending was mainly attributable to increases in salaries and related costs due to an increase in headcount, bonus expense, stock compensation charges and other general engineering expenses, partially offset by a decrease in consumption of development project materials.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Sales and marketing expenses increased $3.1 million, or 43.5%, from $7.2 million to $10.3 million. The increase in spending was attributable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increases in salaries and related costs due to an increase in headcount, commission expense, recruiting fees, and other general selling and marketing expenses.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General and administrative expenses increased $0.8 million, or 15.0%, from $5.5 million to $6.4 million. The increase in spending was attributable to increases in salaries and related costs due to an increase in headcount, audit and tax expense, and other public company reporting and compliance expenses, partially offset by a decrease in termination and severance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intellectual property.</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August 2017, we closed the sale of certain intellectual property assets. Proceeds from the sale were $175 thousand.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Other expense, net amounted to $19 thousand and $83 thousand, respectively and consisted primarily of the change in expense associated with the re-measurement of contingent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$23 thousand and a benefit of $674 thousand,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As of September 30, 2017, we had cash and cash equivalents of $22.8 million and working capital of $33.8 million compared to cash and cash equivalents of $23.7 million and working capital of $37.4 million as of December 31, 2016.</w:t>
      </w:r>
    </w:p>
    <w:p>
      <w:pPr>
        <w:spacing w:after="0" w:line="17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For the nine months ended September 30, 2017, net cash used in operating activities was $2.6 million, primarily as a result of the net loss of $7.7 million, partially offset by non-cash items and changes in assets and liabilities. The non-cash items primarily consisted of stock-based compensation expense of $1.4 million and depreciation and amortization expense of $0.7 million. The net cash inflow from changes in assets and liabilities was primarily due to a decrease in accounts receivable of $2.6 million due to improved collections and a decrease in inventory of $1.0 million due to an increase in sales. These inflows were partially offset by a decrease in accrued expenses of $0.3 million, an increase in prepaid expenses of $0.2 million and a decrease in accounts payable of $0.1 million.</w:t>
      </w:r>
    </w:p>
    <w:p>
      <w:pPr>
        <w:spacing w:after="0" w:line="193"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For the nine months ended September 30, 2017, net cash used in investing activities was $0.7 million, which consisted of capital expenditures of $0.5 million for property and equipment and payment on the contingent earn-out liability of $0.3 million, which was partially offset by net proceeds on the sale of certain intellectual property of $0.2 million.</w:t>
      </w:r>
    </w:p>
    <w:p>
      <w:pPr>
        <w:spacing w:after="0" w:line="181"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For the nine months ended September 30, 2017, net cash provided by financing activities was $2.3 million, which consisted of $2.3 million net proceeds arising from the issuance of common stock, $0.3 million from exercises of stock options, partially offset by $0.3 million to pay for the net share settlement of equity awards and the related payroll taxes.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existing cash and cash equivalents will be sufficient to meet our anticipated cash needs over the next 12 months.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commitments as of September 30,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4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Less than 1 Year</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1-3 years</w:t>
            </w: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 payments</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4,019</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Purchase commitments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7,432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obligations</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lease commitments consist primarily of our facility lease and various office and computer equipment leases.</w:t>
      </w:r>
    </w:p>
    <w:p>
      <w:pPr>
        <w:spacing w:after="0" w:line="225"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IRIDEX Corporation was incorporated in California in February 1989 as IRIS Medical Instruments, Inc. In November 1995, we changed our name to IRIDEX Corporation and reincorporated in Delaware. Our executive offices are located at 1212 Terra Bella Avenue, Mountain View, California 94043-1824, and our telephone number is (650) 940-4700. We can also be reached at our website at www.IRIDEX.com. 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our company to review the information we post on our Facebook page (www.facebook.com/IRIDEX) and Twitter feed (https://twitter.com/IRIDEX). Any information on, or that can be accessed through, our website and social media channels is not part of this report.</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ind w:right="40" w:firstLine="761"/>
        <w:spacing w:after="0" w:line="271"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due to adverse changes in financial and commodity market prices and rates. Our international revenues and costs for the nine months ended September 30, 2017 were primarily denominated in U.S. dollars and therefore changes in foreign currency rates will not have an impact on our income statement or cash flows. However, increases in the value of the U.S. dollars against any local currencies could cause our products to become relatively more expensive to customers in a particular country or region, leading to reduced revenue or profitability in that country or region. As we continue to expand our international sales, our non-U.S. dollar denominated revenue and our exposure to gains and losses on international currency transactions may increase. Sales to direct end users transacted through our German office are denominated in Euros and will be subject to risks associated with the currency fluctuations. We currently do not engage in transactions to hedge against the risk of the currency fluctuation, but we may do so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Our exposure to interest rate risk as of September 30, 2017 is related to our cash equivalent holdings, which is not material given the nature of our cash equivalent holdings. Since we have no fixed or variable interest rate debt outstanding, our interest expense is not affected by changes in interest rates. In the event we issue any new variable-rate debt in the future, increases in interest rates would increase the interest expense associated with the debt.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Chief Executive Officer and our Chief Financial Officer, of the effectiveness of the design and operation of our disclosure controls and procedures as of September 30, 2017.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In addition to the other information contained in this Quarterly Report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181"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i w:val="1"/>
          <w:iCs w:val="1"/>
          <w:color w:val="auto"/>
        </w:rPr>
        <w:t>If applicable, we have marked with an asterisk (*) those risk factors below that reflect substantive changes to the text of the risk factors included in our Annual Report on Form 10-K for the year ended December 31, 2016, which was filed with the SEC on March 15, 2017.</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337" w:lineRule="exact"/>
        <w:rPr>
          <w:sz w:val="20"/>
          <w:szCs w:val="20"/>
          <w:color w:val="auto"/>
        </w:rPr>
      </w:pPr>
    </w:p>
    <w:p>
      <w:pPr>
        <w:jc w:val="both"/>
        <w:ind w:right="180" w:firstLine="488"/>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jc w:val="both"/>
        <w:ind w:right="180" w:firstLine="488"/>
        <w:spacing w:after="0" w:line="264"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assemble critical subassemblies and substantially all of our final products at our facility in Mountain View, California. We may experience manufacturing difficulties, quality control issues or assembly constraints, particularly with regard to new products that we may introduce.</w:t>
      </w:r>
    </w:p>
    <w:p>
      <w:pPr>
        <w:spacing w:after="0" w:line="208" w:lineRule="exact"/>
        <w:rPr>
          <w:sz w:val="20"/>
          <w:szCs w:val="20"/>
          <w:color w:val="auto"/>
        </w:rPr>
      </w:pPr>
    </w:p>
    <w:p>
      <w:pPr>
        <w:ind w:right="120" w:firstLine="488"/>
        <w:spacing w:after="0" w:line="286" w:lineRule="auto"/>
        <w:rPr>
          <w:sz w:val="20"/>
          <w:szCs w:val="20"/>
          <w:color w:val="auto"/>
        </w:rPr>
      </w:pPr>
      <w:r>
        <w:rPr>
          <w:rFonts w:ascii="Arial" w:cs="Arial" w:eastAsia="Arial" w:hAnsi="Arial"/>
          <w:sz w:val="17"/>
          <w:szCs w:val="17"/>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179" w:lineRule="exact"/>
        <w:rPr>
          <w:sz w:val="20"/>
          <w:szCs w:val="20"/>
          <w:color w:val="auto"/>
        </w:rPr>
      </w:pPr>
    </w:p>
    <w:p>
      <w:pPr>
        <w:ind w:right="60" w:firstLine="488"/>
        <w:spacing w:after="0" w:line="259" w:lineRule="auto"/>
        <w:rPr>
          <w:sz w:val="20"/>
          <w:szCs w:val="20"/>
          <w:color w:val="auto"/>
        </w:rPr>
      </w:pPr>
      <w:r>
        <w:rPr>
          <w:rFonts w:ascii="Arial" w:cs="Arial" w:eastAsia="Arial" w:hAnsi="Arial"/>
          <w:sz w:val="18"/>
          <w:szCs w:val="18"/>
          <w:color w:val="auto"/>
        </w:rPr>
        <w:t>In the recent past, we have experienced supply chain, production and training issues as we have expanded our product lines and sales volumes. For example, in our third quarter of fiscal 2016, we experienced certain supply chain and sales force training issues in certain of our medical retina products. As a result of these issues, we reduced the shipment of these products in that fiscal quarter. In fiscal 2015, we experienced product issues with certain of our products, which caused us to reduce shipments, particularly to international distributors.</w:t>
      </w:r>
    </w:p>
    <w:p>
      <w:pPr>
        <w:spacing w:after="0" w:line="200" w:lineRule="exact"/>
        <w:rPr>
          <w:sz w:val="20"/>
          <w:szCs w:val="20"/>
          <w:color w:val="auto"/>
        </w:rPr>
      </w:pPr>
    </w:p>
    <w:p>
      <w:pPr>
        <w:ind w:firstLine="488"/>
        <w:spacing w:after="0" w:line="259" w:lineRule="auto"/>
        <w:rPr>
          <w:sz w:val="20"/>
          <w:szCs w:val="20"/>
          <w:color w:val="auto"/>
        </w:rPr>
      </w:pPr>
      <w:r>
        <w:rPr>
          <w:rFonts w:ascii="Arial" w:cs="Arial" w:eastAsia="Arial" w:hAnsi="Arial"/>
          <w:sz w:val="18"/>
          <w:szCs w:val="18"/>
          <w:color w:val="auto"/>
        </w:rPr>
        <w:t>While we have taken steps to address these issues, there is no assurance that these steps will be effective in rectifying or preventing similar issues in the future. If we are unable to address these supply chain, production and training issues in a timely and cost-effective manner, product shipments to our customers could be delayed, our sales levels may suffer and manufacturing and operational costs may increase, any of which would negatively impact our net revenues.</w:t>
      </w:r>
    </w:p>
    <w:p>
      <w:pPr>
        <w:spacing w:after="0" w:line="187" w:lineRule="exact"/>
        <w:rPr>
          <w:sz w:val="20"/>
          <w:szCs w:val="20"/>
          <w:color w:val="auto"/>
        </w:rPr>
      </w:pPr>
    </w:p>
    <w:p>
      <w:pPr>
        <w:ind w:right="540" w:firstLine="488"/>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Laser systems are inherently complex in design and require ongoing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3" w:name="page24"/>
    <w:bookmarkEnd w:id="23"/>
    <w:p>
      <w:pPr>
        <w:ind w:right="140"/>
        <w:spacing w:after="0" w:line="277" w:lineRule="auto"/>
        <w:rPr>
          <w:sz w:val="20"/>
          <w:szCs w:val="20"/>
          <w:color w:val="auto"/>
        </w:rPr>
      </w:pPr>
      <w:r>
        <w:rPr>
          <w:rFonts w:ascii="Arial" w:cs="Arial" w:eastAsia="Arial" w:hAnsi="Arial"/>
          <w:sz w:val="18"/>
          <w:szCs w:val="18"/>
          <w:color w:val="auto"/>
        </w:rPr>
        <w:t>return rates and/or repair and replacement costs differ significantly from our estimates, adjustments to recognize additional cost of revenues may be required in future periods.</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5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358" w:lineRule="exact"/>
        <w:rPr>
          <w:sz w:val="20"/>
          <w:szCs w:val="20"/>
          <w:color w:val="auto"/>
        </w:rPr>
      </w:pPr>
    </w:p>
    <w:p>
      <w:pPr>
        <w:ind w:right="260" w:firstLine="488"/>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62" w:lineRule="exact"/>
        <w:rPr>
          <w:sz w:val="20"/>
          <w:szCs w:val="20"/>
          <w:color w:val="auto"/>
        </w:rPr>
      </w:pPr>
    </w:p>
    <w:p>
      <w:pPr>
        <w:ind w:right="20" w:firstLine="488"/>
        <w:spacing w:after="0" w:line="291" w:lineRule="auto"/>
        <w:rPr>
          <w:sz w:val="20"/>
          <w:szCs w:val="20"/>
          <w:color w:val="auto"/>
        </w:rPr>
      </w:pPr>
      <w:r>
        <w:rPr>
          <w:rFonts w:ascii="Arial" w:cs="Arial" w:eastAsia="Arial" w:hAnsi="Arial"/>
          <w:sz w:val="16"/>
          <w:szCs w:val="16"/>
          <w:color w:val="auto"/>
        </w:rPr>
        <w:t>Our ability to sell our products and generate revenues depends upon our direct and independent sales forces within the United States, relationships with independent distributors outside the United States, and the establishment of our direct sales capabilities in Germany. Currently our direct and independent sales forces within the United States consist of approximately 22 employees and 7 independent representatives, respectively. Our international independent distributors are managed by a team of five people. We generally grant our distributors exclusive territories for the sale of our products in specified countries. The amount and timing of resources dedicated by our distributors to the sales of our products is not within our control. Our international sales are entirely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would be adversely affected.</w:t>
      </w:r>
    </w:p>
    <w:p>
      <w:pPr>
        <w:spacing w:after="0" w:line="194" w:lineRule="exact"/>
        <w:rPr>
          <w:sz w:val="20"/>
          <w:szCs w:val="20"/>
          <w:color w:val="auto"/>
        </w:rPr>
      </w:pPr>
    </w:p>
    <w:p>
      <w:pPr>
        <w:ind w:right="220" w:firstLine="488"/>
        <w:spacing w:after="0" w:line="257" w:lineRule="auto"/>
        <w:rPr>
          <w:sz w:val="20"/>
          <w:szCs w:val="20"/>
          <w:color w:val="auto"/>
        </w:rPr>
      </w:pPr>
      <w:r>
        <w:rPr>
          <w:rFonts w:ascii="Arial" w:cs="Arial" w:eastAsia="Arial" w:hAnsi="Arial"/>
          <w:sz w:val="18"/>
          <w:szCs w:val="18"/>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As we establish our direct sales capabilities in Germany, we may be unable to recruit and retain qualified personnel in this region.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b w:val="1"/>
          <w:bCs w:val="1"/>
          <w:i w:val="1"/>
          <w:iCs w:val="1"/>
          <w:color w:val="auto"/>
        </w:rPr>
        <w:t>* Growth in our sales and marketing organization may create operational challenges without immediately offsetting benefits.</w:t>
      </w:r>
    </w:p>
    <w:p>
      <w:pPr>
        <w:spacing w:after="0" w:line="225"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We have and anticipate continuing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165"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derive, and expect to continue to derive, a large portion of our revenues from international sales. For the third quarter of fiscal 2017, our international sales were $4.6 million, or 42.1% of total revenues. We anticipate that international sales will continue to account for a significant portion of our revenues in the foreseeable future. All of our international revenues and costs for the quarter ended September 30, 2017 has been denominated in U.S. dollars except for a sale transacted through our German subsidiary. As a result, an increase in the value of the U.S. dollars relative to foreign currencies makes our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70"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40" w:right="420" w:hanging="519"/>
        <w:spacing w:after="0" w:line="308"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40" w:right="48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Any one or more of these factors stated above could have a material adverse effect on our business, financial condition or results of operations.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5" w:name="page26"/>
    <w:bookmarkEnd w:id="25"/>
    <w:p>
      <w:pPr>
        <w:ind w:right="20" w:firstLine="518"/>
        <w:spacing w:after="0" w:line="259" w:lineRule="auto"/>
        <w:rPr>
          <w:sz w:val="20"/>
          <w:szCs w:val="20"/>
          <w:color w:val="auto"/>
        </w:rPr>
      </w:pPr>
      <w:r>
        <w:rPr>
          <w:rFonts w:ascii="Arial" w:cs="Arial" w:eastAsia="Arial" w:hAnsi="Arial"/>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32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If we fail to develop and successfully introduce new products and applications, our business prospects and operating results may suffer.</w:t>
      </w:r>
    </w:p>
    <w:p>
      <w:pPr>
        <w:spacing w:after="0" w:line="140" w:lineRule="exact"/>
        <w:rPr>
          <w:sz w:val="20"/>
          <w:szCs w:val="20"/>
          <w:color w:val="auto"/>
        </w:rPr>
      </w:pPr>
    </w:p>
    <w:p>
      <w:pPr>
        <w:ind w:right="60" w:firstLine="487"/>
        <w:spacing w:after="0" w:line="257" w:lineRule="auto"/>
        <w:rPr>
          <w:sz w:val="20"/>
          <w:szCs w:val="20"/>
          <w:color w:val="auto"/>
        </w:rPr>
      </w:pPr>
      <w:r>
        <w:rPr>
          <w:rFonts w:ascii="Arial" w:cs="Arial" w:eastAsia="Arial" w:hAnsi="Arial"/>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w:t>
      </w:r>
    </w:p>
    <w:p>
      <w:pPr>
        <w:spacing w:after="0" w:line="202" w:lineRule="exact"/>
        <w:rPr>
          <w:sz w:val="20"/>
          <w:szCs w:val="20"/>
          <w:color w:val="auto"/>
        </w:rPr>
      </w:pPr>
    </w:p>
    <w:p>
      <w:pPr>
        <w:ind w:right="200" w:firstLine="488"/>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192" w:lineRule="exact"/>
        <w:rPr>
          <w:sz w:val="20"/>
          <w:szCs w:val="20"/>
          <w:color w:val="auto"/>
        </w:rPr>
      </w:pPr>
    </w:p>
    <w:p>
      <w:pPr>
        <w:ind w:right="140" w:firstLine="488"/>
        <w:spacing w:after="0" w:line="312" w:lineRule="auto"/>
        <w:rPr>
          <w:sz w:val="20"/>
          <w:szCs w:val="20"/>
          <w:color w:val="auto"/>
        </w:rPr>
      </w:pPr>
      <w:r>
        <w:rPr>
          <w:rFonts w:ascii="Arial" w:cs="Arial" w:eastAsia="Arial" w:hAnsi="Arial"/>
          <w:sz w:val="16"/>
          <w:szCs w:val="16"/>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100" w:firstLine="488"/>
        <w:spacing w:after="0" w:line="259" w:lineRule="auto"/>
        <w:rPr>
          <w:sz w:val="20"/>
          <w:szCs w:val="20"/>
          <w:color w:val="auto"/>
        </w:rPr>
      </w:pPr>
      <w:r>
        <w:rPr>
          <w:rFonts w:ascii="Arial" w:cs="Arial" w:eastAsia="Arial" w:hAnsi="Arial"/>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related to international conflicts and terrorist acts may put further pressure on economic conditions in the United States and abroad.</w:t>
      </w:r>
    </w:p>
    <w:p>
      <w:pPr>
        <w:spacing w:after="0" w:line="214" w:lineRule="exact"/>
        <w:rPr>
          <w:sz w:val="20"/>
          <w:szCs w:val="20"/>
          <w:color w:val="auto"/>
        </w:rPr>
      </w:pPr>
    </w:p>
    <w:p>
      <w:pPr>
        <w:ind w:firstLine="488"/>
        <w:spacing w:after="0" w:line="255"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economic uncertainty persisted, or if the economy entered a prolonged period of decelerating growth, our results of operations may be harmed.</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62"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26" w:name="page27"/>
    <w:bookmarkEnd w:id="26"/>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239" w:lineRule="exact"/>
        <w:rPr>
          <w:sz w:val="20"/>
          <w:szCs w:val="20"/>
          <w:color w:val="auto"/>
        </w:rPr>
      </w:pPr>
    </w:p>
    <w:p>
      <w:pPr>
        <w:ind w:right="720" w:firstLine="518"/>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5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189"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40" w:right="10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study outcomes;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239"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EndoProbe devices and service. Our ability to increase recurring revenues from the sale of consumable products will depend primarily upon the features of our current products and product innovation, the quality of our products,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147"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Our principal ophthalmic laser competitors are Alcon Inc. (Novartis AG), Bausch and Lomb (Valeant), Carl Zeiss Meditec AG, Ellex Medical Lasers, Ltd., Lumenis Ltd., Nidek Co. Ltd., Quantel Medical SA, and Topcon Corporation. We also compete with alternative glaucoma surgical device companies such as Alcon, Allergan, and Glaukos. Pharmaceuticals represent alternative treatments to our laser procedures. Some of our principal pharmaceutical competitors are Alcon, Allergan, OSI Pharmaceuticals (Astellas), Pfizer, Regeneron, Roche (Genentech), and Valeant Pharmaceuticals.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169"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 party coverage and reimbursement policies.</w:t>
      </w:r>
    </w:p>
    <w:p>
      <w:pPr>
        <w:spacing w:after="0" w:line="62" w:lineRule="exact"/>
        <w:rPr>
          <w:sz w:val="20"/>
          <w:szCs w:val="20"/>
          <w:color w:val="auto"/>
        </w:rPr>
      </w:pPr>
    </w:p>
    <w:p>
      <w:pPr>
        <w:ind w:right="80" w:firstLine="488"/>
        <w:spacing w:after="0" w:line="287" w:lineRule="auto"/>
        <w:rPr>
          <w:sz w:val="20"/>
          <w:szCs w:val="20"/>
          <w:color w:val="auto"/>
        </w:rPr>
      </w:pPr>
      <w:r>
        <w:rPr>
          <w:rFonts w:ascii="Arial" w:cs="Arial" w:eastAsia="Arial" w:hAnsi="Arial"/>
          <w:sz w:val="16"/>
          <w:szCs w:val="16"/>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and Health Care and Education Affordability Reconciliation Act of 2010 (collectively, the “Affordable Care Act”), and the current U.S. presidential administration has announced certain policy changes that could impact the availability of benefits under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186" w:lineRule="exact"/>
        <w:rPr>
          <w:sz w:val="20"/>
          <w:szCs w:val="20"/>
          <w:color w:val="auto"/>
        </w:rPr>
      </w:pPr>
    </w:p>
    <w:p>
      <w:pPr>
        <w:ind w:right="40" w:firstLine="488"/>
        <w:spacing w:after="0" w:line="297" w:lineRule="auto"/>
        <w:rPr>
          <w:sz w:val="20"/>
          <w:szCs w:val="20"/>
          <w:color w:val="auto"/>
        </w:rPr>
      </w:pPr>
      <w:r>
        <w:rPr>
          <w:rFonts w:ascii="Arial" w:cs="Arial" w:eastAsia="Arial" w:hAnsi="Arial"/>
          <w:sz w:val="16"/>
          <w:szCs w:val="16"/>
          <w:color w:val="auto"/>
        </w:rPr>
        <w:t>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Denial of coverage and reimbursement of our products, or the revocation or changes to coverage and reimbursement policies, could have a material adverse effect on our business, results of operations and financial condition.</w:t>
      </w:r>
    </w:p>
    <w:p>
      <w:pPr>
        <w:spacing w:after="0" w:line="185" w:lineRule="exact"/>
        <w:rPr>
          <w:sz w:val="20"/>
          <w:szCs w:val="20"/>
          <w:color w:val="auto"/>
        </w:rPr>
      </w:pPr>
    </w:p>
    <w:p>
      <w:pPr>
        <w:ind w:right="180" w:firstLine="488"/>
        <w:spacing w:after="0" w:line="302"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276" w:lineRule="exact"/>
        <w:rPr>
          <w:sz w:val="20"/>
          <w:szCs w:val="20"/>
          <w:color w:val="auto"/>
        </w:rPr>
      </w:pPr>
    </w:p>
    <w:p>
      <w:pPr>
        <w:ind w:right="240" w:firstLine="488"/>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184" w:lineRule="exact"/>
        <w:rPr>
          <w:sz w:val="20"/>
          <w:szCs w:val="20"/>
          <w:color w:val="auto"/>
        </w:rPr>
      </w:pPr>
    </w:p>
    <w:p>
      <w:pPr>
        <w:ind w:firstLine="488"/>
        <w:spacing w:after="0" w:line="297"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to us. The laws that may affect our ability to operate include, among others: (i) the federal healthcare programs Anti-Kickback Statute, which prohibits, among other things, persons from knowingly and willfully soliciting, receiving, offering or paying remuneration, directly or indirectly, in exchange for or to induce either the referral of an individual for, or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right="20"/>
        <w:spacing w:after="0" w:line="270" w:lineRule="auto"/>
        <w:rPr>
          <w:sz w:val="20"/>
          <w:szCs w:val="20"/>
          <w:color w:val="auto"/>
        </w:rPr>
      </w:pPr>
      <w:r>
        <w:rPr>
          <w:rFonts w:ascii="Arial" w:cs="Arial" w:eastAsia="Arial" w:hAnsi="Arial"/>
          <w:sz w:val="17"/>
          <w:szCs w:val="17"/>
          <w:color w:val="auto"/>
        </w:rPr>
        <w:t>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209" w:lineRule="exact"/>
        <w:rPr>
          <w:sz w:val="20"/>
          <w:szCs w:val="20"/>
          <w:color w:val="auto"/>
        </w:rPr>
      </w:pPr>
    </w:p>
    <w:p>
      <w:pPr>
        <w:ind w:firstLine="488"/>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Open Payments, commonly known as the Sunshine Act, is a relatively new law, and compliance with this law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40" w:firstLine="488"/>
        <w:spacing w:after="0" w:line="255" w:lineRule="auto"/>
        <w:rPr>
          <w:sz w:val="20"/>
          <w:szCs w:val="20"/>
          <w:color w:val="auto"/>
        </w:rPr>
      </w:pPr>
      <w:r>
        <w:rPr>
          <w:rFonts w:ascii="Arial" w:cs="Arial" w:eastAsia="Arial" w:hAnsi="Arial"/>
          <w:sz w:val="18"/>
          <w:szCs w:val="18"/>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 Tip Cannula are dependent upon the sales performance of Alcon, which depends on their efforts and is beyond our control. The failure to obtain any additional future clinical or commercial collaborations and the resulting failure or success of such arrangements of any current or future clinical or commercial collaboration relationships could have a material adverse effect on our ability to introduce new products or applications and therefore could have a material adverse effect on our business, results of operations and financial condition.</w:t>
      </w:r>
    </w:p>
    <w:p>
      <w:pPr>
        <w:spacing w:after="0" w:line="311" w:lineRule="exact"/>
        <w:rPr>
          <w:sz w:val="20"/>
          <w:szCs w:val="20"/>
          <w:color w:val="auto"/>
        </w:rPr>
      </w:pPr>
    </w:p>
    <w:p>
      <w:pPr>
        <w:ind w:right="140" w:firstLine="488"/>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anticipated reductions in the average unit price of our products, our operating results may suffer.</w:t>
      </w:r>
    </w:p>
    <w:p>
      <w:pPr>
        <w:spacing w:after="0" w:line="170" w:lineRule="exact"/>
        <w:rPr>
          <w:sz w:val="20"/>
          <w:szCs w:val="20"/>
          <w:color w:val="auto"/>
        </w:rPr>
      </w:pPr>
    </w:p>
    <w:p>
      <w:pPr>
        <w:ind w:right="140" w:firstLine="488"/>
        <w:spacing w:after="0" w:line="257" w:lineRule="auto"/>
        <w:rPr>
          <w:sz w:val="20"/>
          <w:szCs w:val="20"/>
          <w:color w:val="auto"/>
        </w:rPr>
      </w:pPr>
      <w:r>
        <w:rPr>
          <w:rFonts w:ascii="Arial" w:cs="Arial" w:eastAsia="Arial" w:hAnsi="Arial"/>
          <w:sz w:val="18"/>
          <w:szCs w:val="18"/>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215" w:lineRule="exact"/>
        <w:rPr>
          <w:sz w:val="20"/>
          <w:szCs w:val="20"/>
          <w:color w:val="auto"/>
        </w:rPr>
      </w:pPr>
    </w:p>
    <w:p>
      <w:pPr>
        <w:ind w:right="920" w:firstLine="488"/>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have a significant negative effect on our business.</w:t>
      </w:r>
    </w:p>
    <w:p>
      <w:pPr>
        <w:spacing w:after="0" w:line="16" w:lineRule="exact"/>
        <w:rPr>
          <w:sz w:val="20"/>
          <w:szCs w:val="20"/>
          <w:color w:val="auto"/>
        </w:rPr>
      </w:pPr>
    </w:p>
    <w:p>
      <w:pPr>
        <w:ind w:right="260" w:firstLine="488"/>
        <w:spacing w:after="0" w:line="259" w:lineRule="auto"/>
        <w:rPr>
          <w:sz w:val="20"/>
          <w:szCs w:val="20"/>
          <w:color w:val="auto"/>
        </w:rPr>
      </w:pPr>
      <w:r>
        <w:rPr>
          <w:rFonts w:ascii="Arial" w:cs="Arial" w:eastAsia="Arial" w:hAnsi="Arial"/>
          <w:sz w:val="18"/>
          <w:szCs w:val="18"/>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9" w:name="page30"/>
    <w:bookmarkEnd w:id="29"/>
    <w:p>
      <w:pPr>
        <w:ind w:right="220"/>
        <w:spacing w:after="0" w:line="264" w:lineRule="auto"/>
        <w:rPr>
          <w:sz w:val="20"/>
          <w:szCs w:val="20"/>
          <w:color w:val="auto"/>
        </w:rPr>
      </w:pPr>
      <w:r>
        <w:rPr>
          <w:rFonts w:ascii="Arial" w:cs="Arial" w:eastAsia="Arial" w:hAnsi="Arial"/>
          <w:sz w:val="18"/>
          <w:szCs w:val="18"/>
          <w:color w:val="auto"/>
        </w:rPr>
        <w:t>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3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right="20" w:firstLine="488"/>
        <w:spacing w:after="0" w:line="297" w:lineRule="auto"/>
        <w:rPr>
          <w:sz w:val="20"/>
          <w:szCs w:val="20"/>
          <w:color w:val="auto"/>
        </w:rPr>
      </w:pPr>
      <w:r>
        <w:rPr>
          <w:rFonts w:ascii="Arial" w:cs="Arial" w:eastAsia="Arial" w:hAnsi="Arial"/>
          <w:sz w:val="16"/>
          <w:szCs w:val="16"/>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225" w:lineRule="exact"/>
        <w:rPr>
          <w:sz w:val="20"/>
          <w:szCs w:val="20"/>
          <w:color w:val="auto"/>
        </w:rPr>
      </w:pPr>
    </w:p>
    <w:p>
      <w:pPr>
        <w:ind w:firstLine="488"/>
        <w:spacing w:after="0" w:line="270"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active patent portfolio includes 25 United States patents and 13 foreign patents on the technologies related to our products and processes. We have 6 pending patent applications in the United States and 12 foreign pending patent applications that have been filed.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182" w:lineRule="exact"/>
        <w:rPr>
          <w:sz w:val="20"/>
          <w:szCs w:val="20"/>
          <w:color w:val="auto"/>
        </w:rPr>
      </w:pPr>
    </w:p>
    <w:p>
      <w:pPr>
        <w:ind w:firstLine="488"/>
        <w:spacing w:after="0" w:line="297" w:lineRule="auto"/>
        <w:rPr>
          <w:sz w:val="20"/>
          <w:szCs w:val="20"/>
          <w:color w:val="auto"/>
        </w:rPr>
      </w:pPr>
      <w:r>
        <w:rPr>
          <w:rFonts w:ascii="Arial" w:cs="Arial" w:eastAsia="Arial" w:hAnsi="Arial"/>
          <w:sz w:val="16"/>
          <w:szCs w:val="16"/>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158" w:lineRule="exact"/>
        <w:rPr>
          <w:sz w:val="20"/>
          <w:szCs w:val="20"/>
          <w:color w:val="auto"/>
        </w:rPr>
      </w:pPr>
    </w:p>
    <w:p>
      <w:pPr>
        <w:ind w:right="220" w:firstLine="488"/>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170" w:lineRule="exact"/>
        <w:rPr>
          <w:sz w:val="20"/>
          <w:szCs w:val="20"/>
          <w:color w:val="auto"/>
        </w:rPr>
      </w:pPr>
    </w:p>
    <w:p>
      <w:pPr>
        <w:ind w:right="60" w:firstLine="488"/>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after November 2000 generally will be published eighteen months after the filing date. However, since patent applications continue to be maintained in secrecy for at least some period of time, both within the United States and with regards to international patent applications, we cannot assure you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191" w:lineRule="exact"/>
        <w:rPr>
          <w:sz w:val="20"/>
          <w:szCs w:val="20"/>
          <w:color w:val="auto"/>
        </w:rPr>
      </w:pPr>
    </w:p>
    <w:p>
      <w:pPr>
        <w:ind w:right="60" w:firstLine="488"/>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lose key personnel or fail to integrate replacement personnel successfully, our ability to manage our business could be impaired.</w:t>
      </w:r>
    </w:p>
    <w:p>
      <w:pPr>
        <w:spacing w:after="0" w:line="237" w:lineRule="exact"/>
        <w:rPr>
          <w:sz w:val="20"/>
          <w:szCs w:val="20"/>
          <w:color w:val="auto"/>
        </w:rPr>
      </w:pPr>
    </w:p>
    <w:p>
      <w:pPr>
        <w:ind w:firstLine="488"/>
        <w:spacing w:after="0" w:line="264" w:lineRule="auto"/>
        <w:rPr>
          <w:sz w:val="20"/>
          <w:szCs w:val="20"/>
          <w:color w:val="auto"/>
        </w:rPr>
      </w:pPr>
      <w:r>
        <w:rPr>
          <w:rFonts w:ascii="Arial" w:cs="Arial" w:eastAsia="Arial" w:hAnsi="Arial"/>
          <w:sz w:val="18"/>
          <w:szCs w:val="18"/>
          <w:color w:val="auto"/>
        </w:rPr>
        <w:t>Our future success depends upon the continued service of our key management, technical, sales, and other critical personnel. Our officers and other key personnel are employees-at-will, and we cannot assure you that we will be able to retain them. Key personnel have left our company in the past, and there likely will be additional departures of key personnel from time to time in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0" w:name="page31"/>
    <w:bookmarkEnd w:id="30"/>
    <w:p>
      <w:pPr>
        <w:spacing w:after="0" w:line="255" w:lineRule="auto"/>
        <w:rPr>
          <w:sz w:val="20"/>
          <w:szCs w:val="20"/>
          <w:color w:val="auto"/>
        </w:rPr>
      </w:pPr>
      <w:r>
        <w:rPr>
          <w:rFonts w:ascii="Arial" w:cs="Arial" w:eastAsia="Arial" w:hAnsi="Arial"/>
          <w:sz w:val="18"/>
          <w:szCs w:val="18"/>
          <w:color w:val="auto"/>
        </w:rPr>
        <w:t>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315" w:lineRule="exact"/>
        <w:rPr>
          <w:sz w:val="20"/>
          <w:szCs w:val="20"/>
          <w:color w:val="auto"/>
        </w:rPr>
      </w:pPr>
    </w:p>
    <w:p>
      <w:pPr>
        <w:ind w:right="740" w:firstLine="488"/>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80" w:firstLine="488"/>
        <w:spacing w:after="0" w:line="254" w:lineRule="auto"/>
        <w:rPr>
          <w:sz w:val="20"/>
          <w:szCs w:val="20"/>
          <w:color w:val="auto"/>
        </w:rPr>
      </w:pPr>
      <w:r>
        <w:rPr>
          <w:rFonts w:ascii="Arial" w:cs="Arial" w:eastAsia="Arial" w:hAnsi="Arial"/>
          <w:sz w:val="18"/>
          <w:szCs w:val="18"/>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right="120" w:firstLine="488"/>
        <w:spacing w:after="0" w:line="302" w:lineRule="auto"/>
        <w:rPr>
          <w:sz w:val="20"/>
          <w:szCs w:val="20"/>
          <w:color w:val="auto"/>
        </w:rPr>
      </w:pPr>
      <w:r>
        <w:rPr>
          <w:rFonts w:ascii="Arial" w:cs="Arial" w:eastAsia="Arial" w:hAnsi="Arial"/>
          <w:sz w:val="16"/>
          <w:szCs w:val="16"/>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154" w:lineRule="exact"/>
        <w:rPr>
          <w:sz w:val="20"/>
          <w:szCs w:val="20"/>
          <w:color w:val="auto"/>
        </w:rPr>
      </w:pPr>
    </w:p>
    <w:p>
      <w:pPr>
        <w:ind w:left="1180" w:right="2480" w:hanging="68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unavailability of shortages or limitations on the ability to obtain supplies of components and products in the quantities that we require;</w:t>
      </w:r>
    </w:p>
    <w:p>
      <w:pPr>
        <w:spacing w:after="0" w:line="183" w:lineRule="exact"/>
        <w:rPr>
          <w:rFonts w:ascii="Arial" w:cs="Arial" w:eastAsia="Arial" w:hAnsi="Arial"/>
          <w:sz w:val="18"/>
          <w:szCs w:val="18"/>
          <w:color w:val="auto"/>
        </w:rPr>
      </w:pPr>
    </w:p>
    <w:p>
      <w:pPr>
        <w:ind w:left="1180" w:right="3040" w:hanging="68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70" w:lineRule="exact"/>
        <w:rPr>
          <w:rFonts w:ascii="Arial" w:cs="Arial" w:eastAsia="Arial" w:hAnsi="Arial"/>
          <w:sz w:val="18"/>
          <w:szCs w:val="18"/>
          <w:color w:val="auto"/>
        </w:rPr>
      </w:pPr>
    </w:p>
    <w:p>
      <w:pPr>
        <w:ind w:left="1180" w:right="3000" w:hanging="68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suppliers to manufacture and assemble components and products to our specifications, and potentially reduced quality; and</w:t>
      </w:r>
    </w:p>
    <w:p>
      <w:pPr>
        <w:spacing w:after="0" w:line="170" w:lineRule="exact"/>
        <w:rPr>
          <w:rFonts w:ascii="Arial" w:cs="Arial" w:eastAsia="Arial" w:hAnsi="Arial"/>
          <w:sz w:val="18"/>
          <w:szCs w:val="18"/>
          <w:color w:val="auto"/>
        </w:rPr>
      </w:pPr>
    </w:p>
    <w:p>
      <w:pPr>
        <w:ind w:left="1180" w:hanging="68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25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80" w:firstLine="488"/>
        <w:spacing w:after="0" w:line="277" w:lineRule="auto"/>
        <w:rPr>
          <w:sz w:val="20"/>
          <w:szCs w:val="20"/>
          <w:color w:val="auto"/>
        </w:rPr>
      </w:pPr>
      <w:r>
        <w:rPr>
          <w:rFonts w:ascii="Arial" w:cs="Arial" w:eastAsia="Arial" w:hAnsi="Arial"/>
          <w:sz w:val="18"/>
          <w:szCs w:val="18"/>
          <w:color w:val="auto"/>
        </w:rPr>
        <w:t>Our facilities could be subject to catastrophic loss such as fire, flood or earthquake. All of our research and development activities, manufacturing, our corporate headquarters and other critical business operations are located near major earthquake faults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ind w:right="280"/>
        <w:spacing w:after="0" w:line="277" w:lineRule="auto"/>
        <w:rPr>
          <w:sz w:val="20"/>
          <w:szCs w:val="20"/>
          <w:color w:val="auto"/>
        </w:rPr>
      </w:pPr>
      <w:r>
        <w:rPr>
          <w:rFonts w:ascii="Arial" w:cs="Arial" w:eastAsia="Arial" w:hAnsi="Arial"/>
          <w:sz w:val="18"/>
          <w:szCs w:val="18"/>
          <w:color w:val="auto"/>
        </w:rPr>
        <w:t>Mountain View, California. Any such loss at any of our facilities could disrupt our operations, delay production, shipments and revenue and result in large expense to repair and replace our facilities.</w:t>
      </w:r>
    </w:p>
    <w:p>
      <w:pPr>
        <w:spacing w:after="0" w:line="292" w:lineRule="exact"/>
        <w:rPr>
          <w:sz w:val="20"/>
          <w:szCs w:val="20"/>
          <w:color w:val="auto"/>
        </w:rPr>
      </w:pPr>
    </w:p>
    <w:p>
      <w:pPr>
        <w:ind w:right="400" w:firstLine="488"/>
        <w:spacing w:after="0" w:line="264"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3" w:lineRule="exact"/>
        <w:rPr>
          <w:sz w:val="20"/>
          <w:szCs w:val="20"/>
          <w:color w:val="auto"/>
        </w:rPr>
      </w:pPr>
    </w:p>
    <w:p>
      <w:pPr>
        <w:ind w:right="40" w:firstLine="488"/>
        <w:spacing w:after="0" w:line="273" w:lineRule="auto"/>
        <w:rPr>
          <w:sz w:val="20"/>
          <w:szCs w:val="20"/>
          <w:color w:val="auto"/>
        </w:rPr>
      </w:pPr>
      <w:r>
        <w:rPr>
          <w:rFonts w:ascii="Arial" w:cs="Arial" w:eastAsia="Arial" w:hAnsi="Arial"/>
          <w:sz w:val="17"/>
          <w:szCs w:val="17"/>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314" w:lineRule="exact"/>
        <w:rPr>
          <w:sz w:val="20"/>
          <w:szCs w:val="20"/>
          <w:color w:val="auto"/>
        </w:rPr>
      </w:pPr>
    </w:p>
    <w:p>
      <w:pPr>
        <w:ind w:right="220" w:firstLine="488"/>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right="40" w:firstLine="488"/>
        <w:spacing w:after="0" w:line="269" w:lineRule="auto"/>
        <w:rPr>
          <w:sz w:val="20"/>
          <w:szCs w:val="20"/>
          <w:color w:val="auto"/>
        </w:rPr>
      </w:pPr>
      <w:r>
        <w:rPr>
          <w:rFonts w:ascii="Arial" w:cs="Arial" w:eastAsia="Arial" w:hAnsi="Arial"/>
          <w:sz w:val="17"/>
          <w:szCs w:val="17"/>
          <w:color w:val="auto"/>
        </w:rPr>
        <w:t>The medical devices that we market and manufacture are subject to extensive regulation by the FDA and by foreign and state governments. Under the Food, Drug and Cosmetic Act (“FDCA”)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FDCA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196" w:lineRule="exact"/>
        <w:rPr>
          <w:sz w:val="20"/>
          <w:szCs w:val="20"/>
          <w:color w:val="auto"/>
        </w:rPr>
      </w:pPr>
    </w:p>
    <w:p>
      <w:pPr>
        <w:ind w:firstLine="488"/>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192" w:lineRule="exact"/>
        <w:rPr>
          <w:sz w:val="20"/>
          <w:szCs w:val="20"/>
          <w:color w:val="auto"/>
        </w:rPr>
      </w:pPr>
    </w:p>
    <w:p>
      <w:pPr>
        <w:ind w:right="140" w:firstLine="488"/>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215" w:lineRule="exact"/>
        <w:rPr>
          <w:sz w:val="20"/>
          <w:szCs w:val="20"/>
          <w:color w:val="auto"/>
        </w:rPr>
      </w:pPr>
    </w:p>
    <w:p>
      <w:pPr>
        <w:ind w:right="120" w:firstLine="488"/>
        <w:spacing w:after="0" w:line="270" w:lineRule="auto"/>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 (93/42/EEC), and it substantially changes the way that medical devices are brought to market in the EU and how they maintain compliance throughout the product’s life cycle. Additionally, the new revision 4 of the clinical evaluation report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2" w:name="page33"/>
    <w:bookmarkEnd w:id="32"/>
    <w:p>
      <w:pPr>
        <w:ind w:right="80"/>
        <w:spacing w:after="0" w:line="286" w:lineRule="auto"/>
        <w:rPr>
          <w:sz w:val="20"/>
          <w:szCs w:val="20"/>
          <w:color w:val="auto"/>
        </w:rPr>
      </w:pPr>
      <w:r>
        <w:rPr>
          <w:rFonts w:ascii="Arial" w:cs="Arial" w:eastAsia="Arial" w:hAnsi="Arial"/>
          <w:sz w:val="17"/>
          <w:szCs w:val="17"/>
          <w:color w:val="auto"/>
        </w:rPr>
        <w:t>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301" w:lineRule="exact"/>
        <w:rPr>
          <w:sz w:val="20"/>
          <w:szCs w:val="20"/>
          <w:color w:val="auto"/>
        </w:rPr>
      </w:pPr>
    </w:p>
    <w:p>
      <w:pPr>
        <w:ind w:right="20" w:firstLine="488"/>
        <w:spacing w:after="0" w:line="277" w:lineRule="auto"/>
        <w:rPr>
          <w:sz w:val="20"/>
          <w:szCs w:val="20"/>
          <w:color w:val="auto"/>
        </w:rPr>
      </w:pPr>
      <w:r>
        <w:rPr>
          <w:rFonts w:ascii="Arial" w:cs="Arial" w:eastAsia="Arial" w:hAnsi="Arial"/>
          <w:sz w:val="18"/>
          <w:szCs w:val="18"/>
          <w:b w:val="1"/>
          <w:bCs w:val="1"/>
          <w:i w:val="1"/>
          <w:iCs w:val="1"/>
          <w:color w:val="auto"/>
        </w:rPr>
        <w:t>Any clinical trials that we may undertake for regulatory approval or marketing reasons will be an expensive, lengthy, costly, and uncertain process, and could result in delays in new product introductions or even an inability to release a product.</w:t>
      </w:r>
    </w:p>
    <w:p>
      <w:pPr>
        <w:spacing w:after="0" w:line="62" w:lineRule="exact"/>
        <w:rPr>
          <w:sz w:val="20"/>
          <w:szCs w:val="20"/>
          <w:color w:val="auto"/>
        </w:rPr>
      </w:pPr>
    </w:p>
    <w:p>
      <w:pPr>
        <w:ind w:firstLine="488"/>
        <w:spacing w:after="0" w:line="272" w:lineRule="auto"/>
        <w:rPr>
          <w:sz w:val="20"/>
          <w:szCs w:val="20"/>
          <w:color w:val="auto"/>
        </w:rPr>
      </w:pPr>
      <w:r>
        <w:rPr>
          <w:rFonts w:ascii="Arial" w:cs="Arial" w:eastAsia="Arial" w:hAnsi="Arial"/>
          <w:sz w:val="17"/>
          <w:szCs w:val="17"/>
          <w:color w:val="auto"/>
        </w:rPr>
        <w:t>We may be required to undertake clinical trials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299" w:lineRule="exact"/>
        <w:rPr>
          <w:sz w:val="20"/>
          <w:szCs w:val="20"/>
          <w:color w:val="auto"/>
        </w:rPr>
      </w:pPr>
    </w:p>
    <w:p>
      <w:pPr>
        <w:ind w:right="40" w:firstLine="488"/>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right="20" w:firstLine="488"/>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303" w:lineRule="exact"/>
        <w:rPr>
          <w:sz w:val="20"/>
          <w:szCs w:val="20"/>
          <w:color w:val="auto"/>
        </w:rPr>
      </w:pPr>
    </w:p>
    <w:p>
      <w:pPr>
        <w:ind w:right="380" w:firstLine="488"/>
        <w:spacing w:after="0" w:line="277" w:lineRule="auto"/>
        <w:rPr>
          <w:sz w:val="20"/>
          <w:szCs w:val="20"/>
          <w:color w:val="auto"/>
        </w:rPr>
      </w:pPr>
      <w:r>
        <w:rPr>
          <w:rFonts w:ascii="Arial" w:cs="Arial" w:eastAsia="Arial" w:hAnsi="Arial"/>
          <w:sz w:val="18"/>
          <w:szCs w:val="18"/>
          <w:b w:val="1"/>
          <w:bCs w:val="1"/>
          <w:i w:val="1"/>
          <w:iCs w:val="1"/>
          <w:color w:val="auto"/>
        </w:rPr>
        <w:t>If we modify one of our FDA approved devices, we may need to submit a new 510(k), or potentially a PMA, and if clearance or approval is not obtained, it would prevent us from selling our modified products or cause us to redesign our products.</w:t>
      </w:r>
    </w:p>
    <w:p>
      <w:pPr>
        <w:spacing w:after="0" w:line="170" w:lineRule="exact"/>
        <w:rPr>
          <w:sz w:val="20"/>
          <w:szCs w:val="20"/>
          <w:color w:val="auto"/>
        </w:rPr>
      </w:pPr>
    </w:p>
    <w:p>
      <w:pPr>
        <w:ind w:right="80" w:firstLine="488"/>
        <w:spacing w:after="0" w:line="272" w:lineRule="auto"/>
        <w:rPr>
          <w:sz w:val="20"/>
          <w:szCs w:val="20"/>
          <w:color w:val="auto"/>
        </w:rPr>
      </w:pPr>
      <w:r>
        <w:rPr>
          <w:rFonts w:ascii="Arial" w:cs="Arial" w:eastAsia="Arial" w:hAnsi="Arial"/>
          <w:sz w:val="17"/>
          <w:szCs w:val="17"/>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31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40" w:firstLine="488"/>
        <w:spacing w:after="0" w:line="290" w:lineRule="auto"/>
        <w:rPr>
          <w:sz w:val="20"/>
          <w:szCs w:val="20"/>
          <w:color w:val="auto"/>
        </w:rPr>
      </w:pPr>
      <w:r>
        <w:rPr>
          <w:rFonts w:ascii="Arial" w:cs="Arial" w:eastAsia="Arial" w:hAnsi="Arial"/>
          <w:sz w:val="16"/>
          <w:szCs w:val="16"/>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33" w:name="page34"/>
    <w:bookmarkEnd w:id="33"/>
    <w:p>
      <w:pPr>
        <w:ind w:left="50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jc w:val="both"/>
        <w:ind w:right="120" w:firstLine="488"/>
        <w:spacing w:after="0" w:line="302"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289" w:lineRule="exact"/>
        <w:rPr>
          <w:sz w:val="20"/>
          <w:szCs w:val="20"/>
          <w:color w:val="auto"/>
        </w:rPr>
      </w:pPr>
    </w:p>
    <w:p>
      <w:pPr>
        <w:ind w:right="80" w:firstLine="488"/>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right="140" w:firstLine="488"/>
        <w:spacing w:after="0" w:line="255" w:lineRule="auto"/>
        <w:rPr>
          <w:sz w:val="20"/>
          <w:szCs w:val="20"/>
          <w:color w:val="auto"/>
        </w:rPr>
      </w:pPr>
      <w:r>
        <w:rPr>
          <w:rFonts w:ascii="Arial" w:cs="Arial" w:eastAsia="Arial" w:hAnsi="Arial"/>
          <w:sz w:val="18"/>
          <w:szCs w:val="18"/>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 A government mandated recall, or a voluntary recall by us, could occur as a result of component failures, manufacturing errors or design defects, including defects in labeling. A recall could divert management’s attention, cause us to incur significant expenses, harm our reputation with customers and negatively affect our future sales.</w:t>
      </w:r>
    </w:p>
    <w:p>
      <w:pPr>
        <w:spacing w:after="0" w:line="315" w:lineRule="exact"/>
        <w:rPr>
          <w:sz w:val="20"/>
          <w:szCs w:val="20"/>
          <w:color w:val="auto"/>
        </w:rPr>
      </w:pPr>
    </w:p>
    <w:p>
      <w:pPr>
        <w:ind w:right="40" w:firstLine="488"/>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140" w:firstLine="488"/>
        <w:spacing w:after="0" w:line="279" w:lineRule="auto"/>
        <w:rPr>
          <w:sz w:val="20"/>
          <w:szCs w:val="20"/>
          <w:color w:val="auto"/>
        </w:rPr>
      </w:pPr>
      <w:r>
        <w:rPr>
          <w:rFonts w:ascii="Arial" w:cs="Arial" w:eastAsia="Arial" w:hAnsi="Arial"/>
          <w:sz w:val="17"/>
          <w:szCs w:val="17"/>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104" w:lineRule="exact"/>
        <w:rPr>
          <w:sz w:val="20"/>
          <w:szCs w:val="20"/>
          <w:color w:val="auto"/>
        </w:rPr>
      </w:pPr>
    </w:p>
    <w:p>
      <w:pPr>
        <w:ind w:right="540" w:firstLine="488"/>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right="40" w:firstLine="488"/>
        <w:spacing w:after="0" w:line="257" w:lineRule="auto"/>
        <w:rPr>
          <w:sz w:val="20"/>
          <w:szCs w:val="20"/>
          <w:color w:val="auto"/>
        </w:rPr>
      </w:pPr>
      <w:r>
        <w:rPr>
          <w:rFonts w:ascii="Arial" w:cs="Arial" w:eastAsia="Arial" w:hAnsi="Arial"/>
          <w:sz w:val="18"/>
          <w:szCs w:val="18"/>
          <w:color w:val="auto"/>
        </w:rPr>
        <w:t>Since 1989, we have completed six acquisitions. 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480" w:hanging="711"/>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ectPr>
          <w:pgSz w:w="11900" w:h="16838" w:orient="portrait"/>
          <w:cols w:equalWidth="0" w:num="1">
            <w:col w:w="11360"/>
          </w:cols>
          <w:pgMar w:left="240" w:top="706" w:right="299" w:bottom="1440" w:gutter="0" w:footer="0" w:header="0"/>
        </w:sectPr>
      </w:pPr>
    </w:p>
    <w:p>
      <w:pPr>
        <w:spacing w:after="0" w:line="117" w:lineRule="exact"/>
        <w:rPr>
          <w:sz w:val="20"/>
          <w:szCs w:val="20"/>
          <w:color w:val="auto"/>
        </w:rPr>
      </w:pPr>
    </w:p>
    <w:p>
      <w:pPr>
        <w:jc w:val="center"/>
        <w:ind w:left="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difficulties in integrating an acquired company’s technologies, services, employees, customers, partners, business administrative and software management systems with ours;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operations and</w:t>
      </w:r>
    </w:p>
    <w:p>
      <w:pPr>
        <w:spacing w:after="0" w:line="355" w:lineRule="exact"/>
        <w:rPr>
          <w:sz w:val="20"/>
          <w:szCs w:val="20"/>
          <w:color w:val="auto"/>
        </w:rPr>
      </w:pPr>
    </w:p>
    <w:p>
      <w:pPr>
        <w:sectPr>
          <w:pgSz w:w="11900" w:h="16838" w:orient="portrait"/>
          <w:cols w:equalWidth="0" w:num="3">
            <w:col w:w="800" w:space="720"/>
            <w:col w:w="8160" w:space="320"/>
            <w:col w:w="1360"/>
          </w:cols>
          <w:pgMar w:left="240" w:top="706" w:right="29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•delays in realizing the benefits of the acquired products;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•diversion of our management’s time and attention from other business concerns;</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•adverse customer reaction to the product acquisition; and</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•increases in expenses.</w:t>
      </w:r>
    </w:p>
    <w:p>
      <w:pPr>
        <w:sectPr>
          <w:pgSz w:w="11900" w:h="16838" w:orient="portrait"/>
          <w:cols w:equalWidth="0" w:num="1">
            <w:col w:w="11360"/>
          </w:cols>
          <w:pgMar w:left="240" w:top="706" w:right="299" w:bottom="1440" w:gutter="0" w:footer="0" w:header="0"/>
          <w:type w:val="continuous"/>
        </w:sectPr>
      </w:pPr>
    </w:p>
    <w:p>
      <w:pPr>
        <w:spacing w:after="0" w:line="239" w:lineRule="exact"/>
        <w:rPr>
          <w:sz w:val="20"/>
          <w:szCs w:val="20"/>
          <w:color w:val="auto"/>
        </w:rPr>
      </w:pPr>
    </w:p>
    <w:p>
      <w:pPr>
        <w:ind w:right="20" w:firstLine="488"/>
        <w:spacing w:after="0" w:line="297" w:lineRule="auto"/>
        <w:rPr>
          <w:sz w:val="20"/>
          <w:szCs w:val="20"/>
          <w:color w:val="auto"/>
        </w:rPr>
      </w:pPr>
      <w:r>
        <w:rPr>
          <w:rFonts w:ascii="Arial" w:cs="Arial" w:eastAsia="Arial" w:hAnsi="Arial"/>
          <w:sz w:val="16"/>
          <w:szCs w:val="16"/>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our stockholders,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are subject to federal, state and foreign laws governing our business practices which, if violated, could result in substantial penalties.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Additionally, challenges to or investigation into our practices could cause adverse publicity and be costly to respond to and thus could harm our business.</w:t>
      </w: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type w:val="continuous"/>
        </w:sectPr>
      </w:pPr>
    </w:p>
    <w:bookmarkStart w:id="34" w:name="page35"/>
    <w:bookmarkEnd w:id="34"/>
    <w:p>
      <w:pPr>
        <w:ind w:firstLine="488"/>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who are unwilling or unable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290" w:lineRule="exact"/>
        <w:rPr>
          <w:sz w:val="20"/>
          <w:szCs w:val="20"/>
          <w:color w:val="auto"/>
        </w:rPr>
      </w:pPr>
    </w:p>
    <w:p>
      <w:pPr>
        <w:ind w:right="540" w:firstLine="488"/>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170" w:lineRule="exact"/>
        <w:rPr>
          <w:sz w:val="20"/>
          <w:szCs w:val="20"/>
          <w:color w:val="auto"/>
        </w:rPr>
      </w:pPr>
    </w:p>
    <w:p>
      <w:pPr>
        <w:ind w:firstLine="488"/>
        <w:spacing w:after="0" w:line="289"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to such standards or subject us to fines and penalties. Examples of such standards include laws governing the hazardous material content of our devices and products, such as the European Union (“EU”) Directive 2011/65/EU relating to Restrictions on the Use of Certain Hazardous Substances “RoHS Directive, and the EU Directive 2012/19/EU on Waste Electrical and Electronic Equipment or “WEEE Directive”. Similar laws and regulations have been passed or are pending in several other jurisdictions and may be enacted in other regions, including in the United States, and we are, or may in the future be, subject to these laws and regulations.</w:t>
      </w:r>
    </w:p>
    <w:p>
      <w:pPr>
        <w:spacing w:after="0" w:line="194" w:lineRule="exact"/>
        <w:rPr>
          <w:sz w:val="20"/>
          <w:szCs w:val="20"/>
          <w:color w:val="auto"/>
        </w:rPr>
      </w:pPr>
    </w:p>
    <w:p>
      <w:pPr>
        <w:ind w:right="500" w:firstLine="488"/>
        <w:spacing w:after="0" w:line="276"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Ownership of Our Common Stock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right="60" w:firstLine="488"/>
        <w:spacing w:after="0" w:line="255" w:lineRule="auto"/>
        <w:rPr>
          <w:sz w:val="20"/>
          <w:szCs w:val="20"/>
          <w:color w:val="auto"/>
        </w:rPr>
      </w:pPr>
      <w:r>
        <w:rPr>
          <w:rFonts w:ascii="Arial" w:cs="Arial" w:eastAsia="Arial" w:hAnsi="Arial"/>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For the third quarter of 2017, the trading price of our common stock fluctuated from a low of $7.58 per share to a high of $10.98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Future sales and issuances of securities could negatively affect our stock price and dilute the ownership interest of our existing investors.</w:t>
      </w:r>
    </w:p>
    <w:p>
      <w:pPr>
        <w:spacing w:after="0" w:line="140" w:lineRule="exact"/>
        <w:rPr>
          <w:sz w:val="20"/>
          <w:szCs w:val="20"/>
          <w:color w:val="auto"/>
        </w:rPr>
      </w:pPr>
    </w:p>
    <w:p>
      <w:pPr>
        <w:ind w:right="20" w:firstLine="488"/>
        <w:spacing w:after="0" w:line="259" w:lineRule="auto"/>
        <w:rPr>
          <w:sz w:val="20"/>
          <w:szCs w:val="20"/>
          <w:color w:val="auto"/>
        </w:rPr>
      </w:pPr>
      <w:r>
        <w:rPr>
          <w:rFonts w:ascii="Arial" w:cs="Arial" w:eastAsia="Arial" w:hAnsi="Arial"/>
          <w:sz w:val="18"/>
          <w:szCs w:val="18"/>
          <w:color w:val="auto"/>
        </w:rPr>
        <w:t>Future sales or issuances of securities by us could decrease the value of our common stock, dilute stockholders’ voting power and reduce future potential earnings per share. 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5" w:name="page36"/>
    <w:bookmarkEnd w:id="35"/>
    <w:p>
      <w:pPr>
        <w:ind w:right="660"/>
        <w:spacing w:after="0" w:line="277" w:lineRule="auto"/>
        <w:rPr>
          <w:sz w:val="20"/>
          <w:szCs w:val="20"/>
          <w:color w:val="auto"/>
        </w:rPr>
      </w:pPr>
      <w:r>
        <w:rPr>
          <w:rFonts w:ascii="Arial" w:cs="Arial" w:eastAsia="Arial" w:hAnsi="Arial"/>
          <w:sz w:val="18"/>
          <w:szCs w:val="18"/>
          <w:color w:val="auto"/>
        </w:rPr>
        <w:t>privileges senior to those of existing holders of our common stock. We may also issue debt securities, which may impose restrictive covenants on our operations or otherwise adversely affect the holdings or the rights of our stockholders.</w:t>
      </w:r>
    </w:p>
    <w:p>
      <w:pPr>
        <w:spacing w:after="0" w:line="62" w:lineRule="exact"/>
        <w:rPr>
          <w:sz w:val="20"/>
          <w:szCs w:val="20"/>
          <w:color w:val="auto"/>
        </w:rPr>
      </w:pPr>
    </w:p>
    <w:p>
      <w:pPr>
        <w:ind w:right="80" w:firstLine="488"/>
        <w:spacing w:after="0" w:line="302" w:lineRule="auto"/>
        <w:rPr>
          <w:sz w:val="20"/>
          <w:szCs w:val="20"/>
          <w:color w:val="auto"/>
        </w:rPr>
      </w:pPr>
      <w:r>
        <w:rPr>
          <w:rFonts w:ascii="Arial" w:cs="Arial" w:eastAsia="Arial" w:hAnsi="Arial"/>
          <w:sz w:val="16"/>
          <w:szCs w:val="16"/>
          <w:color w:val="auto"/>
        </w:rPr>
        <w:t>Sales or issuances of a substantial amount of securities, or the perception that such sales could occur, may adversely affect prevailing market prices for our common stock. As of September 30, 2017, we had 11,579,379 shares of common stock outstanding, all of which shares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46" w:lineRule="exact"/>
        <w:rPr>
          <w:sz w:val="20"/>
          <w:szCs w:val="20"/>
          <w:color w:val="auto"/>
        </w:rPr>
      </w:pPr>
    </w:p>
    <w:p>
      <w:pPr>
        <w:ind w:firstLine="488"/>
        <w:spacing w:after="0" w:line="302" w:lineRule="auto"/>
        <w:rPr>
          <w:sz w:val="20"/>
          <w:szCs w:val="20"/>
          <w:color w:val="auto"/>
        </w:rPr>
      </w:pPr>
      <w:r>
        <w:rPr>
          <w:rFonts w:ascii="Arial" w:cs="Arial" w:eastAsia="Arial" w:hAnsi="Arial"/>
          <w:sz w:val="16"/>
          <w:szCs w:val="16"/>
          <w:color w:val="auto"/>
        </w:rPr>
        <w:t>As of September 30, 2017, holders of an aggregate of 1,406,493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will become eligible for sale in the public markets in the future, subject to certain legal and control limitations.</w:t>
      </w:r>
    </w:p>
    <w:p>
      <w:pPr>
        <w:spacing w:after="0" w:line="46" w:lineRule="exact"/>
        <w:rPr>
          <w:sz w:val="20"/>
          <w:szCs w:val="20"/>
          <w:color w:val="auto"/>
        </w:rPr>
      </w:pPr>
    </w:p>
    <w:p>
      <w:pPr>
        <w:ind w:right="60" w:firstLine="488"/>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30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40" w:lineRule="exact"/>
        <w:rPr>
          <w:sz w:val="20"/>
          <w:szCs w:val="20"/>
          <w:color w:val="auto"/>
        </w:rPr>
      </w:pPr>
    </w:p>
    <w:p>
      <w:pPr>
        <w:ind w:right="180" w:firstLine="488"/>
        <w:spacing w:after="0" w:line="273" w:lineRule="auto"/>
        <w:rPr>
          <w:sz w:val="20"/>
          <w:szCs w:val="20"/>
          <w:color w:val="auto"/>
        </w:rPr>
      </w:pPr>
      <w:r>
        <w:rPr>
          <w:rFonts w:ascii="Arial" w:cs="Arial" w:eastAsia="Arial" w:hAnsi="Arial"/>
          <w:sz w:val="17"/>
          <w:szCs w:val="17"/>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In addition, our loan facility with Silicon Valley Bank restricts us from paying any dividends or making any other distribution or payment on account of our common stock.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178" w:lineRule="exact"/>
        <w:rPr>
          <w:sz w:val="20"/>
          <w:szCs w:val="20"/>
          <w:color w:val="auto"/>
        </w:rPr>
      </w:pPr>
    </w:p>
    <w:p>
      <w:pPr>
        <w:ind w:right="300" w:firstLine="48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197" w:lineRule="exact"/>
        <w:rPr>
          <w:sz w:val="20"/>
          <w:szCs w:val="20"/>
          <w:color w:val="auto"/>
        </w:rPr>
      </w:pPr>
    </w:p>
    <w:p>
      <w:pPr>
        <w:ind w:right="140" w:firstLine="488"/>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Ownership of our common stock is concentrated among a few investors, which may affect the ability of a third party to acquire control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260" w:firstLine="488"/>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as of September 30, 2017.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ability to raise capital in the future may be limited, and our failure to raise capital when needed could prevent us from growing.</w:t>
      </w:r>
    </w:p>
    <w:p>
      <w:pPr>
        <w:spacing w:after="0" w:line="129" w:lineRule="exact"/>
        <w:rPr>
          <w:sz w:val="20"/>
          <w:szCs w:val="20"/>
          <w:color w:val="auto"/>
        </w:rPr>
      </w:pPr>
    </w:p>
    <w:p>
      <w:pPr>
        <w:ind w:right="80" w:firstLine="488"/>
        <w:spacing w:after="0" w:line="286"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w:t>
      </w:r>
    </w:p>
    <w:p>
      <w:pPr>
        <w:spacing w:after="0" w:line="166" w:lineRule="exact"/>
        <w:rPr>
          <w:sz w:val="20"/>
          <w:szCs w:val="20"/>
          <w:color w:val="auto"/>
        </w:rPr>
      </w:pPr>
    </w:p>
    <w:p>
      <w:pPr>
        <w:ind w:right="40" w:firstLine="488"/>
        <w:spacing w:after="0" w:line="286" w:lineRule="auto"/>
        <w:rPr>
          <w:sz w:val="20"/>
          <w:szCs w:val="20"/>
          <w:color w:val="auto"/>
        </w:rPr>
      </w:pPr>
      <w:r>
        <w:rPr>
          <w:rFonts w:ascii="Arial" w:cs="Arial" w:eastAsia="Arial" w:hAnsi="Arial"/>
          <w:sz w:val="17"/>
          <w:szCs w:val="17"/>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6" w:name="page37"/>
    <w:bookmarkEnd w:id="36"/>
    <w:p>
      <w:pPr>
        <w:ind w:right="220" w:firstLine="488"/>
        <w:spacing w:after="0" w:line="290" w:lineRule="auto"/>
        <w:rPr>
          <w:sz w:val="20"/>
          <w:szCs w:val="20"/>
          <w:color w:val="auto"/>
        </w:rPr>
      </w:pPr>
      <w:r>
        <w:rPr>
          <w:rFonts w:ascii="Arial" w:cs="Arial" w:eastAsia="Arial" w:hAnsi="Arial"/>
          <w:sz w:val="16"/>
          <w:szCs w:val="16"/>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persist. As of July 2, 2016, we became an accelerated filer and effective with our Annual Report covering our fiscal year 2016, our independent registered public accounting firm will be required to formally attest to the effectiveness of our internal control over financial reporting pursuant to Section 404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180" w:lineRule="exact"/>
        <w:rPr>
          <w:sz w:val="20"/>
          <w:szCs w:val="20"/>
          <w:color w:val="auto"/>
        </w:rPr>
      </w:pPr>
    </w:p>
    <w:p>
      <w:pPr>
        <w:ind w:right="140" w:firstLine="488"/>
        <w:spacing w:after="0" w:line="257" w:lineRule="auto"/>
        <w:rPr>
          <w:sz w:val="20"/>
          <w:szCs w:val="20"/>
          <w:color w:val="auto"/>
        </w:rPr>
      </w:pPr>
      <w:r>
        <w:rPr>
          <w:rFonts w:ascii="Arial" w:cs="Arial" w:eastAsia="Arial" w:hAnsi="Arial"/>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215" w:lineRule="exact"/>
        <w:rPr>
          <w:sz w:val="20"/>
          <w:szCs w:val="20"/>
          <w:color w:val="auto"/>
        </w:rPr>
      </w:pPr>
    </w:p>
    <w:p>
      <w:pPr>
        <w:ind w:firstLine="488"/>
        <w:spacing w:after="0" w:line="293"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165" w:lineRule="exact"/>
        <w:rPr>
          <w:sz w:val="20"/>
          <w:szCs w:val="20"/>
          <w:color w:val="auto"/>
        </w:rPr>
      </w:pPr>
    </w:p>
    <w:p>
      <w:pPr>
        <w:ind w:right="120" w:firstLine="488"/>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right="60" w:firstLine="488"/>
        <w:spacing w:after="0" w:line="276"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173" w:lineRule="exact"/>
        <w:rPr>
          <w:sz w:val="20"/>
          <w:szCs w:val="20"/>
          <w:color w:val="auto"/>
        </w:rPr>
      </w:pPr>
    </w:p>
    <w:p>
      <w:pPr>
        <w:ind w:left="1520" w:hanging="751"/>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225" w:lineRule="exact"/>
        <w:rPr>
          <w:rFonts w:ascii="Arial" w:cs="Arial" w:eastAsia="Arial" w:hAnsi="Arial"/>
          <w:sz w:val="18"/>
          <w:szCs w:val="18"/>
          <w:color w:val="auto"/>
        </w:rPr>
      </w:pPr>
    </w:p>
    <w:p>
      <w:pPr>
        <w:ind w:left="1260" w:hanging="115"/>
        <w:spacing w:after="0"/>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225" w:lineRule="exact"/>
        <w:rPr>
          <w:rFonts w:ascii="Arial" w:cs="Arial" w:eastAsia="Arial" w:hAnsi="Arial"/>
          <w:sz w:val="18"/>
          <w:szCs w:val="18"/>
          <w:color w:val="auto"/>
        </w:rPr>
      </w:pPr>
    </w:p>
    <w:p>
      <w:pPr>
        <w:ind w:right="720" w:firstLine="1145"/>
        <w:spacing w:after="0" w:line="277" w:lineRule="auto"/>
        <w:tabs>
          <w:tab w:leader="none" w:pos="12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or by a committee of our board of directors, thus prohibiting a stockholder from calling a special meeting;</w:t>
      </w:r>
    </w:p>
    <w:p>
      <w:pPr>
        <w:spacing w:after="0" w:line="170" w:lineRule="exact"/>
        <w:rPr>
          <w:rFonts w:ascii="Arial" w:cs="Arial" w:eastAsia="Arial" w:hAnsi="Arial"/>
          <w:sz w:val="18"/>
          <w:szCs w:val="18"/>
          <w:color w:val="auto"/>
        </w:rPr>
      </w:pPr>
    </w:p>
    <w:p>
      <w:pPr>
        <w:ind w:left="1260" w:hanging="115"/>
        <w:spacing w:after="0"/>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225" w:lineRule="exact"/>
        <w:rPr>
          <w:rFonts w:ascii="Arial" w:cs="Arial" w:eastAsia="Arial" w:hAnsi="Arial"/>
          <w:sz w:val="18"/>
          <w:szCs w:val="18"/>
          <w:color w:val="auto"/>
        </w:rPr>
      </w:pPr>
    </w:p>
    <w:p>
      <w:pPr>
        <w:ind w:left="1260" w:hanging="115"/>
        <w:spacing w:after="0"/>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280" w:firstLine="488"/>
        <w:spacing w:after="0" w:line="312"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37" w:name="page38"/>
    <w:bookmarkEnd w:id="37"/>
    <w:p>
      <w:pPr>
        <w:ind w:right="4839"/>
        <w:spacing w:after="0" w:line="425" w:lineRule="auto"/>
        <w:rPr>
          <w:sz w:val="20"/>
          <w:szCs w:val="20"/>
          <w:color w:val="auto"/>
        </w:rPr>
      </w:pPr>
      <w:r>
        <w:rPr>
          <w:rFonts w:ascii="Arial" w:cs="Arial" w:eastAsia="Arial" w:hAnsi="Arial"/>
          <w:sz w:val="16"/>
          <w:szCs w:val="16"/>
          <w:b w:val="1"/>
          <w:bCs w:val="1"/>
          <w:color w:val="auto"/>
        </w:rPr>
        <w:t>Item 2. Unregistered Sales of Equity Securities and Use of Proceeds Purchases of Equity Securities by the Issuer and Affiliated Purchasers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2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 (1)</w:t>
            </w:r>
          </w:p>
        </w:tc>
        <w:tc>
          <w:tcPr>
            <w:tcW w:w="120" w:type="dxa"/>
            <w:vAlign w:val="bottom"/>
          </w:tcPr>
          <w:p>
            <w:pPr>
              <w:spacing w:after="0"/>
              <w:rPr>
                <w:sz w:val="24"/>
                <w:szCs w:val="24"/>
                <w:color w:val="auto"/>
              </w:rPr>
            </w:pPr>
          </w:p>
        </w:tc>
        <w:tc>
          <w:tcPr>
            <w:tcW w:w="1026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Amended and Restated Certificate of Incorporation of Registrant.</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3.2 (2)</w:t>
            </w:r>
          </w:p>
        </w:tc>
        <w:tc>
          <w:tcPr>
            <w:tcW w:w="120" w:type="dxa"/>
            <w:vAlign w:val="bottom"/>
          </w:tcPr>
          <w:p>
            <w:pPr>
              <w:spacing w:after="0"/>
              <w:rPr>
                <w:sz w:val="24"/>
                <w:szCs w:val="24"/>
                <w:color w:val="auto"/>
              </w:rPr>
            </w:pPr>
          </w:p>
        </w:tc>
        <w:tc>
          <w:tcPr>
            <w:tcW w:w="3280" w:type="dxa"/>
            <w:vAlign w:val="bottom"/>
            <w:tcBorders>
              <w:bottom w:val="single" w:sz="8" w:color="0000EE"/>
            </w:tcBorders>
            <w:gridSpan w:val="3"/>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Amended and Restated Bylaws of Registrant.</w:t>
              </w:r>
            </w:hyperlink>
          </w:p>
        </w:tc>
        <w:tc>
          <w:tcPr>
            <w:tcW w:w="6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 (3)</w:t>
            </w:r>
          </w:p>
        </w:tc>
        <w:tc>
          <w:tcPr>
            <w:tcW w:w="120" w:type="dxa"/>
            <w:vAlign w:val="bottom"/>
          </w:tcPr>
          <w:p>
            <w:pPr>
              <w:spacing w:after="0"/>
              <w:rPr>
                <w:sz w:val="24"/>
                <w:szCs w:val="24"/>
                <w:color w:val="auto"/>
              </w:rPr>
            </w:pPr>
          </w:p>
        </w:tc>
        <w:tc>
          <w:tcPr>
            <w:tcW w:w="10260" w:type="dxa"/>
            <w:vAlign w:val="bottom"/>
            <w:gridSpan w:val="9"/>
          </w:tcPr>
          <w:p>
            <w:pPr>
              <w:spacing w:after="0"/>
              <w:rPr>
                <w:rFonts w:ascii="Arial" w:cs="Arial" w:eastAsia="Arial" w:hAnsi="Arial"/>
                <w:sz w:val="18"/>
                <w:szCs w:val="18"/>
                <w:color w:val="0000EE"/>
              </w:rPr>
            </w:pPr>
            <w:hyperlink r:id="rId62">
              <w:r>
                <w:rPr>
                  <w:rFonts w:ascii="Arial" w:cs="Arial" w:eastAsia="Arial" w:hAnsi="Arial"/>
                  <w:sz w:val="18"/>
                  <w:szCs w:val="18"/>
                  <w:color w:val="0000EE"/>
                </w:rPr>
                <w:t>Offer Letter between the Company and George Marcellino dated as of September 6, 2017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54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6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Certification of Principal Executive Officer pursuant to Securities Exchange Act Rules 13a-14(a) and 15d-14(a).</w:t>
              </w:r>
            </w:hyperlink>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0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of Principal Financial Officer pursuant to Securities Exchange Act Rules 13a-14(a) and 15d-14(a).</w:t>
              </w:r>
            </w:hyperlink>
          </w:p>
        </w:tc>
        <w:tc>
          <w:tcPr>
            <w:tcW w:w="40" w:type="dxa"/>
            <w:vAlign w:val="bottom"/>
            <w:tcBorders>
              <w:top w:val="single" w:sz="8" w:color="0000EE"/>
            </w:tcBorders>
          </w:tcPr>
          <w:p>
            <w:pPr>
              <w:spacing w:after="0"/>
              <w:rPr>
                <w:sz w:val="24"/>
                <w:szCs w:val="24"/>
                <w:color w:val="auto"/>
              </w:rPr>
            </w:pPr>
          </w:p>
        </w:tc>
        <w:tc>
          <w:tcPr>
            <w:tcW w:w="2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9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2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of 2002.</w:t>
              </w:r>
            </w:hyperlink>
          </w:p>
        </w:tc>
        <w:tc>
          <w:tcPr>
            <w:tcW w:w="9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-1594485</wp:posOffset>
            </wp:positionV>
            <wp:extent cx="17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-1594485</wp:posOffset>
            </wp:positionV>
            <wp:extent cx="17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certification furnished in Exhibit 32.1 and 32.2 hereto is deemed to accompany this Quarterly Report on Form 10-Q and will not be deemed</w:t>
      </w:r>
    </w:p>
    <w:p>
      <w:pPr>
        <w:spacing w:after="0" w:line="35" w:lineRule="exact"/>
        <w:rPr>
          <w:sz w:val="20"/>
          <w:szCs w:val="20"/>
          <w:color w:val="auto"/>
        </w:rPr>
      </w:pPr>
    </w:p>
    <w:p>
      <w:pPr>
        <w:ind w:left="520" w:right="120"/>
        <w:spacing w:after="0" w:line="250" w:lineRule="auto"/>
        <w:rPr>
          <w:sz w:val="20"/>
          <w:szCs w:val="20"/>
          <w:color w:val="auto"/>
        </w:rPr>
      </w:pPr>
      <w:r>
        <w:rPr>
          <w:rFonts w:ascii="Arial" w:cs="Arial" w:eastAsia="Arial" w:hAnsi="Arial"/>
          <w:sz w:val="18"/>
          <w:szCs w:val="18"/>
          <w:color w:val="auto"/>
        </w:rPr>
        <w:t>“filed”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520" w:right="260" w:hanging="512"/>
        <w:spacing w:after="0" w:line="250"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Registration Statement on Form SB-2 (No. 333-00320-LA) which was declared effective on February 15, 1996.</w:t>
      </w: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November 21, 2007.</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October 5, 2017.</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Quarterly Report on Form 10-Q are the property of their respective owners.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IRIDEX Corporation (Registrant)</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November 7, 2017</w:t>
            </w:r>
          </w:p>
        </w:tc>
        <w:tc>
          <w:tcPr>
            <w:tcW w:w="2780" w:type="dxa"/>
            <w:vAlign w:val="bottom"/>
          </w:tcPr>
          <w:p>
            <w:pPr>
              <w:ind w:left="238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M. MOORE</w:t>
            </w:r>
          </w:p>
        </w:tc>
      </w:tr>
      <w:tr>
        <w:trPr>
          <w:trHeight w:val="195"/>
        </w:trPr>
        <w:tc>
          <w:tcPr>
            <w:tcW w:w="41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William M. Moore</w:t>
            </w:r>
          </w:p>
        </w:tc>
      </w:tr>
      <w:tr>
        <w:trPr>
          <w:trHeight w:val="216"/>
        </w:trPr>
        <w:tc>
          <w:tcPr>
            <w:tcW w:w="4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1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Date: November 7, 2017</w:t>
            </w:r>
          </w:p>
        </w:tc>
        <w:tc>
          <w:tcPr>
            <w:tcW w:w="2780" w:type="dxa"/>
            <w:vAlign w:val="bottom"/>
          </w:tcPr>
          <w:p>
            <w:pPr>
              <w:ind w:left="238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ATABAK MOKARI</w:t>
            </w:r>
          </w:p>
        </w:tc>
      </w:tr>
      <w:tr>
        <w:trPr>
          <w:trHeight w:val="195"/>
        </w:trPr>
        <w:tc>
          <w:tcPr>
            <w:tcW w:w="41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Atabak Mokari</w:t>
            </w:r>
          </w:p>
        </w:tc>
      </w:tr>
      <w:tr>
        <w:trPr>
          <w:trHeight w:val="216"/>
        </w:trPr>
        <w:tc>
          <w:tcPr>
            <w:tcW w:w="4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Chief Financial Officer and Vice President of</w:t>
            </w:r>
          </w:p>
        </w:tc>
      </w:tr>
      <w:tr>
        <w:trPr>
          <w:trHeight w:val="216"/>
        </w:trPr>
        <w:tc>
          <w:tcPr>
            <w:tcW w:w="4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Corporate Development</w:t>
            </w:r>
          </w:p>
        </w:tc>
      </w:tr>
      <w:tr>
        <w:trPr>
          <w:trHeight w:val="230"/>
        </w:trPr>
        <w:tc>
          <w:tcPr>
            <w:tcW w:w="41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rPr>
              <w:t>Date: November 7, 2017</w:t>
            </w:r>
          </w:p>
        </w:tc>
        <w:tc>
          <w:tcPr>
            <w:tcW w:w="2780" w:type="dxa"/>
            <w:vAlign w:val="bottom"/>
          </w:tcPr>
          <w:p>
            <w:pPr>
              <w:ind w:left="238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ROMEO R. DIZON</w:t>
            </w:r>
          </w:p>
        </w:tc>
      </w:tr>
      <w:tr>
        <w:trPr>
          <w:trHeight w:val="195"/>
        </w:trPr>
        <w:tc>
          <w:tcPr>
            <w:tcW w:w="41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Romeo R. Dizon</w:t>
            </w:r>
          </w:p>
        </w:tc>
      </w:tr>
      <w:tr>
        <w:trPr>
          <w:trHeight w:val="216"/>
        </w:trPr>
        <w:tc>
          <w:tcPr>
            <w:tcW w:w="4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Vice President and Controller</w:t>
            </w:r>
          </w:p>
        </w:tc>
      </w:tr>
      <w:tr>
        <w:trPr>
          <w:trHeight w:val="230"/>
        </w:trPr>
        <w:tc>
          <w:tcPr>
            <w:tcW w:w="41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M. Moore, certify that:</w:t>
      </w:r>
    </w:p>
    <w:p>
      <w:pPr>
        <w:spacing w:after="0" w:line="117"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MOORE</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William M. Moore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Atabak Mokari, certify that:</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ATABAK MOKARI</w:t>
            </w: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spacing w:after="0"/>
              <w:rPr>
                <w:sz w:val="20"/>
                <w:szCs w:val="20"/>
                <w:color w:val="auto"/>
              </w:rPr>
            </w:pPr>
            <w:r>
              <w:rPr>
                <w:rFonts w:ascii="Arial" w:cs="Arial" w:eastAsia="Arial" w:hAnsi="Arial"/>
                <w:sz w:val="18"/>
                <w:szCs w:val="18"/>
                <w:color w:val="auto"/>
              </w:rPr>
              <w:t>Atabak Mokari</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 Vice President of</w:t>
            </w:r>
          </w:p>
        </w:tc>
      </w:tr>
      <w:tr>
        <w:trPr>
          <w:trHeight w:val="216"/>
        </w:trPr>
        <w:tc>
          <w:tcPr>
            <w:tcW w:w="8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Corporate Development</w:t>
            </w:r>
          </w:p>
        </w:tc>
      </w:tr>
      <w:tr>
        <w:trPr>
          <w:trHeight w:val="230"/>
        </w:trPr>
        <w:tc>
          <w:tcPr>
            <w:tcW w:w="8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William M. Moore, pursuant to 18 U.S.C. Section 1350, as adopted pursuant to Section 906 of the Sarbanes-Oxley Act of 2002, certify that the Quarterly Report of IRIDEX Corporation on Form 10-Q for the fiscal quarter ended September 30, 2017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M. MOORE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5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Atabak Mokari, pursuant to 18 U.S.C. Section 1350, as adopted pursuant to Section 906 of the Sarbanes-Oxley Act of 2002, certify that the Quarterly Report of IRIDEX Corporation on Form 10-Q for the fiscal quarter ended September 30, 2017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ATABAK MOKARI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6"/>
          <w:szCs w:val="16"/>
          <w:color w:val="auto"/>
        </w:rPr>
        <w:t>Title:</w:t>
        <w:tab/>
        <w:t>Chief Financial Officer and Vice President of Corporate Development</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1" Type="http://schemas.openxmlformats.org/officeDocument/2006/relationships/hyperlink" Target="http://www.sec.gov/Archives/edgar/data/1006045/000095013407024459/f35935exv3w1.htm" TargetMode="External"/><Relationship Id="rId62" Type="http://schemas.openxmlformats.org/officeDocument/2006/relationships/hyperlink" Target="http://www.sec.gov/Archives/edgar/data/1006045/000156459017019242/irix-8k_2017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2019-12-29T03:07:03Z</dcterms:created>
  <dcterms:modified xsi:type="dcterms:W3CDTF">2019-12-29T03:07:03Z</dcterms:modified>
</cp:coreProperties>
</file>