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118110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77-0210467</w:t>
            </w:r>
          </w:p>
        </w:tc>
      </w:tr>
      <w:tr>
        <w:trPr>
          <w:trHeight w:val="149"/>
        </w:trPr>
        <w:tc>
          <w:tcPr>
            <w:tcW w:w="434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38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1212 Terra Bella Avenue</w:t>
            </w:r>
          </w:p>
        </w:tc>
        <w:tc>
          <w:tcPr>
            <w:tcW w:w="3380" w:type="dxa"/>
            <w:vAlign w:val="bottom"/>
          </w:tcPr>
          <w:p>
            <w:pPr>
              <w:spacing w:after="0"/>
              <w:rPr>
                <w:sz w:val="24"/>
                <w:szCs w:val="24"/>
                <w:color w:val="auto"/>
              </w:rPr>
            </w:pPr>
          </w:p>
        </w:tc>
      </w:tr>
      <w:tr>
        <w:trPr>
          <w:trHeight w:val="212"/>
        </w:trPr>
        <w:tc>
          <w:tcPr>
            <w:tcW w:w="43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4"/>
              </w:rPr>
              <w:t>Mountain View, California</w:t>
            </w:r>
          </w:p>
        </w:tc>
        <w:tc>
          <w:tcPr>
            <w:tcW w:w="338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94043-1824</w:t>
            </w:r>
          </w:p>
        </w:tc>
      </w:tr>
      <w:tr>
        <w:trPr>
          <w:trHeight w:val="186"/>
        </w:trPr>
        <w:tc>
          <w:tcPr>
            <w:tcW w:w="434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8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7"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9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8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July 19, 2018 was 11,664,179.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29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58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June 30, 2018 and December 30, 2017</w:t>
              </w:r>
            </w:hyperlink>
          </w:p>
        </w:tc>
        <w:tc>
          <w:tcPr>
            <w:tcW w:w="248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Condensed Consolidated Statements of Operations for the three and six months ended June 30, 2018 and July 1, 2017</w:t>
              </w:r>
            </w:hyperlink>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Loss for the three and six months ended June 30, 2018 and July</w:t>
              </w:r>
            </w:hyperlink>
          </w:p>
        </w:tc>
        <w:tc>
          <w:tcPr>
            <w:tcW w:w="940" w:type="dxa"/>
            <w:vAlign w:val="bottom"/>
          </w:tcPr>
          <w:p>
            <w:pPr>
              <w:spacing w:after="0"/>
              <w:rPr>
                <w:sz w:val="24"/>
                <w:szCs w:val="24"/>
                <w:color w:val="auto"/>
              </w:rPr>
            </w:pPr>
          </w:p>
        </w:tc>
      </w:tr>
      <w:tr>
        <w:trPr>
          <w:trHeight w:val="196"/>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3"/>
          </w:tcPr>
          <w:p>
            <w:pPr>
              <w:jc w:val="right"/>
              <w:ind w:right="140"/>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1, 2017</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Condensed Consolidated Statements of Cash Flows for the six months ended June 30, 2018 and July 1, 2017</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820" w:type="dxa"/>
            <w:vAlign w:val="bottom"/>
            <w:tcBorders>
              <w:top w:val="single" w:sz="8" w:color="0000EE"/>
            </w:tcBorders>
            <w:gridSpan w:val="3"/>
          </w:tcPr>
          <w:p>
            <w:pPr>
              <w:spacing w:after="0"/>
              <w:rPr>
                <w:sz w:val="24"/>
                <w:szCs w:val="24"/>
                <w:color w:val="auto"/>
              </w:rPr>
            </w:pPr>
          </w:p>
        </w:tc>
        <w:tc>
          <w:tcPr>
            <w:tcW w:w="8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96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764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1048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180" w:type="dxa"/>
            <w:vAlign w:val="bottom"/>
            <w:tcBorders>
              <w:top w:val="single" w:sz="8" w:color="0000EE"/>
            </w:tcBorders>
          </w:tcPr>
          <w:p>
            <w:pPr>
              <w:spacing w:after="0"/>
              <w:rPr>
                <w:sz w:val="24"/>
                <w:szCs w:val="24"/>
                <w:color w:val="auto"/>
              </w:rPr>
            </w:pPr>
          </w:p>
        </w:tc>
        <w:tc>
          <w:tcPr>
            <w:tcW w:w="790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2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06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42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10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810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700" w:type="dxa"/>
            <w:vAlign w:val="bottom"/>
            <w:tcBorders>
              <w:bottom w:val="single" w:sz="8" w:color="0000EE"/>
            </w:tcBorders>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Signature</w:t>
              </w:r>
            </w:hyperlink>
          </w:p>
        </w:tc>
        <w:tc>
          <w:tcPr>
            <w:tcW w:w="3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Pr>
          <w:p>
            <w:pPr>
              <w:spacing w:after="0"/>
              <w:rPr>
                <w:sz w:val="14"/>
                <w:szCs w:val="14"/>
                <w:color w:val="auto"/>
              </w:rPr>
            </w:pPr>
          </w:p>
        </w:tc>
        <w:tc>
          <w:tcPr>
            <w:tcW w:w="2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30, 2017 (1)</w:t>
            </w: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16,045</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$213 as of June 30, 2018 and $226 as of December 30, 2017</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35,143</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2,243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w w:val="90"/>
              </w:rPr>
              <w:t>Preferred stock, $0.01 par value, 2,000,000 shares authorized, no shares issued and outstanding</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tcPr>
          <w:p>
            <w:pPr>
              <w:ind w:left="260"/>
              <w:spacing w:after="0"/>
              <w:rPr>
                <w:sz w:val="20"/>
                <w:szCs w:val="20"/>
                <w:color w:val="auto"/>
              </w:rPr>
            </w:pPr>
            <w:r>
              <w:rPr>
                <w:rFonts w:ascii="Arial" w:cs="Arial" w:eastAsia="Arial" w:hAnsi="Arial"/>
                <w:sz w:val="18"/>
                <w:szCs w:val="18"/>
                <w:color w:val="auto"/>
              </w:rPr>
              <w:t>Issued and outstanding 11,663,838 and 11,596,274 shares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60"/>
              <w:spacing w:after="0"/>
              <w:rPr>
                <w:sz w:val="20"/>
                <w:szCs w:val="20"/>
                <w:color w:val="auto"/>
              </w:rPr>
            </w:pPr>
            <w:r>
              <w:rPr>
                <w:rFonts w:ascii="Arial" w:cs="Arial" w:eastAsia="Arial" w:hAnsi="Arial"/>
                <w:sz w:val="18"/>
                <w:szCs w:val="18"/>
                <w:color w:val="auto"/>
              </w:rPr>
              <w:t>as of June 30, 2018 and December 30, 2017,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(35,872)</w:t>
            </w:r>
          </w:p>
        </w:tc>
        <w:tc>
          <w:tcPr>
            <w:tcW w:w="2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(28,989)</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24,433</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35,143</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6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December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June 30,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30, 2018</w:t>
            </w:r>
          </w:p>
        </w:tc>
        <w:tc>
          <w:tcPr>
            <w:tcW w:w="1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July 1, 2017</w:t>
            </w: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19,813</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11,623</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w w:val="90"/>
              </w:rPr>
              <w:t>Weighted average shares used in computing net loss per common share:</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300" w:type="dxa"/>
            <w:vAlign w:val="bottom"/>
            <w:gridSpan w:val="5"/>
          </w:tcPr>
          <w:p>
            <w:pPr>
              <w:ind w:lef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1, 2017</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1, 2017</w:t>
            </w:r>
          </w:p>
        </w:tc>
        <w:tc>
          <w:tcPr>
            <w:tcW w:w="0" w:type="dxa"/>
            <w:vAlign w:val="bottom"/>
          </w:tcPr>
          <w:p>
            <w:pPr>
              <w:spacing w:after="0"/>
              <w:rPr>
                <w:sz w:val="1"/>
                <w:szCs w:val="1"/>
                <w:color w:val="auto"/>
              </w:rPr>
            </w:pPr>
          </w:p>
        </w:tc>
      </w:tr>
      <w:tr>
        <w:trPr>
          <w:trHeight w:val="223"/>
        </w:trPr>
        <w:tc>
          <w:tcPr>
            <w:tcW w:w="3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0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3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Comprehensive loss</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 2018</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5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July 1, 2017</w:t>
            </w:r>
          </w:p>
        </w:tc>
        <w:tc>
          <w:tcPr>
            <w:tcW w:w="0" w:type="dxa"/>
            <w:vAlign w:val="bottom"/>
          </w:tcPr>
          <w:p>
            <w:pPr>
              <w:spacing w:after="0"/>
              <w:rPr>
                <w:sz w:val="1"/>
                <w:szCs w:val="1"/>
                <w:color w:val="auto"/>
              </w:rPr>
            </w:pPr>
          </w:p>
        </w:tc>
      </w:tr>
      <w:tr>
        <w:trPr>
          <w:trHeight w:val="147"/>
        </w:trPr>
        <w:tc>
          <w:tcPr>
            <w:tcW w:w="712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14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0" w:type="dxa"/>
            <w:vAlign w:val="bottom"/>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(6,883)</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4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1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warranty</w:t>
            </w:r>
          </w:p>
        </w:tc>
        <w:tc>
          <w:tcPr>
            <w:tcW w:w="1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(809)</w:t>
            </w: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(204)</w:t>
            </w: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4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(5,053)</w:t>
            </w:r>
          </w:p>
        </w:tc>
        <w:tc>
          <w:tcPr>
            <w:tcW w:w="3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4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(374)</w:t>
            </w: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Payment on earn-out liability</w:t>
            </w:r>
          </w:p>
        </w:tc>
        <w:tc>
          <w:tcPr>
            <w:tcW w:w="1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(186)</w:t>
            </w:r>
          </w:p>
        </w:tc>
        <w:tc>
          <w:tcPr>
            <w:tcW w:w="5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32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140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4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Effect of foreign exchange rate changes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8"/>
              </w:rPr>
              <w:t>(5,662)</w:t>
            </w: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4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21,707</w:t>
            </w:r>
          </w:p>
        </w:tc>
        <w:tc>
          <w:tcPr>
            <w:tcW w:w="3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400" w:type="dxa"/>
            <w:vAlign w:val="bottom"/>
            <w:tcBorders>
              <w:bottom w:val="single" w:sz="8" w:color="auto"/>
            </w:tcBorders>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16,045</w:t>
            </w: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period for:</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400" w:type="dxa"/>
            <w:vAlign w:val="bottom"/>
          </w:tcPr>
          <w:p>
            <w:pPr>
              <w:jc w:val="right"/>
              <w:ind w:right="124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400" w:type="dxa"/>
            <w:vAlign w:val="bottom"/>
          </w:tcPr>
          <w:p>
            <w:pPr>
              <w:jc w:val="right"/>
              <w:ind w:right="1246"/>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188"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2017, which was filed with the Securities and Exchange Commission (“SEC”) on March 14, 2018. The results of operations for the three and six months ended June 30, 2018 and July 1, 2017 are not necessarily indicative of the results for the fiscal year ending December 29, 2018 or any future interim period. The three months periods ended June 30, 2018 and July 1, 2017,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December 30, 2017, which was filed with the SEC on March 14,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LAP Programs, (3) Extended Warranty, (4) System Repairs (outside of warranty) and (5) Royalty Revenue.</w:t>
      </w:r>
    </w:p>
    <w:p>
      <w:pPr>
        <w:spacing w:after="0" w:line="197" w:lineRule="exact"/>
        <w:rPr>
          <w:sz w:val="20"/>
          <w:szCs w:val="20"/>
          <w:color w:val="auto"/>
        </w:rPr>
      </w:pPr>
    </w:p>
    <w:p>
      <w:pPr>
        <w:ind w:left="1140" w:right="20" w:hanging="376"/>
        <w:spacing w:after="0" w:line="25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eye disease in the retina and glaucoma eye diseases. Inside the United States and Germany the products are sold directly to the end users. In other countries outside of the United States, the Company utilizes independent, third-party distributors to market and sell the Company’s products. There is no continuing obligation subsequent to the shipment to the distributors.</w:t>
      </w:r>
    </w:p>
    <w:p>
      <w:pPr>
        <w:spacing w:after="0" w:line="215"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Under the new guidance, there is no change in our revenue recognition for product-sale-only transactions, as compared to revenue recognition for these transactions under the prior revenue recognition standards. For a description of our prior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 w:name="page8"/>
    <w:bookmarkEnd w:id="7"/>
    <w:p>
      <w:pPr>
        <w:ind w:left="376"/>
        <w:spacing w:after="0" w:line="255" w:lineRule="auto"/>
        <w:rPr>
          <w:sz w:val="20"/>
          <w:szCs w:val="20"/>
          <w:color w:val="auto"/>
        </w:rPr>
      </w:pPr>
      <w:r>
        <w:rPr>
          <w:rFonts w:ascii="Arial" w:cs="Arial" w:eastAsia="Arial" w:hAnsi="Arial"/>
          <w:sz w:val="18"/>
          <w:szCs w:val="18"/>
          <w:color w:val="auto"/>
        </w:rPr>
        <w:t>revenue recognition standards, see Note 2 to the consolidated financial statements included as part of our Annual Report on Form 10-K for the period ended December 30, 2017. 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220" w:lineRule="exact"/>
        <w:rPr>
          <w:sz w:val="20"/>
          <w:szCs w:val="20"/>
          <w:color w:val="auto"/>
        </w:rPr>
      </w:pPr>
    </w:p>
    <w:p>
      <w:pPr>
        <w:ind w:left="376" w:right="40" w:hanging="376"/>
        <w:spacing w:after="0" w:line="288" w:lineRule="auto"/>
        <w:tabs>
          <w:tab w:leader="none" w:pos="376" w:val="left"/>
        </w:tabs>
        <w:numPr>
          <w:ilvl w:val="0"/>
          <w:numId w:val="5"/>
        </w:numPr>
        <w:rPr>
          <w:rFonts w:ascii="Arial" w:cs="Arial" w:eastAsia="Arial" w:hAnsi="Arial"/>
          <w:sz w:val="16"/>
          <w:szCs w:val="16"/>
          <w:color w:val="auto"/>
        </w:rPr>
      </w:pPr>
      <w:r>
        <w:rPr>
          <w:rFonts w:ascii="Arial" w:cs="Arial" w:eastAsia="Arial" w:hAnsi="Arial"/>
          <w:sz w:val="16"/>
          <w:szCs w:val="16"/>
          <w:color w:val="auto"/>
        </w:rPr>
        <w:t>VIP/LAP Programs: The Company sometimes enters into VIP or Laser Advantage Program (LAP) contracts with customers. For the VIP program, under the terms of such contracts, the customer is not charged for the system upon the initial agreement, but rather is obligated to purchase a quarterly minimum quantity of Endoprobes (classified as disposables) at a premium during the contract period, such that at the end of the contract period the system has been paid in full. The Company decided to replace its previously utilized VIP program (contract length of two years) with an LAP program (contract length of 12 months or less) beginning in fourth quarter of 2016.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(G6 Laser) and receive a discount on the program’s minimum purchase requirements. Under ASC 606, this non-cash consideration must be included in the transaction price. However, the Company has determined that there is no value associated with the old machine and the trade in is essentially offered to encourage customers to purchase more consumables under the program.</w:t>
      </w:r>
    </w:p>
    <w:p>
      <w:pPr>
        <w:spacing w:after="0" w:line="196" w:lineRule="exact"/>
        <w:rPr>
          <w:rFonts w:ascii="Arial" w:cs="Arial" w:eastAsia="Arial" w:hAnsi="Arial"/>
          <w:sz w:val="16"/>
          <w:szCs w:val="16"/>
          <w:color w:val="auto"/>
        </w:rPr>
      </w:pPr>
    </w:p>
    <w:p>
      <w:pPr>
        <w:ind w:left="376" w:right="100"/>
        <w:spacing w:after="0" w:line="257" w:lineRule="auto"/>
        <w:rPr>
          <w:rFonts w:ascii="Arial" w:cs="Arial" w:eastAsia="Arial" w:hAnsi="Arial"/>
          <w:sz w:val="16"/>
          <w:szCs w:val="16"/>
          <w:color w:val="auto"/>
        </w:rPr>
      </w:pPr>
      <w:r>
        <w:rPr>
          <w:rFonts w:ascii="Arial" w:cs="Arial" w:eastAsia="Arial" w:hAnsi="Arial"/>
          <w:sz w:val="18"/>
          <w:szCs w:val="18"/>
          <w:color w:val="auto"/>
        </w:rPr>
        <w:t>Under the new guidance, there is no change in our revenue recognition for product sales under VIP/LAP programs as compared to revenue recognition for these transactions under the prior revenue recognition standards. The Company recognizes revenue from product sales under VIP/LAP programs at a point in time. For both programs,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215" w:lineRule="exact"/>
        <w:rPr>
          <w:rFonts w:ascii="Arial" w:cs="Arial" w:eastAsia="Arial" w:hAnsi="Arial"/>
          <w:sz w:val="16"/>
          <w:szCs w:val="16"/>
          <w:color w:val="auto"/>
        </w:rPr>
      </w:pPr>
    </w:p>
    <w:p>
      <w:pPr>
        <w:ind w:left="376" w:hanging="376"/>
        <w:spacing w:after="0" w:line="259" w:lineRule="auto"/>
        <w:tabs>
          <w:tab w:leader="none" w:pos="376"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Extended Warranty: The Company offers a standard 2 year warranty on all system sales (5 years on the laser heads for its IQ 532/577 laser consoles). The Company also offers an extended warranty which is sold to customers in incremental, one-year warranty periods which begin subsequent to the expiration of the standard 2 year warranty. The customer can opt to purchase the extended warranty at the time of the system sale or after the initial system sale.</w:t>
      </w:r>
    </w:p>
    <w:p>
      <w:pPr>
        <w:spacing w:after="0" w:line="214" w:lineRule="exact"/>
        <w:rPr>
          <w:sz w:val="20"/>
          <w:szCs w:val="20"/>
          <w:color w:val="auto"/>
        </w:rPr>
      </w:pPr>
    </w:p>
    <w:p>
      <w:pPr>
        <w:ind w:left="376" w:right="260"/>
        <w:spacing w:after="0" w:line="312" w:lineRule="auto"/>
        <w:rPr>
          <w:sz w:val="20"/>
          <w:szCs w:val="20"/>
          <w:color w:val="auto"/>
        </w:rPr>
      </w:pPr>
      <w:r>
        <w:rPr>
          <w:rFonts w:ascii="Arial" w:cs="Arial" w:eastAsia="Arial" w:hAnsi="Arial"/>
          <w:sz w:val="16"/>
          <w:szCs w:val="16"/>
          <w:color w:val="auto"/>
        </w:rPr>
        <w:t>Under the new guidance, there is no change in our revenue recognition for extended warranty as compared to revenue recognition for these transactions under the prior revenue recognition standards. The Company recognizes revenue from extended warranty ratably over the warranty period. Revenue recognition for the sale of an extended warranty is largely dependent on the timing of the sale as follows:</w:t>
      </w:r>
    </w:p>
    <w:p>
      <w:pPr>
        <w:spacing w:after="0" w:line="174" w:lineRule="exact"/>
        <w:rPr>
          <w:sz w:val="20"/>
          <w:szCs w:val="20"/>
          <w:color w:val="auto"/>
        </w:rPr>
      </w:pPr>
    </w:p>
    <w:p>
      <w:pPr>
        <w:jc w:val="both"/>
        <w:ind w:left="376" w:right="320" w:hanging="376"/>
        <w:spacing w:after="0" w:line="312" w:lineRule="auto"/>
        <w:tabs>
          <w:tab w:leader="none" w:pos="376" w:val="left"/>
        </w:tabs>
        <w:numPr>
          <w:ilvl w:val="0"/>
          <w:numId w:val="6"/>
        </w:numPr>
        <w:rPr>
          <w:rFonts w:ascii="Arial" w:cs="Arial" w:eastAsia="Arial" w:hAnsi="Arial"/>
          <w:sz w:val="16"/>
          <w:szCs w:val="16"/>
          <w:color w:val="auto"/>
        </w:rPr>
      </w:pPr>
      <w:r>
        <w:rPr>
          <w:rFonts w:ascii="Arial" w:cs="Arial" w:eastAsia="Arial" w:hAnsi="Arial"/>
          <w:sz w:val="16"/>
          <w:szCs w:val="16"/>
          <w:color w:val="auto"/>
        </w:rPr>
        <w:t>Extended Warranty Sale in Conjunction with System Sale: If the customer opts to purchase an extended warranty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173" w:lineRule="exact"/>
        <w:rPr>
          <w:rFonts w:ascii="Arial" w:cs="Arial" w:eastAsia="Arial" w:hAnsi="Arial"/>
          <w:sz w:val="16"/>
          <w:szCs w:val="16"/>
          <w:color w:val="auto"/>
        </w:rPr>
      </w:pPr>
    </w:p>
    <w:p>
      <w:pPr>
        <w:ind w:left="376" w:right="40" w:hanging="376"/>
        <w:spacing w:after="0" w:line="272" w:lineRule="auto"/>
        <w:tabs>
          <w:tab w:leader="none" w:pos="376" w:val="left"/>
        </w:tabs>
        <w:numPr>
          <w:ilvl w:val="0"/>
          <w:numId w:val="6"/>
        </w:numPr>
        <w:rPr>
          <w:rFonts w:ascii="Arial" w:cs="Arial" w:eastAsia="Arial" w:hAnsi="Arial"/>
          <w:sz w:val="17"/>
          <w:szCs w:val="17"/>
          <w:color w:val="auto"/>
        </w:rPr>
      </w:pPr>
      <w:r>
        <w:rPr>
          <w:rFonts w:ascii="Arial" w:cs="Arial" w:eastAsia="Arial" w:hAnsi="Arial"/>
          <w:sz w:val="17"/>
          <w:szCs w:val="17"/>
          <w:color w:val="auto"/>
        </w:rPr>
        <w:t>Extended Warranty Sale Subsequent to System Sale: If the customer opts to purchase an extended warranty after the initial system sale, the Company determines the amount of time that has elapsed since the initial system sale. If the extended warranty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extended warranty is purchased subsequent to sixty days after the initial sale, the sale of the extended warranty is deemed a separate contract and is deferred at the selling price and recognized ratably over the extended warranty period as the performance obligation is satisfied.</w:t>
      </w:r>
    </w:p>
    <w:p>
      <w:pPr>
        <w:spacing w:after="0" w:line="205" w:lineRule="exact"/>
        <w:rPr>
          <w:sz w:val="20"/>
          <w:szCs w:val="20"/>
          <w:color w:val="auto"/>
        </w:rPr>
      </w:pPr>
    </w:p>
    <w:p>
      <w:pPr>
        <w:ind w:left="376" w:right="620" w:hanging="376"/>
        <w:spacing w:after="0" w:line="277" w:lineRule="auto"/>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sometime request repairs from the Company subsequent to the expiration of the standard warranty and outside of an extended warranty contract.</w:t>
      </w:r>
    </w:p>
    <w:p>
      <w:pPr>
        <w:spacing w:after="0" w:line="197" w:lineRule="exact"/>
        <w:rPr>
          <w:rFonts w:ascii="Arial" w:cs="Arial" w:eastAsia="Arial" w:hAnsi="Arial"/>
          <w:sz w:val="18"/>
          <w:szCs w:val="18"/>
          <w:color w:val="auto"/>
        </w:rPr>
      </w:pPr>
    </w:p>
    <w:p>
      <w:pPr>
        <w:ind w:left="376" w:right="300"/>
        <w:spacing w:after="0" w:line="259" w:lineRule="auto"/>
        <w:rPr>
          <w:rFonts w:ascii="Arial" w:cs="Arial" w:eastAsia="Arial" w:hAnsi="Arial"/>
          <w:sz w:val="18"/>
          <w:szCs w:val="18"/>
          <w:color w:val="auto"/>
        </w:rPr>
      </w:pPr>
      <w:r>
        <w:rPr>
          <w:rFonts w:ascii="Arial" w:cs="Arial" w:eastAsia="Arial" w:hAnsi="Arial"/>
          <w:sz w:val="18"/>
          <w:szCs w:val="18"/>
          <w:color w:val="auto"/>
        </w:rPr>
        <w:t>Under the new guidance, there is no change in our revenue recognition for system repairs (outside warranty) as compared to revenue recognition for these transactions under the prior revenue recognition standards. The Company recognizes revenue from system repairs (outside of warranty) at a point in time. When the customer request repairs from the Company subsequent to the expiration of the standard warranty and outside of an extended warranty contracts, these</w:t>
      </w:r>
    </w:p>
    <w:p>
      <w:pPr>
        <w:spacing w:after="0" w:line="187" w:lineRule="exact"/>
        <w:rPr>
          <w:sz w:val="20"/>
          <w:szCs w:val="20"/>
          <w:color w:val="auto"/>
        </w:rPr>
      </w:pPr>
    </w:p>
    <w:p>
      <w:pPr>
        <w:ind w:left="489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56"/>
          </w:cols>
          <w:pgMar w:left="1004" w:top="368" w:right="239" w:bottom="1440" w:gutter="0" w:footer="0" w:header="0"/>
        </w:sectPr>
      </w:pPr>
    </w:p>
    <w:bookmarkStart w:id="8" w:name="page9"/>
    <w:bookmarkEnd w:id="8"/>
    <w:p>
      <w:pPr>
        <w:ind w:left="1140" w:right="300"/>
        <w:spacing w:after="0" w:line="277" w:lineRule="auto"/>
        <w:rPr>
          <w:sz w:val="20"/>
          <w:szCs w:val="20"/>
          <w:color w:val="auto"/>
        </w:rPr>
      </w:pPr>
      <w:r>
        <w:rPr>
          <w:rFonts w:ascii="Arial" w:cs="Arial" w:eastAsia="Arial" w:hAnsi="Arial"/>
          <w:sz w:val="18"/>
          <w:szCs w:val="18"/>
          <w:color w:val="auto"/>
        </w:rPr>
        <w:t>repair contracts are considered separate from the initial sale, and as such, revenue is recognized as the repair services are rendered and the performance obligation satisfied.</w:t>
      </w:r>
    </w:p>
    <w:p>
      <w:pPr>
        <w:spacing w:after="0" w:line="197" w:lineRule="exact"/>
        <w:rPr>
          <w:sz w:val="20"/>
          <w:szCs w:val="20"/>
          <w:color w:val="auto"/>
        </w:rPr>
      </w:pPr>
    </w:p>
    <w:p>
      <w:pPr>
        <w:ind w:left="1140" w:right="60" w:hanging="37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197" w:lineRule="exact"/>
        <w:rPr>
          <w:rFonts w:ascii="Arial" w:cs="Arial" w:eastAsia="Arial" w:hAnsi="Arial"/>
          <w:sz w:val="18"/>
          <w:szCs w:val="18"/>
          <w:color w:val="auto"/>
        </w:rPr>
      </w:pPr>
    </w:p>
    <w:p>
      <w:pPr>
        <w:ind w:left="1140"/>
        <w:spacing w:after="0" w:line="257" w:lineRule="auto"/>
        <w:rPr>
          <w:rFonts w:ascii="Arial" w:cs="Arial" w:eastAsia="Arial" w:hAnsi="Arial"/>
          <w:sz w:val="18"/>
          <w:szCs w:val="18"/>
          <w:color w:val="auto"/>
        </w:rPr>
      </w:pPr>
      <w:r>
        <w:rPr>
          <w:rFonts w:ascii="Arial" w:cs="Arial" w:eastAsia="Arial" w:hAnsi="Arial"/>
          <w:sz w:val="18"/>
          <w:szCs w:val="18"/>
          <w:color w:val="auto"/>
        </w:rPr>
        <w:t>Under the new guidance, 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148"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170"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 periods ended June 30, 2018 and July 1, 2017 no single customer accounted for more than 10% of total revenues. As of June 30, 2018 and December 30, 2017, no single customer accounted for over 10% of our accounts receivable.</w:t>
      </w:r>
    </w:p>
    <w:p>
      <w:pPr>
        <w:spacing w:after="0" w:line="173" w:lineRule="exact"/>
        <w:rPr>
          <w:sz w:val="20"/>
          <w:szCs w:val="20"/>
          <w:color w:val="auto"/>
        </w:rPr>
      </w:pPr>
    </w:p>
    <w:p>
      <w:pPr>
        <w:ind w:right="300" w:firstLine="518"/>
        <w:spacing w:after="0" w:line="286" w:lineRule="auto"/>
        <w:rPr>
          <w:sz w:val="20"/>
          <w:szCs w:val="20"/>
          <w:color w:val="auto"/>
        </w:rPr>
      </w:pPr>
      <w:r>
        <w:rPr>
          <w:rFonts w:ascii="Arial" w:cs="Arial" w:eastAsia="Arial" w:hAnsi="Arial"/>
          <w:sz w:val="17"/>
          <w:szCs w:val="17"/>
          <w:color w:val="auto"/>
        </w:rPr>
        <w:t>During the six months ended June 30, 2018, two vendors represented 10% or more of purchases, accounting for 26% of the Company’s purchases. During the three months ended June 30, 2018, two vendors represented 10% or more of purchases, accounting for 27% of the Company’s purchases. No vendor represented 10% or more of the Company’s purchases for the three and six months ended July 1,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Deferred revenue represents contract liabilities. Revenue related to extended service contracts is deferred and recognized on a straight line basis over the period of the applicable service contract. Costs associated with these service arrangements are recognized as incurred. The deferred revenue balance is expected to be recognized over the next 12 months.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A reconciliation of the changes in the Company’s deferred revenue balance for the six months ended June 30, 2018 and July 1, 2017 is as follows:</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7"/>
              </w:rPr>
              <w:t>Six Months Ended</w:t>
            </w: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June 30, 2018</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July 1, 2017</w:t>
            </w:r>
          </w:p>
        </w:tc>
      </w:tr>
      <w:tr>
        <w:trPr>
          <w:trHeight w:val="223"/>
        </w:trPr>
        <w:tc>
          <w:tcPr>
            <w:tcW w:w="20" w:type="dxa"/>
            <w:vAlign w:val="bottom"/>
          </w:tcPr>
          <w:p>
            <w:pPr>
              <w:spacing w:after="0"/>
              <w:rPr>
                <w:sz w:val="19"/>
                <w:szCs w:val="19"/>
                <w:color w:val="auto"/>
              </w:rPr>
            </w:pPr>
          </w:p>
        </w:tc>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40" w:type="dxa"/>
            <w:vAlign w:val="bottom"/>
            <w:tcBorders>
              <w:top w:val="single" w:sz="8" w:color="auto"/>
            </w:tcBorders>
            <w:shd w:val="clear" w:color="auto" w:fill="CFF0FC"/>
          </w:tcPr>
          <w:p>
            <w:pPr>
              <w:jc w:val="right"/>
              <w:ind w:right="11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1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4"/>
              </w:rPr>
              <w:t>(1,346)</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340" w:type="dxa"/>
            <w:vAlign w:val="bottom"/>
            <w:tcBorders>
              <w:top w:val="single" w:sz="8" w:color="auto"/>
              <w:bottom w:val="single" w:sz="8" w:color="auto"/>
            </w:tcBorders>
          </w:tcPr>
          <w:p>
            <w:pPr>
              <w:jc w:val="right"/>
              <w:ind w:right="11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currently provides a two year full warranty on its products. In addition, beginning in March 2017, the Company began to offer a five year warranty on the laser heads for its IQ 532/577 laser consoles. The associated costs of these warranties are accrued for upon shipment of the products. The Company had previously provided a one to two year warranty on its product. Actual warranty costs incurred have not materially differed from those accrued. In March 2018, we have reversed the warranty expense associated with products shipped outside of the United States that were accrued in December 2017 as these reserves are no longer deemed required. The Company’s warranty policy is applicable to products which are considered defective in their performance or fail to meet the product specifications. Warranty costs are reflected in the statement of operations as cost of revenues.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changes in the Company’s warranty liability for the six months ended June 30, 2018 and July 1, 2017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w w:val="95"/>
              </w:rPr>
              <w:t>Six Months Ended</w:t>
            </w:r>
          </w:p>
        </w:tc>
        <w:tc>
          <w:tcPr>
            <w:tcW w:w="1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July 1, 2017</w:t>
            </w:r>
          </w:p>
        </w:tc>
      </w:tr>
      <w:tr>
        <w:trPr>
          <w:trHeight w:val="223"/>
        </w:trPr>
        <w:tc>
          <w:tcPr>
            <w:tcW w:w="2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0" w:type="dxa"/>
            <w:vAlign w:val="bottom"/>
            <w:tcBorders>
              <w:top w:val="single" w:sz="8" w:color="auto"/>
            </w:tcBorders>
            <w:shd w:val="clear" w:color="auto" w:fill="CFF0FC"/>
          </w:tcPr>
          <w:p>
            <w:pPr>
              <w:jc w:val="right"/>
              <w:ind w:right="12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1,735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4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4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400" w:type="dxa"/>
            <w:vAlign w:val="bottom"/>
            <w:tcBorders>
              <w:top w:val="single" w:sz="8" w:color="auto"/>
              <w:bottom w:val="single" w:sz="8" w:color="auto"/>
            </w:tcBorders>
          </w:tcPr>
          <w:p>
            <w:pPr>
              <w:jc w:val="right"/>
              <w:ind w:right="124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4" w:lineRule="exact"/>
        <w:rPr>
          <w:sz w:val="20"/>
          <w:szCs w:val="20"/>
          <w:color w:val="auto"/>
        </w:rPr>
      </w:pPr>
    </w:p>
    <w:p>
      <w:pPr>
        <w:ind w:right="340" w:firstLine="761"/>
        <w:spacing w:after="0" w:line="308" w:lineRule="auto"/>
        <w:rPr>
          <w:sz w:val="20"/>
          <w:szCs w:val="20"/>
          <w:color w:val="auto"/>
        </w:rPr>
      </w:pPr>
      <w:r>
        <w:rPr>
          <w:rFonts w:ascii="Arial" w:cs="Arial" w:eastAsia="Arial" w:hAnsi="Arial"/>
          <w:sz w:val="17"/>
          <w:szCs w:val="17"/>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606)(“ASC 606”), which, along with amendments issued in 2015, 2016 and 2017, replaces nearly all current U.S. GAAP guidance on this topic with a comprehensive revenue measurement and recognition standard and expanded disclosure requirements. This new guidance provides a five-step analysis in determining when and how revenue is recognized. Under the new guidance, revenue is recognized when a customer obtains control of promised goods or services and is recognized in an amount that reflects the consideration which the entity expects to receive in exchange for those goods or services. In addition, the new guidance requires disclosure of the nature, amount, timing and uncertainty of revenue and cash flows arising from contracts with customers.</w:t>
      </w:r>
    </w:p>
    <w:p>
      <w:pPr>
        <w:spacing w:after="0" w:line="216"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As part of our assessment and implementation plan, we evaluated our policies, procedures and internal controls. In preparation for adoption of the standard, the Company has implemented internal controls to enable the preparation of financial information, including the assessment of the impact of the standard. The Company has adopted this guidance using the modified retrospective method in the first quarter of fiscal 2018. Under the modified retrospective method, the new standards apply to all new contracts initiated on or after the effective date, and for contracts which have remaining obligations as of the effective date, an adjustment to the opening balance of retained earnings is required. Based on the results of the procedures taken in adopting this standard, we determined that our accounting for revenues under the then prescribed standard (ASC 605) was not different from the new ASC 606 standard. As such, we did not have any adjustments to our opening balance of our retained earnings.</w:t>
      </w:r>
    </w:p>
    <w:p>
      <w:pPr>
        <w:spacing w:after="0" w:line="17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February 2016, the FASB issued ASU 2016-02, “Leases,” which, along with amendments issued in 2018, modified lessee accounting guidance under Topic 840. This ASU requires the Company to recognize on the balance sheet the assets and liabilities for the rights and obligations created by leases with terms of more than twelve months. This ASU also requires disclosures enabling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ind w:right="80"/>
        <w:spacing w:after="0" w:line="312" w:lineRule="auto"/>
        <w:rPr>
          <w:sz w:val="20"/>
          <w:szCs w:val="20"/>
          <w:color w:val="auto"/>
        </w:rPr>
      </w:pPr>
      <w:r>
        <w:rPr>
          <w:rFonts w:ascii="Arial" w:cs="Arial" w:eastAsia="Arial" w:hAnsi="Arial"/>
          <w:sz w:val="16"/>
          <w:szCs w:val="16"/>
          <w:color w:val="auto"/>
        </w:rPr>
        <w:t>users of financial statements to understand the amount, timing and uncertainty of cash flows arising from leases. This new standard will become effective for annual periods beginning after December 15, 2018 (including interim reporting periods within those periods). Early adoption is permitted as of the beginning of an interim or annual reporting period. The Company is currently evaluating the impact of this new standard on its consolidated financial statements.</w:t>
      </w:r>
    </w:p>
    <w:p>
      <w:pPr>
        <w:spacing w:after="0" w:line="14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The amendment gives guidance and reduces diversity in practice with respect to certain types of cash flows. This ASU is effective for fiscal years beginning after December 15, 2017, and interim periods within those fiscal years.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adoption of this standard in fiscal year 2018 did not have a material impact on our consolidated financial statements.</w:t>
      </w:r>
    </w:p>
    <w:p>
      <w:pPr>
        <w:spacing w:after="0" w:line="19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October 2016, the FASB issued ASU 2016-16, to ASC 740 “Income Taxes,” which simplifies the recording of an inter-entity transfer of assets other than inventory. The new guidance requires that a company recognize the income tax consequences of an intra-entity transfer of an asset other than inventory when the transfer occurs. The new guidance becomes effective for annual reporting periods beginning after December 15, 2017 and must be applied using a modified retrospective basis through a cumulative-effect adjustment directly to retained earnings as of the beginning of the adoption period. The adoption of this standard in fiscal year 2018 did not have a material impact on the Company’s consolidated financial statements.</w:t>
      </w:r>
    </w:p>
    <w:p>
      <w:pPr>
        <w:spacing w:after="0" w:line="17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The amendments in ASU 2017-09 include guidance on determining which changes to the terms and conditions of share-based payment awards require an entity to apply modification accounting under Topic 718. These amendments require the entity to account for the effects of a modification unless if all of the following conditions are met: the fair value (or calculated value or intrinsic value, if such an alternative measurement method is used) of the modified award is the same as the fair value (or value using an alternative measurement method)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the vesting conditions of the modified award are the same as the vesting conditions of the original award immediately before the original award is modified; and the classification of the modified award as an equity instrument or a liability instrument is the same as the classification of the original award immediately before the original award is modified. This guidance is effective for annual reporting periods beginning after December 15, 2017, including interim periods within that reporting period, with early adoption permitted. The adoption of this standard in fiscal year 2018 did not have a material impact on the Company’s consolidated financial statements.</w:t>
      </w:r>
    </w:p>
    <w:p>
      <w:pPr>
        <w:spacing w:after="0" w:line="18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The amendments in ASU 2018-02 are intended to allow a reclassification from accumulated other comprehensive income to retained earnings for stranded tax effects resulting from the Tax Cuts and Jobs Act. The guidance in ASU 2018-02 is effective for annual periods beginning after December 15, 2018, and interim periods within those fiscal years, with early adoption permitted. The Company is currently evaluating the effect of the adoption of this guidance on its consolidated financial statements.</w:t>
      </w:r>
    </w:p>
    <w:p>
      <w:pPr>
        <w:spacing w:after="0" w:line="17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March 2018, the FASB issued ASU 2018-05, “Amendments to SEC Paragraphs Pursuant to SEC Staff Accounting Bulletin No. 118.” ASU 2018-05 formally amended ASC Topic 740, Income Taxes (“ASC 740”) for the guidance previously provided by SEC Staff Accounting Bulletin No. 118 (“SAB 118”), which provides guidance for the application of ASC 740 in the reporting period in which the U.S. Tax Cuts and Jobs Act (the “Tax Reform Act”) was signed into law. The adoption of this standard in fiscal year 2018 did not have a material impact on the Company’s consolidated financial statements.</w:t>
      </w:r>
    </w:p>
    <w:p>
      <w:pPr>
        <w:spacing w:after="0" w:line="154"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In June 2018, the FASB issued ASU 2018-07, “Compensation-Stock Compensation (Topic 718): Improvements to Nonemployee Share-Based Payment Accounting.” These amendments expand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Equity—Equity-Based Payments to Non-Employees. This guidance is effective for fiscal years beginning after December 15, 2018, including interim periods within that fiscal year. Early adoption is permitted. The Company is currently evaluating the effect of the adoption of this guidance on its consolidated financial statements.</w:t>
      </w:r>
    </w:p>
    <w:p>
      <w:pPr>
        <w:spacing w:after="0" w:line="165"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In July 2018, the FASB issued ASU 2018-09, “Codification Improvements,” which clarifies and makes minor improvements to the Codification. The amendments impacts various areas, such as Subtopic 220-10, Income Statement-Reporting Comprehensive Income-Overall; Subtopic 718-740, Compensation-Stock Compensation-Income Taxes; and Subtopic 820-10, Fair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right="60"/>
        <w:spacing w:after="0" w:line="277" w:lineRule="auto"/>
        <w:rPr>
          <w:sz w:val="20"/>
          <w:szCs w:val="20"/>
          <w:color w:val="auto"/>
        </w:rPr>
      </w:pPr>
      <w:r>
        <w:rPr>
          <w:rFonts w:ascii="Arial" w:cs="Arial" w:eastAsia="Arial" w:hAnsi="Arial"/>
          <w:sz w:val="18"/>
          <w:szCs w:val="18"/>
          <w:color w:val="auto"/>
        </w:rPr>
        <w:t>Measurement-Overall. The guidance is effective for annual periods beginning after December 15, 2018. The Company is currently evaluating the effect of the adoption of this guidance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June 30, 2018 and December 30, 2017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30, 2017</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0" w:type="dxa"/>
            <w:vAlign w:val="bottom"/>
            <w:tcBorders>
              <w:top w:val="single" w:sz="8" w:color="auto"/>
            </w:tcBorders>
            <w:shd w:val="clear" w:color="auto" w:fill="CFF0FC"/>
          </w:tcPr>
          <w:p>
            <w:pPr>
              <w:jc w:val="right"/>
              <w:ind w:right="121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2,781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Work in process</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5,236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FF0FC"/>
          </w:tcPr>
          <w:p>
            <w:pPr>
              <w:spacing w:after="0"/>
              <w:rPr>
                <w:sz w:val="19"/>
                <w:szCs w:val="19"/>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inventories</w:t>
            </w:r>
          </w:p>
        </w:tc>
        <w:tc>
          <w:tcPr>
            <w:tcW w:w="1400" w:type="dxa"/>
            <w:vAlign w:val="bottom"/>
            <w:tcBorders>
              <w:bottom w:val="single" w:sz="8" w:color="auto"/>
            </w:tcBorders>
          </w:tcPr>
          <w:p>
            <w:pPr>
              <w:jc w:val="right"/>
              <w:ind w:right="12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9,093</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8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$0.5 million as of June 30, 2018 and December 30, 2017.</w:t>
      </w:r>
    </w:p>
    <w:p>
      <w:pPr>
        <w:spacing w:after="0" w:line="225" w:lineRule="exact"/>
        <w:rPr>
          <w:sz w:val="20"/>
          <w:szCs w:val="20"/>
          <w:color w:val="auto"/>
        </w:rPr>
      </w:pPr>
    </w:p>
    <w:p>
      <w:pPr>
        <w:ind w:right="160" w:firstLine="518"/>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2018 and determined that its goodwill was not impaired. As of June 30, 2018, the Company had not identified any factors that indicated there was an impairment of its goodwill and determined that no additional impairment analysis was then required.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0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2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1"/>
                <w:szCs w:val="11"/>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5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Amortization Life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6.75 Years</w:t>
            </w: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six months ended June 30, 2018 and July 1, 2017, amortization expense totaled $8 thousand for each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amortization of customer relations was charged to sales and marketing expense and the amortization of patents was charged to cost of revenues.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estimated amortization expense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ind w:left="1720"/>
              <w:spacing w:after="0"/>
              <w:rPr>
                <w:sz w:val="20"/>
                <w:szCs w:val="20"/>
                <w:color w:val="auto"/>
              </w:rPr>
            </w:pPr>
            <w:r>
              <w:rPr>
                <w:rFonts w:ascii="Arial" w:cs="Arial" w:eastAsia="Arial" w:hAnsi="Arial"/>
                <w:sz w:val="18"/>
                <w:szCs w:val="18"/>
                <w:color w:val="auto"/>
              </w:rPr>
              <w:t>Fiscal Year:</w:t>
            </w:r>
          </w:p>
        </w:tc>
        <w:tc>
          <w:tcPr>
            <w:tcW w:w="3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2018 (six months)</w:t>
            </w:r>
          </w:p>
        </w:tc>
        <w:tc>
          <w:tcPr>
            <w:tcW w:w="424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3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3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3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80" w:type="dxa"/>
            <w:vAlign w:val="bottom"/>
            <w:vMerge w:val="restart"/>
          </w:tcPr>
          <w:p>
            <w:pPr>
              <w:jc w:val="right"/>
              <w:ind w:right="1810"/>
              <w:spacing w:after="0"/>
              <w:rPr>
                <w:sz w:val="20"/>
                <w:szCs w:val="20"/>
                <w:color w:val="auto"/>
              </w:rPr>
            </w:pPr>
            <w:r>
              <w:rPr>
                <w:rFonts w:ascii="Arial" w:cs="Arial" w:eastAsia="Arial" w:hAnsi="Arial"/>
                <w:sz w:val="18"/>
                <w:szCs w:val="18"/>
                <w:color w:val="auto"/>
              </w:rPr>
              <w:t>12</w:t>
            </w: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5"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80"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0"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accounts receivable, accounts payable, and accrued expenses as of June 30, 2018 and December 30, 2017, approximate fair value because of the short maturity of these instruments.</w:t>
      </w:r>
    </w:p>
    <w:p>
      <w:pPr>
        <w:spacing w:after="0" w:line="124"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As of June 30, 2018 and December 30, 2017, financial assets and liabilities measured and recognized at fair value on a recurring basis and classified under the appropriate level of the fair value hierarchy as described above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 June 30, 2018</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As of December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196"/>
              <w:spacing w:after="0" w:line="155" w:lineRule="exact"/>
              <w:rPr>
                <w:sz w:val="20"/>
                <w:szCs w:val="20"/>
                <w:color w:val="auto"/>
              </w:rPr>
            </w:pPr>
            <w:r>
              <w:rPr>
                <w:rFonts w:ascii="Arial" w:cs="Arial" w:eastAsia="Arial" w:hAnsi="Arial"/>
                <w:sz w:val="14"/>
                <w:szCs w:val="14"/>
                <w:b w:val="1"/>
                <w:bCs w:val="1"/>
                <w:color w:val="auto"/>
                <w:w w:val="99"/>
              </w:rPr>
              <w:t>Fair Value Measurements</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15,328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15,328</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20,950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Earn-out liability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financial assets or liabilities. The fair value of the earn-out liability arising from the acquisition of RetinaLabs, Inc. is classified within Level 3 of the fair value hierarchy since it is based on significant unobservable inputs. The significant unobservable inputs include projected royalties and discount rates to present value the payments. A significant increase (decrease) in the projected royalty payments in isolation could result in a significantly higher (lower) fair value measurement and a significant increase (decrease) in the discount rate in isolation could result in a significantly lower (higher) fair value measurement. The fair value of the earn-out liability is calculated on a quarterly basis by the Company based on a collaborative effort of the Company’s operations, finance and accounting groups as additional information becomes available. Any change in the fair value adjustment is recorded in the statement of operations of that period.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 w:name="page14"/>
    <w:bookmarkEnd w:id="13"/>
    <w:p>
      <w:pPr>
        <w:ind w:right="100" w:firstLine="518"/>
        <w:spacing w:after="0" w:line="277" w:lineRule="auto"/>
        <w:rPr>
          <w:sz w:val="20"/>
          <w:szCs w:val="20"/>
          <w:color w:val="auto"/>
        </w:rPr>
      </w:pPr>
      <w:r>
        <w:rPr>
          <w:rFonts w:ascii="Arial" w:cs="Arial" w:eastAsia="Arial" w:hAnsi="Arial"/>
          <w:sz w:val="18"/>
          <w:szCs w:val="18"/>
          <w:color w:val="auto"/>
        </w:rPr>
        <w:t>The following tables present quantitative information about the inputs and valuation methodologies used for our fair value measurements classified in Level 3 of the fair value hierarchy as of June 30, 2018 and December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of June 30, 2018</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$1,438</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10.41%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(10.41% - 27.00%)</w:t>
            </w:r>
          </w:p>
        </w:tc>
        <w:tc>
          <w:tcPr>
            <w:tcW w:w="0" w:type="dxa"/>
            <w:vAlign w:val="bottom"/>
          </w:tcPr>
          <w:p>
            <w:pPr>
              <w:spacing w:after="0"/>
              <w:rPr>
                <w:sz w:val="1"/>
                <w:szCs w:val="1"/>
                <w:color w:val="auto"/>
              </w:rPr>
            </w:pPr>
          </w:p>
        </w:tc>
      </w:tr>
      <w:tr>
        <w:trPr>
          <w:trHeight w:val="38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Valuation</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As of December 30, 2017</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Technique</w:t>
            </w:r>
          </w:p>
        </w:tc>
        <w:tc>
          <w:tcPr>
            <w:tcW w:w="1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(range)</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Projected royalties</w:t>
            </w:r>
          </w:p>
        </w:tc>
        <w:tc>
          <w:tcPr>
            <w:tcW w:w="14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Earn-out liability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Discounted cash flow</w:t>
            </w:r>
          </w:p>
        </w:tc>
        <w:tc>
          <w:tcPr>
            <w:tcW w:w="19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(in thousands)</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$1,622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4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10.90%</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(10.90% - 27.00%)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 reconciliation of the changes in the Company’s earn-out liability (Level 3 liability) for the six months ended June 30, 2018 and July 1, 2017 is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June 30, 2018</w:t>
            </w:r>
          </w:p>
        </w:tc>
        <w:tc>
          <w:tcPr>
            <w:tcW w:w="460" w:type="dxa"/>
            <w:vAlign w:val="bottom"/>
          </w:tcPr>
          <w:p>
            <w:pPr>
              <w:spacing w:after="0"/>
              <w:rPr>
                <w:sz w:val="13"/>
                <w:szCs w:val="13"/>
                <w:color w:val="auto"/>
              </w:rPr>
            </w:pPr>
          </w:p>
        </w:tc>
        <w:tc>
          <w:tcPr>
            <w:tcW w:w="12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w w:val="94"/>
              </w:rPr>
              <w:t>July 1, 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beginning of the period</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Payments against earn-out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earn-out liability</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as of the end of the period</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earn-out liability is included in accrued expenses and other long-term liabilities in the condensed consolidated balance sheets. Any change in the fair value adjustment is recorded to other expense in the condensed consolidated statements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Based Compensation</w:t>
      </w:r>
    </w:p>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accounts for stock-based compensation granted to employees and directors, including employees stock option awards, restricted stock and restricted stock units in accordance with ASC 718</w:t>
      </w:r>
      <w:r>
        <w:rPr>
          <w:rFonts w:ascii="Arial" w:cs="Arial" w:eastAsia="Arial" w:hAnsi="Arial"/>
          <w:sz w:val="18"/>
          <w:szCs w:val="18"/>
          <w:i w:val="1"/>
          <w:iCs w:val="1"/>
          <w:color w:val="auto"/>
        </w:rPr>
        <w:t>, “Compensation – Stock Compensation”</w:t>
      </w:r>
      <w:r>
        <w:rPr>
          <w:rFonts w:ascii="Arial" w:cs="Arial" w:eastAsia="Arial" w:hAnsi="Arial"/>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Company values options using the Black-Scholes option pricing model. Restricted stock and time-based restricted stock units are valued at the grant date fair value of the underlying common shares. Performance-based restricted stock units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225"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For the six months ended June 30, 2018, the only active stock-based compensation plan was the 2008 Equity Incentive Plan (the “Incentive Plan”). The terms of awards granted during the six months ended June 30, 2018 were consistent with those described in the consolidated financial statements included in our Annual Report on Form 10-K for the year ended December 30,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regarding activity under the Incentive Plan during the six months ended June 30,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left="364"/>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1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00" w:type="dxa"/>
            <w:vAlign w:val="bottom"/>
          </w:tcPr>
          <w:p>
            <w:pPr>
              <w:jc w:val="center"/>
              <w:ind w:left="344"/>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30, 2017</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857,311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2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91,800</w:t>
            </w:r>
          </w:p>
        </w:tc>
        <w:tc>
          <w:tcPr>
            <w:tcW w:w="160" w:type="dxa"/>
            <w:vAlign w:val="bottom"/>
          </w:tcPr>
          <w:p>
            <w:pPr>
              <w:spacing w:after="0"/>
              <w:rPr>
                <w:sz w:val="19"/>
                <w:szCs w:val="19"/>
                <w:color w:val="auto"/>
              </w:rPr>
            </w:pP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(16,250)</w:t>
            </w:r>
          </w:p>
        </w:tc>
        <w:tc>
          <w:tcPr>
            <w:tcW w:w="1180" w:type="dxa"/>
            <w:vAlign w:val="bottom"/>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(42,538)</w:t>
            </w:r>
          </w:p>
        </w:tc>
        <w:tc>
          <w:tcPr>
            <w:tcW w:w="118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10.97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2018</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890,323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924"/>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50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weighted average grant date fair value of the options granted under the Incentive Plan as calculated using the Black-Scholes option-pricing model was $2.32 and $4.22 per share for the three months ended June 30, 2018 and July 1, 2017, respectively. The weighted average grant date fair value of the options granted under the Incentive Plan as calculated using the Black-Scholes option-pricing model was $2.28 and $4.92 per share for the six months ended June 30, 2018 and July 1, 2017, respectively.</w:t>
      </w:r>
    </w:p>
    <w:p>
      <w:pPr>
        <w:spacing w:after="0" w:line="18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uses the Black-Scholes option-pricing model to estimate fair value of stock-based awards (options) with the following weighted average assumptions: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288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23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June 30, 2018</w:t>
            </w:r>
          </w:p>
        </w:tc>
        <w:tc>
          <w:tcPr>
            <w:tcW w:w="30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July 1, 2017</w:t>
            </w:r>
          </w:p>
        </w:tc>
        <w:tc>
          <w:tcPr>
            <w:tcW w:w="30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June 30, 2018</w:t>
            </w:r>
          </w:p>
        </w:tc>
        <w:tc>
          <w:tcPr>
            <w:tcW w:w="3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July 1, 2017</w:t>
            </w:r>
          </w:p>
        </w:tc>
        <w:tc>
          <w:tcPr>
            <w:tcW w:w="180" w:type="dxa"/>
            <w:vAlign w:val="bottom"/>
            <w:tcBorders>
              <w:bottom w:val="single" w:sz="8" w:color="CFF0FC"/>
            </w:tcBorders>
          </w:tcPr>
          <w:p>
            <w:pPr>
              <w:spacing w:after="0"/>
              <w:rPr>
                <w:sz w:val="13"/>
                <w:szCs w:val="13"/>
                <w:color w:val="auto"/>
              </w:rPr>
            </w:pPr>
          </w:p>
        </w:tc>
      </w:tr>
      <w:tr>
        <w:trPr>
          <w:trHeight w:val="223"/>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w w:val="99"/>
              </w:rPr>
              <w:t>Average risk free interest rate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2.65%</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4.55 years</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4.55 years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4.55 years</w:t>
            </w: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Average volatility</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2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16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and six months ended June 30, 2018 and July 1, 2017:</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Pr>
          <w:p>
            <w:pPr>
              <w:spacing w:after="0"/>
              <w:rPr>
                <w:sz w:val="14"/>
                <w:szCs w:val="14"/>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July 1, 2017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June 30, 2018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2017</w:t>
            </w:r>
          </w:p>
        </w:tc>
      </w:tr>
      <w:tr>
        <w:trPr>
          <w:trHeight w:val="223"/>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60" w:type="dxa"/>
            <w:vAlign w:val="bottom"/>
            <w:shd w:val="clear" w:color="auto" w:fill="CFF0FC"/>
          </w:tcPr>
          <w:p>
            <w:pPr>
              <w:spacing w:after="0"/>
              <w:rPr>
                <w:sz w:val="19"/>
                <w:szCs w:val="19"/>
                <w:color w:val="auto"/>
              </w:rPr>
            </w:pPr>
          </w:p>
        </w:tc>
      </w:tr>
      <w:tr>
        <w:trPr>
          <w:trHeight w:val="230"/>
        </w:trPr>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60" w:type="dxa"/>
            <w:vAlign w:val="bottom"/>
            <w:tcBorders>
              <w:bottom w:val="single" w:sz="8" w:color="CFF0FC"/>
            </w:tcBorders>
          </w:tcPr>
          <w:p>
            <w:pPr>
              <w:spacing w:after="0"/>
              <w:rPr>
                <w:sz w:val="19"/>
                <w:szCs w:val="19"/>
                <w:color w:val="auto"/>
              </w:rPr>
            </w:pPr>
          </w:p>
        </w:tc>
      </w:tr>
      <w:tr>
        <w:trPr>
          <w:trHeight w:val="237"/>
        </w:trPr>
        <w:tc>
          <w:tcPr>
            <w:tcW w:w="22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60" w:type="dxa"/>
            <w:vAlign w:val="bottom"/>
            <w:shd w:val="clear" w:color="auto" w:fill="CFF0FC"/>
          </w:tcPr>
          <w:p>
            <w:pPr>
              <w:spacing w:after="0"/>
              <w:rPr>
                <w:sz w:val="20"/>
                <w:szCs w:val="20"/>
                <w:color w:val="auto"/>
              </w:rPr>
            </w:pPr>
          </w:p>
        </w:tc>
      </w:tr>
      <w:tr>
        <w:trPr>
          <w:trHeight w:val="20"/>
        </w:trPr>
        <w:tc>
          <w:tcPr>
            <w:tcW w:w="2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capitalized to inventory was immaterial for the quarters ended June 30, 2018 and July 1, 2017.</w:t>
      </w:r>
    </w:p>
    <w:p>
      <w:pPr>
        <w:spacing w:after="0" w:line="22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Occasionally, the Company will grant stock-based instruments to non-employees. During the six months ended June 30, 2018 and July 1, 2017, the amount of stock-based compensation related to non-employee options was not material.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June 30, 2018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460" w:type="dxa"/>
            <w:vAlign w:val="bottom"/>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890,323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60" w:type="dxa"/>
            <w:vAlign w:val="bottom"/>
          </w:tcPr>
          <w:p>
            <w:pPr>
              <w:jc w:val="right"/>
              <w:spacing w:after="0"/>
              <w:rPr>
                <w:sz w:val="20"/>
                <w:szCs w:val="20"/>
                <w:color w:val="auto"/>
              </w:rPr>
            </w:pPr>
            <w:r>
              <w:rPr>
                <w:rFonts w:ascii="Arial" w:cs="Arial" w:eastAsia="Arial" w:hAnsi="Arial"/>
                <w:sz w:val="18"/>
                <w:szCs w:val="18"/>
                <w:color w:val="auto"/>
              </w:rPr>
              <w:t>826,224</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5.03</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284,733</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4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June 30, 2018, that would have been received by option holders had all option holders exercised their stock options as of that date. This amount changes based on the fair market value of the Company’s common stock. The total intrinsic value of options exercised for the three months ended June 30, 2018 and July 1, 2017 was approximately $32 thousand and $71 thousand, respectively.</w:t>
      </w:r>
    </w:p>
    <w:p>
      <w:pPr>
        <w:spacing w:after="0" w:line="187"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As of June 30, 2018, there was $3.5 million of total unrecognized compensation cost, net of expected forfeitures, related to non-vested stock-based compensation arrangements under the Incentive Plan. The cost is expected to be recognized over a weighted average period of 3.04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 and Awards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restricted stock units (“RSUs”) activity for the six months ended June 30, 2018 is summarized below:</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June 30, 2018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361,148</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36,750</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(66,377)</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(2,750)</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328,771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31750</wp:posOffset>
            </wp:positionV>
            <wp:extent cx="1200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00" w:space="720"/>
            <w:col w:w="3580"/>
          </w:cols>
          <w:pgMar w:left="240" w:top="584" w:right="259" w:bottom="1440" w:gutter="0" w:footer="0" w:header="0"/>
          <w:type w:val="continuous"/>
        </w:sectPr>
      </w:pPr>
    </w:p>
    <w:p>
      <w:pPr>
        <w:spacing w:after="0" w:line="9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During the six months ended June 30, 2018, the Company awarded 36,750 restricted stock units at a weighted-average grant date fair value of $6.90 per share.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RSUs granted with market conditions are valued using a Monte Carlo simulation model and compensation expense is recognized ratably during the service period even if the market condition is not satisfied. To the extent that the market condition is not met, the RSUs will not vest and will be cancelled. No RSUs with market conditions were granted during the three months ended June 30, 2018.</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RSUs granted with performance conditions are valued at the grant date fair value of the underlying common shares. The Company makes a determination regarding the probability of the performance criteria being achieved and compensation expense is recognized ratably over the vesting period, if it is expected that the performance criteria will be met.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Information regarding the RSUs granted with performance conditions activity for the six months ended June 30, 2018 is summarized below:</w:t>
      </w:r>
    </w:p>
    <w:p>
      <w:pPr>
        <w:sectPr>
          <w:pgSz w:w="11900" w:h="16838" w:orient="portrait"/>
          <w:cols w:equalWidth="0" w:num="1">
            <w:col w:w="11400"/>
          </w:cols>
          <w:pgMar w:left="240" w:top="584" w:right="2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Outstanding as of December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granted</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Restricted stock awards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Outstanding as of June 30, 2018</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Shares</w:t>
      </w:r>
    </w:p>
    <w:p>
      <w:pPr>
        <w:spacing w:after="0" w:line="9"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4,301</w:t>
      </w:r>
    </w:p>
    <w:p>
      <w:pPr>
        <w:spacing w:after="0" w:line="21"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14605</wp:posOffset>
            </wp:positionV>
            <wp:extent cx="11576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wp:posOffset>
            </wp:positionH>
            <wp:positionV relativeFrom="paragraph">
              <wp:posOffset>14605</wp:posOffset>
            </wp:positionV>
            <wp:extent cx="11576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-397510</wp:posOffset>
            </wp:positionH>
            <wp:positionV relativeFrom="paragraph">
              <wp:posOffset>31750</wp:posOffset>
            </wp:positionV>
            <wp:extent cx="11576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540"/>
          </w:cols>
          <w:pgMar w:left="240" w:top="584" w:right="259" w:bottom="1440" w:gutter="0" w:footer="0" w:header="0"/>
          <w:type w:val="continuous"/>
        </w:sectPr>
      </w:pP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six months ended June 30, 2018, the Company awarded no RSUs granted with performance conditions.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25" w:lineRule="exact"/>
        <w:rPr>
          <w:sz w:val="20"/>
          <w:szCs w:val="20"/>
          <w:color w:val="auto"/>
        </w:rPr>
      </w:pPr>
    </w:p>
    <w:p>
      <w:pPr>
        <w:ind w:right="60" w:firstLine="518"/>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$8 thousand and $14 thousand for the six months ended June 30, 2018 and July 1, 2017, respectively.</w:t>
      </w:r>
    </w:p>
    <w:p>
      <w:pPr>
        <w:spacing w:after="0" w:line="7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December 2017, the Securities and Exchange Commission staff issued Staff Accounting Bulletin No.118 (SAB 118) to provide guidance on the application of the Tax Reform Act when a company does not have necessary information available, prepared, or analyzed to reflect the effects of the Tax Reform Act. SAB 118 provides guidance for companies under three scenarios (1) measurement of certain income tax effects is complete, (2) measurement of certain income tax effect can be reasonably estimated, and (3) measurement of certain income tax effects cannot be reasonably estimated. Companies are to complete the accounting under ASC 740 in regards to the Tax Reform Act within a measurement period that does not extend one year from the date of enactment (i.e., December 22, 2018). The Company is still within the measurement period as of the end of the second quarter of 2018 and the Company is continuing to review the impact of the adoption of the Tax Reform Act on the Company.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225"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 xml:space="preserve">The Company accounts for income taxes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fourth quarter of fiscal year 2017, based on the Company’s recent history of earnings and its forecasted losses, management believes on the more likely than not basis that a full valuation allowance is required. Accordingly, in the fourth quarter of fiscal year 2017, the company provided a full valuation allowance on its federal and states deferred tax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auto"/>
        </w:rPr>
        <w:t>The Company accounts for its uncertain tax positions in accordance with ASC 740. As of December 30, 2017, the Company had $1.0 million of unrecognized tax benefits, none of the unrecognized tax benefits would result in a change in the Company’s effective tax rate if recognized in future years.</w:t>
      </w:r>
    </w:p>
    <w:p>
      <w:pPr>
        <w:spacing w:after="0" w:line="124"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Computation of Basic and Diluted Net Loss Per Common Share</w:t>
      </w:r>
    </w:p>
    <w:p>
      <w:pPr>
        <w:spacing w:after="0" w:line="229" w:lineRule="exact"/>
        <w:rPr>
          <w:sz w:val="20"/>
          <w:szCs w:val="20"/>
          <w:color w:val="auto"/>
        </w:rPr>
      </w:pPr>
    </w:p>
    <w:p>
      <w:pPr>
        <w:ind w:right="120" w:firstLine="761"/>
        <w:spacing w:after="0" w:line="276" w:lineRule="auto"/>
        <w:rPr>
          <w:sz w:val="20"/>
          <w:szCs w:val="20"/>
          <w:color w:val="auto"/>
        </w:rPr>
      </w:pPr>
      <w:r>
        <w:rPr>
          <w:rFonts w:ascii="Arial" w:cs="Arial" w:eastAsia="Arial" w:hAnsi="Arial"/>
          <w:sz w:val="17"/>
          <w:szCs w:val="17"/>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173" w:lineRule="exact"/>
        <w:rPr>
          <w:sz w:val="20"/>
          <w:szCs w:val="20"/>
          <w:color w:val="auto"/>
        </w:rPr>
      </w:pPr>
    </w:p>
    <w:p>
      <w:pPr>
        <w:ind w:right="140" w:firstLine="761"/>
        <w:spacing w:after="0" w:line="277" w:lineRule="auto"/>
        <w:rPr>
          <w:sz w:val="20"/>
          <w:szCs w:val="20"/>
          <w:color w:val="auto"/>
        </w:rPr>
      </w:pPr>
      <w:r>
        <w:rPr>
          <w:rFonts w:ascii="Arial" w:cs="Arial" w:eastAsia="Arial" w:hAnsi="Arial"/>
          <w:sz w:val="18"/>
          <w:szCs w:val="18"/>
          <w:color w:val="auto"/>
        </w:rPr>
        <w:t>For the six months ended June 30, 2018 and July 1, 2017, stock options, RSUs, and Restricted Stock Awards (“RSAs”) to purchase 1,219,094 and 773,318 shares, respectively, were excluded from the computation of diluted weighted average shares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 2018</w:t>
            </w:r>
          </w:p>
        </w:tc>
        <w:tc>
          <w:tcPr>
            <w:tcW w:w="22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July 1, 2017</w:t>
            </w: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June 30, 2018</w:t>
            </w:r>
          </w:p>
        </w:tc>
        <w:tc>
          <w:tcPr>
            <w:tcW w:w="24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July 1, 2017</w:t>
            </w:r>
          </w:p>
        </w:tc>
        <w:tc>
          <w:tcPr>
            <w:tcW w:w="0" w:type="dxa"/>
            <w:vAlign w:val="bottom"/>
          </w:tcPr>
          <w:p>
            <w:pPr>
              <w:spacing w:after="0"/>
              <w:rPr>
                <w:sz w:val="1"/>
                <w:szCs w:val="1"/>
                <w:color w:val="auto"/>
              </w:rPr>
            </w:pPr>
          </w:p>
        </w:tc>
      </w:tr>
      <w:tr>
        <w:trPr>
          <w:trHeight w:val="223"/>
        </w:trPr>
        <w:tc>
          <w:tcPr>
            <w:tcW w:w="3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(6,883)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Weighted average shares of common</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(basic)</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11,636</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w w:val="93"/>
              </w:rPr>
              <w:t>Effect of dilutive preferred shares</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000" w:type="dxa"/>
            <w:vAlign w:val="bottom"/>
            <w:shd w:val="clear" w:color="auto" w:fill="CFF0FC"/>
          </w:tcPr>
          <w:p>
            <w:pPr>
              <w:ind w:left="740"/>
              <w:spacing w:after="0" w:line="195" w:lineRule="exact"/>
              <w:rPr>
                <w:sz w:val="20"/>
                <w:szCs w:val="20"/>
                <w:color w:val="auto"/>
              </w:rPr>
            </w:pPr>
            <w:r>
              <w:rPr>
                <w:rFonts w:ascii="Arial" w:cs="Arial" w:eastAsia="Arial" w:hAnsi="Arial"/>
                <w:sz w:val="18"/>
                <w:szCs w:val="18"/>
                <w:color w:val="auto"/>
                <w:w w:val="99"/>
              </w:rPr>
              <w:t>Weighted average shares of</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common stock (diluted)</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11,644</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11,636</w:t>
            </w: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Per share data:</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 net loss per share</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Diluted net loss per share</w:t>
            </w: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Segments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200" w:lineRule="exact"/>
        <w:rPr>
          <w:sz w:val="20"/>
          <w:szCs w:val="20"/>
          <w:color w:val="auto"/>
        </w:rPr>
      </w:pPr>
    </w:p>
    <w:p>
      <w:pPr>
        <w:spacing w:after="0" w:line="26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7"/>
          </w:tcPr>
          <w:p>
            <w:pPr>
              <w:ind w:lef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260" w:type="dxa"/>
            <w:vAlign w:val="bottom"/>
            <w:vMerge w:val="restart"/>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June 30, 2018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July 1, 2017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2017</w:t>
            </w:r>
          </w:p>
        </w:tc>
        <w:tc>
          <w:tcPr>
            <w:tcW w:w="0" w:type="dxa"/>
            <w:vAlign w:val="bottom"/>
          </w:tcPr>
          <w:p>
            <w:pPr>
              <w:spacing w:after="0"/>
              <w:rPr>
                <w:sz w:val="1"/>
                <w:szCs w:val="1"/>
                <w:color w:val="auto"/>
              </w:rPr>
            </w:pPr>
          </w:p>
        </w:tc>
      </w:tr>
      <w:tr>
        <w:trPr>
          <w:trHeight w:val="223"/>
        </w:trPr>
        <w:tc>
          <w:tcPr>
            <w:tcW w:w="226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60" w:type="dxa"/>
            <w:vAlign w:val="bottom"/>
          </w:tcPr>
          <w:p>
            <w:pPr>
              <w:spacing w:after="0"/>
              <w:rPr>
                <w:sz w:val="19"/>
                <w:szCs w:val="19"/>
                <w:color w:val="auto"/>
              </w:rPr>
            </w:pPr>
          </w:p>
        </w:tc>
        <w:tc>
          <w:tcPr>
            <w:tcW w:w="32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Rest of Americas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Asia/Pacific Rim</w:t>
            </w: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location of end customers.</w:t>
      </w:r>
    </w:p>
    <w:p>
      <w:pPr>
        <w:spacing w:after="0" w:line="306" w:lineRule="exact"/>
        <w:rPr>
          <w:sz w:val="20"/>
          <w:szCs w:val="20"/>
          <w:color w:val="auto"/>
        </w:rPr>
      </w:pPr>
    </w:p>
    <w:p>
      <w:pPr>
        <w:jc w:val="both"/>
        <w:ind w:right="40" w:firstLine="518"/>
        <w:spacing w:after="0" w:line="288" w:lineRule="auto"/>
        <w:rPr>
          <w:sz w:val="20"/>
          <w:szCs w:val="20"/>
          <w:color w:val="auto"/>
        </w:rPr>
      </w:pPr>
      <w:r>
        <w:rPr>
          <w:rFonts w:ascii="Arial" w:cs="Arial" w:eastAsia="Arial" w:hAnsi="Arial"/>
          <w:sz w:val="16"/>
          <w:szCs w:val="16"/>
          <w:color w:val="auto"/>
        </w:rPr>
        <w:t>No individual country accounted for more than 10% of the Company’s revenues, other than the United States. United States accounted for 49.6% and 58.8% of revenues for the three month periods ended June 30, 2018 and July 1, 2017, respectively. For the six month period ended June 30, 2018 and July 1, 2017, the United States accounted for 50.3% and 56.6% of sales, respectively. International sales, other than the United States, accounted for 50.4% and</w:t>
      </w:r>
    </w:p>
    <w:p>
      <w:pPr>
        <w:spacing w:after="0"/>
        <w:rPr>
          <w:sz w:val="20"/>
          <w:szCs w:val="20"/>
          <w:color w:val="auto"/>
        </w:rPr>
      </w:pPr>
      <w:r>
        <w:rPr>
          <w:rFonts w:ascii="Arial" w:cs="Arial" w:eastAsia="Arial" w:hAnsi="Arial"/>
          <w:sz w:val="16"/>
          <w:szCs w:val="16"/>
          <w:color w:val="auto"/>
        </w:rPr>
        <w:t>41.2% of revenues for the three month periods ended June 30, 2018 and July 1, 2017, respectively. For the six month period ended June 30, 2018 and July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International sales, other than the United States, accounted for 49.7% and 43.4% of sales, respectively.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customer accounted for more than 10% of total revenues for the three month periods ended June 30, 2018 or July 1, 2017.</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customer accounted for more than 10% of accounts receivable balance as of June 30, 2018 or July 1, 2017.</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The Company has evaluated subsequent events and has concluded that no subsequent events that require disclosure in the financial statements have occurred since the quarter ended June 30, 2018.</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29"/>
        <w:spacing w:after="0" w:line="218" w:lineRule="exact"/>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as amended, and Section 21E of the Securities Exchange Act of 1934, as amended. These statements are based on management’s beliefs and assumptions and on information currently available to management. These statements include statements concerning future demand and order levels for the Company's products, future operating expenses, changes in personnel, product development and intellectual property related matters, the adoption and effect of Company products on its results, the markets in which the Company operates, usage and efficacy of the Company's products, the Company’s future financial results, the impact of the Company’s adoption of new or revised accounting standards, and the Company's strategic plans and objectives. In some cases, forward-looking statements can be identified by terminology, such as “may,” “will,” “should,” “expects,” “plans,” “anticipates,” “believes,” “estimates,” “predicts,” “intends,” “potential,” “continue,” or the negative of such terms or other comparable terminology, although not all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contain these words.</w:t>
      </w:r>
    </w:p>
    <w:p>
      <w:pPr>
        <w:spacing w:after="0" w:line="204" w:lineRule="exact"/>
        <w:rPr>
          <w:sz w:val="20"/>
          <w:szCs w:val="20"/>
          <w:color w:val="auto"/>
        </w:rPr>
      </w:pPr>
    </w:p>
    <w:p>
      <w:pPr>
        <w:ind w:right="20" w:firstLine="629"/>
        <w:spacing w:after="0" w:line="255" w:lineRule="auto"/>
        <w:rPr>
          <w:sz w:val="20"/>
          <w:szCs w:val="20"/>
          <w:color w:val="auto"/>
        </w:rPr>
      </w:pPr>
      <w:r>
        <w:rPr>
          <w:rFonts w:ascii="Arial" w:cs="Arial" w:eastAsia="Arial" w:hAnsi="Arial"/>
          <w:sz w:val="18"/>
          <w:szCs w:val="18"/>
          <w:i w:val="1"/>
          <w:iCs w:val="1"/>
          <w:color w:val="auto"/>
        </w:rPr>
        <w:t>These statements involve known and unknown risks, uncertainties and other factors which may cause our actual results, performance or achievements to differ materially from those expressed or implied by such forward-looking statements. The reader is strongly urged to read the information contained under Item 1A of Part II of this Quarterly Report on Form 10-Q for a more detailed description of these significant risks and uncertainties. The reader is cautioned not to place undue reliance on these forward-looking statements, which reflect management’s analysis only as of the date of this Quarterly Report on Form 10-Q. We undertake no obligation to update such forward-looking statements to reflect events or circumstances occurring after the date of this report.</w:t>
      </w:r>
    </w:p>
    <w:p>
      <w:pPr>
        <w:spacing w:after="0" w:line="193" w:lineRule="exact"/>
        <w:rPr>
          <w:sz w:val="20"/>
          <w:szCs w:val="20"/>
          <w:color w:val="auto"/>
        </w:rPr>
      </w:pPr>
    </w:p>
    <w:p>
      <w:pPr>
        <w:ind w:right="340" w:firstLine="629"/>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“Company,” “IRIDEX,” “we,” “us” and “our” refer to IRIDEX Corporation, and its consolidated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32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225" w:lineRule="exact"/>
        <w:rPr>
          <w:rFonts w:ascii="Arial" w:cs="Arial" w:eastAsia="Arial" w:hAnsi="Arial"/>
          <w:sz w:val="18"/>
          <w:szCs w:val="18"/>
          <w:color w:val="auto"/>
        </w:rPr>
      </w:pPr>
    </w:p>
    <w:p>
      <w:pPr>
        <w:ind w:left="900" w:right="580" w:hanging="325"/>
        <w:spacing w:after="0" w:line="282"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161" w:lineRule="exact"/>
        <w:rPr>
          <w:rFonts w:ascii="Arial" w:cs="Arial" w:eastAsia="Arial" w:hAnsi="Arial"/>
          <w:sz w:val="18"/>
          <w:szCs w:val="18"/>
          <w:color w:val="auto"/>
        </w:rPr>
      </w:pPr>
    </w:p>
    <w:p>
      <w:pPr>
        <w:jc w:val="both"/>
        <w:ind w:left="900" w:right="40" w:hanging="325"/>
        <w:spacing w:after="0" w:line="26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 GLx</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These systems are often used in vitrectomy procedures, which are used to treat proliferative diabetic retinopathy, macular holes, retinal tears and detachments.</w:t>
      </w:r>
    </w:p>
    <w:p>
      <w:pPr>
        <w:spacing w:after="0" w:line="180"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products are sold in the United States predominantly through a direct sales force and internationally primarily through independent distributors.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recently established direct sales capabilities in Germany.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right="160" w:firstLine="518"/>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will be denominated in Euros and will be subject to risks associated with the currency fluctuations.</w:t>
      </w:r>
    </w:p>
    <w:p>
      <w:pPr>
        <w:spacing w:after="0" w:line="188"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1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24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June 30, 2018</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July 1, 2017</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June 30, 2018</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9"/>
              </w:rPr>
              <w:t>July 1, 2017</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55.1%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44.9%</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Sales and marketing</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72.3%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(27.4%)</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9"/>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Loss from operations before provision for</w:t>
            </w: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(27.4%)</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60" w:type="dxa"/>
            <w:vAlign w:val="bottom"/>
            <w:vMerge w:val="continue"/>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(27.5%)</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three month periods ended June 30, 2018 and July 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54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July 1, 2017</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Change in $</w:t>
            </w:r>
          </w:p>
        </w:tc>
        <w:tc>
          <w:tcPr>
            <w:tcW w:w="280" w:type="dxa"/>
            <w:vAlign w:val="bottom"/>
          </w:tcPr>
          <w:p>
            <w:pPr>
              <w:spacing w:after="0"/>
              <w:rPr>
                <w:sz w:val="14"/>
                <w:szCs w:val="14"/>
                <w:color w:val="auto"/>
              </w:rPr>
            </w:pPr>
          </w:p>
        </w:tc>
        <w:tc>
          <w:tcPr>
            <w:tcW w:w="16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1,305</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1,833</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(528)</w:t>
            </w:r>
          </w:p>
        </w:tc>
        <w:tc>
          <w:tcPr>
            <w:tcW w:w="28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28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Recurring revenues</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FF0FC"/>
            </w:tcBorders>
          </w:tcPr>
          <w:p>
            <w:pPr>
              <w:spacing w:after="0"/>
              <w:rPr>
                <w:sz w:val="19"/>
                <w:szCs w:val="19"/>
                <w:color w:val="auto"/>
              </w:rPr>
            </w:pPr>
          </w:p>
        </w:tc>
        <w:tc>
          <w:tcPr>
            <w:tcW w:w="19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w w:val="79"/>
              </w:rPr>
              <w:t>20</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20" w:name="page21"/>
    <w:bookmarkEnd w:id="20"/>
    <w:p>
      <w:pPr>
        <w:ind w:right="180" w:firstLine="761"/>
        <w:spacing w:after="0" w:line="279" w:lineRule="auto"/>
        <w:rPr>
          <w:sz w:val="20"/>
          <w:szCs w:val="20"/>
          <w:color w:val="auto"/>
        </w:rPr>
      </w:pPr>
      <w:r>
        <w:rPr>
          <w:rFonts w:ascii="Arial" w:cs="Arial" w:eastAsia="Arial" w:hAnsi="Arial"/>
          <w:sz w:val="17"/>
          <w:szCs w:val="17"/>
          <w:color w:val="auto"/>
        </w:rPr>
        <w:t>Our total revenues increased $0.3 million, or 3.0%, from $10.0 million to $10.3 million for the second quarter of fiscal year 2018. The increase is due mainly from an increase in international systems sales of $0.8 million, which more than offset the decrease in domestic retina system sales of $0.5 million. Domestic system sales were negatively impacted by our voluntary recall of a specific laser accessory called the TruFocus LIO Premiere™ (“LIO”) in the prior quarter. Recurring revenues were flat as an increase in G6 related probes, offset a decrease in legacy probe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jc w:val="both"/>
        <w:ind w:right="180" w:firstLine="761"/>
        <w:spacing w:after="0" w:line="264" w:lineRule="auto"/>
        <w:rPr>
          <w:sz w:val="20"/>
          <w:szCs w:val="20"/>
          <w:color w:val="auto"/>
        </w:rPr>
      </w:pPr>
      <w:r>
        <w:rPr>
          <w:rFonts w:ascii="Arial" w:cs="Arial" w:eastAsia="Arial" w:hAnsi="Arial"/>
          <w:sz w:val="18"/>
          <w:szCs w:val="18"/>
          <w:color w:val="auto"/>
        </w:rPr>
        <w:t>Gross profit was $4.3 million compared with $4.5 million, a decrease of $0.2 million. Gross margin was 41.4% compared with 44.9%, a decrease of 3.5 percentage points. Gross margin was primarily impacted by unfavorable geographic mix, partially offset by higher margin G6 revenue and a decrease in manufacturing overhead spending.</w:t>
      </w:r>
    </w:p>
    <w:p>
      <w:pPr>
        <w:spacing w:after="0" w:line="181" w:lineRule="exact"/>
        <w:rPr>
          <w:sz w:val="20"/>
          <w:szCs w:val="20"/>
          <w:color w:val="auto"/>
        </w:rPr>
      </w:pPr>
    </w:p>
    <w:p>
      <w:pPr>
        <w:jc w:val="both"/>
        <w:ind w:right="440" w:firstLine="761"/>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Research and development (“R&amp;D”) expenses decreased by $0.5 million, or 34.2%, from $1.4 million to $0.9 million. The decrease in spending was primarily attributable to a decrease in salaries and related costs as a result of a decrease in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Sales and marketing expenses increased $0.5 million, or 14.1%, from $3.7 million to $4.2 million. The increase in spending was attributable to an increase in salaries and related costs due to an increase in headcount, commission expense,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General and administrative expenses increased $0.3 million, or 12.1%, from $2.2 million to $2.5 million. The increase in spending was attributable to an increase in legal expenses, an increase in our German operations and an increase in salaries and related costs due to an increase in headcount.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Other income, net amounted to $6 thousand, compared with other expense, net of $1 thousand. Other income (expense), net, consisted primarily of the change in expense associated with the re-measurement of contingent liabilities, partially offset by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$4 thousand and $8 thousand, respectively.</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following comparisons are between the six month periods ended June 30, 2018 and July 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580" w:type="dxa"/>
            <w:vAlign w:val="bottom"/>
          </w:tcPr>
          <w:p>
            <w:pPr>
              <w:jc w:val="right"/>
              <w:ind w:right="236"/>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vMerge w:val="restart"/>
          </w:tcPr>
          <w:p>
            <w:pPr>
              <w:spacing w:after="0"/>
              <w:rPr>
                <w:sz w:val="20"/>
                <w:szCs w:val="20"/>
                <w:color w:val="auto"/>
              </w:rPr>
            </w:pPr>
            <w:r>
              <w:rPr>
                <w:rFonts w:ascii="Arial" w:cs="Arial" w:eastAsia="Arial" w:hAnsi="Arial"/>
                <w:sz w:val="18"/>
                <w:szCs w:val="18"/>
                <w:color w:val="auto"/>
              </w:rPr>
              <w:t>Systems – domestic</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July 1, 2017</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Change in $</w:t>
            </w:r>
          </w:p>
        </w:tc>
        <w:tc>
          <w:tcPr>
            <w:tcW w:w="300" w:type="dxa"/>
            <w:vAlign w:val="bottom"/>
          </w:tcPr>
          <w:p>
            <w:pPr>
              <w:spacing w:after="0"/>
              <w:rPr>
                <w:sz w:val="14"/>
                <w:szCs w:val="14"/>
                <w:color w:val="auto"/>
              </w:rPr>
            </w:pP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 in %</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6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2,558</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3,966</w:t>
            </w:r>
          </w:p>
        </w:tc>
        <w:tc>
          <w:tcPr>
            <w:tcW w:w="30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(1,408)</w:t>
            </w:r>
          </w:p>
        </w:tc>
        <w:tc>
          <w:tcPr>
            <w:tcW w:w="300" w:type="dxa"/>
            <w:vAlign w:val="bottom"/>
          </w:tcPr>
          <w:p>
            <w:pPr>
              <w:spacing w:after="0"/>
              <w:rPr>
                <w:sz w:val="19"/>
                <w:szCs w:val="19"/>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Systems – international</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5,436</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Recurring revenues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11,083</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Borders>
              <w:bottom w:val="single" w:sz="8" w:color="CFF0FC"/>
            </w:tcBorders>
          </w:tcPr>
          <w:p>
            <w:pPr>
              <w:spacing w:after="0"/>
              <w:rPr>
                <w:sz w:val="19"/>
                <w:szCs w:val="19"/>
                <w:color w:val="auto"/>
              </w:rPr>
            </w:pPr>
          </w:p>
        </w:tc>
        <w:tc>
          <w:tcPr>
            <w:tcW w:w="20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Our total revenues decreased $0.7 million, or 3.3%, from $20.5 million to $19.8 million for the first six months of fiscal year 2018. The decrease is due mainly to a decrease in domestic systems sales of $1.4 million, partially offset by an increase in international system sales of $0.4 million. Domestic system sales were negatively impacted by our voluntary recall in the prior quarter.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Our recurring revenues increased by $0.3 million due to an increase in G6 related probes, partially offset by a decrease in legacy probe sales.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225" w:lineRule="exact"/>
        <w:rPr>
          <w:sz w:val="20"/>
          <w:szCs w:val="20"/>
          <w:color w:val="auto"/>
        </w:rPr>
      </w:pPr>
    </w:p>
    <w:p>
      <w:pPr>
        <w:jc w:val="both"/>
        <w:ind w:right="100" w:firstLine="761"/>
        <w:spacing w:after="0" w:line="264" w:lineRule="auto"/>
        <w:rPr>
          <w:sz w:val="20"/>
          <w:szCs w:val="20"/>
          <w:color w:val="auto"/>
        </w:rPr>
      </w:pPr>
      <w:r>
        <w:rPr>
          <w:rFonts w:ascii="Arial" w:cs="Arial" w:eastAsia="Arial" w:hAnsi="Arial"/>
          <w:sz w:val="18"/>
          <w:szCs w:val="18"/>
          <w:color w:val="auto"/>
        </w:rPr>
        <w:t>Gross profit was $8.2 million compared with $9.0 million, a decrease of $0.8 million. Gross margin was 41.3% compared with 43.7%, a decrease of 2.4 percentage points. Gross margin was primarily impacted by unfavorable geographic mix, partially offset by higher margin G6 revenues and a decrease in manufacturing variances.</w:t>
      </w:r>
    </w:p>
    <w:p>
      <w:pPr>
        <w:spacing w:after="0" w:line="181" w:lineRule="exact"/>
        <w:rPr>
          <w:sz w:val="20"/>
          <w:szCs w:val="20"/>
          <w:color w:val="auto"/>
        </w:rPr>
      </w:pPr>
    </w:p>
    <w:p>
      <w:pPr>
        <w:jc w:val="both"/>
        <w:ind w:right="420" w:firstLine="761"/>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40" w:firstLine="761"/>
        <w:spacing w:after="0" w:line="277" w:lineRule="auto"/>
        <w:rPr>
          <w:sz w:val="20"/>
          <w:szCs w:val="20"/>
          <w:color w:val="auto"/>
        </w:rPr>
      </w:pPr>
      <w:r>
        <w:rPr>
          <w:rFonts w:ascii="Arial" w:cs="Arial" w:eastAsia="Arial" w:hAnsi="Arial"/>
          <w:sz w:val="18"/>
          <w:szCs w:val="18"/>
          <w:color w:val="auto"/>
        </w:rPr>
        <w:t>Research and development (“R&amp;D”) expenses decreased by $0.7 million, or 26.0%, from $2.7 million to $2.0 million. The decrease in spending was primarily attributable to a decrease in salaries and related costs as a result of a decrease in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Sales and marketing expenses increased $1.6 million, or 25.0%, from $6.6 million to $8.2 million. The increase in spending was attributable to an increase in salaries and related costs due to an increase in headcount, commission expense, and other general selling and marketing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General and administrative expenses increased $0.6 million, or 13.9%, from $4.3 million to $4.9 million. The increase in spending was attributable to an increase in our German operations, legal expenses, and an increase in salaries and related costs due to an increase in headcount.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Other income, net amounted to $24 thousand, compared with other expense, net of $3 thousand. Other income (expense), net, consisted primarily of the change in expense associated with the re-measurement of contingent liabilities, partially offset by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$8 thousand and $14 thousand,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June 30, 2018, we had cash and cash equivalents of $16.0 million and working capital of $22.9 million compared to cash and cash equivalents of $21.7 million and working capital of $29.1 million as of December 30, 2017.</w:t>
      </w:r>
    </w:p>
    <w:p>
      <w:pPr>
        <w:spacing w:after="0" w:line="62"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For the six months ended June 30, 2018, net cash used in operating activities was $5.1 million, primarily as a result of the net loss of $6.9 million, partially offset by non-cash items and changes in assets and liabilities. The non-cash items primarily consisted of stock-based compensation expense of $0.8 million and depreciation and amortization expense of $0.4 million. The net cash inflow from changes in assets and liabilities was primarily due to a decrease in account receivable of $0.7 million due to improved collection, decrease in inventories of $0.3 million, partially offset by an increase in account payable of $0.5 million, decrease in accrued warranty of $0.8 million and decrease in deferred revenue of $0.2 million.</w:t>
      </w:r>
    </w:p>
    <w:p>
      <w:pPr>
        <w:spacing w:after="0" w:line="6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For the six months ended June 30, 2018, net cash used in investing activities was $0.6 million, which consisted of $0.4 million on capital expenditures and $0.2 million for payment of the contingent earn-out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2" w:name="page23"/>
    <w:bookmarkEnd w:id="22"/>
    <w:p>
      <w:pPr>
        <w:ind w:right="280" w:firstLine="518"/>
        <w:spacing w:after="0" w:line="308" w:lineRule="auto"/>
        <w:rPr>
          <w:sz w:val="20"/>
          <w:szCs w:val="20"/>
          <w:color w:val="auto"/>
        </w:rPr>
      </w:pPr>
      <w:r>
        <w:rPr>
          <w:rFonts w:ascii="Arial" w:cs="Arial" w:eastAsia="Arial" w:hAnsi="Arial"/>
          <w:sz w:val="17"/>
          <w:szCs w:val="17"/>
          <w:color w:val="auto"/>
        </w:rPr>
        <w:t>For the six months ended June 30, 2018, net cash used in financing activities was $0.1 million, which consisted of $0.1 million net proceeds arising from the issuance of common stock and $0.2 million to pay the net share settlement of equity awards and related payroll taxes.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commitments as of June 30,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Less than 1 Year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 payments</w:t>
            </w: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lease commitments consist primarily of our facility lease and various office and computer equipment leases.</w:t>
      </w:r>
    </w:p>
    <w:p>
      <w:pPr>
        <w:spacing w:after="0" w:line="225"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540" w:firstLine="518"/>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IRIDEX Corporation was incorporated in California in February 1989 as IRIS Medical Instruments, Inc. In November 1995, we changed our name to IRIDEX Corporation and reincorporated in Delaware. Our executive offices are located at 1212 Terra Bella Avenue, Mountain View, California 94043-1824, and our telephone number is (650) 940-4700. We can also be reached at our website at www.IRIDEX.com. 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our company to review the information we post on our Facebook page (www.facebook.com/IRIDEX) and Twitter feed (https://twitter.com/IRIDEX). Any information on, or that can be accessed through, our website and social media channels is not part of this report.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ind w:right="40" w:firstLine="761"/>
        <w:spacing w:after="0" w:line="271"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due to adverse changes in financial and commodity market prices and rates. Our international revenues and costs for the six months ended June 30, 2018 were primarily denominated in U.S. dollars and therefore changes in foreign currency rates will not have an impact on our income statement or cash flows. However, increases in the value of the U.S. dollars against any local currencies could cause our products to become relatively more expensive to customers in a particular country or region, leading to reduced revenue or profitability in that country or region. As we continue to expand our international sales, our non-U.S. dollar denominated revenue and our exposure to gains and losses on international currency transactions may increase. Sales to direct end users transacted through our German office are denominated in Euros and will be subject to risks associated with the currency fluctuations. We currently do not engage in transactions to hedge against the risk of the currency fluctuation, but we may do so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Our exposure to interest rate risk as of June 30, 2018 is related to our cash equivalent holdings, which is not material given the nature of our cash equivalent holdings. Since we have no fixed or variable interest rate debt outstanding, our interest expense is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3" w:name="page24"/>
    <w:bookmarkEnd w:id="23"/>
    <w:p>
      <w:pPr>
        <w:ind w:right="480"/>
        <w:spacing w:after="0" w:line="277" w:lineRule="auto"/>
        <w:rPr>
          <w:sz w:val="20"/>
          <w:szCs w:val="20"/>
          <w:color w:val="auto"/>
        </w:rPr>
      </w:pPr>
      <w:r>
        <w:rPr>
          <w:rFonts w:ascii="Arial" w:cs="Arial" w:eastAsia="Arial" w:hAnsi="Arial"/>
          <w:sz w:val="18"/>
          <w:szCs w:val="18"/>
          <w:color w:val="auto"/>
        </w:rPr>
        <w:t>affected by changes in interest rates. In the event we issue any new variable-rate debt in the future, increases in interest rates would increase the interest expense associated with the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Chief Executive Officer and our Chief Financial Officer, of the effectiveness of the design and operation of our disclosure controls and procedures as of June 30, 2018.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 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21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22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ind w:right="300" w:firstLine="518"/>
        <w:spacing w:after="0" w:line="308" w:lineRule="auto"/>
        <w:rPr>
          <w:sz w:val="20"/>
          <w:szCs w:val="20"/>
          <w:color w:val="auto"/>
        </w:rPr>
      </w:pPr>
      <w:r>
        <w:rPr>
          <w:rFonts w:ascii="Arial" w:cs="Arial" w:eastAsia="Arial" w:hAnsi="Arial"/>
          <w:sz w:val="17"/>
          <w:szCs w:val="17"/>
          <w:i w:val="1"/>
          <w:iCs w:val="1"/>
          <w:color w:val="auto"/>
        </w:rPr>
        <w:t>If applicable, we have marked with an asterisk (*) those risk factors below that reflect substantive changes to the text of the risk factors included in our Annual Report on Form 10-K for the year ended December 30, 2017, which was filed with the SEC on March 14, 2018.</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5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189"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8"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7"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occurrence of any one or more of the foregoing factors could seriously harm our business,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network of international distributors to sell our products and any failure to maintain our sales force and distributor relationships could harm our business.</w:t>
      </w:r>
    </w:p>
    <w:p>
      <w:pPr>
        <w:spacing w:after="0" w:line="6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relationships with independent distributors outside the United States, and the establishment of our direct sales capabilities in Germany. Currently our direct and independent sales forces within the United States consist of approximately 21 employees and one independent representative, respectively.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would be adversely affected.</w:t>
      </w:r>
    </w:p>
    <w:p>
      <w:pPr>
        <w:spacing w:after="0" w:line="84"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and distributor agreements are generally terminable at will by either party and independents and distributors may terminate their relationships with us, which would affect our sales and results of operations. As we establish our direct sales capabilities in Germany, we may be unable to recruit and retain qualified personnel in this region.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solution to prospective clients. This ramp period presents a number of operational challenges as the cost of recruiting, hiring and carrying new sales representatives cannot be offset by the revenue such new sales representatives produce until after they complete their ramp periods. If we cannot reliably develop our sales representatives to a productive level, or if we lose productive representatives in whom we have heavily invested, our future growth rates and revenue will suffer.</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second quarter of fiscal 2018, our international sales were $5.2 million, or 50.4% of total revenues. We anticipate that international sales will continue to account for a significant portion of our revenues in the foreseeable future. All of our international revenues and costs for the quarter ended June 30, 2018 have been denominated in U.S. dollars except for a sale transacted through our German subsidiary. As a result, an increase in the value of the U.S. dollar relative to foreign currencies makes our U.S. dollar-denominated our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7"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40" w:right="440" w:hanging="519"/>
        <w:spacing w:after="0" w:line="308"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one or more of these factors stated above could have a material adverse effect on our business, financial condition or results of operations.</w:t>
      </w:r>
    </w:p>
    <w:p>
      <w:pPr>
        <w:spacing w:after="0" w:line="1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If we fail to develop and successfully introduce new products and applications, our business prospects and operating results may suffer.</w:t>
      </w:r>
    </w:p>
    <w:p>
      <w:pPr>
        <w:spacing w:after="0" w:line="14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w:t>
      </w:r>
    </w:p>
    <w:p>
      <w:pPr>
        <w:spacing w:after="0" w:line="80"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could cause our net revenues to decline.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related to international conflicts and terrorist acts may put further pressure on economic conditions in the United States and abroad.</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7" w:name="page28"/>
    <w:bookmarkEnd w:id="27"/>
    <w:p>
      <w:pPr>
        <w:ind w:left="520"/>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40" w:right="10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ind w:left="1040" w:right="4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MP3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3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principal ophthalmic laser competitors are Alcon Inc. (Novartis AG), Bausch and Lomb (Valeant), Carl Zeiss Meditec AG, Ellex Medical Lasers, Ltd., Lumenis Ltd., Nidek Co. Ltd., Quantel Medical SA, and Topcon Corporation. We also compete with alternative glaucoma surgical device companies such as Alcon, Allergan, and Glaukos. Pharmaceuticals represent alternative treatments to our laser procedures. Some of our principal pharmaceutical competitors are Alcon, Allergan, OSI Pharmaceuticals (Astellas), Pfizer, Regeneron, Roche (Genentech), and Valeant Pharmaceuticals.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6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and Health Care and Education Affordability Reconciliation Act of 2010 (collectively, the “Affordable Care Act”), and the current U.S. presidential administration has announced certain policy changes that could impact the availability of benefits under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65"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Denial of coverage and reimbursement of our products, or the revocation or changes to coverage and reimbursement policies, could have a material adverse effect on our business, results of operations and financial condition.</w:t>
      </w:r>
    </w:p>
    <w:p>
      <w:pPr>
        <w:spacing w:after="0" w:line="5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color w:val="auto"/>
        </w:rPr>
        <w:t>generally been reimbursed, payers may deny coverage and reimbursement for our products if they determine that the device was not reasonable and necessary for the purpose used, was investigational or was not cost-effective.</w:t>
      </w:r>
    </w:p>
    <w:p>
      <w:pPr>
        <w:spacing w:after="0" w:line="17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4"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Open Payments, commonly known as the Sunshine Act, is a relatively new law, and compliance with this law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collaborations could have a material adverse effect on our ability to introduce new products or applications and therefore could have a material adverse effect on our business, results of operations and financial condition.</w:t>
      </w:r>
    </w:p>
    <w:p>
      <w:pPr>
        <w:spacing w:after="0" w:line="16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will be seriously harmed, particularly if the average selling price of our products decreases significantly without a corresponding increase in sales.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0" w:name="page31"/>
    <w:bookmarkEnd w:id="30"/>
    <w:p>
      <w:pPr>
        <w:ind w:right="860" w:firstLine="518"/>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22 active United States patents and 13 active foreign patents on the technologies related to our products and processes. In addition, we have 5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7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5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after November 2000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70"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215"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In January 2018, we filed a lawsuit against Quantel Medical, S.A., Quantel USA, Inc., and Quantel, S.A. (collectively, “Quantel”) in the U.S. District Court for the Northern District of California. The lawsuit alleges that Quantel products infringe U.S. Patent No. 7,771,417, that Quantel breached an earlier agreement between Quantel and the Company, and that Quantel has infringed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ind w:right="120"/>
        <w:spacing w:after="0" w:line="279" w:lineRule="auto"/>
        <w:rPr>
          <w:sz w:val="20"/>
          <w:szCs w:val="20"/>
          <w:color w:val="auto"/>
        </w:rPr>
      </w:pPr>
      <w:r>
        <w:rPr>
          <w:rFonts w:ascii="Arial" w:cs="Arial" w:eastAsia="Arial" w:hAnsi="Arial"/>
          <w:sz w:val="17"/>
          <w:szCs w:val="17"/>
          <w:color w:val="auto"/>
        </w:rPr>
        <w:t>upon the Company’s MicroPulse® trademark, Registration No. 4550188 on the principal register. Quantel previously had a limited license to the asserted Company patent and trademark. Our complaint filed in connection with this matter asserts that the license was terminated in early 2017 for material breach, but that Quantel continued to use our intellectual property without authorization. If we are unsuccessful in prosecuting our claims against Quantel, this could have a material adverse effect on our business, results of operations and financial condition.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lose key personnel or fail to integrate replacement personnel successfully, our ability to manage our business could be impaired.</w:t>
      </w:r>
    </w:p>
    <w:p>
      <w:pPr>
        <w:spacing w:after="0" w:line="129" w:lineRule="exact"/>
        <w:rPr>
          <w:sz w:val="20"/>
          <w:szCs w:val="20"/>
          <w:color w:val="auto"/>
        </w:rPr>
      </w:pPr>
    </w:p>
    <w:p>
      <w:pPr>
        <w:ind w:right="140" w:firstLine="518"/>
        <w:spacing w:after="0" w:line="290" w:lineRule="auto"/>
        <w:rPr>
          <w:sz w:val="20"/>
          <w:szCs w:val="20"/>
          <w:color w:val="auto"/>
        </w:rPr>
      </w:pPr>
      <w:r>
        <w:rPr>
          <w:rFonts w:ascii="Arial" w:cs="Arial" w:eastAsia="Arial" w:hAnsi="Arial"/>
          <w:sz w:val="16"/>
          <w:szCs w:val="16"/>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166"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46"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unavailability of shortages or limitations on the ability to obtain supplies of components and products in the quantities that we require;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Our facilities could be subject to catastrophic loss such as fire, flood or earthquake. All of our research and development activities, manufacturing, our corporate headquarters and other critical business operations are located near major earthquake faults in Mountain View, California. Any such loss at any of our facilities could disrupt our operations, delay production, shipments and revenue and result in large expense to repair and replace our facilities.</w:t>
      </w:r>
    </w:p>
    <w:p>
      <w:pPr>
        <w:spacing w:after="0" w:line="14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157" w:lineRule="exact"/>
        <w:rPr>
          <w:sz w:val="20"/>
          <w:szCs w:val="20"/>
          <w:color w:val="auto"/>
        </w:rPr>
      </w:pPr>
    </w:p>
    <w:p>
      <w:pPr>
        <w:ind w:right="20" w:firstLine="447"/>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165" w:lineRule="exact"/>
        <w:rPr>
          <w:sz w:val="20"/>
          <w:szCs w:val="20"/>
          <w:color w:val="auto"/>
        </w:rPr>
      </w:pPr>
    </w:p>
    <w:p>
      <w:pPr>
        <w:ind w:right="40" w:firstLine="45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158" w:lineRule="exact"/>
        <w:rPr>
          <w:sz w:val="20"/>
          <w:szCs w:val="20"/>
          <w:color w:val="auto"/>
        </w:rPr>
      </w:pPr>
    </w:p>
    <w:p>
      <w:pPr>
        <w:ind w:right="20" w:firstLine="447"/>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5"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Food, Drug and Cosmetic Act (“FDCA”)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FDCA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right="440"/>
        <w:spacing w:after="0" w:line="277" w:lineRule="auto"/>
        <w:rPr>
          <w:sz w:val="20"/>
          <w:szCs w:val="20"/>
          <w:color w:val="auto"/>
        </w:rPr>
      </w:pPr>
      <w:r>
        <w:rPr>
          <w:rFonts w:ascii="Arial" w:cs="Arial" w:eastAsia="Arial" w:hAnsi="Arial"/>
          <w:sz w:val="18"/>
          <w:szCs w:val="18"/>
          <w:color w:val="auto"/>
        </w:rPr>
        <w:t>trials and testing prior to new product introductions. Our failure to obtain government approvals or any delays in receipt of such approvals would have a material adverse effect on our business, results of operations and financial condition.</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1"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8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Any clinical trials that we may undertake for regulatory approval or marketing reasons will be an expensive, lengthy, costly, and uncertain process, and could result in delays in new product introductions or even an inability to release a product.</w:t>
      </w:r>
    </w:p>
    <w:p>
      <w:pPr>
        <w:spacing w:after="0" w:line="62"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may be required to undertake clinical trials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17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right="320" w:firstLine="518"/>
        <w:spacing w:after="0" w:line="277" w:lineRule="auto"/>
        <w:rPr>
          <w:sz w:val="20"/>
          <w:szCs w:val="20"/>
          <w:color w:val="auto"/>
        </w:rPr>
      </w:pPr>
      <w:r>
        <w:rPr>
          <w:rFonts w:ascii="Arial" w:cs="Arial" w:eastAsia="Arial" w:hAnsi="Arial"/>
          <w:sz w:val="18"/>
          <w:szCs w:val="18"/>
          <w:b w:val="1"/>
          <w:bCs w:val="1"/>
          <w:i w:val="1"/>
          <w:iCs w:val="1"/>
          <w:color w:val="auto"/>
        </w:rPr>
        <w:t>If we modify one of our FDA approved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jc w:val="both"/>
        <w:ind w:right="80" w:firstLine="518"/>
        <w:spacing w:after="0" w:line="302"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154"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39"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On February 23, 2018, we initiated a voluntary recall of a specific laser accessory called the TruFocus LIO Premiere™ (“LIO”). The LIO is a head mounted indirect ophthalmoscopes that connects to our laser console and is used to view and perform retina laser treatment on a patient’s eye. There are 104 TruFocus LIO Premiere units at customer sites worldwide. We have received reports of three adverse events occurring during procedures in which the TruFocus LIO Premiere was used.</w:t>
      </w:r>
    </w:p>
    <w:p>
      <w:pPr>
        <w:spacing w:after="0" w:line="7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negatively affect our future sales and financial results.</w:t>
      </w:r>
    </w:p>
    <w:p>
      <w:pPr>
        <w:spacing w:after="0" w:line="188"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may be subject to product liability claims from time to time. Our products are highly complex and some are used to treat extremely delicate eye tissue. We believe we maintain adequate levels of product liability insurance.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5" w:name="page36"/>
    <w:bookmarkEnd w:id="35"/>
    <w:p>
      <w:pPr>
        <w:ind w:right="540" w:firstLine="518"/>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Since 1989, we have completed six acquisitions. 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the EPS,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328" w:lineRule="exact"/>
        <w:rPr>
          <w:sz w:val="20"/>
          <w:szCs w:val="20"/>
          <w:color w:val="auto"/>
        </w:rPr>
      </w:pPr>
    </w:p>
    <w:p>
      <w:pPr>
        <w:jc w:val="both"/>
        <w:ind w:right="1720" w:firstLine="518"/>
        <w:spacing w:after="0" w:line="381" w:lineRule="auto"/>
        <w:rPr>
          <w:sz w:val="20"/>
          <w:szCs w:val="20"/>
          <w:color w:val="auto"/>
        </w:rPr>
      </w:pPr>
      <w:r>
        <w:rPr>
          <w:rFonts w:ascii="Arial" w:cs="Arial" w:eastAsia="Arial" w:hAnsi="Arial"/>
          <w:sz w:val="15"/>
          <w:szCs w:val="15"/>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128" w:lineRule="exact"/>
        <w:rPr>
          <w:sz w:val="20"/>
          <w:szCs w:val="20"/>
          <w:color w:val="auto"/>
        </w:rPr>
      </w:pPr>
    </w:p>
    <w:p>
      <w:pPr>
        <w:ind w:right="1760" w:firstLine="761"/>
        <w:spacing w:after="0" w:line="291"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w:t>
      </w:r>
    </w:p>
    <w:p>
      <w:pPr>
        <w:ind w:right="40"/>
        <w:spacing w:after="0" w:line="250" w:lineRule="auto"/>
        <w:rPr>
          <w:sz w:val="20"/>
          <w:szCs w:val="20"/>
          <w:color w:val="auto"/>
        </w:rPr>
      </w:pPr>
      <w:r>
        <w:rPr>
          <w:rFonts w:ascii="Arial" w:cs="Arial" w:eastAsia="Arial" w:hAnsi="Arial"/>
          <w:sz w:val="18"/>
          <w:szCs w:val="18"/>
          <w:color w:val="auto"/>
        </w:rPr>
        <w:t>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w:t>
      </w:r>
    </w:p>
    <w:p>
      <w:pPr>
        <w:spacing w:after="0" w:line="1" w:lineRule="exact"/>
        <w:rPr>
          <w:sz w:val="20"/>
          <w:szCs w:val="20"/>
          <w:color w:val="auto"/>
        </w:rPr>
      </w:pPr>
    </w:p>
    <w:p>
      <w:pPr>
        <w:jc w:val="both"/>
        <w:ind w:right="1840"/>
        <w:spacing w:after="0" w:line="281" w:lineRule="auto"/>
        <w:rPr>
          <w:sz w:val="20"/>
          <w:szCs w:val="20"/>
          <w:color w:val="auto"/>
        </w:rPr>
      </w:pPr>
      <w:r>
        <w:rPr>
          <w:rFonts w:ascii="Arial" w:cs="Arial" w:eastAsia="Arial" w:hAnsi="Arial"/>
          <w:sz w:val="16"/>
          <w:szCs w:val="16"/>
          <w:color w:val="auto"/>
        </w:rPr>
        <w:t>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w:t>
      </w:r>
    </w:p>
    <w:p>
      <w:pPr>
        <w:spacing w:after="0" w:line="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materially and adversely affect our business, financial condition, results of operations and cash flows, and may also result in diversion of management attention, operational difficulties and losses.</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xml:space="preserve">We are subject to federal, state and foreign laws governing </w:t>
      </w:r>
      <w:r>
        <w:rPr>
          <w:rFonts w:ascii="Arial" w:cs="Arial" w:eastAsia="Arial" w:hAnsi="Arial"/>
          <w:sz w:val="17"/>
          <w:szCs w:val="17"/>
          <w:b w:val="1"/>
          <w:bCs w:val="1"/>
          <w:i w:val="1"/>
          <w:iCs w:val="1"/>
          <w:color w:val="auto"/>
        </w:rPr>
        <w:t>our business practices which, if violated, could result in substantial penalties.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i w:val="1"/>
          <w:iCs w:val="1"/>
          <w:color w:val="auto"/>
        </w:rPr>
        <w:t>Additionally, challenges to or investigation into our practices could cause adverse publicity and be costly to respond to and thus could harm our business.</w:t>
      </w:r>
    </w:p>
    <w:p>
      <w:pPr>
        <w:spacing w:after="0" w:line="13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who are not willing or not able to provide this information or further identify their sources of supply or to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6" w:name="page37"/>
    <w:bookmarkEnd w:id="36"/>
    <w:p>
      <w:pPr>
        <w:ind w:right="60"/>
        <w:spacing w:after="0" w:line="264" w:lineRule="auto"/>
        <w:rPr>
          <w:sz w:val="20"/>
          <w:szCs w:val="20"/>
          <w:color w:val="auto"/>
        </w:rPr>
      </w:pPr>
      <w:r>
        <w:rPr>
          <w:rFonts w:ascii="Arial" w:cs="Arial" w:eastAsia="Arial" w:hAnsi="Arial"/>
          <w:sz w:val="18"/>
          <w:szCs w:val="18"/>
          <w:color w:val="auto"/>
        </w:rPr>
        <w:t>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or financial conditions.</w:t>
      </w:r>
    </w:p>
    <w:p>
      <w:pPr>
        <w:spacing w:after="0" w:line="1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that affected 2017, the current year and onwards, including, but not limited to, a reduction of the U.S. federal corporate tax rate from as high as 35% to 21%, a general elimination of U.S. federal income taxes on dividends from foreign subsidiaries, net operating loss deduction limitations, and 100% disallowance of entertainment expense.</w:t>
      </w:r>
    </w:p>
    <w:p>
      <w:pPr>
        <w:spacing w:after="0" w:line="17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addition 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for the year ended December 31, 2017. In accordance with SAB 118, a company must reflect the income tax effects of those aspects of the tax Act for which the accounting under ASC 740 is complete. The Company is still within the measurement period as of second quarter of 2018 and no further conclusions have been made, as the Company reviews the law change and the impact to the Company.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26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Certain of our materials may be subject to the effects of various trade agreements, treaties and tariffs. The current U.S. presidential administration has publicly stated its intention to renegotiate or withdraw from the North American Free Trade Agreement and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169" w:lineRule="exact"/>
        <w:rPr>
          <w:sz w:val="20"/>
          <w:szCs w:val="20"/>
          <w:color w:val="auto"/>
        </w:rPr>
      </w:pPr>
    </w:p>
    <w:p>
      <w:pPr>
        <w:ind w:right="240" w:firstLine="518"/>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with these with the development and regulatory documentation for our products. Failure to meet these standards could limit the ability to market our products in those regions which require compliance to such standards or subject us to fines and penalties.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7" w:name="page38"/>
    <w:bookmarkEnd w:id="37"/>
    <w:p>
      <w:pPr>
        <w:spacing w:after="0" w:line="302" w:lineRule="auto"/>
        <w:rPr>
          <w:sz w:val="20"/>
          <w:szCs w:val="20"/>
          <w:color w:val="auto"/>
        </w:rPr>
      </w:pPr>
      <w:r>
        <w:rPr>
          <w:rFonts w:ascii="Arial" w:cs="Arial" w:eastAsia="Arial" w:hAnsi="Arial"/>
          <w:sz w:val="16"/>
          <w:szCs w:val="16"/>
          <w:color w:val="auto"/>
        </w:rPr>
        <w:t>Examples of such standards include laws governing the hazardous material content of our devices and products, such as the European Union (“EU”) Directive 2011/65/EU relating to Restrictions on the Use of Certain Hazardous Substances “RoHS Directive, and the EU Directive 2012/19/EU on Waste Electrical and Electronic Equipment or “WEEE Directive”. Similar laws and regulations have been passed or are pending in several other jurisdictions and may be enacted in other regions, including in the United States, and we are, or may in the future be, subject to these laws and regulations.</w:t>
      </w:r>
    </w:p>
    <w:p>
      <w:pPr>
        <w:spacing w:after="0" w:line="46" w:lineRule="exact"/>
        <w:rPr>
          <w:sz w:val="20"/>
          <w:szCs w:val="20"/>
          <w:color w:val="auto"/>
        </w:rPr>
      </w:pPr>
    </w:p>
    <w:p>
      <w:pPr>
        <w:ind w:right="500" w:firstLine="518"/>
        <w:spacing w:after="0" w:line="276"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Ownership of Our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For the second quarter of 2018, the trading price of our common stock fluctuated from $5.33 per share to a high of $7.24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165" w:lineRule="exact"/>
        <w:rPr>
          <w:sz w:val="20"/>
          <w:szCs w:val="20"/>
          <w:color w:val="auto"/>
        </w:rPr>
      </w:pPr>
    </w:p>
    <w:p>
      <w:pPr>
        <w:ind w:left="520" w:right="540"/>
        <w:spacing w:after="0" w:line="385" w:lineRule="auto"/>
        <w:rPr>
          <w:sz w:val="20"/>
          <w:szCs w:val="20"/>
          <w:color w:val="auto"/>
        </w:rPr>
      </w:pPr>
      <w:r>
        <w:rPr>
          <w:rFonts w:ascii="Arial" w:cs="Arial" w:eastAsia="Arial" w:hAnsi="Arial"/>
          <w:sz w:val="15"/>
          <w:szCs w:val="15"/>
          <w:b w:val="1"/>
          <w:bCs w:val="1"/>
          <w:i w:val="1"/>
          <w:iCs w:val="1"/>
          <w:color w:val="auto"/>
        </w:rPr>
        <w:t xml:space="preserve">Future sales and issuances of securities could negatively affect our stock price and dilute the ownership interest of our existing investors. </w:t>
      </w:r>
      <w:r>
        <w:rPr>
          <w:rFonts w:ascii="Arial" w:cs="Arial" w:eastAsia="Arial" w:hAnsi="Arial"/>
          <w:sz w:val="15"/>
          <w:szCs w:val="15"/>
          <w:color w:val="auto"/>
        </w:rPr>
        <w:t>Future sales or issuances of securities by us could decrease the value of our common stock, dilute stockholders’ voting power and reduce future</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potential earnings per share. To raise capital, we may sell common stock, convertible securities or other equity-linked securities in one or more transactions at prices and in a manner we determine from time to time. If we sell additional equity securities, the ownership interest of existing investors or the EPS maybe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83"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Sales or issuances of a substantial amount of securities, or the perception that such sales could occur, may cause a decline in the price of our common stock. As of June 30, 2018, we had 11,663,838 shares of common stock outstanding, all of which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63"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As of June 30, 2018, holders of an aggregate of 982,742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4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Because we do not intend to pay dividends, stockholders will benefit from an investment in our common stock only if it appreciates in value.</w:t>
      </w:r>
    </w:p>
    <w:p>
      <w:pPr>
        <w:spacing w:after="0" w:line="14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In addition, our loan facility with Silicon Valley Bank restricts us from paying any dividends or making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8" w:name="page39"/>
    <w:bookmarkEnd w:id="38"/>
    <w:p>
      <w:pPr>
        <w:ind w:right="280"/>
        <w:spacing w:after="0" w:line="264" w:lineRule="auto"/>
        <w:rPr>
          <w:sz w:val="20"/>
          <w:szCs w:val="20"/>
          <w:color w:val="auto"/>
        </w:rPr>
      </w:pPr>
      <w:r>
        <w:rPr>
          <w:rFonts w:ascii="Arial" w:cs="Arial" w:eastAsia="Arial" w:hAnsi="Arial"/>
          <w:sz w:val="18"/>
          <w:szCs w:val="18"/>
          <w:color w:val="auto"/>
        </w:rPr>
        <w:t>other distribution or payment on account of our common stock. As a result, the benefit from an investment in our common stock will depend entirely upon any future appreciation. There is no guarantee that our common stock will appreciate in value or even maintain the price at which stockholders have purchased their shares.</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Ownership of our common stock is concentrated among a few investors, which may affect the ability of a third party to acquire control of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as of June 30, 2018.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ability to raise capital in the future may be limited, and our failure to raise capital when needed could prevent us from growing.</w:t>
      </w:r>
    </w:p>
    <w:p>
      <w:pPr>
        <w:spacing w:after="0" w:line="129"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Our business and operations may consume resources faster than we anticipate. In the future, we may need to raise additional funds to invest in future growth opportunities.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16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57"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We are an accelerated filer and our independent registered public accounting firm is required to formally attest to the effectiveness of our internal control over financial reporting pursuant to Section 404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5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8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9" w:name="page40"/>
    <w:bookmarkEnd w:id="39"/>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4"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or by a committee of our board of directors, thus prohibiting a stockholder from calling a special meeting;</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2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60" w:type="dxa"/>
            <w:vAlign w:val="bottom"/>
            <w:gridSpan w:val="2"/>
          </w:tcPr>
          <w:p>
            <w:pPr>
              <w:spacing w:after="0"/>
              <w:rPr>
                <w:sz w:val="20"/>
                <w:szCs w:val="20"/>
                <w:color w:val="auto"/>
              </w:rPr>
            </w:pPr>
            <w:r>
              <w:rPr>
                <w:rFonts w:ascii="Arial" w:cs="Arial" w:eastAsia="Arial" w:hAnsi="Arial"/>
                <w:sz w:val="18"/>
                <w:szCs w:val="18"/>
                <w:color w:val="auto"/>
              </w:rPr>
              <w:t>3.1 (1) (P)</w:t>
            </w:r>
          </w:p>
        </w:tc>
        <w:tc>
          <w:tcPr>
            <w:tcW w:w="10260" w:type="dxa"/>
            <w:vAlign w:val="bottom"/>
            <w:gridSpan w:val="8"/>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0"/>
                <w:szCs w:val="20"/>
                <w:color w:val="auto"/>
              </w:rPr>
            </w:pPr>
            <w:r>
              <w:rPr>
                <w:rFonts w:ascii="Arial" w:cs="Arial" w:eastAsia="Arial" w:hAnsi="Arial"/>
                <w:sz w:val="18"/>
                <w:szCs w:val="18"/>
                <w:color w:val="auto"/>
              </w:rPr>
              <w:t>3.2 (2)</w:t>
            </w:r>
          </w:p>
        </w:tc>
        <w:tc>
          <w:tcPr>
            <w:tcW w:w="120" w:type="dxa"/>
            <w:vAlign w:val="bottom"/>
          </w:tcPr>
          <w:p>
            <w:pPr>
              <w:spacing w:after="0"/>
              <w:rPr>
                <w:sz w:val="24"/>
                <w:szCs w:val="24"/>
                <w:color w:val="auto"/>
              </w:rPr>
            </w:pPr>
          </w:p>
        </w:tc>
        <w:tc>
          <w:tcPr>
            <w:tcW w:w="3280" w:type="dxa"/>
            <w:vAlign w:val="bottom"/>
            <w:tcBorders>
              <w:bottom w:val="single" w:sz="8" w:color="0000EE"/>
            </w:tcBorders>
            <w:gridSpan w:val="3"/>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Amended and Restated Bylaws of Registrant.</w:t>
              </w:r>
            </w:hyperlink>
          </w:p>
        </w:tc>
        <w:tc>
          <w:tcPr>
            <w:tcW w:w="6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6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80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Certification of Principal Financial Officer pursuant to Securities Exchange Act Rules 13a-14(a) and 15d-14(a).</w:t>
              </w:r>
            </w:hyperlink>
          </w:p>
        </w:tc>
        <w:tc>
          <w:tcPr>
            <w:tcW w:w="40" w:type="dxa"/>
            <w:vAlign w:val="bottom"/>
            <w:tcBorders>
              <w:top w:val="single" w:sz="8" w:color="0000EE"/>
            </w:tcBorders>
          </w:tcPr>
          <w:p>
            <w:pPr>
              <w:spacing w:after="0"/>
              <w:rPr>
                <w:sz w:val="24"/>
                <w:szCs w:val="24"/>
                <w:color w:val="auto"/>
              </w:rPr>
            </w:pPr>
          </w:p>
        </w:tc>
        <w:tc>
          <w:tcPr>
            <w:tcW w:w="2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9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2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of 2002.</w:t>
              </w:r>
            </w:hyperlink>
          </w:p>
        </w:tc>
        <w:tc>
          <w:tcPr>
            <w:tcW w:w="96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-1594485</wp:posOffset>
            </wp:positionV>
            <wp:extent cx="17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-1594485</wp:posOffset>
            </wp:positionV>
            <wp:extent cx="17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82" w:lineRule="exact"/>
        <w:rPr>
          <w:sz w:val="20"/>
          <w:szCs w:val="20"/>
          <w:color w:val="auto"/>
        </w:rPr>
      </w:pPr>
    </w:p>
    <w:p>
      <w:pPr>
        <w:ind w:left="520" w:right="300" w:hanging="512"/>
        <w:spacing w:after="0" w:line="29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w:t>
      </w:r>
    </w:p>
    <w:p>
      <w:pPr>
        <w:ind w:left="520" w:right="120"/>
        <w:spacing w:after="0" w:line="250" w:lineRule="auto"/>
        <w:rPr>
          <w:sz w:val="20"/>
          <w:szCs w:val="20"/>
          <w:color w:val="auto"/>
        </w:rPr>
      </w:pPr>
      <w:r>
        <w:rPr>
          <w:rFonts w:ascii="Arial" w:cs="Arial" w:eastAsia="Arial" w:hAnsi="Arial"/>
          <w:sz w:val="18"/>
          <w:szCs w:val="18"/>
          <w:color w:val="auto"/>
        </w:rPr>
        <w:t>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20" w:right="26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November 21, 2007.</w:t>
      </w:r>
    </w:p>
    <w:p>
      <w:pPr>
        <w:spacing w:after="0" w:line="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340" w:firstLine="518"/>
        <w:spacing w:after="0" w:line="312" w:lineRule="auto"/>
        <w:rPr>
          <w:sz w:val="20"/>
          <w:szCs w:val="20"/>
          <w:color w:val="auto"/>
        </w:rPr>
      </w:pPr>
      <w:r>
        <w:rPr>
          <w:rFonts w:ascii="Arial" w:cs="Arial" w:eastAsia="Arial" w:hAnsi="Arial"/>
          <w:sz w:val="16"/>
          <w:szCs w:val="16"/>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August 8, 2018</w:t>
            </w:r>
          </w:p>
        </w:tc>
        <w:tc>
          <w:tcPr>
            <w:tcW w:w="2900" w:type="dxa"/>
            <w:vAlign w:val="bottom"/>
          </w:tcPr>
          <w:p>
            <w:pPr>
              <w:ind w:left="25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M. MOORE</w:t>
            </w:r>
          </w:p>
        </w:tc>
      </w:tr>
      <w:tr>
        <w:trPr>
          <w:trHeight w:val="195"/>
        </w:trPr>
        <w:tc>
          <w:tcPr>
            <w:tcW w:w="4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William M. Moore</w:t>
            </w:r>
          </w:p>
        </w:tc>
      </w:tr>
      <w:tr>
        <w:trPr>
          <w:trHeight w:val="216"/>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August 8, 2018</w:t>
            </w:r>
          </w:p>
        </w:tc>
        <w:tc>
          <w:tcPr>
            <w:tcW w:w="2900" w:type="dxa"/>
            <w:vAlign w:val="bottom"/>
          </w:tcPr>
          <w:p>
            <w:pPr>
              <w:ind w:left="25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ATABAK MOKARI</w:t>
            </w:r>
          </w:p>
        </w:tc>
      </w:tr>
      <w:tr>
        <w:trPr>
          <w:trHeight w:val="195"/>
        </w:trPr>
        <w:tc>
          <w:tcPr>
            <w:tcW w:w="4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Atabak Mokari</w:t>
            </w:r>
          </w:p>
        </w:tc>
      </w:tr>
      <w:tr>
        <w:trPr>
          <w:trHeight w:val="216"/>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Corporate Development</w:t>
            </w:r>
          </w:p>
        </w:tc>
      </w:tr>
      <w:tr>
        <w:trPr>
          <w:trHeight w:val="230"/>
        </w:trPr>
        <w:tc>
          <w:tcPr>
            <w:tcW w:w="4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Date: August 8, 2018</w:t>
            </w:r>
          </w:p>
        </w:tc>
        <w:tc>
          <w:tcPr>
            <w:tcW w:w="2900" w:type="dxa"/>
            <w:vAlign w:val="bottom"/>
          </w:tcPr>
          <w:p>
            <w:pPr>
              <w:ind w:left="250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ROMEO R. DIZON</w:t>
            </w:r>
          </w:p>
        </w:tc>
      </w:tr>
      <w:tr>
        <w:trPr>
          <w:trHeight w:val="195"/>
        </w:trPr>
        <w:tc>
          <w:tcPr>
            <w:tcW w:w="40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00" w:type="dxa"/>
            <w:vAlign w:val="bottom"/>
          </w:tcPr>
          <w:p>
            <w:pPr>
              <w:ind w:left="100"/>
              <w:spacing w:after="0" w:line="195" w:lineRule="exact"/>
              <w:rPr>
                <w:sz w:val="20"/>
                <w:szCs w:val="20"/>
                <w:color w:val="auto"/>
              </w:rPr>
            </w:pPr>
            <w:r>
              <w:rPr>
                <w:rFonts w:ascii="Arial" w:cs="Arial" w:eastAsia="Arial" w:hAnsi="Arial"/>
                <w:sz w:val="18"/>
                <w:szCs w:val="18"/>
                <w:color w:val="auto"/>
              </w:rPr>
              <w:t>Romeo R. Dizon</w:t>
            </w:r>
          </w:p>
        </w:tc>
      </w:tr>
      <w:tr>
        <w:trPr>
          <w:trHeight w:val="216"/>
        </w:trPr>
        <w:tc>
          <w:tcPr>
            <w:tcW w:w="4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4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M. Moore, certify that:</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MOORE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William M. Moore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Atabak Mokari,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91"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ATABAK MOKARI</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tcPr>
          <w:p>
            <w:pPr>
              <w:spacing w:after="0"/>
              <w:rPr>
                <w:sz w:val="20"/>
                <w:szCs w:val="20"/>
                <w:color w:val="auto"/>
              </w:rPr>
            </w:pPr>
            <w:r>
              <w:rPr>
                <w:rFonts w:ascii="Arial" w:cs="Arial" w:eastAsia="Arial" w:hAnsi="Arial"/>
                <w:sz w:val="18"/>
                <w:szCs w:val="18"/>
                <w:color w:val="auto"/>
              </w:rPr>
              <w:t>Atabak Mokari</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Chief Financial Officer and Vice President of</w:t>
            </w:r>
          </w:p>
        </w:tc>
      </w:tr>
      <w:tr>
        <w:trPr>
          <w:trHeight w:val="216"/>
        </w:trPr>
        <w:tc>
          <w:tcPr>
            <w:tcW w:w="8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Corporate Development</w:t>
            </w:r>
          </w:p>
        </w:tc>
      </w:tr>
      <w:tr>
        <w:trPr>
          <w:trHeight w:val="230"/>
        </w:trPr>
        <w:tc>
          <w:tcPr>
            <w:tcW w:w="8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William M. Moore, pursuant to 18 U.S.C. Section 1350, as adopted pursuant to Section 906 of the Sarbanes-Oxley Act of 2002, certify that the Quarterly Report of IRIDEX Corporation on Form 10-Q for the fiscal quarter ended June 30,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M. MOORE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5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 Atabak Mokari, pursuant to 18 U.S.C. Section 1350, as adopted pursuant to Section 906 of the Sarbanes-Oxley Act of 2002, certify that the Quarterly Report of IRIDEX Corporation on Form 10-Q for the fiscal quarter ended June 30, 2018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ATABAK MOKARI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Atabak Mokari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Vice President of Corporate Development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upperLetter"/>
      <w:start w:val="16"/>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4" Type="http://schemas.openxmlformats.org/officeDocument/2006/relationships/hyperlink" Target="http://www.sec.gov/Archives/edgar/data/1006045/000095013407024459/f35935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2019-12-28T20:02:06Z</dcterms:created>
  <dcterms:modified xsi:type="dcterms:W3CDTF">2019-12-28T20:02:06Z</dcterms:modified>
</cp:coreProperties>
</file>