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9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170815</wp:posOffset>
            </wp:positionV>
            <wp:extent cx="7252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3112770</wp:posOffset>
            </wp:positionH>
            <wp:positionV relativeFrom="paragraph">
              <wp:posOffset>62865</wp:posOffset>
            </wp:positionV>
            <wp:extent cx="1031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3112770</wp:posOffset>
            </wp:positionH>
            <wp:positionV relativeFrom="paragraph">
              <wp:posOffset>76835</wp:posOffset>
            </wp:positionV>
            <wp:extent cx="1031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143"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(Mark One)</w:t>
      </w:r>
    </w:p>
    <w:p>
      <w:pPr>
        <w:ind w:left="560" w:hanging="557"/>
        <w:spacing w:after="0" w:line="180" w:lineRule="auto"/>
        <w:tabs>
          <w:tab w:leader="none" w:pos="56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2"/>
          <w:szCs w:val="12"/>
          <w:b w:val="1"/>
          <w:bCs w:val="1"/>
          <w:color w:val="auto"/>
        </w:rPr>
        <w:t>ANNUAL REPORT PURSUANT TO SECTION 13 OR 15(d) OF THE SECURITY EXCHANGE ACT OF 1934</w:t>
      </w: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 the fiscal year ended December 29, 2018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560" w:hanging="557"/>
        <w:spacing w:after="0" w:line="180" w:lineRule="auto"/>
        <w:tabs>
          <w:tab w:leader="none" w:pos="560" w:val="left"/>
        </w:tabs>
        <w:numPr>
          <w:ilvl w:val="0"/>
          <w:numId w:val="2"/>
        </w:numPr>
        <w:rPr>
          <w:rFonts w:ascii="MS PGothic" w:cs="MS PGothic" w:eastAsia="MS PGothic" w:hAnsi="MS PGothic"/>
          <w:sz w:val="28"/>
          <w:szCs w:val="28"/>
          <w:color w:val="auto"/>
          <w:vertAlign w:val="subscript"/>
        </w:rPr>
      </w:pPr>
      <w:r>
        <w:rPr>
          <w:rFonts w:ascii="Arial" w:cs="Arial" w:eastAsia="Arial" w:hAnsi="Arial"/>
          <w:sz w:val="12"/>
          <w:szCs w:val="12"/>
          <w:b w:val="1"/>
          <w:bCs w:val="1"/>
          <w:color w:val="auto"/>
        </w:rPr>
        <w:t>TRANSITION REPORT PURSUANT TO SECTION 13 OR 15(d) OF THE SECURITY EXCHANGE ACT OF 1934</w:t>
      </w:r>
    </w:p>
    <w:p>
      <w:pPr>
        <w:spacing w:after="0" w:line="71" w:lineRule="exact"/>
        <w:rPr>
          <w:sz w:val="24"/>
          <w:szCs w:val="24"/>
          <w:color w:val="auto"/>
        </w:rPr>
      </w:pPr>
    </w:p>
    <w:tbl>
      <w:tblPr>
        <w:tblLayout w:type="fixed"/>
        <w:tblInd w:w="4020" w:type="dxa"/>
        <w:tblCellMar>
          <w:top w:w="0" w:type="dxa"/>
          <w:left w:w="0" w:type="dxa"/>
          <w:bottom w:w="0" w:type="dxa"/>
          <w:right w:w="0" w:type="dxa"/>
        </w:tblCellMar>
      </w:tblPr>
      <w:tr>
        <w:trPr>
          <w:trHeight w:val="161"/>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w w:val="90"/>
              </w:rPr>
              <w:t>For the transition period from</w:t>
            </w: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to</w:t>
            </w: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00"/>
        </w:trPr>
        <w:tc>
          <w:tcPr>
            <w:tcW w:w="3020" w:type="dxa"/>
            <w:vAlign w:val="bottom"/>
            <w:gridSpan w:val="6"/>
          </w:tcPr>
          <w:p>
            <w:pPr>
              <w:ind w:left="700"/>
              <w:spacing w:after="0"/>
              <w:rPr>
                <w:sz w:val="20"/>
                <w:szCs w:val="20"/>
                <w:color w:val="auto"/>
              </w:rPr>
            </w:pPr>
            <w:r>
              <w:rPr>
                <w:rFonts w:ascii="Arial" w:cs="Arial" w:eastAsia="Arial" w:hAnsi="Arial"/>
                <w:sz w:val="14"/>
                <w:szCs w:val="14"/>
                <w:b w:val="1"/>
                <w:bCs w:val="1"/>
                <w:color w:val="auto"/>
              </w:rPr>
              <w:t>Commission File Number 0-27598</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3"/>
        </w:trPr>
        <w:tc>
          <w:tcPr>
            <w:tcW w:w="8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66"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IRIDEX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3112770</wp:posOffset>
            </wp:positionH>
            <wp:positionV relativeFrom="paragraph">
              <wp:posOffset>48895</wp:posOffset>
            </wp:positionV>
            <wp:extent cx="1031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jc w:val="center"/>
              <w:ind w:left="1974"/>
              <w:spacing w:after="0"/>
              <w:rPr>
                <w:sz w:val="20"/>
                <w:szCs w:val="20"/>
                <w:color w:val="auto"/>
              </w:rPr>
            </w:pPr>
            <w:r>
              <w:rPr>
                <w:rFonts w:ascii="Arial" w:cs="Arial" w:eastAsia="Arial" w:hAnsi="Arial"/>
                <w:sz w:val="14"/>
                <w:szCs w:val="14"/>
                <w:b w:val="1"/>
                <w:bCs w:val="1"/>
                <w:color w:val="auto"/>
                <w:w w:val="91"/>
              </w:rPr>
              <w:t>Delaware</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20" w:type="dxa"/>
            <w:vAlign w:val="bottom"/>
          </w:tcPr>
          <w:p>
            <w:pPr>
              <w:jc w:val="right"/>
              <w:ind w:right="2454"/>
              <w:spacing w:after="0"/>
              <w:rPr>
                <w:sz w:val="20"/>
                <w:szCs w:val="20"/>
                <w:color w:val="auto"/>
              </w:rPr>
            </w:pPr>
            <w:r>
              <w:rPr>
                <w:rFonts w:ascii="Arial" w:cs="Arial" w:eastAsia="Arial" w:hAnsi="Arial"/>
                <w:sz w:val="14"/>
                <w:szCs w:val="14"/>
                <w:b w:val="1"/>
                <w:bCs w:val="1"/>
                <w:color w:val="auto"/>
              </w:rPr>
              <w:t>77-0210467</w:t>
            </w:r>
          </w:p>
        </w:tc>
        <w:tc>
          <w:tcPr>
            <w:tcW w:w="0" w:type="dxa"/>
            <w:vAlign w:val="bottom"/>
          </w:tcPr>
          <w:p>
            <w:pPr>
              <w:spacing w:after="0"/>
              <w:rPr>
                <w:sz w:val="1"/>
                <w:szCs w:val="1"/>
                <w:color w:val="auto"/>
              </w:rPr>
            </w:pPr>
          </w:p>
        </w:tc>
      </w:tr>
      <w:tr>
        <w:trPr>
          <w:trHeight w:val="167"/>
        </w:trPr>
        <w:tc>
          <w:tcPr>
            <w:tcW w:w="7200" w:type="dxa"/>
            <w:vAlign w:val="bottom"/>
            <w:gridSpan w:val="6"/>
          </w:tcPr>
          <w:p>
            <w:pPr>
              <w:jc w:val="center"/>
              <w:ind w:right="1480"/>
              <w:spacing w:after="0"/>
              <w:rPr>
                <w:sz w:val="20"/>
                <w:szCs w:val="20"/>
                <w:color w:val="auto"/>
              </w:rPr>
            </w:pPr>
            <w:r>
              <w:rPr>
                <w:rFonts w:ascii="Arial" w:cs="Arial" w:eastAsia="Arial" w:hAnsi="Arial"/>
                <w:sz w:val="13"/>
                <w:szCs w:val="13"/>
                <w:b w:val="1"/>
                <w:bCs w:val="1"/>
                <w:color w:val="auto"/>
                <w:w w:val="90"/>
              </w:rPr>
              <w:t>(State or other jurisdiction of incorporation or organization)</w:t>
            </w:r>
          </w:p>
        </w:tc>
        <w:tc>
          <w:tcPr>
            <w:tcW w:w="4220" w:type="dxa"/>
            <w:vAlign w:val="bottom"/>
          </w:tcPr>
          <w:p>
            <w:pPr>
              <w:jc w:val="center"/>
              <w:ind w:right="1414"/>
              <w:spacing w:after="0"/>
              <w:rPr>
                <w:sz w:val="20"/>
                <w:szCs w:val="20"/>
                <w:color w:val="auto"/>
              </w:rPr>
            </w:pPr>
            <w:r>
              <w:rPr>
                <w:rFonts w:ascii="Arial" w:cs="Arial" w:eastAsia="Arial" w:hAnsi="Arial"/>
                <w:sz w:val="13"/>
                <w:szCs w:val="13"/>
                <w:b w:val="1"/>
                <w:bCs w:val="1"/>
                <w:color w:val="auto"/>
                <w:w w:val="92"/>
              </w:rPr>
              <w:t>(I.R.S. Employer Identification No.)</w:t>
            </w:r>
          </w:p>
        </w:tc>
        <w:tc>
          <w:tcPr>
            <w:tcW w:w="0" w:type="dxa"/>
            <w:vAlign w:val="bottom"/>
          </w:tcPr>
          <w:p>
            <w:pPr>
              <w:spacing w:after="0"/>
              <w:rPr>
                <w:sz w:val="1"/>
                <w:szCs w:val="1"/>
                <w:color w:val="auto"/>
              </w:rPr>
            </w:pPr>
          </w:p>
        </w:tc>
      </w:tr>
      <w:tr>
        <w:trPr>
          <w:trHeight w:val="223"/>
        </w:trPr>
        <w:tc>
          <w:tcPr>
            <w:tcW w:w="3680" w:type="dxa"/>
            <w:vAlign w:val="bottom"/>
          </w:tcPr>
          <w:p>
            <w:pPr>
              <w:jc w:val="center"/>
              <w:ind w:left="94"/>
              <w:spacing w:after="0"/>
              <w:rPr>
                <w:sz w:val="20"/>
                <w:szCs w:val="20"/>
                <w:color w:val="auto"/>
              </w:rPr>
            </w:pPr>
            <w:r>
              <w:rPr>
                <w:rFonts w:ascii="Arial" w:cs="Arial" w:eastAsia="Arial" w:hAnsi="Arial"/>
                <w:sz w:val="14"/>
                <w:szCs w:val="14"/>
                <w:b w:val="1"/>
                <w:bCs w:val="1"/>
                <w:color w:val="auto"/>
                <w:w w:val="88"/>
              </w:rPr>
              <w:t>1212 Terra Bella Avenue</w:t>
            </w:r>
          </w:p>
        </w:tc>
        <w:tc>
          <w:tcPr>
            <w:tcW w:w="284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(650) 940-4700</w:t>
            </w:r>
          </w:p>
        </w:tc>
        <w:tc>
          <w:tcPr>
            <w:tcW w:w="680" w:type="dxa"/>
            <w:vAlign w:val="bottom"/>
          </w:tcPr>
          <w:p>
            <w:pPr>
              <w:spacing w:after="0"/>
              <w:rPr>
                <w:sz w:val="19"/>
                <w:szCs w:val="19"/>
                <w:color w:val="auto"/>
              </w:rPr>
            </w:pPr>
          </w:p>
        </w:tc>
        <w:tc>
          <w:tcPr>
            <w:tcW w:w="4220" w:type="dxa"/>
            <w:vAlign w:val="bottom"/>
          </w:tcPr>
          <w:p>
            <w:pPr>
              <w:jc w:val="right"/>
              <w:ind w:right="1674"/>
              <w:spacing w:after="0"/>
              <w:rPr>
                <w:sz w:val="20"/>
                <w:szCs w:val="20"/>
                <w:color w:val="auto"/>
              </w:rPr>
            </w:pPr>
            <w:r>
              <w:rPr>
                <w:rFonts w:ascii="Arial" w:cs="Arial" w:eastAsia="Arial" w:hAnsi="Arial"/>
                <w:sz w:val="13"/>
                <w:szCs w:val="13"/>
                <w:b w:val="1"/>
                <w:bCs w:val="1"/>
                <w:color w:val="auto"/>
              </w:rPr>
              <w:t>94043</w:t>
            </w:r>
          </w:p>
        </w:tc>
        <w:tc>
          <w:tcPr>
            <w:tcW w:w="0" w:type="dxa"/>
            <w:vAlign w:val="bottom"/>
          </w:tcPr>
          <w:p>
            <w:pPr>
              <w:spacing w:after="0"/>
              <w:rPr>
                <w:sz w:val="1"/>
                <w:szCs w:val="1"/>
                <w:color w:val="auto"/>
              </w:rPr>
            </w:pPr>
          </w:p>
        </w:tc>
      </w:tr>
      <w:tr>
        <w:trPr>
          <w:trHeight w:val="151"/>
        </w:trPr>
        <w:tc>
          <w:tcPr>
            <w:tcW w:w="3680" w:type="dxa"/>
            <w:vAlign w:val="bottom"/>
          </w:tcPr>
          <w:p>
            <w:pPr>
              <w:jc w:val="center"/>
              <w:ind w:left="74"/>
              <w:spacing w:after="0" w:line="151" w:lineRule="exact"/>
              <w:rPr>
                <w:sz w:val="20"/>
                <w:szCs w:val="20"/>
                <w:color w:val="auto"/>
              </w:rPr>
            </w:pPr>
            <w:r>
              <w:rPr>
                <w:rFonts w:ascii="Arial" w:cs="Arial" w:eastAsia="Arial" w:hAnsi="Arial"/>
                <w:sz w:val="14"/>
                <w:szCs w:val="14"/>
                <w:b w:val="1"/>
                <w:bCs w:val="1"/>
                <w:color w:val="auto"/>
                <w:w w:val="93"/>
              </w:rPr>
              <w:t>Mountain View, CA</w:t>
            </w:r>
          </w:p>
        </w:tc>
        <w:tc>
          <w:tcPr>
            <w:tcW w:w="3520" w:type="dxa"/>
            <w:vAlign w:val="bottom"/>
            <w:gridSpan w:val="5"/>
          </w:tcPr>
          <w:p>
            <w:pPr>
              <w:jc w:val="center"/>
              <w:ind w:left="493"/>
              <w:spacing w:after="0"/>
              <w:rPr>
                <w:sz w:val="20"/>
                <w:szCs w:val="20"/>
                <w:color w:val="auto"/>
              </w:rPr>
            </w:pPr>
            <w:r>
              <w:rPr>
                <w:rFonts w:ascii="Arial" w:cs="Arial" w:eastAsia="Arial" w:hAnsi="Arial"/>
                <w:sz w:val="13"/>
                <w:szCs w:val="13"/>
                <w:b w:val="1"/>
                <w:bCs w:val="1"/>
                <w:color w:val="auto"/>
                <w:w w:val="88"/>
              </w:rPr>
              <w:t>(Registrant’s telephone number, including area code)</w:t>
            </w:r>
          </w:p>
        </w:tc>
        <w:tc>
          <w:tcPr>
            <w:tcW w:w="4220" w:type="dxa"/>
            <w:vAlign w:val="bottom"/>
          </w:tcPr>
          <w:p>
            <w:pPr>
              <w:jc w:val="center"/>
              <w:ind w:left="354"/>
              <w:spacing w:after="0" w:line="151" w:lineRule="exact"/>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167"/>
        </w:trPr>
        <w:tc>
          <w:tcPr>
            <w:tcW w:w="3680" w:type="dxa"/>
            <w:vAlign w:val="bottom"/>
          </w:tcPr>
          <w:p>
            <w:pPr>
              <w:jc w:val="center"/>
              <w:ind w:left="74"/>
              <w:spacing w:after="0"/>
              <w:rPr>
                <w:sz w:val="20"/>
                <w:szCs w:val="20"/>
                <w:color w:val="auto"/>
              </w:rPr>
            </w:pPr>
            <w:r>
              <w:rPr>
                <w:rFonts w:ascii="Arial" w:cs="Arial" w:eastAsia="Arial" w:hAnsi="Arial"/>
                <w:sz w:val="13"/>
                <w:szCs w:val="13"/>
                <w:b w:val="1"/>
                <w:bCs w:val="1"/>
                <w:color w:val="auto"/>
                <w:w w:val="88"/>
              </w:rPr>
              <w:t>(Address of principal executive offices)</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7740" w:type="dxa"/>
            <w:vAlign w:val="bottom"/>
            <w:gridSpan w:val="6"/>
          </w:tcPr>
          <w:p>
            <w:pPr>
              <w:jc w:val="center"/>
              <w:ind w:right="3594"/>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jc w:val="center"/>
              <w:ind w:left="1874"/>
              <w:spacing w:after="0"/>
              <w:rPr>
                <w:sz w:val="20"/>
                <w:szCs w:val="20"/>
                <w:color w:val="auto"/>
              </w:rPr>
            </w:pPr>
            <w:r>
              <w:rPr>
                <w:rFonts w:ascii="Arial" w:cs="Arial" w:eastAsia="Arial" w:hAnsi="Arial"/>
                <w:sz w:val="13"/>
                <w:szCs w:val="13"/>
                <w:b w:val="1"/>
                <w:bCs w:val="1"/>
                <w:color w:val="auto"/>
                <w:w w:val="88"/>
              </w:rPr>
              <w:t>Title of Each Class</w:t>
            </w: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tcPr>
          <w:p>
            <w:pPr>
              <w:jc w:val="center"/>
              <w:ind w:right="1294"/>
              <w:spacing w:after="0"/>
              <w:rPr>
                <w:sz w:val="20"/>
                <w:szCs w:val="20"/>
                <w:color w:val="auto"/>
              </w:rPr>
            </w:pPr>
            <w:r>
              <w:rPr>
                <w:rFonts w:ascii="Arial" w:cs="Arial" w:eastAsia="Arial" w:hAnsi="Arial"/>
                <w:sz w:val="13"/>
                <w:szCs w:val="13"/>
                <w:b w:val="1"/>
                <w:bCs w:val="1"/>
                <w:color w:val="auto"/>
                <w:w w:val="89"/>
              </w:rPr>
              <w:t>Name of Each Exchange on Which Registered</w:t>
            </w:r>
          </w:p>
        </w:tc>
        <w:tc>
          <w:tcPr>
            <w:tcW w:w="0" w:type="dxa"/>
            <w:vAlign w:val="bottom"/>
          </w:tcPr>
          <w:p>
            <w:pPr>
              <w:spacing w:after="0"/>
              <w:rPr>
                <w:sz w:val="1"/>
                <w:szCs w:val="1"/>
                <w:color w:val="auto"/>
              </w:rPr>
            </w:pPr>
          </w:p>
        </w:tc>
      </w:tr>
      <w:tr>
        <w:trPr>
          <w:trHeight w:val="164"/>
        </w:trPr>
        <w:tc>
          <w:tcPr>
            <w:tcW w:w="3680" w:type="dxa"/>
            <w:vAlign w:val="bottom"/>
          </w:tcPr>
          <w:p>
            <w:pPr>
              <w:jc w:val="center"/>
              <w:ind w:left="1874"/>
              <w:spacing w:after="0"/>
              <w:rPr>
                <w:sz w:val="20"/>
                <w:szCs w:val="20"/>
                <w:color w:val="auto"/>
              </w:rPr>
            </w:pPr>
            <w:r>
              <w:rPr>
                <w:rFonts w:ascii="Arial" w:cs="Arial" w:eastAsia="Arial" w:hAnsi="Arial"/>
                <w:sz w:val="14"/>
                <w:szCs w:val="14"/>
                <w:b w:val="1"/>
                <w:bCs w:val="1"/>
                <w:color w:val="auto"/>
                <w:w w:val="88"/>
              </w:rPr>
              <w:t>Common</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20" w:type="dxa"/>
            <w:vAlign w:val="bottom"/>
          </w:tcPr>
          <w:p>
            <w:pPr>
              <w:jc w:val="center"/>
              <w:ind w:right="1294"/>
              <w:spacing w:after="0"/>
              <w:rPr>
                <w:sz w:val="20"/>
                <w:szCs w:val="20"/>
                <w:color w:val="auto"/>
              </w:rPr>
            </w:pPr>
            <w:r>
              <w:rPr>
                <w:rFonts w:ascii="Arial" w:cs="Arial" w:eastAsia="Arial" w:hAnsi="Arial"/>
                <w:sz w:val="14"/>
                <w:szCs w:val="14"/>
                <w:b w:val="1"/>
                <w:bCs w:val="1"/>
                <w:color w:val="auto"/>
                <w:w w:val="91"/>
              </w:rPr>
              <w:t>Nasdaq Global Market</w:t>
            </w: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7740" w:type="dxa"/>
            <w:vAlign w:val="bottom"/>
            <w:gridSpan w:val="6"/>
          </w:tcPr>
          <w:p>
            <w:pPr>
              <w:jc w:val="center"/>
              <w:ind w:right="3594"/>
              <w:spacing w:after="0"/>
              <w:rPr>
                <w:sz w:val="20"/>
                <w:szCs w:val="20"/>
                <w:color w:val="auto"/>
              </w:rPr>
            </w:pPr>
            <w:r>
              <w:rPr>
                <w:rFonts w:ascii="Arial" w:cs="Arial" w:eastAsia="Arial" w:hAnsi="Arial"/>
                <w:sz w:val="14"/>
                <w:szCs w:val="14"/>
                <w:b w:val="1"/>
                <w:bCs w:val="1"/>
                <w:color w:val="auto"/>
                <w:w w:val="87"/>
              </w:rPr>
              <w:t>Securities registered pursuant to Section 12(g) of the Act:</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3520" w:type="dxa"/>
            <w:vAlign w:val="bottom"/>
            <w:gridSpan w:val="5"/>
          </w:tcPr>
          <w:p>
            <w:pPr>
              <w:jc w:val="center"/>
              <w:ind w:left="473"/>
              <w:spacing w:after="0"/>
              <w:rPr>
                <w:sz w:val="20"/>
                <w:szCs w:val="20"/>
                <w:color w:val="auto"/>
              </w:rPr>
            </w:pPr>
            <w:r>
              <w:rPr>
                <w:rFonts w:ascii="Arial" w:cs="Arial" w:eastAsia="Arial" w:hAnsi="Arial"/>
                <w:sz w:val="14"/>
                <w:szCs w:val="14"/>
                <w:b w:val="1"/>
                <w:bCs w:val="1"/>
                <w:color w:val="auto"/>
                <w:w w:val="88"/>
              </w:rPr>
              <w:t>Common Stock, par value $0.01 per share</w:t>
            </w:r>
          </w:p>
        </w:tc>
        <w:tc>
          <w:tcPr>
            <w:tcW w:w="4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900" w:type="dxa"/>
            <w:vAlign w:val="bottom"/>
            <w:gridSpan w:val="2"/>
          </w:tcPr>
          <w:p>
            <w:pPr>
              <w:spacing w:after="0"/>
              <w:rPr>
                <w:sz w:val="6"/>
                <w:szCs w:val="6"/>
                <w:color w:val="auto"/>
              </w:rPr>
            </w:pPr>
          </w:p>
        </w:tc>
        <w:tc>
          <w:tcPr>
            <w:tcW w:w="1620" w:type="dxa"/>
            <w:vAlign w:val="bottom"/>
            <w:tcBorders>
              <w:bottom w:val="single" w:sz="8" w:color="auto"/>
            </w:tcBorders>
            <w:gridSpan w:val="3"/>
          </w:tcPr>
          <w:p>
            <w:pPr>
              <w:spacing w:after="0"/>
              <w:rPr>
                <w:sz w:val="6"/>
                <w:szCs w:val="6"/>
                <w:color w:val="auto"/>
              </w:rPr>
            </w:pPr>
          </w:p>
        </w:tc>
        <w:tc>
          <w:tcPr>
            <w:tcW w:w="680" w:type="dxa"/>
            <w:vAlign w:val="bottom"/>
          </w:tcPr>
          <w:p>
            <w:pPr>
              <w:spacing w:after="0"/>
              <w:rPr>
                <w:sz w:val="6"/>
                <w:szCs w:val="6"/>
                <w:color w:val="auto"/>
              </w:rPr>
            </w:pPr>
          </w:p>
        </w:tc>
        <w:tc>
          <w:tcPr>
            <w:tcW w:w="4220" w:type="dxa"/>
            <w:vAlign w:val="bottom"/>
            <w:vMerge w:val="restart"/>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208"/>
        </w:trPr>
        <w:tc>
          <w:tcPr>
            <w:tcW w:w="7200" w:type="dxa"/>
            <w:vAlign w:val="bottom"/>
            <w:gridSpan w:val="6"/>
          </w:tcPr>
          <w:p>
            <w:pPr>
              <w:ind w:left="560"/>
              <w:spacing w:after="0"/>
              <w:rPr>
                <w:sz w:val="20"/>
                <w:szCs w:val="20"/>
                <w:color w:val="auto"/>
              </w:rPr>
            </w:pPr>
            <w:r>
              <w:rPr>
                <w:rFonts w:ascii="Arial" w:cs="Arial" w:eastAsia="Arial" w:hAnsi="Arial"/>
                <w:sz w:val="13"/>
                <w:szCs w:val="13"/>
                <w:color w:val="auto"/>
                <w:w w:val="91"/>
              </w:rPr>
              <w:t>Indicate by check mark if the Registrant is a well-known seasoned issuer, as defined in Rule 405 of the Securities Act of 1933.</w:t>
            </w: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420" w:type="dxa"/>
            <w:vAlign w:val="bottom"/>
            <w:gridSpan w:val="7"/>
          </w:tcPr>
          <w:p>
            <w:pPr>
              <w:ind w:left="56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48"/>
        </w:trPr>
        <w:tc>
          <w:tcPr>
            <w:tcW w:w="11420" w:type="dxa"/>
            <w:vAlign w:val="bottom"/>
            <w:gridSpan w:val="7"/>
          </w:tcPr>
          <w:p>
            <w:pPr>
              <w:jc w:val="center"/>
              <w:spacing w:after="0" w:line="148" w:lineRule="exact"/>
              <w:rPr>
                <w:sz w:val="20"/>
                <w:szCs w:val="20"/>
                <w:color w:val="auto"/>
              </w:rPr>
            </w:pPr>
            <w:r>
              <w:rPr>
                <w:rFonts w:ascii="Arial" w:cs="Arial" w:eastAsia="Arial" w:hAnsi="Arial"/>
                <w:sz w:val="13"/>
                <w:szCs w:val="13"/>
                <w:color w:val="auto"/>
                <w:w w:val="90"/>
              </w:rPr>
              <w:t>Indicate by check mark whether the registrant (1) has filed all reports required to be filed by Section 13 or 15(d) of the Exchange Act during the preceding 12 months (or for such shorter period that the</w:t>
            </w:r>
          </w:p>
        </w:tc>
        <w:tc>
          <w:tcPr>
            <w:tcW w:w="0" w:type="dxa"/>
            <w:vAlign w:val="bottom"/>
          </w:tcPr>
          <w:p>
            <w:pPr>
              <w:spacing w:after="0"/>
              <w:rPr>
                <w:sz w:val="1"/>
                <w:szCs w:val="1"/>
                <w:color w:val="auto"/>
              </w:rPr>
            </w:pPr>
          </w:p>
        </w:tc>
      </w:tr>
      <w:tr>
        <w:trPr>
          <w:trHeight w:val="188"/>
        </w:trPr>
        <w:tc>
          <w:tcPr>
            <w:tcW w:w="7200" w:type="dxa"/>
            <w:vAlign w:val="bottom"/>
            <w:gridSpan w:val="6"/>
          </w:tcPr>
          <w:p>
            <w:pPr>
              <w:spacing w:after="0" w:line="150" w:lineRule="exact"/>
              <w:rPr>
                <w:sz w:val="20"/>
                <w:szCs w:val="20"/>
                <w:color w:val="auto"/>
              </w:rPr>
            </w:pPr>
            <w:r>
              <w:rPr>
                <w:rFonts w:ascii="Arial" w:cs="Arial" w:eastAsia="Arial" w:hAnsi="Arial"/>
                <w:sz w:val="13"/>
                <w:szCs w:val="13"/>
                <w:color w:val="auto"/>
                <w:w w:val="94"/>
              </w:rPr>
              <w:t xml:space="preserve">Registrant was required to file such reports), and (2) has been subject to such filing requirements for the past 90 days.  Yes </w:t>
            </w:r>
            <w:r>
              <w:rPr>
                <w:rFonts w:ascii="MS PGothic" w:cs="MS PGothic" w:eastAsia="MS PGothic" w:hAnsi="MS PGothic"/>
                <w:sz w:val="12"/>
                <w:szCs w:val="12"/>
                <w:color w:val="auto"/>
                <w:w w:val="94"/>
              </w:rPr>
              <w:t>☑</w:t>
            </w:r>
            <w:r>
              <w:rPr>
                <w:rFonts w:ascii="Arial" w:cs="Arial" w:eastAsia="Arial" w:hAnsi="Arial"/>
                <w:sz w:val="13"/>
                <w:szCs w:val="13"/>
                <w:color w:val="auto"/>
                <w:w w:val="94"/>
              </w:rPr>
              <w:t xml:space="preserve">  No </w:t>
            </w:r>
            <w:r>
              <w:rPr>
                <w:rFonts w:ascii="MS PGothic" w:cs="MS PGothic" w:eastAsia="MS PGothic" w:hAnsi="MS PGothic"/>
                <w:sz w:val="12"/>
                <w:szCs w:val="12"/>
                <w:color w:val="auto"/>
                <w:w w:val="94"/>
              </w:rPr>
              <w:t>☐</w:t>
            </w:r>
          </w:p>
        </w:tc>
        <w:tc>
          <w:tcPr>
            <w:tcW w:w="4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right="280" w:firstLine="555"/>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ind w:right="220" w:firstLine="555"/>
        <w:spacing w:after="0" w:line="157"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21" w:lineRule="exact"/>
        <w:rPr>
          <w:sz w:val="24"/>
          <w:szCs w:val="24"/>
          <w:color w:val="auto"/>
        </w:rPr>
      </w:pPr>
    </w:p>
    <w:p>
      <w:pPr>
        <w:ind w:right="160" w:firstLine="555"/>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3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120" w:type="dxa"/>
            <w:vAlign w:val="bottom"/>
          </w:tcPr>
          <w:p>
            <w:pPr>
              <w:ind w:left="2740"/>
              <w:spacing w:after="0"/>
              <w:rPr>
                <w:sz w:val="20"/>
                <w:szCs w:val="20"/>
                <w:color w:val="auto"/>
              </w:rPr>
            </w:pPr>
            <w:r>
              <w:rPr>
                <w:rFonts w:ascii="Arial" w:cs="Arial" w:eastAsia="Arial" w:hAnsi="Arial"/>
                <w:sz w:val="14"/>
                <w:szCs w:val="14"/>
                <w:color w:val="auto"/>
              </w:rPr>
              <w:t>Accelerated filer</w:t>
            </w:r>
          </w:p>
        </w:tc>
        <w:tc>
          <w:tcPr>
            <w:tcW w:w="200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2"/>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13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120" w:type="dxa"/>
            <w:vAlign w:val="bottom"/>
          </w:tcPr>
          <w:p>
            <w:pPr>
              <w:ind w:left="2740"/>
              <w:spacing w:after="0"/>
              <w:rPr>
                <w:sz w:val="20"/>
                <w:szCs w:val="20"/>
                <w:color w:val="auto"/>
              </w:rPr>
            </w:pPr>
            <w:r>
              <w:rPr>
                <w:rFonts w:ascii="Arial" w:cs="Arial" w:eastAsia="Arial" w:hAnsi="Arial"/>
                <w:sz w:val="14"/>
                <w:szCs w:val="14"/>
                <w:color w:val="auto"/>
              </w:rPr>
              <w:t>Smaller reporting company</w:t>
            </w:r>
          </w:p>
        </w:tc>
        <w:tc>
          <w:tcPr>
            <w:tcW w:w="200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2"/>
        </w:trPr>
        <w:tc>
          <w:tcPr>
            <w:tcW w:w="18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3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6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34"/>
        </w:trPr>
        <w:tc>
          <w:tcPr>
            <w:tcW w:w="11320" w:type="dxa"/>
            <w:vAlign w:val="bottom"/>
            <w:gridSpan w:val="4"/>
          </w:tcPr>
          <w:p>
            <w:pPr>
              <w:ind w:left="560"/>
              <w:spacing w:after="0" w:line="135" w:lineRule="exact"/>
              <w:rPr>
                <w:sz w:val="20"/>
                <w:szCs w:val="20"/>
                <w:color w:val="auto"/>
              </w:rPr>
            </w:pPr>
            <w:r>
              <w:rPr>
                <w:rFonts w:ascii="Arial" w:cs="Arial" w:eastAsia="Arial" w:hAnsi="Arial"/>
                <w:sz w:val="14"/>
                <w:szCs w:val="14"/>
                <w:color w:val="auto"/>
                <w:w w:val="89"/>
              </w:rPr>
              <w:t>If an emerging growth company, indicate by check mark if the registrant has elected not to use the extended transition period for complying with any new or revised financial accounting standards</w:t>
            </w:r>
          </w:p>
        </w:tc>
      </w:tr>
      <w:tr>
        <w:trPr>
          <w:trHeight w:val="216"/>
        </w:trPr>
        <w:tc>
          <w:tcPr>
            <w:tcW w:w="3200" w:type="dxa"/>
            <w:vAlign w:val="bottom"/>
            <w:gridSpan w:val="2"/>
          </w:tcPr>
          <w:p>
            <w:pPr>
              <w:spacing w:after="0"/>
              <w:rPr>
                <w:sz w:val="20"/>
                <w:szCs w:val="20"/>
                <w:color w:val="auto"/>
              </w:rPr>
            </w:pPr>
            <w:r>
              <w:rPr>
                <w:rFonts w:ascii="Arial" w:cs="Arial" w:eastAsia="Arial" w:hAnsi="Arial"/>
                <w:sz w:val="14"/>
                <w:szCs w:val="14"/>
                <w:color w:val="auto"/>
                <w:w w:val="91"/>
              </w:rPr>
              <w:t>provided pursuant to Section 13(a) of the Exchange Act.</w:t>
            </w:r>
          </w:p>
        </w:tc>
        <w:tc>
          <w:tcPr>
            <w:tcW w:w="61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000" w:type="dxa"/>
            <w:vAlign w:val="bottom"/>
          </w:tcPr>
          <w:p>
            <w:pPr>
              <w:spacing w:after="0"/>
              <w:rPr>
                <w:sz w:val="18"/>
                <w:szCs w:val="18"/>
                <w:color w:val="auto"/>
              </w:rPr>
            </w:pPr>
          </w:p>
        </w:tc>
      </w:tr>
    </w:tbl>
    <w:p>
      <w:pPr>
        <w:spacing w:after="0" w:line="6" w:lineRule="exact"/>
        <w:rPr>
          <w:sz w:val="24"/>
          <w:szCs w:val="24"/>
          <w:color w:val="auto"/>
        </w:rPr>
      </w:pPr>
    </w:p>
    <w:p>
      <w:pPr>
        <w:ind w:left="560"/>
        <w:spacing w:after="0" w:line="150" w:lineRule="exact"/>
        <w:tabs>
          <w:tab w:leader="none" w:pos="6560" w:val="left"/>
          <w:tab w:leader="none" w:pos="704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2"/>
          <w:szCs w:val="12"/>
          <w:color w:val="auto"/>
        </w:rPr>
        <w:t>☐</w:t>
      </w:r>
      <w:r>
        <w:rPr>
          <w:rFonts w:ascii="Arial" w:cs="Arial" w:eastAsia="Arial" w:hAnsi="Arial"/>
          <w:sz w:val="13"/>
          <w:szCs w:val="13"/>
          <w:color w:val="auto"/>
        </w:rPr>
        <w:tab/>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ind w:right="180" w:firstLine="555"/>
        <w:spacing w:after="0" w:line="261" w:lineRule="auto"/>
        <w:rPr>
          <w:sz w:val="20"/>
          <w:szCs w:val="20"/>
          <w:color w:val="auto"/>
        </w:rPr>
      </w:pPr>
      <w:r>
        <w:rPr>
          <w:rFonts w:ascii="Arial" w:cs="Arial" w:eastAsia="Arial" w:hAnsi="Arial"/>
          <w:sz w:val="12"/>
          <w:szCs w:val="12"/>
          <w:color w:val="auto"/>
        </w:rPr>
        <w:t>The aggregate market value of the voting common equity held by non-affiliates of the Registrant was approximately $40,449,599 as of June 29, 2018, the last business day of the Registrant’s most recently completed second fiscal quarter, based on the closing price reported for such date on the Nasdaq Global Market. The registrant did not have any non-voting common equity outstanding. For purposes of this disclosure, shares of common stock held by each executive officer and director and by each holder of 5% or more of the outstanding shares of common stock have been excluded from this calculation, because such persons may be deemed to be affiliates. This determination of affiliate status is not necessarily a conclusive determination for other purposes.</w:t>
      </w:r>
    </w:p>
    <w:p>
      <w:pPr>
        <w:spacing w:after="0" w:line="19" w:lineRule="exact"/>
        <w:rPr>
          <w:sz w:val="24"/>
          <w:szCs w:val="24"/>
          <w:color w:val="auto"/>
        </w:rPr>
      </w:pPr>
    </w:p>
    <w:p>
      <w:pPr>
        <w:ind w:left="560"/>
        <w:spacing w:after="0"/>
        <w:rPr>
          <w:sz w:val="20"/>
          <w:szCs w:val="20"/>
          <w:color w:val="auto"/>
        </w:rPr>
      </w:pPr>
      <w:r>
        <w:rPr>
          <w:rFonts w:ascii="Arial" w:cs="Arial" w:eastAsia="Arial" w:hAnsi="Arial"/>
          <w:sz w:val="13"/>
          <w:szCs w:val="13"/>
          <w:color w:val="auto"/>
        </w:rPr>
        <w:t>As of March 14, 2019, Registrant had 13,632,797 shares of common stock outstanding.</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Certain parts of the Proxy Statement for the Registrant’s 2019 Annual Meeting of Stockholders (the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180975</wp:posOffset>
            </wp:positionV>
            <wp:extent cx="72529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197485</wp:posOffset>
            </wp:positionV>
            <wp:extent cx="7252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667385</wp:posOffset>
            </wp:positionV>
            <wp:extent cx="729488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USE OF FORWARD-LOOKING STATEMENTS</w:t>
      </w:r>
    </w:p>
    <w:p>
      <w:pPr>
        <w:spacing w:after="0" w:line="223" w:lineRule="exact"/>
        <w:rPr>
          <w:sz w:val="20"/>
          <w:szCs w:val="20"/>
          <w:color w:val="auto"/>
        </w:rPr>
      </w:pPr>
    </w:p>
    <w:p>
      <w:pPr>
        <w:ind w:firstLine="555"/>
        <w:spacing w:after="0" w:line="293" w:lineRule="auto"/>
        <w:rPr>
          <w:sz w:val="20"/>
          <w:szCs w:val="20"/>
          <w:color w:val="auto"/>
        </w:rPr>
      </w:pPr>
      <w:r>
        <w:rPr>
          <w:rFonts w:ascii="Arial" w:cs="Arial" w:eastAsia="Arial" w:hAnsi="Arial"/>
          <w:sz w:val="15"/>
          <w:szCs w:val="15"/>
          <w:color w:val="auto"/>
        </w:rPr>
        <w:t>In this document, we refer to Iridex Corporation and its subsidiaries (unless the context otherwise requires) as “we,” the “Company” or “Iridex.” With the exception of historical information contained in this Annual Report on Form 10-K, content herein may contain “forward looking statements” that are made pursuant to the Safe Harbor Provisions of the Private Securities Litigation Reform Act of 1995. These statements are based on management’s current expectations and are subject to uncertainty and changes in circumstances. We cannot guarantee that any forward-looking statements will be accurate, although we believe that we have been reasonable in our expectations and assumptions. Investors should realize that if underlying assumptions prove inaccurate or unknown risks or uncertainties materialize, actual results could vary materially from our expectations and projections. These factors include general economic conditions, delays and risks associated with the performance of contracts, risks associated with international sales and currency fluctuations, uncertainties as a result of research and development, acceptable results from clinical studies, including publication of results and patient/procedure data with varying levels of statistical relevance, risks involved in introducing and marketing new products, regulatory compliance, potential acquisitions, consumer and industry acceptance, litigation and/or contemplated 510(k) filings, the ability to achieve and maintain profitability in our business lines, and other factors discussed in this Annual Report on Form 10-K, subsequent Quarterly Reports on Form 10-Q and Current Reports on Form 8-K. We disclaim any obligation to update any forward-looking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60" w:type="dxa"/>
            <w:vAlign w:val="bottom"/>
            <w:gridSpan w:val="7"/>
          </w:tcPr>
          <w:p>
            <w:pPr>
              <w:ind w:left="120"/>
              <w:spacing w:after="0"/>
              <w:rPr>
                <w:sz w:val="20"/>
                <w:szCs w:val="20"/>
                <w:color w:val="auto"/>
              </w:rPr>
            </w:pPr>
            <w:r>
              <w:rPr>
                <w:rFonts w:ascii="Arial" w:cs="Arial" w:eastAsia="Arial" w:hAnsi="Arial"/>
                <w:sz w:val="17"/>
                <w:szCs w:val="17"/>
                <w:b w:val="1"/>
                <w:bCs w:val="1"/>
                <w:color w:val="auto"/>
              </w:rPr>
              <w:t>Table of Contents</w:t>
            </w:r>
          </w:p>
        </w:tc>
        <w:tc>
          <w:tcPr>
            <w:tcW w:w="1440" w:type="dxa"/>
            <w:vAlign w:val="bottom"/>
          </w:tcPr>
          <w:p>
            <w:pPr>
              <w:spacing w:after="0"/>
              <w:rPr>
                <w:sz w:val="19"/>
                <w:szCs w:val="19"/>
                <w:color w:val="auto"/>
              </w:rPr>
            </w:pPr>
          </w:p>
        </w:tc>
      </w:tr>
      <w:tr>
        <w:trPr>
          <w:trHeight w:val="363"/>
        </w:trPr>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ind w:left="940"/>
              <w:spacing w:after="0"/>
              <w:rPr>
                <w:sz w:val="20"/>
                <w:szCs w:val="20"/>
                <w:color w:val="auto"/>
              </w:rPr>
            </w:pPr>
            <w:r>
              <w:rPr>
                <w:rFonts w:ascii="Arial" w:cs="Arial" w:eastAsia="Arial" w:hAnsi="Arial"/>
                <w:sz w:val="14"/>
                <w:szCs w:val="14"/>
                <w:b w:val="1"/>
                <w:bCs w:val="1"/>
                <w:color w:val="auto"/>
                <w:w w:val="80"/>
              </w:rPr>
              <w:t>Page No.</w:t>
            </w:r>
          </w:p>
        </w:tc>
      </w:tr>
      <w:tr>
        <w:trPr>
          <w:trHeight w:val="180"/>
        </w:trPr>
        <w:tc>
          <w:tcPr>
            <w:tcW w:w="720" w:type="dxa"/>
            <w:vAlign w:val="bottom"/>
            <w:gridSpan w:val="3"/>
          </w:tcPr>
          <w:p>
            <w:pPr>
              <w:spacing w:after="0" w:line="180" w:lineRule="exact"/>
              <w:rPr>
                <w:rFonts w:ascii="Arial" w:cs="Arial" w:eastAsia="Arial" w:hAnsi="Arial"/>
                <w:sz w:val="17"/>
                <w:szCs w:val="17"/>
                <w:color w:val="0000EE"/>
              </w:rPr>
            </w:pPr>
            <w:hyperlink w:anchor="page4">
              <w:r>
                <w:rPr>
                  <w:rFonts w:ascii="Arial" w:cs="Arial" w:eastAsia="Arial" w:hAnsi="Arial"/>
                  <w:sz w:val="17"/>
                  <w:szCs w:val="17"/>
                  <w:color w:val="0000EE"/>
                </w:rPr>
                <w:t>Part I</w:t>
              </w:r>
            </w:hyperlink>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jc w:val="center"/>
              <w:ind w:left="855"/>
              <w:spacing w:after="0" w:line="180" w:lineRule="exact"/>
              <w:rPr>
                <w:sz w:val="20"/>
                <w:szCs w:val="20"/>
                <w:color w:val="auto"/>
              </w:rPr>
            </w:pPr>
            <w:r>
              <w:rPr>
                <w:rFonts w:ascii="Arial" w:cs="Arial" w:eastAsia="Arial" w:hAnsi="Arial"/>
                <w:sz w:val="17"/>
                <w:szCs w:val="17"/>
                <w:color w:val="auto"/>
              </w:rPr>
              <w:t>4</w:t>
            </w:r>
          </w:p>
        </w:tc>
      </w:tr>
      <w:tr>
        <w:trPr>
          <w:trHeight w:val="186"/>
        </w:trPr>
        <w:tc>
          <w:tcPr>
            <w:tcW w:w="38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0000EE"/>
            </w:tcBorders>
          </w:tcPr>
          <w:p>
            <w:pPr>
              <w:spacing w:after="0"/>
              <w:rPr>
                <w:rFonts w:ascii="Arial" w:cs="Arial" w:eastAsia="Arial" w:hAnsi="Arial"/>
                <w:sz w:val="14"/>
                <w:szCs w:val="14"/>
                <w:color w:val="0000EE"/>
                <w:w w:val="73"/>
              </w:rPr>
            </w:pPr>
            <w:hyperlink w:anchor="page4">
              <w:r>
                <w:rPr>
                  <w:rFonts w:ascii="Arial" w:cs="Arial" w:eastAsia="Arial" w:hAnsi="Arial"/>
                  <w:sz w:val="14"/>
                  <w:szCs w:val="14"/>
                  <w:color w:val="0000EE"/>
                  <w:w w:val="73"/>
                </w:rPr>
                <w:t>Item</w:t>
              </w:r>
            </w:hyperlink>
          </w:p>
        </w:tc>
        <w:tc>
          <w:tcPr>
            <w:tcW w:w="200" w:type="dxa"/>
            <w:vAlign w:val="bottom"/>
            <w:tcBorders>
              <w:bottom w:val="single" w:sz="8" w:color="0000EE"/>
            </w:tcBorders>
          </w:tcPr>
          <w:p>
            <w:pPr>
              <w:ind w:left="40"/>
              <w:spacing w:after="0" w:line="186" w:lineRule="exact"/>
              <w:rPr>
                <w:rFonts w:ascii="Arial" w:cs="Arial" w:eastAsia="Arial" w:hAnsi="Arial"/>
                <w:sz w:val="17"/>
                <w:szCs w:val="17"/>
                <w:color w:val="0000EE"/>
                <w:w w:val="98"/>
              </w:rPr>
            </w:pPr>
            <w:hyperlink w:anchor="page4">
              <w:r>
                <w:rPr>
                  <w:rFonts w:ascii="Arial" w:cs="Arial" w:eastAsia="Arial" w:hAnsi="Arial"/>
                  <w:sz w:val="17"/>
                  <w:szCs w:val="17"/>
                  <w:color w:val="0000EE"/>
                  <w:w w:val="98"/>
                </w:rPr>
                <w:t>1.</w:t>
              </w:r>
            </w:hyperlink>
          </w:p>
        </w:tc>
        <w:tc>
          <w:tcPr>
            <w:tcW w:w="640" w:type="dxa"/>
            <w:vAlign w:val="bottom"/>
            <w:tcBorders>
              <w:bottom w:val="single" w:sz="8" w:color="0000EE"/>
            </w:tcBorders>
          </w:tcPr>
          <w:p>
            <w:pPr>
              <w:ind w:left="20"/>
              <w:spacing w:after="0" w:line="186" w:lineRule="exact"/>
              <w:rPr>
                <w:rFonts w:ascii="Arial" w:cs="Arial" w:eastAsia="Arial" w:hAnsi="Arial"/>
                <w:sz w:val="17"/>
                <w:szCs w:val="17"/>
                <w:color w:val="0000EE"/>
                <w:w w:val="86"/>
              </w:rPr>
            </w:pPr>
            <w:hyperlink w:anchor="page4">
              <w:r>
                <w:rPr>
                  <w:rFonts w:ascii="Arial" w:cs="Arial" w:eastAsia="Arial" w:hAnsi="Arial"/>
                  <w:sz w:val="17"/>
                  <w:szCs w:val="17"/>
                  <w:color w:val="0000EE"/>
                  <w:w w:val="86"/>
                </w:rPr>
                <w:t>Business</w:t>
              </w:r>
            </w:hyperlink>
          </w:p>
        </w:tc>
        <w:tc>
          <w:tcPr>
            <w:tcW w:w="8340" w:type="dxa"/>
            <w:vAlign w:val="bottom"/>
            <w:gridSpan w:val="20"/>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rPr>
              <w:t>4</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rFonts w:ascii="Arial" w:cs="Arial" w:eastAsia="Arial" w:hAnsi="Arial"/>
                <w:sz w:val="14"/>
                <w:szCs w:val="14"/>
                <w:color w:val="0000EE"/>
                <w:w w:val="73"/>
              </w:rPr>
            </w:pPr>
            <w:hyperlink w:anchor="page14">
              <w:r>
                <w:rPr>
                  <w:rFonts w:ascii="Arial" w:cs="Arial" w:eastAsia="Arial" w:hAnsi="Arial"/>
                  <w:sz w:val="14"/>
                  <w:szCs w:val="14"/>
                  <w:color w:val="0000EE"/>
                  <w:w w:val="73"/>
                </w:rPr>
                <w:t>Item</w:t>
              </w:r>
            </w:hyperlink>
          </w:p>
        </w:tc>
        <w:tc>
          <w:tcPr>
            <w:tcW w:w="9180" w:type="dxa"/>
            <w:vAlign w:val="bottom"/>
            <w:gridSpan w:val="22"/>
          </w:tcPr>
          <w:p>
            <w:pPr>
              <w:ind w:left="40"/>
              <w:spacing w:after="0" w:line="186" w:lineRule="exact"/>
              <w:rPr>
                <w:rFonts w:ascii="Arial" w:cs="Arial" w:eastAsia="Arial" w:hAnsi="Arial"/>
                <w:sz w:val="17"/>
                <w:szCs w:val="17"/>
                <w:color w:val="0000EE"/>
              </w:rPr>
            </w:pPr>
            <w:hyperlink w:anchor="page14">
              <w:r>
                <w:rPr>
                  <w:rFonts w:ascii="Arial" w:cs="Arial" w:eastAsia="Arial" w:hAnsi="Arial"/>
                  <w:sz w:val="17"/>
                  <w:szCs w:val="17"/>
                  <w:color w:val="0000EE"/>
                </w:rPr>
                <w:t>1A. Risk Factors</w:t>
              </w:r>
            </w:hyperlink>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14</w:t>
            </w:r>
          </w:p>
        </w:tc>
      </w:tr>
      <w:tr>
        <w:trPr>
          <w:trHeight w:val="20"/>
        </w:trPr>
        <w:tc>
          <w:tcPr>
            <w:tcW w:w="3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rFonts w:ascii="Arial" w:cs="Arial" w:eastAsia="Arial" w:hAnsi="Arial"/>
                <w:sz w:val="14"/>
                <w:szCs w:val="14"/>
                <w:color w:val="0000EE"/>
                <w:w w:val="73"/>
              </w:rPr>
            </w:pPr>
            <w:hyperlink w:anchor="page30">
              <w:r>
                <w:rPr>
                  <w:rFonts w:ascii="Arial" w:cs="Arial" w:eastAsia="Arial" w:hAnsi="Arial"/>
                  <w:sz w:val="14"/>
                  <w:szCs w:val="14"/>
                  <w:color w:val="0000EE"/>
                  <w:w w:val="73"/>
                </w:rPr>
                <w:t>Item</w:t>
              </w:r>
            </w:hyperlink>
          </w:p>
        </w:tc>
        <w:tc>
          <w:tcPr>
            <w:tcW w:w="9180" w:type="dxa"/>
            <w:vAlign w:val="bottom"/>
            <w:gridSpan w:val="22"/>
          </w:tcPr>
          <w:p>
            <w:pPr>
              <w:ind w:left="40"/>
              <w:spacing w:after="0" w:line="186" w:lineRule="exact"/>
              <w:rPr>
                <w:rFonts w:ascii="Arial" w:cs="Arial" w:eastAsia="Arial" w:hAnsi="Arial"/>
                <w:sz w:val="17"/>
                <w:szCs w:val="17"/>
                <w:color w:val="0000EE"/>
              </w:rPr>
            </w:pPr>
            <w:hyperlink w:anchor="page30">
              <w:r>
                <w:rPr>
                  <w:rFonts w:ascii="Arial" w:cs="Arial" w:eastAsia="Arial" w:hAnsi="Arial"/>
                  <w:sz w:val="17"/>
                  <w:szCs w:val="17"/>
                  <w:color w:val="0000EE"/>
                </w:rPr>
                <w:t>1B. Unresolved Staff Comments</w:t>
              </w:r>
            </w:hyperlink>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30</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rPr>
                <w:rFonts w:ascii="Arial" w:cs="Arial" w:eastAsia="Arial" w:hAnsi="Arial"/>
                <w:sz w:val="14"/>
                <w:szCs w:val="14"/>
                <w:color w:val="0000EE"/>
                <w:w w:val="73"/>
              </w:rPr>
            </w:pPr>
            <w:hyperlink w:anchor="page30">
              <w:r>
                <w:rPr>
                  <w:rFonts w:ascii="Arial" w:cs="Arial" w:eastAsia="Arial" w:hAnsi="Arial"/>
                  <w:sz w:val="14"/>
                  <w:szCs w:val="14"/>
                  <w:color w:val="0000EE"/>
                  <w:w w:val="73"/>
                </w:rPr>
                <w:t>Item</w:t>
              </w:r>
            </w:hyperlink>
          </w:p>
        </w:tc>
        <w:tc>
          <w:tcPr>
            <w:tcW w:w="200" w:type="dxa"/>
            <w:vAlign w:val="bottom"/>
            <w:tcBorders>
              <w:top w:val="single" w:sz="8" w:color="0000EE"/>
              <w:bottom w:val="single" w:sz="8" w:color="0000EE"/>
            </w:tcBorders>
          </w:tcPr>
          <w:p>
            <w:pPr>
              <w:ind w:left="40"/>
              <w:spacing w:after="0" w:line="186" w:lineRule="exact"/>
              <w:rPr>
                <w:rFonts w:ascii="Arial" w:cs="Arial" w:eastAsia="Arial" w:hAnsi="Arial"/>
                <w:sz w:val="17"/>
                <w:szCs w:val="17"/>
                <w:color w:val="0000EE"/>
                <w:w w:val="98"/>
              </w:rPr>
            </w:pPr>
            <w:hyperlink w:anchor="page30">
              <w:r>
                <w:rPr>
                  <w:rFonts w:ascii="Arial" w:cs="Arial" w:eastAsia="Arial" w:hAnsi="Arial"/>
                  <w:sz w:val="17"/>
                  <w:szCs w:val="17"/>
                  <w:color w:val="0000EE"/>
                  <w:w w:val="98"/>
                </w:rPr>
                <w:t>2.</w:t>
              </w:r>
            </w:hyperlink>
          </w:p>
        </w:tc>
        <w:tc>
          <w:tcPr>
            <w:tcW w:w="720" w:type="dxa"/>
            <w:vAlign w:val="bottom"/>
            <w:tcBorders>
              <w:top w:val="single" w:sz="8" w:color="0000EE"/>
              <w:bottom w:val="single" w:sz="8" w:color="0000EE"/>
            </w:tcBorders>
            <w:gridSpan w:val="2"/>
          </w:tcPr>
          <w:p>
            <w:pPr>
              <w:ind w:left="20"/>
              <w:spacing w:after="0" w:line="186" w:lineRule="exact"/>
              <w:rPr>
                <w:rFonts w:ascii="Arial" w:cs="Arial" w:eastAsia="Arial" w:hAnsi="Arial"/>
                <w:sz w:val="17"/>
                <w:szCs w:val="17"/>
                <w:color w:val="0000EE"/>
                <w:w w:val="87"/>
              </w:rPr>
            </w:pPr>
            <w:hyperlink w:anchor="page30">
              <w:r>
                <w:rPr>
                  <w:rFonts w:ascii="Arial" w:cs="Arial" w:eastAsia="Arial" w:hAnsi="Arial"/>
                  <w:sz w:val="17"/>
                  <w:szCs w:val="17"/>
                  <w:color w:val="0000EE"/>
                  <w:w w:val="87"/>
                </w:rPr>
                <w:t>Properties</w:t>
              </w:r>
            </w:hyperlink>
          </w:p>
        </w:tc>
        <w:tc>
          <w:tcPr>
            <w:tcW w:w="1360" w:type="dxa"/>
            <w:vAlign w:val="bottom"/>
            <w:tcBorders>
              <w:top w:val="single" w:sz="8" w:color="0000EE"/>
            </w:tcBorders>
            <w:gridSpan w:val="8"/>
          </w:tcPr>
          <w:p>
            <w:pPr>
              <w:spacing w:after="0"/>
              <w:rPr>
                <w:sz w:val="16"/>
                <w:szCs w:val="16"/>
                <w:color w:val="auto"/>
              </w:rPr>
            </w:pPr>
          </w:p>
        </w:tc>
        <w:tc>
          <w:tcPr>
            <w:tcW w:w="6900" w:type="dxa"/>
            <w:vAlign w:val="bottom"/>
            <w:gridSpan w:val="11"/>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30</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0000EE"/>
            </w:tcBorders>
          </w:tcPr>
          <w:p>
            <w:pPr>
              <w:spacing w:after="0"/>
              <w:rPr>
                <w:rFonts w:ascii="Arial" w:cs="Arial" w:eastAsia="Arial" w:hAnsi="Arial"/>
                <w:sz w:val="14"/>
                <w:szCs w:val="14"/>
                <w:color w:val="0000EE"/>
                <w:w w:val="73"/>
              </w:rPr>
            </w:pPr>
            <w:hyperlink w:anchor="page30">
              <w:r>
                <w:rPr>
                  <w:rFonts w:ascii="Arial" w:cs="Arial" w:eastAsia="Arial" w:hAnsi="Arial"/>
                  <w:sz w:val="14"/>
                  <w:szCs w:val="14"/>
                  <w:color w:val="0000EE"/>
                  <w:w w:val="73"/>
                </w:rPr>
                <w:t>Item</w:t>
              </w:r>
            </w:hyperlink>
          </w:p>
        </w:tc>
        <w:tc>
          <w:tcPr>
            <w:tcW w:w="200" w:type="dxa"/>
            <w:vAlign w:val="bottom"/>
            <w:tcBorders>
              <w:bottom w:val="single" w:sz="8" w:color="0000EE"/>
            </w:tcBorders>
          </w:tcPr>
          <w:p>
            <w:pPr>
              <w:ind w:left="40"/>
              <w:spacing w:after="0" w:line="186" w:lineRule="exact"/>
              <w:rPr>
                <w:rFonts w:ascii="Arial" w:cs="Arial" w:eastAsia="Arial" w:hAnsi="Arial"/>
                <w:sz w:val="17"/>
                <w:szCs w:val="17"/>
                <w:color w:val="0000EE"/>
                <w:w w:val="98"/>
              </w:rPr>
            </w:pPr>
            <w:hyperlink w:anchor="page30">
              <w:r>
                <w:rPr>
                  <w:rFonts w:ascii="Arial" w:cs="Arial" w:eastAsia="Arial" w:hAnsi="Arial"/>
                  <w:sz w:val="17"/>
                  <w:szCs w:val="17"/>
                  <w:color w:val="0000EE"/>
                  <w:w w:val="98"/>
                </w:rPr>
                <w:t>3.</w:t>
              </w:r>
            </w:hyperlink>
          </w:p>
        </w:tc>
        <w:tc>
          <w:tcPr>
            <w:tcW w:w="1300" w:type="dxa"/>
            <w:vAlign w:val="bottom"/>
            <w:tcBorders>
              <w:bottom w:val="single" w:sz="8" w:color="0000EE"/>
            </w:tcBorders>
            <w:gridSpan w:val="4"/>
          </w:tcPr>
          <w:p>
            <w:pPr>
              <w:ind w:left="20"/>
              <w:spacing w:after="0" w:line="186" w:lineRule="exact"/>
              <w:rPr>
                <w:rFonts w:ascii="Arial" w:cs="Arial" w:eastAsia="Arial" w:hAnsi="Arial"/>
                <w:sz w:val="17"/>
                <w:szCs w:val="17"/>
                <w:color w:val="0000EE"/>
                <w:w w:val="89"/>
              </w:rPr>
            </w:pPr>
            <w:hyperlink w:anchor="page30">
              <w:r>
                <w:rPr>
                  <w:rFonts w:ascii="Arial" w:cs="Arial" w:eastAsia="Arial" w:hAnsi="Arial"/>
                  <w:sz w:val="17"/>
                  <w:szCs w:val="17"/>
                  <w:color w:val="0000EE"/>
                  <w:w w:val="89"/>
                </w:rPr>
                <w:t>Legal Proceedings</w:t>
              </w:r>
            </w:hyperlink>
          </w:p>
        </w:tc>
        <w:tc>
          <w:tcPr>
            <w:tcW w:w="7680" w:type="dxa"/>
            <w:vAlign w:val="bottom"/>
            <w:gridSpan w:val="17"/>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30</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0000EE"/>
            </w:tcBorders>
          </w:tcPr>
          <w:p>
            <w:pPr>
              <w:spacing w:after="0"/>
              <w:rPr>
                <w:rFonts w:ascii="Arial" w:cs="Arial" w:eastAsia="Arial" w:hAnsi="Arial"/>
                <w:sz w:val="14"/>
                <w:szCs w:val="14"/>
                <w:color w:val="0000EE"/>
                <w:w w:val="73"/>
              </w:rPr>
            </w:pPr>
            <w:hyperlink w:anchor="page30">
              <w:r>
                <w:rPr>
                  <w:rFonts w:ascii="Arial" w:cs="Arial" w:eastAsia="Arial" w:hAnsi="Arial"/>
                  <w:sz w:val="14"/>
                  <w:szCs w:val="14"/>
                  <w:color w:val="0000EE"/>
                  <w:w w:val="73"/>
                </w:rPr>
                <w:t>Item</w:t>
              </w:r>
            </w:hyperlink>
          </w:p>
        </w:tc>
        <w:tc>
          <w:tcPr>
            <w:tcW w:w="200" w:type="dxa"/>
            <w:vAlign w:val="bottom"/>
            <w:tcBorders>
              <w:bottom w:val="single" w:sz="8" w:color="0000EE"/>
            </w:tcBorders>
          </w:tcPr>
          <w:p>
            <w:pPr>
              <w:ind w:left="40"/>
              <w:spacing w:after="0" w:line="186" w:lineRule="exact"/>
              <w:rPr>
                <w:rFonts w:ascii="Arial" w:cs="Arial" w:eastAsia="Arial" w:hAnsi="Arial"/>
                <w:sz w:val="17"/>
                <w:szCs w:val="17"/>
                <w:color w:val="0000EE"/>
                <w:w w:val="98"/>
              </w:rPr>
            </w:pPr>
            <w:hyperlink w:anchor="page30">
              <w:r>
                <w:rPr>
                  <w:rFonts w:ascii="Arial" w:cs="Arial" w:eastAsia="Arial" w:hAnsi="Arial"/>
                  <w:sz w:val="17"/>
                  <w:szCs w:val="17"/>
                  <w:color w:val="0000EE"/>
                  <w:w w:val="98"/>
                </w:rPr>
                <w:t>4.</w:t>
              </w:r>
            </w:hyperlink>
          </w:p>
        </w:tc>
        <w:tc>
          <w:tcPr>
            <w:tcW w:w="1720" w:type="dxa"/>
            <w:vAlign w:val="bottom"/>
            <w:tcBorders>
              <w:bottom w:val="single" w:sz="8" w:color="0000EE"/>
            </w:tcBorders>
            <w:gridSpan w:val="7"/>
          </w:tcPr>
          <w:p>
            <w:pPr>
              <w:ind w:left="20"/>
              <w:spacing w:after="0" w:line="186" w:lineRule="exact"/>
              <w:rPr>
                <w:rFonts w:ascii="Arial" w:cs="Arial" w:eastAsia="Arial" w:hAnsi="Arial"/>
                <w:sz w:val="17"/>
                <w:szCs w:val="17"/>
                <w:color w:val="0000EE"/>
                <w:w w:val="92"/>
              </w:rPr>
            </w:pPr>
            <w:hyperlink w:anchor="page30">
              <w:r>
                <w:rPr>
                  <w:rFonts w:ascii="Arial" w:cs="Arial" w:eastAsia="Arial" w:hAnsi="Arial"/>
                  <w:sz w:val="17"/>
                  <w:szCs w:val="17"/>
                  <w:color w:val="0000EE"/>
                  <w:w w:val="92"/>
                </w:rPr>
                <w:t>Mine Safety Disclosures</w:t>
              </w:r>
            </w:hyperlink>
          </w:p>
        </w:tc>
        <w:tc>
          <w:tcPr>
            <w:tcW w:w="7260" w:type="dxa"/>
            <w:vAlign w:val="bottom"/>
            <w:gridSpan w:val="14"/>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30</w:t>
            </w:r>
          </w:p>
        </w:tc>
      </w:tr>
      <w:tr>
        <w:trPr>
          <w:trHeight w:val="186"/>
        </w:trPr>
        <w:tc>
          <w:tcPr>
            <w:tcW w:w="500" w:type="dxa"/>
            <w:vAlign w:val="bottom"/>
            <w:tcBorders>
              <w:bottom w:val="single" w:sz="8" w:color="0000EE"/>
            </w:tcBorders>
            <w:gridSpan w:val="2"/>
          </w:tcPr>
          <w:p>
            <w:pPr>
              <w:spacing w:after="0" w:line="186" w:lineRule="exact"/>
              <w:rPr>
                <w:rFonts w:ascii="Arial" w:cs="Arial" w:eastAsia="Arial" w:hAnsi="Arial"/>
                <w:sz w:val="17"/>
                <w:szCs w:val="17"/>
                <w:color w:val="0000EE"/>
              </w:rPr>
            </w:pPr>
            <w:hyperlink w:anchor="page31">
              <w:r>
                <w:rPr>
                  <w:rFonts w:ascii="Arial" w:cs="Arial" w:eastAsia="Arial" w:hAnsi="Arial"/>
                  <w:sz w:val="17"/>
                  <w:szCs w:val="17"/>
                  <w:color w:val="0000EE"/>
                </w:rPr>
                <w:t>Part II</w:t>
              </w:r>
            </w:hyperlink>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31</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0000EE"/>
            </w:tcBorders>
          </w:tcPr>
          <w:p>
            <w:pPr>
              <w:spacing w:after="0"/>
              <w:rPr>
                <w:rFonts w:ascii="Arial" w:cs="Arial" w:eastAsia="Arial" w:hAnsi="Arial"/>
                <w:sz w:val="14"/>
                <w:szCs w:val="14"/>
                <w:color w:val="0000EE"/>
                <w:w w:val="73"/>
              </w:rPr>
            </w:pPr>
            <w:hyperlink w:anchor="page31">
              <w:r>
                <w:rPr>
                  <w:rFonts w:ascii="Arial" w:cs="Arial" w:eastAsia="Arial" w:hAnsi="Arial"/>
                  <w:sz w:val="14"/>
                  <w:szCs w:val="14"/>
                  <w:color w:val="0000EE"/>
                  <w:w w:val="73"/>
                </w:rPr>
                <w:t>Item</w:t>
              </w:r>
            </w:hyperlink>
          </w:p>
        </w:tc>
        <w:tc>
          <w:tcPr>
            <w:tcW w:w="200" w:type="dxa"/>
            <w:vAlign w:val="bottom"/>
            <w:tcBorders>
              <w:bottom w:val="single" w:sz="8" w:color="0000EE"/>
            </w:tcBorders>
          </w:tcPr>
          <w:p>
            <w:pPr>
              <w:ind w:left="40"/>
              <w:spacing w:after="0" w:line="186" w:lineRule="exact"/>
              <w:rPr>
                <w:rFonts w:ascii="Arial" w:cs="Arial" w:eastAsia="Arial" w:hAnsi="Arial"/>
                <w:sz w:val="17"/>
                <w:szCs w:val="17"/>
                <w:color w:val="0000EE"/>
                <w:w w:val="98"/>
              </w:rPr>
            </w:pPr>
            <w:hyperlink w:anchor="page31">
              <w:r>
                <w:rPr>
                  <w:rFonts w:ascii="Arial" w:cs="Arial" w:eastAsia="Arial" w:hAnsi="Arial"/>
                  <w:sz w:val="17"/>
                  <w:szCs w:val="17"/>
                  <w:color w:val="0000EE"/>
                  <w:w w:val="98"/>
                </w:rPr>
                <w:t>5.</w:t>
              </w:r>
            </w:hyperlink>
          </w:p>
        </w:tc>
        <w:tc>
          <w:tcPr>
            <w:tcW w:w="8040" w:type="dxa"/>
            <w:vAlign w:val="bottom"/>
            <w:tcBorders>
              <w:bottom w:val="single" w:sz="8" w:color="0000EE"/>
            </w:tcBorders>
            <w:gridSpan w:val="20"/>
          </w:tcPr>
          <w:p>
            <w:pPr>
              <w:ind w:left="20"/>
              <w:spacing w:after="0" w:line="186" w:lineRule="exact"/>
              <w:rPr>
                <w:rFonts w:ascii="Arial" w:cs="Arial" w:eastAsia="Arial" w:hAnsi="Arial"/>
                <w:sz w:val="17"/>
                <w:szCs w:val="17"/>
                <w:color w:val="0000EE"/>
                <w:w w:val="91"/>
              </w:rPr>
            </w:pPr>
            <w:hyperlink w:anchor="page31">
              <w:r>
                <w:rPr>
                  <w:rFonts w:ascii="Arial" w:cs="Arial" w:eastAsia="Arial" w:hAnsi="Arial"/>
                  <w:sz w:val="17"/>
                  <w:szCs w:val="17"/>
                  <w:color w:val="0000EE"/>
                  <w:w w:val="91"/>
                </w:rPr>
                <w:t>Market for Registrant’s Common Equity and Related Stockholder Matters, and Issuer Purchases of Equity Securities</w:t>
              </w:r>
            </w:hyperlink>
          </w:p>
        </w:tc>
        <w:tc>
          <w:tcPr>
            <w:tcW w:w="940" w:type="dxa"/>
            <w:vAlign w:val="bottom"/>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31</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0000EE"/>
            </w:tcBorders>
          </w:tcPr>
          <w:p>
            <w:pPr>
              <w:spacing w:after="0"/>
              <w:rPr>
                <w:rFonts w:ascii="Arial" w:cs="Arial" w:eastAsia="Arial" w:hAnsi="Arial"/>
                <w:sz w:val="14"/>
                <w:szCs w:val="14"/>
                <w:color w:val="0000EE"/>
                <w:w w:val="73"/>
              </w:rPr>
            </w:pPr>
            <w:hyperlink w:anchor="page31">
              <w:r>
                <w:rPr>
                  <w:rFonts w:ascii="Arial" w:cs="Arial" w:eastAsia="Arial" w:hAnsi="Arial"/>
                  <w:sz w:val="14"/>
                  <w:szCs w:val="14"/>
                  <w:color w:val="0000EE"/>
                  <w:w w:val="73"/>
                </w:rPr>
                <w:t>Item</w:t>
              </w:r>
            </w:hyperlink>
          </w:p>
        </w:tc>
        <w:tc>
          <w:tcPr>
            <w:tcW w:w="200" w:type="dxa"/>
            <w:vAlign w:val="bottom"/>
            <w:tcBorders>
              <w:bottom w:val="single" w:sz="8" w:color="0000EE"/>
            </w:tcBorders>
          </w:tcPr>
          <w:p>
            <w:pPr>
              <w:ind w:left="40"/>
              <w:spacing w:after="0" w:line="186" w:lineRule="exact"/>
              <w:rPr>
                <w:rFonts w:ascii="Arial" w:cs="Arial" w:eastAsia="Arial" w:hAnsi="Arial"/>
                <w:sz w:val="17"/>
                <w:szCs w:val="17"/>
                <w:color w:val="0000EE"/>
                <w:w w:val="98"/>
              </w:rPr>
            </w:pPr>
            <w:hyperlink w:anchor="page31">
              <w:r>
                <w:rPr>
                  <w:rFonts w:ascii="Arial" w:cs="Arial" w:eastAsia="Arial" w:hAnsi="Arial"/>
                  <w:sz w:val="17"/>
                  <w:szCs w:val="17"/>
                  <w:color w:val="0000EE"/>
                  <w:w w:val="98"/>
                </w:rPr>
                <w:t>6.</w:t>
              </w:r>
            </w:hyperlink>
          </w:p>
        </w:tc>
        <w:tc>
          <w:tcPr>
            <w:tcW w:w="1660" w:type="dxa"/>
            <w:vAlign w:val="bottom"/>
            <w:tcBorders>
              <w:bottom w:val="single" w:sz="8" w:color="0000EE"/>
            </w:tcBorders>
            <w:gridSpan w:val="6"/>
          </w:tcPr>
          <w:p>
            <w:pPr>
              <w:ind w:left="20"/>
              <w:spacing w:after="0" w:line="186" w:lineRule="exact"/>
              <w:rPr>
                <w:rFonts w:ascii="Arial" w:cs="Arial" w:eastAsia="Arial" w:hAnsi="Arial"/>
                <w:sz w:val="17"/>
                <w:szCs w:val="17"/>
                <w:color w:val="0000EE"/>
                <w:w w:val="90"/>
              </w:rPr>
            </w:pPr>
            <w:hyperlink w:anchor="page31">
              <w:r>
                <w:rPr>
                  <w:rFonts w:ascii="Arial" w:cs="Arial" w:eastAsia="Arial" w:hAnsi="Arial"/>
                  <w:sz w:val="17"/>
                  <w:szCs w:val="17"/>
                  <w:color w:val="0000EE"/>
                  <w:w w:val="90"/>
                </w:rPr>
                <w:t>Selected Financial Data</w:t>
              </w:r>
            </w:hyperlink>
          </w:p>
        </w:tc>
        <w:tc>
          <w:tcPr>
            <w:tcW w:w="7320" w:type="dxa"/>
            <w:vAlign w:val="bottom"/>
            <w:gridSpan w:val="15"/>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31</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rFonts w:ascii="Arial" w:cs="Arial" w:eastAsia="Arial" w:hAnsi="Arial"/>
                <w:sz w:val="14"/>
                <w:szCs w:val="14"/>
                <w:color w:val="0000EE"/>
                <w:w w:val="73"/>
              </w:rPr>
            </w:pPr>
            <w:hyperlink w:anchor="page32">
              <w:r>
                <w:rPr>
                  <w:rFonts w:ascii="Arial" w:cs="Arial" w:eastAsia="Arial" w:hAnsi="Arial"/>
                  <w:sz w:val="14"/>
                  <w:szCs w:val="14"/>
                  <w:color w:val="0000EE"/>
                  <w:w w:val="73"/>
                </w:rPr>
                <w:t>Item</w:t>
              </w:r>
            </w:hyperlink>
          </w:p>
        </w:tc>
        <w:tc>
          <w:tcPr>
            <w:tcW w:w="200" w:type="dxa"/>
            <w:vAlign w:val="bottom"/>
          </w:tcPr>
          <w:p>
            <w:pPr>
              <w:ind w:left="40"/>
              <w:spacing w:after="0" w:line="186" w:lineRule="exact"/>
              <w:rPr>
                <w:rFonts w:ascii="Arial" w:cs="Arial" w:eastAsia="Arial" w:hAnsi="Arial"/>
                <w:sz w:val="17"/>
                <w:szCs w:val="17"/>
                <w:color w:val="0000EE"/>
                <w:w w:val="98"/>
              </w:rPr>
            </w:pPr>
            <w:hyperlink w:anchor="page32">
              <w:r>
                <w:rPr>
                  <w:rFonts w:ascii="Arial" w:cs="Arial" w:eastAsia="Arial" w:hAnsi="Arial"/>
                  <w:sz w:val="17"/>
                  <w:szCs w:val="17"/>
                  <w:color w:val="0000EE"/>
                  <w:w w:val="98"/>
                </w:rPr>
                <w:t>7.</w:t>
              </w:r>
            </w:hyperlink>
          </w:p>
        </w:tc>
        <w:tc>
          <w:tcPr>
            <w:tcW w:w="8980" w:type="dxa"/>
            <w:vAlign w:val="bottom"/>
            <w:gridSpan w:val="21"/>
          </w:tcPr>
          <w:p>
            <w:pPr>
              <w:ind w:left="20"/>
              <w:spacing w:after="0" w:line="186" w:lineRule="exact"/>
              <w:rPr>
                <w:rFonts w:ascii="Arial" w:cs="Arial" w:eastAsia="Arial" w:hAnsi="Arial"/>
                <w:sz w:val="17"/>
                <w:szCs w:val="17"/>
                <w:color w:val="0000EE"/>
              </w:rPr>
            </w:pPr>
            <w:hyperlink w:anchor="page32">
              <w:r>
                <w:rPr>
                  <w:rFonts w:ascii="Arial" w:cs="Arial" w:eastAsia="Arial" w:hAnsi="Arial"/>
                  <w:sz w:val="17"/>
                  <w:szCs w:val="17"/>
                  <w:color w:val="0000EE"/>
                </w:rPr>
                <w:t>Management’s Discussion and Analysis of Financial Condition and Results of Operations</w:t>
              </w:r>
            </w:hyperlink>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32</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0000EE"/>
            </w:tcBorders>
          </w:tcPr>
          <w:p>
            <w:pPr>
              <w:spacing w:after="0"/>
              <w:rPr>
                <w:rFonts w:ascii="Arial" w:cs="Arial" w:eastAsia="Arial" w:hAnsi="Arial"/>
                <w:sz w:val="14"/>
                <w:szCs w:val="14"/>
                <w:color w:val="0000EE"/>
                <w:w w:val="73"/>
              </w:rPr>
            </w:pPr>
            <w:hyperlink w:anchor="page38">
              <w:r>
                <w:rPr>
                  <w:rFonts w:ascii="Arial" w:cs="Arial" w:eastAsia="Arial" w:hAnsi="Arial"/>
                  <w:sz w:val="14"/>
                  <w:szCs w:val="14"/>
                  <w:color w:val="0000EE"/>
                  <w:w w:val="73"/>
                </w:rPr>
                <w:t>Item</w:t>
              </w:r>
            </w:hyperlink>
          </w:p>
        </w:tc>
        <w:tc>
          <w:tcPr>
            <w:tcW w:w="6380" w:type="dxa"/>
            <w:vAlign w:val="bottom"/>
            <w:tcBorders>
              <w:top w:val="single" w:sz="8" w:color="0000EE"/>
            </w:tcBorders>
            <w:gridSpan w:val="18"/>
          </w:tcPr>
          <w:p>
            <w:pPr>
              <w:ind w:left="40"/>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7A. Quantitative and Qualitative Disclosures About Market Risk</w:t>
              </w:r>
            </w:hyperlink>
          </w:p>
        </w:tc>
        <w:tc>
          <w:tcPr>
            <w:tcW w:w="2800" w:type="dxa"/>
            <w:vAlign w:val="bottom"/>
            <w:gridSpan w:val="4"/>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38</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rPr>
                <w:rFonts w:ascii="Arial" w:cs="Arial" w:eastAsia="Arial" w:hAnsi="Arial"/>
                <w:sz w:val="14"/>
                <w:szCs w:val="14"/>
                <w:color w:val="0000EE"/>
                <w:w w:val="73"/>
              </w:rPr>
            </w:pPr>
            <w:hyperlink w:anchor="page38">
              <w:r>
                <w:rPr>
                  <w:rFonts w:ascii="Arial" w:cs="Arial" w:eastAsia="Arial" w:hAnsi="Arial"/>
                  <w:sz w:val="14"/>
                  <w:szCs w:val="14"/>
                  <w:color w:val="0000EE"/>
                  <w:w w:val="73"/>
                </w:rPr>
                <w:t>Item</w:t>
              </w:r>
            </w:hyperlink>
          </w:p>
        </w:tc>
        <w:tc>
          <w:tcPr>
            <w:tcW w:w="200" w:type="dxa"/>
            <w:vAlign w:val="bottom"/>
            <w:tcBorders>
              <w:top w:val="single" w:sz="8" w:color="0000EE"/>
              <w:bottom w:val="single" w:sz="8" w:color="0000EE"/>
            </w:tcBorders>
          </w:tcPr>
          <w:p>
            <w:pPr>
              <w:ind w:left="40"/>
              <w:spacing w:after="0" w:line="186" w:lineRule="exact"/>
              <w:rPr>
                <w:rFonts w:ascii="Arial" w:cs="Arial" w:eastAsia="Arial" w:hAnsi="Arial"/>
                <w:sz w:val="17"/>
                <w:szCs w:val="17"/>
                <w:color w:val="0000EE"/>
                <w:w w:val="98"/>
              </w:rPr>
            </w:pPr>
            <w:hyperlink w:anchor="page38">
              <w:r>
                <w:rPr>
                  <w:rFonts w:ascii="Arial" w:cs="Arial" w:eastAsia="Arial" w:hAnsi="Arial"/>
                  <w:sz w:val="17"/>
                  <w:szCs w:val="17"/>
                  <w:color w:val="0000EE"/>
                  <w:w w:val="98"/>
                </w:rPr>
                <w:t>8.</w:t>
              </w:r>
            </w:hyperlink>
          </w:p>
        </w:tc>
        <w:tc>
          <w:tcPr>
            <w:tcW w:w="3200" w:type="dxa"/>
            <w:vAlign w:val="bottom"/>
            <w:tcBorders>
              <w:top w:val="single" w:sz="8" w:color="0000EE"/>
              <w:bottom w:val="single" w:sz="8" w:color="0000EE"/>
            </w:tcBorders>
            <w:gridSpan w:val="13"/>
          </w:tcPr>
          <w:p>
            <w:pPr>
              <w:ind w:left="20"/>
              <w:spacing w:after="0" w:line="186" w:lineRule="exact"/>
              <w:rPr>
                <w:rFonts w:ascii="Arial" w:cs="Arial" w:eastAsia="Arial" w:hAnsi="Arial"/>
                <w:sz w:val="17"/>
                <w:szCs w:val="17"/>
                <w:color w:val="0000EE"/>
                <w:w w:val="89"/>
              </w:rPr>
            </w:pPr>
            <w:hyperlink w:anchor="page38">
              <w:r>
                <w:rPr>
                  <w:rFonts w:ascii="Arial" w:cs="Arial" w:eastAsia="Arial" w:hAnsi="Arial"/>
                  <w:sz w:val="17"/>
                  <w:szCs w:val="17"/>
                  <w:color w:val="0000EE"/>
                  <w:w w:val="89"/>
                </w:rPr>
                <w:t>Financial Statements and Supplementary Data</w:t>
              </w:r>
            </w:hyperlink>
          </w:p>
        </w:tc>
        <w:tc>
          <w:tcPr>
            <w:tcW w:w="1100" w:type="dxa"/>
            <w:vAlign w:val="bottom"/>
            <w:tcBorders>
              <w:top w:val="single" w:sz="8" w:color="0000EE"/>
            </w:tcBorders>
            <w:gridSpan w:val="2"/>
          </w:tcPr>
          <w:p>
            <w:pPr>
              <w:spacing w:after="0"/>
              <w:rPr>
                <w:sz w:val="16"/>
                <w:szCs w:val="16"/>
                <w:color w:val="auto"/>
              </w:rPr>
            </w:pPr>
          </w:p>
        </w:tc>
        <w:tc>
          <w:tcPr>
            <w:tcW w:w="4680" w:type="dxa"/>
            <w:vAlign w:val="bottom"/>
            <w:gridSpan w:val="6"/>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38</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rFonts w:ascii="Arial" w:cs="Arial" w:eastAsia="Arial" w:hAnsi="Arial"/>
                <w:sz w:val="14"/>
                <w:szCs w:val="14"/>
                <w:color w:val="0000EE"/>
                <w:w w:val="73"/>
              </w:rPr>
            </w:pPr>
            <w:hyperlink w:anchor="page65">
              <w:r>
                <w:rPr>
                  <w:rFonts w:ascii="Arial" w:cs="Arial" w:eastAsia="Arial" w:hAnsi="Arial"/>
                  <w:sz w:val="14"/>
                  <w:szCs w:val="14"/>
                  <w:color w:val="0000EE"/>
                  <w:w w:val="73"/>
                </w:rPr>
                <w:t>Item</w:t>
              </w:r>
            </w:hyperlink>
          </w:p>
        </w:tc>
        <w:tc>
          <w:tcPr>
            <w:tcW w:w="200" w:type="dxa"/>
            <w:vAlign w:val="bottom"/>
          </w:tcPr>
          <w:p>
            <w:pPr>
              <w:ind w:left="40"/>
              <w:spacing w:after="0" w:line="186" w:lineRule="exact"/>
              <w:rPr>
                <w:rFonts w:ascii="Arial" w:cs="Arial" w:eastAsia="Arial" w:hAnsi="Arial"/>
                <w:sz w:val="17"/>
                <w:szCs w:val="17"/>
                <w:color w:val="0000EE"/>
                <w:w w:val="98"/>
              </w:rPr>
            </w:pPr>
            <w:hyperlink w:anchor="page65">
              <w:r>
                <w:rPr>
                  <w:rFonts w:ascii="Arial" w:cs="Arial" w:eastAsia="Arial" w:hAnsi="Arial"/>
                  <w:sz w:val="17"/>
                  <w:szCs w:val="17"/>
                  <w:color w:val="0000EE"/>
                  <w:w w:val="98"/>
                </w:rPr>
                <w:t>9.</w:t>
              </w:r>
            </w:hyperlink>
          </w:p>
        </w:tc>
        <w:tc>
          <w:tcPr>
            <w:tcW w:w="8980" w:type="dxa"/>
            <w:vAlign w:val="bottom"/>
            <w:gridSpan w:val="21"/>
          </w:tcPr>
          <w:p>
            <w:pPr>
              <w:ind w:left="20"/>
              <w:spacing w:after="0" w:line="186" w:lineRule="exact"/>
              <w:rPr>
                <w:rFonts w:ascii="Arial" w:cs="Arial" w:eastAsia="Arial" w:hAnsi="Arial"/>
                <w:sz w:val="17"/>
                <w:szCs w:val="17"/>
                <w:color w:val="0000EE"/>
              </w:rPr>
            </w:pPr>
            <w:hyperlink w:anchor="page65">
              <w:r>
                <w:rPr>
                  <w:rFonts w:ascii="Arial" w:cs="Arial" w:eastAsia="Arial" w:hAnsi="Arial"/>
                  <w:sz w:val="17"/>
                  <w:szCs w:val="17"/>
                  <w:color w:val="0000EE"/>
                </w:rPr>
                <w:t>Changes in and Disagreements with Accountants on Accounting and Financial Disclosure</w:t>
              </w:r>
            </w:hyperlink>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65</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rPr>
                <w:rFonts w:ascii="Arial" w:cs="Arial" w:eastAsia="Arial" w:hAnsi="Arial"/>
                <w:sz w:val="14"/>
                <w:szCs w:val="14"/>
                <w:color w:val="0000EE"/>
                <w:w w:val="73"/>
              </w:rPr>
            </w:pPr>
            <w:hyperlink w:anchor="page65">
              <w:r>
                <w:rPr>
                  <w:rFonts w:ascii="Arial" w:cs="Arial" w:eastAsia="Arial" w:hAnsi="Arial"/>
                  <w:sz w:val="14"/>
                  <w:szCs w:val="14"/>
                  <w:color w:val="0000EE"/>
                  <w:w w:val="73"/>
                </w:rPr>
                <w:t>Item</w:t>
              </w:r>
            </w:hyperlink>
          </w:p>
        </w:tc>
        <w:tc>
          <w:tcPr>
            <w:tcW w:w="2040" w:type="dxa"/>
            <w:vAlign w:val="bottom"/>
            <w:tcBorders>
              <w:top w:val="single" w:sz="8" w:color="0000EE"/>
              <w:bottom w:val="single" w:sz="8" w:color="0000EE"/>
            </w:tcBorders>
            <w:gridSpan w:val="10"/>
          </w:tcPr>
          <w:p>
            <w:pPr>
              <w:ind w:left="40"/>
              <w:spacing w:after="0" w:line="186" w:lineRule="exact"/>
              <w:rPr>
                <w:rFonts w:ascii="Arial" w:cs="Arial" w:eastAsia="Arial" w:hAnsi="Arial"/>
                <w:sz w:val="17"/>
                <w:szCs w:val="17"/>
                <w:color w:val="0000EE"/>
                <w:w w:val="90"/>
              </w:rPr>
            </w:pPr>
            <w:hyperlink w:anchor="page65">
              <w:r>
                <w:rPr>
                  <w:rFonts w:ascii="Arial" w:cs="Arial" w:eastAsia="Arial" w:hAnsi="Arial"/>
                  <w:sz w:val="17"/>
                  <w:szCs w:val="17"/>
                  <w:color w:val="0000EE"/>
                  <w:w w:val="90"/>
                </w:rPr>
                <w:t>9A. Controls and Procedures</w:t>
              </w:r>
            </w:hyperlink>
          </w:p>
        </w:tc>
        <w:tc>
          <w:tcPr>
            <w:tcW w:w="4360" w:type="dxa"/>
            <w:vAlign w:val="bottom"/>
            <w:tcBorders>
              <w:top w:val="single" w:sz="8" w:color="0000EE"/>
            </w:tcBorders>
            <w:gridSpan w:val="9"/>
          </w:tcPr>
          <w:p>
            <w:pPr>
              <w:spacing w:after="0"/>
              <w:rPr>
                <w:sz w:val="16"/>
                <w:szCs w:val="16"/>
                <w:color w:val="auto"/>
              </w:rPr>
            </w:pPr>
          </w:p>
        </w:tc>
        <w:tc>
          <w:tcPr>
            <w:tcW w:w="2780" w:type="dxa"/>
            <w:vAlign w:val="bottom"/>
            <w:gridSpan w:val="3"/>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65</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0000EE"/>
            </w:tcBorders>
          </w:tcPr>
          <w:p>
            <w:pPr>
              <w:spacing w:after="0"/>
              <w:rPr>
                <w:rFonts w:ascii="Arial" w:cs="Arial" w:eastAsia="Arial" w:hAnsi="Arial"/>
                <w:sz w:val="14"/>
                <w:szCs w:val="14"/>
                <w:color w:val="0000EE"/>
                <w:w w:val="73"/>
              </w:rPr>
            </w:pPr>
            <w:hyperlink w:anchor="page65">
              <w:r>
                <w:rPr>
                  <w:rFonts w:ascii="Arial" w:cs="Arial" w:eastAsia="Arial" w:hAnsi="Arial"/>
                  <w:sz w:val="14"/>
                  <w:szCs w:val="14"/>
                  <w:color w:val="0000EE"/>
                  <w:w w:val="73"/>
                </w:rPr>
                <w:t>Item</w:t>
              </w:r>
            </w:hyperlink>
          </w:p>
        </w:tc>
        <w:tc>
          <w:tcPr>
            <w:tcW w:w="1600" w:type="dxa"/>
            <w:vAlign w:val="bottom"/>
            <w:tcBorders>
              <w:bottom w:val="single" w:sz="8" w:color="0000EE"/>
            </w:tcBorders>
            <w:gridSpan w:val="6"/>
          </w:tcPr>
          <w:p>
            <w:pPr>
              <w:ind w:left="40"/>
              <w:spacing w:after="0" w:line="186" w:lineRule="exact"/>
              <w:rPr>
                <w:rFonts w:ascii="Arial" w:cs="Arial" w:eastAsia="Arial" w:hAnsi="Arial"/>
                <w:sz w:val="17"/>
                <w:szCs w:val="17"/>
                <w:color w:val="0000EE"/>
                <w:w w:val="94"/>
              </w:rPr>
            </w:pPr>
            <w:hyperlink w:anchor="page65">
              <w:r>
                <w:rPr>
                  <w:rFonts w:ascii="Arial" w:cs="Arial" w:eastAsia="Arial" w:hAnsi="Arial"/>
                  <w:sz w:val="17"/>
                  <w:szCs w:val="17"/>
                  <w:color w:val="0000EE"/>
                  <w:w w:val="94"/>
                </w:rPr>
                <w:t>9B. Other Information</w:t>
              </w:r>
            </w:hyperlink>
          </w:p>
        </w:tc>
        <w:tc>
          <w:tcPr>
            <w:tcW w:w="7580" w:type="dxa"/>
            <w:vAlign w:val="bottom"/>
            <w:gridSpan w:val="16"/>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65</w:t>
            </w:r>
          </w:p>
        </w:tc>
      </w:tr>
      <w:tr>
        <w:trPr>
          <w:trHeight w:val="186"/>
        </w:trPr>
        <w:tc>
          <w:tcPr>
            <w:tcW w:w="500" w:type="dxa"/>
            <w:vAlign w:val="bottom"/>
            <w:tcBorders>
              <w:bottom w:val="single" w:sz="8" w:color="0000EE"/>
            </w:tcBorders>
            <w:gridSpan w:val="2"/>
          </w:tcPr>
          <w:p>
            <w:pPr>
              <w:spacing w:after="0" w:line="186" w:lineRule="exact"/>
              <w:rPr>
                <w:rFonts w:ascii="Arial" w:cs="Arial" w:eastAsia="Arial" w:hAnsi="Arial"/>
                <w:sz w:val="17"/>
                <w:szCs w:val="17"/>
                <w:color w:val="0000EE"/>
                <w:w w:val="91"/>
              </w:rPr>
            </w:pPr>
            <w:hyperlink w:anchor="page66">
              <w:r>
                <w:rPr>
                  <w:rFonts w:ascii="Arial" w:cs="Arial" w:eastAsia="Arial" w:hAnsi="Arial"/>
                  <w:sz w:val="17"/>
                  <w:szCs w:val="17"/>
                  <w:color w:val="0000EE"/>
                  <w:w w:val="91"/>
                </w:rPr>
                <w:t>Part III</w:t>
              </w:r>
            </w:hyperlink>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66</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0000EE"/>
            </w:tcBorders>
          </w:tcPr>
          <w:p>
            <w:pPr>
              <w:spacing w:after="0"/>
              <w:rPr>
                <w:rFonts w:ascii="Arial" w:cs="Arial" w:eastAsia="Arial" w:hAnsi="Arial"/>
                <w:sz w:val="14"/>
                <w:szCs w:val="14"/>
                <w:color w:val="0000EE"/>
                <w:w w:val="73"/>
              </w:rPr>
            </w:pPr>
            <w:hyperlink w:anchor="page66">
              <w:r>
                <w:rPr>
                  <w:rFonts w:ascii="Arial" w:cs="Arial" w:eastAsia="Arial" w:hAnsi="Arial"/>
                  <w:sz w:val="14"/>
                  <w:szCs w:val="14"/>
                  <w:color w:val="0000EE"/>
                  <w:w w:val="73"/>
                </w:rPr>
                <w:t>Item</w:t>
              </w:r>
            </w:hyperlink>
          </w:p>
        </w:tc>
        <w:tc>
          <w:tcPr>
            <w:tcW w:w="4220" w:type="dxa"/>
            <w:vAlign w:val="bottom"/>
            <w:tcBorders>
              <w:bottom w:val="single" w:sz="8" w:color="0000EE"/>
            </w:tcBorders>
            <w:gridSpan w:val="15"/>
          </w:tcPr>
          <w:p>
            <w:pPr>
              <w:ind w:left="40"/>
              <w:spacing w:after="0" w:line="186" w:lineRule="exact"/>
              <w:rPr>
                <w:rFonts w:ascii="Arial" w:cs="Arial" w:eastAsia="Arial" w:hAnsi="Arial"/>
                <w:sz w:val="17"/>
                <w:szCs w:val="17"/>
                <w:color w:val="0000EE"/>
                <w:w w:val="91"/>
              </w:rPr>
            </w:pPr>
            <w:hyperlink w:anchor="page66">
              <w:r>
                <w:rPr>
                  <w:rFonts w:ascii="Arial" w:cs="Arial" w:eastAsia="Arial" w:hAnsi="Arial"/>
                  <w:sz w:val="17"/>
                  <w:szCs w:val="17"/>
                  <w:color w:val="0000EE"/>
                  <w:w w:val="91"/>
                </w:rPr>
                <w:t>10. Directors, Executive Officers and Corporate Governance</w:t>
              </w:r>
            </w:hyperlink>
          </w:p>
        </w:tc>
        <w:tc>
          <w:tcPr>
            <w:tcW w:w="4960" w:type="dxa"/>
            <w:vAlign w:val="bottom"/>
            <w:gridSpan w:val="7"/>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66</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rFonts w:ascii="Arial" w:cs="Arial" w:eastAsia="Arial" w:hAnsi="Arial"/>
                <w:sz w:val="14"/>
                <w:szCs w:val="14"/>
                <w:color w:val="0000EE"/>
                <w:w w:val="73"/>
              </w:rPr>
            </w:pPr>
            <w:hyperlink w:anchor="page66">
              <w:r>
                <w:rPr>
                  <w:rFonts w:ascii="Arial" w:cs="Arial" w:eastAsia="Arial" w:hAnsi="Arial"/>
                  <w:sz w:val="14"/>
                  <w:szCs w:val="14"/>
                  <w:color w:val="0000EE"/>
                  <w:w w:val="73"/>
                </w:rPr>
                <w:t>Item</w:t>
              </w:r>
            </w:hyperlink>
          </w:p>
        </w:tc>
        <w:tc>
          <w:tcPr>
            <w:tcW w:w="9180" w:type="dxa"/>
            <w:vAlign w:val="bottom"/>
            <w:gridSpan w:val="22"/>
          </w:tcPr>
          <w:p>
            <w:pPr>
              <w:ind w:left="40"/>
              <w:spacing w:after="0" w:line="186" w:lineRule="exact"/>
              <w:rPr>
                <w:rFonts w:ascii="Arial" w:cs="Arial" w:eastAsia="Arial" w:hAnsi="Arial"/>
                <w:sz w:val="17"/>
                <w:szCs w:val="17"/>
                <w:color w:val="0000EE"/>
              </w:rPr>
            </w:pPr>
            <w:hyperlink w:anchor="page66">
              <w:r>
                <w:rPr>
                  <w:rFonts w:ascii="Arial" w:cs="Arial" w:eastAsia="Arial" w:hAnsi="Arial"/>
                  <w:sz w:val="17"/>
                  <w:szCs w:val="17"/>
                  <w:color w:val="0000EE"/>
                </w:rPr>
                <w:t>11. Executive Compensation</w:t>
              </w:r>
            </w:hyperlink>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66</w:t>
            </w:r>
          </w:p>
        </w:tc>
      </w:tr>
      <w:tr>
        <w:trPr>
          <w:trHeight w:val="20"/>
        </w:trPr>
        <w:tc>
          <w:tcPr>
            <w:tcW w:w="3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rFonts w:ascii="Arial" w:cs="Arial" w:eastAsia="Arial" w:hAnsi="Arial"/>
                <w:sz w:val="14"/>
                <w:szCs w:val="14"/>
                <w:color w:val="0000EE"/>
                <w:w w:val="73"/>
              </w:rPr>
            </w:pPr>
            <w:hyperlink w:anchor="page66">
              <w:r>
                <w:rPr>
                  <w:rFonts w:ascii="Arial" w:cs="Arial" w:eastAsia="Arial" w:hAnsi="Arial"/>
                  <w:sz w:val="14"/>
                  <w:szCs w:val="14"/>
                  <w:color w:val="0000EE"/>
                  <w:w w:val="73"/>
                </w:rPr>
                <w:t>Item</w:t>
              </w:r>
            </w:hyperlink>
          </w:p>
        </w:tc>
        <w:tc>
          <w:tcPr>
            <w:tcW w:w="9180" w:type="dxa"/>
            <w:vAlign w:val="bottom"/>
            <w:gridSpan w:val="22"/>
          </w:tcPr>
          <w:p>
            <w:pPr>
              <w:ind w:left="40"/>
              <w:spacing w:after="0" w:line="186" w:lineRule="exact"/>
              <w:rPr>
                <w:rFonts w:ascii="Arial" w:cs="Arial" w:eastAsia="Arial" w:hAnsi="Arial"/>
                <w:sz w:val="17"/>
                <w:szCs w:val="17"/>
                <w:color w:val="0000EE"/>
              </w:rPr>
            </w:pPr>
            <w:hyperlink w:anchor="page66">
              <w:r>
                <w:rPr>
                  <w:rFonts w:ascii="Arial" w:cs="Arial" w:eastAsia="Arial" w:hAnsi="Arial"/>
                  <w:sz w:val="17"/>
                  <w:szCs w:val="17"/>
                  <w:color w:val="0000EE"/>
                </w:rPr>
                <w:t>12. Security Ownership of Certain Beneficial Owners and Management and Related Stockholder Matters</w:t>
              </w:r>
            </w:hyperlink>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66</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rPr>
                <w:rFonts w:ascii="Arial" w:cs="Arial" w:eastAsia="Arial" w:hAnsi="Arial"/>
                <w:sz w:val="14"/>
                <w:szCs w:val="14"/>
                <w:color w:val="0000EE"/>
                <w:w w:val="73"/>
              </w:rPr>
            </w:pPr>
            <w:hyperlink w:anchor="page66">
              <w:r>
                <w:rPr>
                  <w:rFonts w:ascii="Arial" w:cs="Arial" w:eastAsia="Arial" w:hAnsi="Arial"/>
                  <w:sz w:val="14"/>
                  <w:szCs w:val="14"/>
                  <w:color w:val="0000EE"/>
                  <w:w w:val="73"/>
                </w:rPr>
                <w:t>Item</w:t>
              </w:r>
            </w:hyperlink>
          </w:p>
        </w:tc>
        <w:tc>
          <w:tcPr>
            <w:tcW w:w="5520" w:type="dxa"/>
            <w:vAlign w:val="bottom"/>
            <w:tcBorders>
              <w:top w:val="single" w:sz="8" w:color="0000EE"/>
              <w:bottom w:val="single" w:sz="8" w:color="0000EE"/>
            </w:tcBorders>
            <w:gridSpan w:val="17"/>
          </w:tcPr>
          <w:p>
            <w:pPr>
              <w:ind w:left="40"/>
              <w:spacing w:after="0" w:line="186" w:lineRule="exact"/>
              <w:rPr>
                <w:rFonts w:ascii="Arial" w:cs="Arial" w:eastAsia="Arial" w:hAnsi="Arial"/>
                <w:sz w:val="17"/>
                <w:szCs w:val="17"/>
                <w:color w:val="0000EE"/>
                <w:w w:val="90"/>
              </w:rPr>
            </w:pPr>
            <w:hyperlink w:anchor="page66">
              <w:r>
                <w:rPr>
                  <w:rFonts w:ascii="Arial" w:cs="Arial" w:eastAsia="Arial" w:hAnsi="Arial"/>
                  <w:sz w:val="17"/>
                  <w:szCs w:val="17"/>
                  <w:color w:val="0000EE"/>
                  <w:w w:val="90"/>
                </w:rPr>
                <w:t>13. Certain Relationships and Related Transactions, and Director Independence</w:t>
              </w:r>
            </w:hyperlink>
          </w:p>
        </w:tc>
        <w:tc>
          <w:tcPr>
            <w:tcW w:w="1740" w:type="dxa"/>
            <w:vAlign w:val="bottom"/>
            <w:tcBorders>
              <w:top w:val="single" w:sz="8" w:color="0000EE"/>
            </w:tcBorders>
            <w:gridSpan w:val="3"/>
          </w:tcPr>
          <w:p>
            <w:pPr>
              <w:spacing w:after="0"/>
              <w:rPr>
                <w:sz w:val="16"/>
                <w:szCs w:val="16"/>
                <w:color w:val="auto"/>
              </w:rPr>
            </w:pPr>
          </w:p>
        </w:tc>
        <w:tc>
          <w:tcPr>
            <w:tcW w:w="1920" w:type="dxa"/>
            <w:vAlign w:val="bottom"/>
            <w:gridSpan w:val="2"/>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66</w:t>
            </w: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0000EE"/>
            </w:tcBorders>
          </w:tcPr>
          <w:p>
            <w:pPr>
              <w:spacing w:after="0"/>
              <w:rPr>
                <w:rFonts w:ascii="Arial" w:cs="Arial" w:eastAsia="Arial" w:hAnsi="Arial"/>
                <w:sz w:val="14"/>
                <w:szCs w:val="14"/>
                <w:color w:val="0000EE"/>
                <w:w w:val="73"/>
              </w:rPr>
            </w:pPr>
            <w:hyperlink w:anchor="page66">
              <w:r>
                <w:rPr>
                  <w:rFonts w:ascii="Arial" w:cs="Arial" w:eastAsia="Arial" w:hAnsi="Arial"/>
                  <w:sz w:val="14"/>
                  <w:szCs w:val="14"/>
                  <w:color w:val="0000EE"/>
                  <w:w w:val="73"/>
                </w:rPr>
                <w:t>Item</w:t>
              </w:r>
            </w:hyperlink>
          </w:p>
        </w:tc>
        <w:tc>
          <w:tcPr>
            <w:tcW w:w="3040" w:type="dxa"/>
            <w:vAlign w:val="bottom"/>
            <w:tcBorders>
              <w:bottom w:val="single" w:sz="8" w:color="0000EE"/>
            </w:tcBorders>
            <w:gridSpan w:val="12"/>
          </w:tcPr>
          <w:p>
            <w:pPr>
              <w:ind w:left="40"/>
              <w:spacing w:after="0" w:line="186" w:lineRule="exact"/>
              <w:rPr>
                <w:rFonts w:ascii="Arial" w:cs="Arial" w:eastAsia="Arial" w:hAnsi="Arial"/>
                <w:sz w:val="17"/>
                <w:szCs w:val="17"/>
                <w:color w:val="0000EE"/>
                <w:w w:val="90"/>
              </w:rPr>
            </w:pPr>
            <w:hyperlink w:anchor="page66">
              <w:r>
                <w:rPr>
                  <w:rFonts w:ascii="Arial" w:cs="Arial" w:eastAsia="Arial" w:hAnsi="Arial"/>
                  <w:sz w:val="17"/>
                  <w:szCs w:val="17"/>
                  <w:color w:val="0000EE"/>
                  <w:w w:val="90"/>
                </w:rPr>
                <w:t>14. Principal Accountant Fees and Services</w:t>
              </w:r>
            </w:hyperlink>
          </w:p>
        </w:tc>
        <w:tc>
          <w:tcPr>
            <w:tcW w:w="6140" w:type="dxa"/>
            <w:vAlign w:val="bottom"/>
            <w:gridSpan w:val="10"/>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66</w:t>
            </w:r>
          </w:p>
        </w:tc>
      </w:tr>
      <w:tr>
        <w:trPr>
          <w:trHeight w:val="186"/>
        </w:trPr>
        <w:tc>
          <w:tcPr>
            <w:tcW w:w="720" w:type="dxa"/>
            <w:vAlign w:val="bottom"/>
            <w:gridSpan w:val="3"/>
          </w:tcPr>
          <w:p>
            <w:pPr>
              <w:spacing w:after="0" w:line="186" w:lineRule="exact"/>
              <w:rPr>
                <w:rFonts w:ascii="Arial" w:cs="Arial" w:eastAsia="Arial" w:hAnsi="Arial"/>
                <w:sz w:val="17"/>
                <w:szCs w:val="17"/>
                <w:color w:val="0000EE"/>
              </w:rPr>
            </w:pPr>
            <w:hyperlink w:anchor="page67">
              <w:r>
                <w:rPr>
                  <w:rFonts w:ascii="Arial" w:cs="Arial" w:eastAsia="Arial" w:hAnsi="Arial"/>
                  <w:sz w:val="17"/>
                  <w:szCs w:val="17"/>
                  <w:color w:val="0000EE"/>
                </w:rPr>
                <w:t>Part IV</w:t>
              </w:r>
            </w:hyperlink>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67</w:t>
            </w:r>
          </w:p>
        </w:tc>
      </w:tr>
      <w:tr>
        <w:trPr>
          <w:trHeight w:val="20"/>
        </w:trPr>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13"/>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6"/>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rFonts w:ascii="Arial" w:cs="Arial" w:eastAsia="Arial" w:hAnsi="Arial"/>
                <w:sz w:val="14"/>
                <w:szCs w:val="14"/>
                <w:color w:val="0000EE"/>
                <w:w w:val="73"/>
              </w:rPr>
            </w:pPr>
            <w:hyperlink w:anchor="page67">
              <w:r>
                <w:rPr>
                  <w:rFonts w:ascii="Arial" w:cs="Arial" w:eastAsia="Arial" w:hAnsi="Arial"/>
                  <w:sz w:val="14"/>
                  <w:szCs w:val="14"/>
                  <w:color w:val="0000EE"/>
                  <w:w w:val="73"/>
                </w:rPr>
                <w:t>Item</w:t>
              </w:r>
            </w:hyperlink>
          </w:p>
        </w:tc>
        <w:tc>
          <w:tcPr>
            <w:tcW w:w="9180" w:type="dxa"/>
            <w:vAlign w:val="bottom"/>
            <w:gridSpan w:val="22"/>
          </w:tcPr>
          <w:p>
            <w:pPr>
              <w:ind w:left="40"/>
              <w:spacing w:after="0" w:line="186" w:lineRule="exact"/>
              <w:rPr>
                <w:rFonts w:ascii="Arial" w:cs="Arial" w:eastAsia="Arial" w:hAnsi="Arial"/>
                <w:sz w:val="17"/>
                <w:szCs w:val="17"/>
                <w:color w:val="0000EE"/>
              </w:rPr>
            </w:pPr>
            <w:hyperlink w:anchor="page67">
              <w:r>
                <w:rPr>
                  <w:rFonts w:ascii="Arial" w:cs="Arial" w:eastAsia="Arial" w:hAnsi="Arial"/>
                  <w:sz w:val="17"/>
                  <w:szCs w:val="17"/>
                  <w:color w:val="0000EE"/>
                </w:rPr>
                <w:t>15. Exhibits and Financial Statement Schedules</w:t>
              </w:r>
            </w:hyperlink>
          </w:p>
        </w:tc>
        <w:tc>
          <w:tcPr>
            <w:tcW w:w="1440" w:type="dxa"/>
            <w:vAlign w:val="bottom"/>
          </w:tcPr>
          <w:p>
            <w:pPr>
              <w:jc w:val="center"/>
              <w:ind w:left="855"/>
              <w:spacing w:after="0" w:line="186" w:lineRule="exact"/>
              <w:rPr>
                <w:sz w:val="20"/>
                <w:szCs w:val="20"/>
                <w:color w:val="auto"/>
              </w:rPr>
            </w:pPr>
            <w:r>
              <w:rPr>
                <w:rFonts w:ascii="Arial" w:cs="Arial" w:eastAsia="Arial" w:hAnsi="Arial"/>
                <w:sz w:val="17"/>
                <w:szCs w:val="17"/>
                <w:color w:val="auto"/>
                <w:w w:val="94"/>
              </w:rPr>
              <w:t>67</w:t>
            </w:r>
          </w:p>
        </w:tc>
      </w:tr>
      <w:tr>
        <w:trPr>
          <w:trHeight w:val="20"/>
        </w:trPr>
        <w:tc>
          <w:tcPr>
            <w:tcW w:w="500" w:type="dxa"/>
            <w:vAlign w:val="bottom"/>
            <w:tcBorders>
              <w:right w:val="single" w:sz="8" w:color="0000EE"/>
            </w:tcBorders>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93"/>
        </w:trPr>
        <w:tc>
          <w:tcPr>
            <w:tcW w:w="720" w:type="dxa"/>
            <w:vAlign w:val="bottom"/>
            <w:tcBorders>
              <w:bottom w:val="single" w:sz="8" w:color="0000EE"/>
            </w:tcBorders>
            <w:gridSpan w:val="3"/>
          </w:tcPr>
          <w:p>
            <w:pPr>
              <w:spacing w:after="0"/>
              <w:rPr>
                <w:rFonts w:ascii="Arial" w:cs="Arial" w:eastAsia="Arial" w:hAnsi="Arial"/>
                <w:sz w:val="17"/>
                <w:szCs w:val="17"/>
                <w:color w:val="0000EE"/>
                <w:w w:val="86"/>
              </w:rPr>
            </w:pPr>
            <w:hyperlink w:anchor="page70">
              <w:r>
                <w:rPr>
                  <w:rFonts w:ascii="Arial" w:cs="Arial" w:eastAsia="Arial" w:hAnsi="Arial"/>
                  <w:sz w:val="17"/>
                  <w:szCs w:val="17"/>
                  <w:color w:val="0000EE"/>
                  <w:w w:val="86"/>
                </w:rPr>
                <w:t>Signatures</w:t>
              </w:r>
            </w:hyperlink>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jc w:val="center"/>
              <w:ind w:left="855"/>
              <w:spacing w:after="0"/>
              <w:rPr>
                <w:sz w:val="20"/>
                <w:szCs w:val="20"/>
                <w:color w:val="auto"/>
              </w:rPr>
            </w:pPr>
            <w:r>
              <w:rPr>
                <w:rFonts w:ascii="Arial" w:cs="Arial" w:eastAsia="Arial" w:hAnsi="Arial"/>
                <w:sz w:val="17"/>
                <w:szCs w:val="17"/>
                <w:color w:val="auto"/>
                <w:w w:val="94"/>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7"/>
          <w:szCs w:val="17"/>
          <w:b w:val="1"/>
          <w:bCs w:val="1"/>
          <w:color w:val="auto"/>
        </w:rPr>
        <w:t>PART I</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3" w:lineRule="exact"/>
        <w:rPr>
          <w:sz w:val="20"/>
          <w:szCs w:val="20"/>
          <w:color w:val="auto"/>
        </w:rPr>
      </w:pPr>
    </w:p>
    <w:p>
      <w:pPr>
        <w:ind w:firstLine="555"/>
        <w:spacing w:after="0" w:line="207" w:lineRule="exact"/>
        <w:rPr>
          <w:sz w:val="20"/>
          <w:szCs w:val="20"/>
          <w:color w:val="auto"/>
        </w:rPr>
      </w:pPr>
      <w:r>
        <w:rPr>
          <w:rFonts w:ascii="Arial" w:cs="Arial" w:eastAsia="Arial" w:hAnsi="Arial"/>
          <w:sz w:val="17"/>
          <w:szCs w:val="17"/>
          <w:i w:val="1"/>
          <w:iCs w:val="1"/>
          <w:color w:val="auto"/>
        </w:rPr>
        <w:t>This Annual Report on Form 10-K contains certain forward-looking statements within the meaning of Section 27A of the Securities Act of 1933, as amended, and Section 21E of the Securities Exchange Act of 1934, as amended. These statements are based on management’s beliefs and assumptions and on information currently available to management. These statements include statements concerning future demand and order levels for the Company's products, future operating expenses, changes in personnel, product development and intellectual property related matters, the adoption and effect of Company products on its results, the markets in which the Company operates, usage and efficacy of the Company's products, the Company’s future financial results, and the Company's strategic plans and objectives. In some cases, forward-looking statements can be identified by terminology, such as “may,” “will,” “should,” “expects,” “plans,” “anticipates,” “believes,” “estimates,” “predicts,” “intends,” “potential,” “continue,” or the negative of such terms or other comparable terminology, although not all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contain these words.</w:t>
      </w:r>
    </w:p>
    <w:p>
      <w:pPr>
        <w:spacing w:after="0" w:line="98" w:lineRule="exact"/>
        <w:rPr>
          <w:sz w:val="20"/>
          <w:szCs w:val="20"/>
          <w:color w:val="auto"/>
        </w:rPr>
      </w:pPr>
    </w:p>
    <w:p>
      <w:pPr>
        <w:ind w:right="60" w:firstLine="555"/>
        <w:spacing w:after="0" w:line="258" w:lineRule="auto"/>
        <w:rPr>
          <w:sz w:val="20"/>
          <w:szCs w:val="20"/>
          <w:color w:val="auto"/>
        </w:rPr>
      </w:pPr>
      <w:r>
        <w:rPr>
          <w:rFonts w:ascii="Arial" w:cs="Arial" w:eastAsia="Arial" w:hAnsi="Arial"/>
          <w:sz w:val="17"/>
          <w:szCs w:val="17"/>
          <w:i w:val="1"/>
          <w:iCs w:val="1"/>
          <w:color w:val="auto"/>
        </w:rPr>
        <w:t>These statements involve known and unknown risks, uncertainties and other factors which may cause our actual results, performance or achievements to differ materially from those expressed or implied by such forward-looking statements. The reader is strongly urged to read the information contained under the captions “Item 1A. Risk Factors - Factors That May Affect Future Results” in this Annual Report on Form 10-K for a more detailed description of these significant risks and uncertainties. The reader is cautioned not to place undue reliance on these forward-looking statements, which reflect management’s analysis only as of the date of this Annual Report on Form 10-K. We undertake no obligation to update such forward-looking statements to reflect events or circumstances occurring after the date of this report.</w:t>
      </w:r>
    </w:p>
    <w:p>
      <w:pPr>
        <w:spacing w:after="0" w:line="80"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i w:val="1"/>
          <w:iCs w:val="1"/>
          <w:color w:val="auto"/>
        </w:rPr>
        <w:t>As used in this Annual Report on Form 10-K, the terms “Company,” “IRIDEX,” “we,” “us” and “our” refer to IRIDEX Corporation, and its consolidated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right="140" w:firstLine="555"/>
        <w:spacing w:after="0" w:line="283"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laser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laser consoles consist of the following product lines:</w:t>
      </w:r>
    </w:p>
    <w:p>
      <w:pPr>
        <w:spacing w:after="0" w:line="108" w:lineRule="exact"/>
        <w:rPr>
          <w:sz w:val="20"/>
          <w:szCs w:val="20"/>
          <w:color w:val="auto"/>
        </w:rPr>
      </w:pPr>
    </w:p>
    <w:p>
      <w:pPr>
        <w:ind w:left="1120" w:hanging="563"/>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Glaucoma </w:t>
      </w:r>
      <w:r>
        <w:rPr>
          <w:rFonts w:ascii="Arial" w:cs="Arial" w:eastAsia="Arial" w:hAnsi="Arial"/>
          <w:sz w:val="17"/>
          <w:szCs w:val="17"/>
          <w:color w:val="auto"/>
        </w:rPr>
        <w:t>– This product line includes our Cyclo G6 laser system used for the treatment of glaucoma;</w:t>
      </w:r>
    </w:p>
    <w:p>
      <w:pPr>
        <w:spacing w:after="0" w:line="113" w:lineRule="exact"/>
        <w:rPr>
          <w:rFonts w:ascii="Arial" w:cs="Arial" w:eastAsia="Arial" w:hAnsi="Arial"/>
          <w:sz w:val="17"/>
          <w:szCs w:val="17"/>
          <w:color w:val="auto"/>
        </w:rPr>
      </w:pPr>
    </w:p>
    <w:p>
      <w:pPr>
        <w:ind w:left="1120" w:right="80" w:hanging="563"/>
        <w:spacing w:after="0" w:line="287"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Medical Retina </w:t>
      </w:r>
      <w:r>
        <w:rPr>
          <w:rFonts w:ascii="Arial" w:cs="Arial" w:eastAsia="Arial" w:hAnsi="Arial"/>
          <w:sz w:val="17"/>
          <w:szCs w:val="17"/>
          <w:color w:val="auto"/>
        </w:rPr>
        <w:t>– Our medical retina product line includes our IQ 532 and IQ 577 laser photocoagulation systems, which are used for the treatment</w:t>
      </w:r>
      <w:r>
        <w:rPr>
          <w:rFonts w:ascii="Arial" w:cs="Arial" w:eastAsia="Arial" w:hAnsi="Arial"/>
          <w:sz w:val="17"/>
          <w:szCs w:val="17"/>
          <w:b w:val="1"/>
          <w:bCs w:val="1"/>
          <w:color w:val="auto"/>
        </w:rPr>
        <w:t xml:space="preserve"> </w:t>
      </w:r>
      <w:r>
        <w:rPr>
          <w:rFonts w:ascii="Arial" w:cs="Arial" w:eastAsia="Arial" w:hAnsi="Arial"/>
          <w:sz w:val="17"/>
          <w:szCs w:val="17"/>
          <w:color w:val="auto"/>
        </w:rPr>
        <w:t>of diabetic macular edema and other retinal diseases; and</w:t>
      </w:r>
    </w:p>
    <w:p>
      <w:pPr>
        <w:spacing w:after="0" w:line="48" w:lineRule="exact"/>
        <w:rPr>
          <w:rFonts w:ascii="Arial" w:cs="Arial" w:eastAsia="Arial" w:hAnsi="Arial"/>
          <w:sz w:val="17"/>
          <w:szCs w:val="17"/>
          <w:color w:val="auto"/>
        </w:rPr>
      </w:pPr>
    </w:p>
    <w:p>
      <w:pPr>
        <w:jc w:val="both"/>
        <w:ind w:left="1120" w:right="240" w:hanging="563"/>
        <w:spacing w:after="0" w:line="270"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Surgical Retina </w:t>
      </w:r>
      <w:r>
        <w:rPr>
          <w:rFonts w:ascii="Arial" w:cs="Arial" w:eastAsia="Arial" w:hAnsi="Arial"/>
          <w:sz w:val="17"/>
          <w:szCs w:val="17"/>
          <w:color w:val="auto"/>
        </w:rPr>
        <w:t>– Our surgical retina line of products includes our OcuLight TX, OcuLight SL, OcuLight SLx, OcuLight GL and OcuLight GLx</w:t>
      </w:r>
      <w:r>
        <w:rPr>
          <w:rFonts w:ascii="Arial" w:cs="Arial" w:eastAsia="Arial" w:hAnsi="Arial"/>
          <w:sz w:val="17"/>
          <w:szCs w:val="17"/>
          <w:b w:val="1"/>
          <w:bCs w:val="1"/>
          <w:color w:val="auto"/>
        </w:rPr>
        <w:t xml:space="preserve"> </w:t>
      </w:r>
      <w:r>
        <w:rPr>
          <w:rFonts w:ascii="Arial" w:cs="Arial" w:eastAsia="Arial" w:hAnsi="Arial"/>
          <w:sz w:val="17"/>
          <w:szCs w:val="17"/>
          <w:color w:val="auto"/>
        </w:rPr>
        <w:t>laser photocoagulation systems. These systems are often used in vitrectomy procedures, which are used to treat proliferative diabetic retinopathy, macular holes, retinal tears and detachments.</w:t>
      </w:r>
    </w:p>
    <w:p>
      <w:pPr>
        <w:spacing w:after="0" w:line="68"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31" w:lineRule="exact"/>
        <w:rPr>
          <w:sz w:val="20"/>
          <w:szCs w:val="20"/>
          <w:color w:val="auto"/>
        </w:rPr>
      </w:pPr>
    </w:p>
    <w:p>
      <w:pPr>
        <w:ind w:left="1120" w:hanging="563"/>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Glaucoma </w:t>
      </w:r>
      <w:r>
        <w:rPr>
          <w:rFonts w:ascii="Arial" w:cs="Arial" w:eastAsia="Arial" w:hAnsi="Arial"/>
          <w:sz w:val="17"/>
          <w:szCs w:val="17"/>
          <w:color w:val="auto"/>
        </w:rPr>
        <w:t>– Probes used in our glaucoma product line include our patented MicroPulse P3 (“MP3”) probe and G-Probe; and</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Surgical Retina </w:t>
      </w:r>
      <w:r>
        <w:rPr>
          <w:rFonts w:ascii="Arial" w:cs="Arial" w:eastAsia="Arial" w:hAnsi="Arial"/>
          <w:sz w:val="17"/>
          <w:szCs w:val="17"/>
          <w:color w:val="auto"/>
        </w:rPr>
        <w:t>– Our surgical retina probes include our EndoProbe family of products used in vitrectomy procedures.</w:t>
      </w:r>
    </w:p>
    <w:p>
      <w:pPr>
        <w:spacing w:after="0" w:line="120" w:lineRule="exact"/>
        <w:rPr>
          <w:sz w:val="20"/>
          <w:szCs w:val="20"/>
          <w:color w:val="auto"/>
        </w:rPr>
      </w:pPr>
    </w:p>
    <w:p>
      <w:pPr>
        <w:jc w:val="both"/>
        <w:ind w:right="40" w:firstLine="555"/>
        <w:spacing w:after="0" w:line="266" w:lineRule="auto"/>
        <w:rPr>
          <w:sz w:val="20"/>
          <w:szCs w:val="20"/>
          <w:color w:val="auto"/>
        </w:rPr>
      </w:pPr>
      <w:r>
        <w:rPr>
          <w:rFonts w:ascii="Arial" w:cs="Arial" w:eastAsia="Arial" w:hAnsi="Arial"/>
          <w:sz w:val="17"/>
          <w:szCs w:val="17"/>
          <w:color w:val="auto"/>
        </w:rPr>
        <w:t>Ophthalmologists typically use our laser systems in hospital operating rooms (“ORs”) and ambulatory surgical centers (“ASCs”), as well as their offices and clinics. In the ORs and ASCs, ophthalmologists use our laser systems with either an indirect laser ophthalmoscope or a consumable, single use MP3 probe, G-Probe or EndoProbe.</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 w:name="page5"/>
    <w:bookmarkEnd w:id="4"/>
    <w:p>
      <w:pPr>
        <w:ind w:right="280" w:firstLine="555"/>
        <w:spacing w:after="0" w:line="282" w:lineRule="auto"/>
        <w:rPr>
          <w:sz w:val="20"/>
          <w:szCs w:val="20"/>
          <w:color w:val="auto"/>
        </w:rPr>
      </w:pPr>
      <w:r>
        <w:rPr>
          <w:rFonts w:ascii="Arial" w:cs="Arial" w:eastAsia="Arial" w:hAnsi="Arial"/>
          <w:sz w:val="17"/>
          <w:szCs w:val="17"/>
          <w:color w:val="auto"/>
        </w:rPr>
        <w:t>Our products are sold in the United States and Germany predominantly through a direct sales force and internationally primarily through independent distributors. In 2017, we established direct sales capabilities in Germany. Total revenues in 2018 and 2017 were $42.6 million and $41.6 million, respectively. We generated net losses of $12.8 million and $12.9 million in 2018 and 2017, respectively.</w:t>
      </w:r>
    </w:p>
    <w:p>
      <w:pPr>
        <w:spacing w:after="0" w:line="59" w:lineRule="exact"/>
        <w:rPr>
          <w:sz w:val="20"/>
          <w:szCs w:val="20"/>
          <w:color w:val="auto"/>
        </w:rPr>
      </w:pPr>
    </w:p>
    <w:p>
      <w:pPr>
        <w:ind w:right="80" w:firstLine="555"/>
        <w:spacing w:after="0" w:line="262" w:lineRule="auto"/>
        <w:rPr>
          <w:sz w:val="20"/>
          <w:szCs w:val="20"/>
          <w:color w:val="auto"/>
        </w:rPr>
      </w:pPr>
      <w:r>
        <w:rPr>
          <w:rFonts w:ascii="Arial" w:cs="Arial" w:eastAsia="Arial" w:hAnsi="Arial"/>
          <w:sz w:val="17"/>
          <w:szCs w:val="17"/>
          <w:color w:val="auto"/>
        </w:rPr>
        <w:t>IRIDEX Corporation was incorporated in California in February 1989 as IRIS Medical Instruments, Inc. In January 1996, we changed our name to IRIDEX Corporation and reincorporated in Delaware. Our executive offices are located at 1212 Terra Bella Avenue, Mountain View, California 94043-1824, and our telephone number is (650) 940-4700. We can also be reached at our website at www.IRIDEX.com, however, the information on, or that can be accessed through, our website is not part of this report.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 Opportunity</w:t>
      </w:r>
    </w:p>
    <w:p>
      <w:pPr>
        <w:spacing w:after="0" w:line="120"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color w:val="auto"/>
        </w:rPr>
        <w:t>Ophthalmology is a large and growing global market that is driven by the aging world population and the onset of chronic diseases. We currently target the glaucoma and retina disease markets.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Glaucoma</w:t>
      </w:r>
    </w:p>
    <w:p>
      <w:pPr>
        <w:spacing w:after="0" w:line="114" w:lineRule="exact"/>
        <w:rPr>
          <w:sz w:val="20"/>
          <w:szCs w:val="20"/>
          <w:color w:val="auto"/>
        </w:rPr>
      </w:pPr>
    </w:p>
    <w:p>
      <w:pPr>
        <w:ind w:right="120" w:firstLine="555"/>
        <w:spacing w:after="0" w:line="257" w:lineRule="auto"/>
        <w:rPr>
          <w:sz w:val="20"/>
          <w:szCs w:val="20"/>
          <w:color w:val="auto"/>
        </w:rPr>
      </w:pPr>
      <w:r>
        <w:rPr>
          <w:rFonts w:ascii="Arial" w:cs="Arial" w:eastAsia="Arial" w:hAnsi="Arial"/>
          <w:sz w:val="17"/>
          <w:szCs w:val="17"/>
          <w:color w:val="auto"/>
        </w:rPr>
        <w:t>Glaucoma is a leading cause of blindness in the world. Glaucoma is a progressive, chronic disease and vision loss resulting from glaucoma currently cannot be regained. According to Market Scope, more than 80 million people worldwide have glaucoma, while only about 30% of those patients have been diagnosed as having it. Glaucoma is most commonly associated with elevated levels of pressure within the eye, or intraocular pressure (“IOP”). Elevated IOP often occurs when aqueous humor, the thin watery fluid that fills the front of the eye, is not circulating normally and draining properly. Currently, reducing IOP is the only proven treatment for glaucoma with treatments primarily focused on improving the flow of aqueous humor through the eye’s trabecular meshwork and uveoscleral outflow pathways. Global sales of products used to diagnose and treat glaucoma are expected to total $5.8 billion in 2018, according to Market Scope’s 2018 Global Glaucoma Surgical Device Market.</w:t>
      </w:r>
    </w:p>
    <w:p>
      <w:pPr>
        <w:spacing w:after="0" w:line="82" w:lineRule="exact"/>
        <w:rPr>
          <w:sz w:val="20"/>
          <w:szCs w:val="20"/>
          <w:color w:val="auto"/>
        </w:rPr>
      </w:pPr>
    </w:p>
    <w:p>
      <w:pPr>
        <w:ind w:right="120" w:firstLine="555"/>
        <w:spacing w:after="0" w:line="258" w:lineRule="auto"/>
        <w:rPr>
          <w:sz w:val="20"/>
          <w:szCs w:val="20"/>
          <w:color w:val="auto"/>
        </w:rPr>
      </w:pPr>
      <w:r>
        <w:rPr>
          <w:rFonts w:ascii="Arial" w:cs="Arial" w:eastAsia="Arial" w:hAnsi="Arial"/>
          <w:sz w:val="17"/>
          <w:szCs w:val="17"/>
          <w:color w:val="auto"/>
        </w:rPr>
        <w:t>Pharmaceutical products represent a majority of this revenue estimate but have significant shortcomings. Pharmaceuticals are typically the first treatment method prescribed for glaucoma. These pharmaceutical treatments are commonly self-administered in drop form by the patients. Patients often have difficulties applying the pharmaceutical drops properly and may fail to appropriately or timely apply the medication, which may significantly reduce the effectiveness of the pharmaceutical. This poor adherence to and lack of persistence with glaucoma medication regimens have been documented in numerous independent studies, which often place the incidence of patient noncompliance up to or above 50%, particularly in patients on two or more prescription eye drops. Even when administered correctly, pharmaceuticals have demonstrated reduced efficacy over time.</w:t>
      </w:r>
    </w:p>
    <w:p>
      <w:pPr>
        <w:spacing w:after="0" w:line="80" w:lineRule="exact"/>
        <w:rPr>
          <w:sz w:val="20"/>
          <w:szCs w:val="20"/>
          <w:color w:val="auto"/>
        </w:rPr>
      </w:pPr>
    </w:p>
    <w:p>
      <w:pPr>
        <w:ind w:right="60" w:firstLine="555"/>
        <w:spacing w:after="0" w:line="262" w:lineRule="auto"/>
        <w:rPr>
          <w:sz w:val="20"/>
          <w:szCs w:val="20"/>
          <w:color w:val="auto"/>
        </w:rPr>
      </w:pPr>
      <w:r>
        <w:rPr>
          <w:rFonts w:ascii="Arial" w:cs="Arial" w:eastAsia="Arial" w:hAnsi="Arial"/>
          <w:sz w:val="17"/>
          <w:szCs w:val="17"/>
          <w:color w:val="auto"/>
        </w:rPr>
        <w:t>When pharmaceuticals lose their effectiveness, appropriate treatment options are determined based on the progression and severity of the disease and include traditional laser therapy (e.g. selective laser trabeculoplasty (“SLT”), minimally invasive stents/shunts (e.g. MIGS), and open surgery (e.g. trabeculectomy)). These treatment alternatives also have significant shortcomings due to treatment effects that dissipate over time, repeat procedures that are less effective or not clinically advised, limited indications of use, and significant complication risks.</w:t>
      </w:r>
    </w:p>
    <w:p>
      <w:pPr>
        <w:spacing w:after="0" w:line="75" w:lineRule="exact"/>
        <w:rPr>
          <w:sz w:val="20"/>
          <w:szCs w:val="20"/>
          <w:color w:val="auto"/>
        </w:rPr>
      </w:pPr>
    </w:p>
    <w:p>
      <w:pPr>
        <w:ind w:right="480" w:firstLine="555"/>
        <w:spacing w:after="0" w:line="279" w:lineRule="auto"/>
        <w:rPr>
          <w:sz w:val="20"/>
          <w:szCs w:val="20"/>
          <w:color w:val="auto"/>
        </w:rPr>
      </w:pPr>
      <w:r>
        <w:rPr>
          <w:rFonts w:ascii="Arial" w:cs="Arial" w:eastAsia="Arial" w:hAnsi="Arial"/>
          <w:sz w:val="17"/>
          <w:szCs w:val="17"/>
          <w:color w:val="auto"/>
        </w:rPr>
        <w:t>We believe that because of the limitations of these traditional treatment alternatives, a clear unmet medical need exists in the management of glaucoma patients.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Medical Retina</w:t>
      </w:r>
    </w:p>
    <w:p>
      <w:pPr>
        <w:spacing w:after="0" w:line="114" w:lineRule="exact"/>
        <w:rPr>
          <w:sz w:val="20"/>
          <w:szCs w:val="20"/>
          <w:color w:val="auto"/>
        </w:rPr>
      </w:pPr>
    </w:p>
    <w:p>
      <w:pPr>
        <w:ind w:firstLine="555"/>
        <w:spacing w:after="0" w:line="273" w:lineRule="auto"/>
        <w:rPr>
          <w:sz w:val="20"/>
          <w:szCs w:val="20"/>
          <w:color w:val="auto"/>
        </w:rPr>
      </w:pPr>
      <w:r>
        <w:rPr>
          <w:rFonts w:ascii="Arial" w:cs="Arial" w:eastAsia="Arial" w:hAnsi="Arial"/>
          <w:sz w:val="16"/>
          <w:szCs w:val="16"/>
          <w:color w:val="auto"/>
        </w:rPr>
        <w:t>Per Market Scope estimates in 2016, global sales of retinal surgical products will increase to $2.7 billion in 2021. Our medical retina business focuses on the treatment of diabetic macular edema (“DME”) which is part of a broader disease state called diabetic retinopathy. Diabetic retinopathy is a common complication of diabetes which impairs vision over time and, if left untreated, can lead to blindness. An estimated 285 million people worldwide had diabetes in 2010, according to the International Diabetes Federation. The federation predicts as many as 438 million will have diabetes globally by 2030. Previous clinical publications, such as an article cited at the U.S. National Institutes of Health’s National Library of Medicine, indicated 28.5% of diabetic patients can develop some form of diabetic retinopathy. Traditional laser photocoagulation and a regimen of injected pharmaceuticals are currently the standard treatment for this disease and are associated with significant shortcomings. Traditional laser photocoagulation can stabilize the patient’s vision over the long term but presents a risk of varying degrees of vision loss to the patient. Pharmaceuticals can stabilize vision in the near term but require repeated injections. The injections are painful and the patients may experience side effects including increased risk of eye infections. Furthermore, a regimen of repeated pharmaceutical injections is very costly to the physician and patient, in terms of time, and to the healthcare system, in terms of dollars spent on treatment.</w:t>
      </w:r>
    </w:p>
    <w:p>
      <w:pPr>
        <w:spacing w:after="0" w:line="73"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The shortcomings in treating retinal diseases have led to a renewed interest in alternative approaches that may provide better or comparable patient outcomes at lower costs.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Our Solution</w:t>
      </w:r>
    </w:p>
    <w:p>
      <w:pPr>
        <w:spacing w:after="0" w:line="120" w:lineRule="exact"/>
        <w:rPr>
          <w:sz w:val="20"/>
          <w:szCs w:val="20"/>
          <w:color w:val="auto"/>
        </w:rPr>
      </w:pPr>
    </w:p>
    <w:p>
      <w:pPr>
        <w:ind w:right="80" w:firstLine="555"/>
        <w:spacing w:after="0" w:line="262" w:lineRule="auto"/>
        <w:rPr>
          <w:sz w:val="20"/>
          <w:szCs w:val="20"/>
          <w:color w:val="auto"/>
        </w:rPr>
      </w:pPr>
      <w:r>
        <w:rPr>
          <w:rFonts w:ascii="Arial" w:cs="Arial" w:eastAsia="Arial" w:hAnsi="Arial"/>
          <w:sz w:val="17"/>
          <w:szCs w:val="17"/>
          <w:color w:val="auto"/>
        </w:rPr>
        <w:t>Our traditional laser technology was developed to perform laser photocoagulation by using a mode that delivers continuously-on laser light, which is referred to as continuous wave (“CW”) mode. Laser photocoagulation generates a local healing response and has been demonstrated to be a safe and effective therapy with long-term benefits for certain ophthalmic procedures. However, use of the CW mode typically leads to local tissue damage and can cause loss of visual function, which limits the applications of the technology.</w:t>
      </w:r>
    </w:p>
    <w:p>
      <w:pPr>
        <w:spacing w:after="0" w:line="75" w:lineRule="exact"/>
        <w:rPr>
          <w:sz w:val="20"/>
          <w:szCs w:val="20"/>
          <w:color w:val="auto"/>
        </w:rPr>
      </w:pPr>
    </w:p>
    <w:p>
      <w:pPr>
        <w:ind w:right="220" w:firstLine="555"/>
        <w:spacing w:after="0" w:line="279" w:lineRule="auto"/>
        <w:rPr>
          <w:sz w:val="20"/>
          <w:szCs w:val="20"/>
          <w:color w:val="auto"/>
        </w:rPr>
      </w:pPr>
      <w:r>
        <w:rPr>
          <w:rFonts w:ascii="Arial" w:cs="Arial" w:eastAsia="Arial" w:hAnsi="Arial"/>
          <w:sz w:val="16"/>
          <w:szCs w:val="16"/>
          <w:color w:val="auto"/>
        </w:rPr>
        <w:t>We developed our proprietary MicroPulse technology with the goal of harnessing the clinical benefits of CW mode while minimizing the associated tissue damage. MicroPulse is a method of delivering laser energy using a mode which chops the CW beam into short, microsecond long laser pulses. The laser pulses are intended to generate the desired therapeutic response while the time in between laser pulses is believed to enable the tissue to cool and thereby minimize tissue damage. This is analogous to holding one’s hand continuously over a candle versus waving it back and forth. When held continuously, the candle would cause burning and scar tissue. However, when exposed intermittently the candle only heats the tissue without burning.</w:t>
      </w:r>
    </w:p>
    <w:p>
      <w:pPr>
        <w:spacing w:after="0" w:line="65" w:lineRule="exact"/>
        <w:rPr>
          <w:sz w:val="20"/>
          <w:szCs w:val="20"/>
          <w:color w:val="auto"/>
        </w:rPr>
      </w:pPr>
    </w:p>
    <w:p>
      <w:pPr>
        <w:ind w:right="120" w:firstLine="555"/>
        <w:spacing w:after="0" w:line="266" w:lineRule="auto"/>
        <w:rPr>
          <w:sz w:val="20"/>
          <w:szCs w:val="20"/>
          <w:color w:val="auto"/>
        </w:rPr>
      </w:pPr>
      <w:r>
        <w:rPr>
          <w:rFonts w:ascii="Arial" w:cs="Arial" w:eastAsia="Arial" w:hAnsi="Arial"/>
          <w:sz w:val="17"/>
          <w:szCs w:val="17"/>
          <w:color w:val="auto"/>
        </w:rPr>
        <w:t>There is a growing body of clinical evidence that has been published over the past 10 years that demonstrates that MicroPulse therapy is clinically effective with limited tissue damage for the treatment of glaucoma and retinal diseases. Currently, we have developed three applications of our MicroPulse technology for the treatment of eye diseases: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b w:val="1"/>
                <w:bCs w:val="1"/>
                <w:color w:val="auto"/>
              </w:rPr>
              <w:t>MicroPulse Applications</w:t>
            </w:r>
          </w:p>
        </w:tc>
        <w:tc>
          <w:tcPr>
            <w:tcW w:w="77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Description</w:t>
            </w:r>
          </w:p>
        </w:tc>
        <w:tc>
          <w:tcPr>
            <w:tcW w:w="20" w:type="dxa"/>
            <w:vAlign w:val="bottom"/>
          </w:tcPr>
          <w:p>
            <w:pPr>
              <w:spacing w:after="0"/>
              <w:rPr>
                <w:sz w:val="24"/>
                <w:szCs w:val="24"/>
                <w:color w:val="auto"/>
              </w:rPr>
            </w:pPr>
          </w:p>
        </w:tc>
      </w:tr>
      <w:tr>
        <w:trPr>
          <w:trHeight w:val="291"/>
        </w:trPr>
        <w:tc>
          <w:tcPr>
            <w:tcW w:w="3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Glaucoma – uveoscleral outflow</w:t>
            </w: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b w:val="1"/>
                <w:bCs w:val="1"/>
                <w:color w:val="auto"/>
                <w:w w:val="97"/>
              </w:rPr>
              <w:t xml:space="preserve">Treats glaucoma with our Cyclo G6 laser system. </w:t>
            </w:r>
            <w:r>
              <w:rPr>
                <w:rFonts w:ascii="Arial" w:cs="Arial" w:eastAsia="Arial" w:hAnsi="Arial"/>
                <w:sz w:val="17"/>
                <w:szCs w:val="17"/>
                <w:color w:val="auto"/>
                <w:w w:val="97"/>
              </w:rPr>
              <w:t>MicroPulse laser is delivered through a proprietary</w:t>
            </w:r>
          </w:p>
        </w:tc>
        <w:tc>
          <w:tcPr>
            <w:tcW w:w="20" w:type="dxa"/>
            <w:vAlign w:val="bottom"/>
          </w:tcPr>
          <w:p>
            <w:pPr>
              <w:spacing w:after="0"/>
              <w:rPr>
                <w:sz w:val="24"/>
                <w:szCs w:val="24"/>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single-use disposable probe we call the MicroPulse P3 (MP3) probe. By targeting an anatomical area of the</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2"/>
              </w:rPr>
              <w:t>eye called “Pars Plana” it is believed that the MP3 procedure may improve uveoscleral outflow and thus lower</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IOP and may reduce the number of eye drop medications. The MP3 procedure has the potential to be used</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7"/>
              </w:rPr>
              <w:t>across a wide spectrum of glaucoma disease severity, given its believed therapeutics benefits and non-</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incisional approach with minimal tissue damage and complications. We believe that the MP3 procedure has</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several important competitive advantages over alternative therapies with respect to invasiveness, sustained</w:t>
            </w:r>
          </w:p>
        </w:tc>
        <w:tc>
          <w:tcPr>
            <w:tcW w:w="20" w:type="dxa"/>
            <w:vAlign w:val="bottom"/>
          </w:tcPr>
          <w:p>
            <w:pPr>
              <w:spacing w:after="0"/>
              <w:rPr>
                <w:sz w:val="17"/>
                <w:szCs w:val="17"/>
                <w:color w:val="auto"/>
              </w:rPr>
            </w:pPr>
          </w:p>
        </w:tc>
      </w:tr>
      <w:tr>
        <w:trPr>
          <w:trHeight w:val="218"/>
        </w:trPr>
        <w:tc>
          <w:tcPr>
            <w:tcW w:w="3720" w:type="dxa"/>
            <w:vAlign w:val="bottom"/>
            <w:tcBorders>
              <w:left w:val="single" w:sz="8" w:color="auto"/>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IOP reduction and does not inhibit the physicians from the use of alternative procedures.</w:t>
            </w:r>
          </w:p>
        </w:tc>
        <w:tc>
          <w:tcPr>
            <w:tcW w:w="20" w:type="dxa"/>
            <w:vAlign w:val="bottom"/>
          </w:tcPr>
          <w:p>
            <w:pPr>
              <w:spacing w:after="0"/>
              <w:rPr>
                <w:sz w:val="18"/>
                <w:szCs w:val="18"/>
                <w:color w:val="auto"/>
              </w:rPr>
            </w:pPr>
          </w:p>
        </w:tc>
      </w:tr>
      <w:tr>
        <w:trPr>
          <w:trHeight w:val="291"/>
        </w:trPr>
        <w:tc>
          <w:tcPr>
            <w:tcW w:w="3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Glaucoma - trabecular meshwork outflow</w:t>
            </w: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b w:val="1"/>
                <w:bCs w:val="1"/>
                <w:color w:val="auto"/>
                <w:w w:val="91"/>
              </w:rPr>
              <w:t xml:space="preserve">Treats glaucoma with our IQ laser systems. </w:t>
            </w:r>
            <w:r>
              <w:rPr>
                <w:rFonts w:ascii="Arial" w:cs="Arial" w:eastAsia="Arial" w:hAnsi="Arial"/>
                <w:sz w:val="17"/>
                <w:szCs w:val="17"/>
                <w:color w:val="auto"/>
                <w:w w:val="91"/>
              </w:rPr>
              <w:t>MicroPulse laser is delivered through a mechanical and optical</w:t>
            </w:r>
          </w:p>
        </w:tc>
        <w:tc>
          <w:tcPr>
            <w:tcW w:w="20" w:type="dxa"/>
            <w:vAlign w:val="bottom"/>
          </w:tcPr>
          <w:p>
            <w:pPr>
              <w:spacing w:after="0"/>
              <w:rPr>
                <w:sz w:val="24"/>
                <w:szCs w:val="24"/>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2"/>
              </w:rPr>
              <w:t>delivery device and targets the trabecular meshwork. Physicians describe the technique as MicroPulse Laser</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Trabeculoplasty (“MLT”). It is believed that the MLT procedure improves trabecular meshwork outflow and</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thus lowers IOP. We believe that the MLT procedure provides incremental clinical benefits relative to other</w:t>
            </w:r>
          </w:p>
        </w:tc>
        <w:tc>
          <w:tcPr>
            <w:tcW w:w="20" w:type="dxa"/>
            <w:vAlign w:val="bottom"/>
          </w:tcPr>
          <w:p>
            <w:pPr>
              <w:spacing w:after="0"/>
              <w:rPr>
                <w:sz w:val="17"/>
                <w:szCs w:val="17"/>
                <w:color w:val="auto"/>
              </w:rPr>
            </w:pPr>
          </w:p>
        </w:tc>
      </w:tr>
      <w:tr>
        <w:trPr>
          <w:trHeight w:val="218"/>
        </w:trPr>
        <w:tc>
          <w:tcPr>
            <w:tcW w:w="3720" w:type="dxa"/>
            <w:vAlign w:val="bottom"/>
            <w:tcBorders>
              <w:left w:val="single" w:sz="8" w:color="auto"/>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laser trabeculoplasty procedures such as SLT.</w:t>
            </w:r>
          </w:p>
        </w:tc>
        <w:tc>
          <w:tcPr>
            <w:tcW w:w="20" w:type="dxa"/>
            <w:vAlign w:val="bottom"/>
          </w:tcPr>
          <w:p>
            <w:pPr>
              <w:spacing w:after="0"/>
              <w:rPr>
                <w:sz w:val="18"/>
                <w:szCs w:val="18"/>
                <w:color w:val="auto"/>
              </w:rPr>
            </w:pPr>
          </w:p>
        </w:tc>
      </w:tr>
      <w:tr>
        <w:trPr>
          <w:trHeight w:val="291"/>
        </w:trPr>
        <w:tc>
          <w:tcPr>
            <w:tcW w:w="3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Medical Retina - DME</w:t>
            </w: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b w:val="1"/>
                <w:bCs w:val="1"/>
                <w:color w:val="auto"/>
                <w:w w:val="93"/>
              </w:rPr>
              <w:t>Treats DME with our IQ laser systems</w:t>
            </w:r>
            <w:r>
              <w:rPr>
                <w:rFonts w:ascii="Arial" w:cs="Arial" w:eastAsia="Arial" w:hAnsi="Arial"/>
                <w:sz w:val="17"/>
                <w:szCs w:val="17"/>
                <w:color w:val="auto"/>
                <w:w w:val="93"/>
              </w:rPr>
              <w:t>. MicroPulse laser is administered through a mechanical and optical</w:t>
            </w:r>
          </w:p>
        </w:tc>
        <w:tc>
          <w:tcPr>
            <w:tcW w:w="20" w:type="dxa"/>
            <w:vAlign w:val="bottom"/>
          </w:tcPr>
          <w:p>
            <w:pPr>
              <w:spacing w:after="0"/>
              <w:rPr>
                <w:sz w:val="24"/>
                <w:szCs w:val="24"/>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4"/>
              </w:rPr>
              <w:t>delivery device that rapidly delivers multiple treatment spots on the retina. Our MicroPulse laser is uniquely</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believed to be “fovea friendly” in that the laser can be used to treat the fovea, the center of the field of vision</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6"/>
              </w:rPr>
              <w:t>in the retina, without any loss of visual function. Instead of causing thermal damage like traditional lasers,</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MicroPulse is believed to induce a therapeutic response through the recruitment of biological factors such as</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heat shock proteins. We believe that the treatment of DME with MicroPulse has several competitive</w:t>
            </w:r>
          </w:p>
        </w:tc>
        <w:tc>
          <w:tcPr>
            <w:tcW w:w="20" w:type="dxa"/>
            <w:vAlign w:val="bottom"/>
          </w:tcPr>
          <w:p>
            <w:pPr>
              <w:spacing w:after="0"/>
              <w:rPr>
                <w:sz w:val="17"/>
                <w:szCs w:val="17"/>
                <w:color w:val="auto"/>
              </w:rPr>
            </w:pPr>
          </w:p>
        </w:tc>
      </w:tr>
      <w:tr>
        <w:trPr>
          <w:trHeight w:val="206"/>
        </w:trPr>
        <w:tc>
          <w:tcPr>
            <w:tcW w:w="3720" w:type="dxa"/>
            <w:vAlign w:val="bottom"/>
            <w:tcBorders>
              <w:left w:val="single" w:sz="8" w:color="auto"/>
              <w:right w:val="single" w:sz="8" w:color="auto"/>
            </w:tcBorders>
          </w:tcPr>
          <w:p>
            <w:pPr>
              <w:spacing w:after="0"/>
              <w:rPr>
                <w:sz w:val="17"/>
                <w:szCs w:val="17"/>
                <w:color w:val="auto"/>
              </w:rPr>
            </w:pPr>
          </w:p>
        </w:tc>
        <w:tc>
          <w:tcPr>
            <w:tcW w:w="77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9"/>
              </w:rPr>
              <w:t>advantages over alternate therapies with respect to long term vision stability, visual function, and cost</w:t>
            </w:r>
          </w:p>
        </w:tc>
        <w:tc>
          <w:tcPr>
            <w:tcW w:w="20" w:type="dxa"/>
            <w:vAlign w:val="bottom"/>
          </w:tcPr>
          <w:p>
            <w:pPr>
              <w:spacing w:after="0"/>
              <w:rPr>
                <w:sz w:val="17"/>
                <w:szCs w:val="17"/>
                <w:color w:val="auto"/>
              </w:rPr>
            </w:pPr>
          </w:p>
        </w:tc>
      </w:tr>
      <w:tr>
        <w:trPr>
          <w:trHeight w:val="218"/>
        </w:trPr>
        <w:tc>
          <w:tcPr>
            <w:tcW w:w="3720" w:type="dxa"/>
            <w:vAlign w:val="bottom"/>
            <w:tcBorders>
              <w:left w:val="single" w:sz="8" w:color="auto"/>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effectiveness.</w:t>
            </w:r>
          </w:p>
        </w:tc>
        <w:tc>
          <w:tcPr>
            <w:tcW w:w="20" w:type="dxa"/>
            <w:vAlign w:val="bottom"/>
          </w:tcPr>
          <w:p>
            <w:pPr>
              <w:spacing w:after="0"/>
              <w:rPr>
                <w:sz w:val="18"/>
                <w:szCs w:val="18"/>
                <w:color w:val="auto"/>
              </w:rPr>
            </w:pPr>
          </w:p>
        </w:tc>
      </w:tr>
      <w:tr>
        <w:trPr>
          <w:trHeight w:val="611"/>
        </w:trPr>
        <w:tc>
          <w:tcPr>
            <w:tcW w:w="3720" w:type="dxa"/>
            <w:vAlign w:val="bottom"/>
          </w:tcPr>
          <w:p>
            <w:pPr>
              <w:spacing w:after="0"/>
              <w:rPr>
                <w:sz w:val="24"/>
                <w:szCs w:val="24"/>
                <w:color w:val="auto"/>
              </w:rPr>
            </w:pPr>
          </w:p>
        </w:tc>
        <w:tc>
          <w:tcPr>
            <w:tcW w:w="7720" w:type="dxa"/>
            <w:vAlign w:val="bottom"/>
          </w:tcPr>
          <w:p>
            <w:pPr>
              <w:ind w:left="1960"/>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24"/>
                <w:szCs w:val="24"/>
                <w:color w:val="auto"/>
              </w:rPr>
            </w:pPr>
          </w:p>
        </w:tc>
      </w:tr>
      <w:tr>
        <w:trPr>
          <w:trHeight w:val="110"/>
        </w:trPr>
        <w:tc>
          <w:tcPr>
            <w:tcW w:w="3720" w:type="dxa"/>
            <w:vAlign w:val="bottom"/>
            <w:tcBorders>
              <w:bottom w:val="single" w:sz="8" w:color="9A9A9A"/>
            </w:tcBorders>
          </w:tcPr>
          <w:p>
            <w:pPr>
              <w:spacing w:after="0"/>
              <w:rPr>
                <w:sz w:val="9"/>
                <w:szCs w:val="9"/>
                <w:color w:val="auto"/>
              </w:rPr>
            </w:pPr>
          </w:p>
        </w:tc>
        <w:tc>
          <w:tcPr>
            <w:tcW w:w="7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224" w:right="19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Our Strategy</w:t>
      </w:r>
    </w:p>
    <w:p>
      <w:pPr>
        <w:spacing w:after="0" w:line="120" w:lineRule="exact"/>
        <w:rPr>
          <w:sz w:val="20"/>
          <w:szCs w:val="20"/>
          <w:color w:val="auto"/>
        </w:rPr>
      </w:pPr>
    </w:p>
    <w:p>
      <w:pPr>
        <w:ind w:right="20" w:firstLine="555"/>
        <w:spacing w:after="0" w:line="262" w:lineRule="auto"/>
        <w:rPr>
          <w:sz w:val="20"/>
          <w:szCs w:val="20"/>
          <w:color w:val="auto"/>
        </w:rPr>
      </w:pPr>
      <w:r>
        <w:rPr>
          <w:rFonts w:ascii="Arial" w:cs="Arial" w:eastAsia="Arial" w:hAnsi="Arial"/>
          <w:sz w:val="17"/>
          <w:szCs w:val="17"/>
          <w:color w:val="auto"/>
        </w:rPr>
        <w:t>We are one of the worldwide leaders in developing, manufacturing, marketing, selling and servicing innovative medical laser systems and associated instrumentation for the treatment of sight-threatening eye diseases. Our strategy is to leverage our existing brand and distribution channel in the ophthalmology market to promote the adoption of MicroPulse as a viable treatment alternative for glaucoma and retinal diseases and consequently to commercialize a broad array of products that:</w:t>
      </w:r>
    </w:p>
    <w:p>
      <w:pPr>
        <w:spacing w:after="0" w:line="75" w:lineRule="exact"/>
        <w:rPr>
          <w:sz w:val="20"/>
          <w:szCs w:val="20"/>
          <w:color w:val="auto"/>
        </w:rPr>
      </w:pPr>
    </w:p>
    <w:p>
      <w:pPr>
        <w:ind w:left="1120" w:hanging="563"/>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Improve therapeutic outcomes for patients suffering from sight-threatening eye diseases;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Improve the efficiency of physicians and reduce their costs; and</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Provide economic benefits to healthcare systems.</w:t>
      </w:r>
    </w:p>
    <w:p>
      <w:pPr>
        <w:spacing w:after="0" w:line="114" w:lineRule="exact"/>
        <w:rPr>
          <w:sz w:val="20"/>
          <w:szCs w:val="20"/>
          <w:color w:val="auto"/>
        </w:rPr>
      </w:pPr>
    </w:p>
    <w:p>
      <w:pPr>
        <w:ind w:right="540" w:firstLine="555"/>
        <w:spacing w:after="0" w:line="279" w:lineRule="auto"/>
        <w:rPr>
          <w:sz w:val="20"/>
          <w:szCs w:val="20"/>
          <w:color w:val="auto"/>
        </w:rPr>
      </w:pPr>
      <w:r>
        <w:rPr>
          <w:rFonts w:ascii="Arial" w:cs="Arial" w:eastAsia="Arial" w:hAnsi="Arial"/>
          <w:sz w:val="17"/>
          <w:szCs w:val="17"/>
          <w:color w:val="auto"/>
        </w:rPr>
        <w:t>To achieve these goals, we are pursuing a number of organic initiatives that we anticipate will be supplemented from time to time by acquisitions. We anticipate that the successful execution of this strategy will lead to profitable growth and enhanced shareholder value.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20" w:lineRule="exact"/>
        <w:rPr>
          <w:sz w:val="20"/>
          <w:szCs w:val="20"/>
          <w:color w:val="auto"/>
        </w:rPr>
      </w:pPr>
    </w:p>
    <w:p>
      <w:pPr>
        <w:ind w:right="140" w:firstLine="555"/>
        <w:spacing w:after="0" w:line="279" w:lineRule="auto"/>
        <w:rPr>
          <w:sz w:val="20"/>
          <w:szCs w:val="20"/>
          <w:color w:val="auto"/>
        </w:rPr>
      </w:pPr>
      <w:r>
        <w:rPr>
          <w:rFonts w:ascii="Arial" w:cs="Arial" w:eastAsia="Arial" w:hAnsi="Arial"/>
          <w:sz w:val="16"/>
          <w:szCs w:val="16"/>
          <w:color w:val="auto"/>
        </w:rPr>
        <w:t>Our current product portfolio utilizes a system approach. Each system includes a laser console, which generates the laser energy, and a number of interchangeable delivery devices or disposable probes for use in specific clinical applications. This approach allows our customers to purchase a basic laser system and add additional delivery devices or disposable probes as their therapeutic needs expand or as new applications develop. We currently offer three basic product categories: 1) laser consoles, 2) delivery devices which are optical-mechanical products that mount to ophthalmologists diagnostic equipment and transmit the laser and 3) single-use disposable probes that transmit the laser light to a targeted region within the inside of an eye.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Laser Consoles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laser consoles, which are identified below, incorporate the economic and technical benefits of solid state and semiconductor laser technology.</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 xml:space="preserve">Glaucoma: Cyclo G6 Laser System. </w:t>
      </w:r>
      <w:r>
        <w:rPr>
          <w:rFonts w:ascii="Arial" w:cs="Arial" w:eastAsia="Arial" w:hAnsi="Arial"/>
          <w:sz w:val="15"/>
          <w:szCs w:val="15"/>
          <w:color w:val="auto"/>
        </w:rPr>
        <w:t>The Cyclo G6 is an infrared (810nm) laser designed to treat patients diagnosed with a range of glaucoma disease states.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The Cyclo G6 system is sold with a family of probes that are disposable, including our patented MP3 probe that utilizes our MicroPulse technology and our G-Probe.</w:t>
      </w:r>
    </w:p>
    <w:p>
      <w:pPr>
        <w:spacing w:after="0" w:line="126" w:lineRule="exact"/>
        <w:rPr>
          <w:sz w:val="20"/>
          <w:szCs w:val="20"/>
          <w:color w:val="auto"/>
        </w:rPr>
      </w:pPr>
    </w:p>
    <w:p>
      <w:pPr>
        <w:ind w:right="180" w:firstLine="555"/>
        <w:spacing w:after="0" w:line="266" w:lineRule="auto"/>
        <w:rPr>
          <w:sz w:val="20"/>
          <w:szCs w:val="20"/>
          <w:color w:val="auto"/>
        </w:rPr>
      </w:pPr>
      <w:r>
        <w:rPr>
          <w:rFonts w:ascii="Arial" w:cs="Arial" w:eastAsia="Arial" w:hAnsi="Arial"/>
          <w:sz w:val="17"/>
          <w:szCs w:val="17"/>
          <w:i w:val="1"/>
          <w:iCs w:val="1"/>
          <w:color w:val="auto"/>
        </w:rPr>
        <w:t xml:space="preserve">Medical retina: IQ laser systems. </w:t>
      </w:r>
      <w:r>
        <w:rPr>
          <w:rFonts w:ascii="Arial" w:cs="Arial" w:eastAsia="Arial" w:hAnsi="Arial"/>
          <w:sz w:val="17"/>
          <w:szCs w:val="17"/>
          <w:color w:val="auto"/>
        </w:rPr>
        <w:t>Our IQ laser systems offer our MicroPulse technology but also have CW capabilities. Our IQ 577 delivers visible yellow</w:t>
      </w:r>
      <w:r>
        <w:rPr>
          <w:rFonts w:ascii="Arial" w:cs="Arial" w:eastAsia="Arial" w:hAnsi="Arial"/>
          <w:sz w:val="17"/>
          <w:szCs w:val="17"/>
          <w:i w:val="1"/>
          <w:iCs w:val="1"/>
          <w:color w:val="auto"/>
        </w:rPr>
        <w:t xml:space="preserve"> </w:t>
      </w:r>
      <w:r>
        <w:rPr>
          <w:rFonts w:ascii="Arial" w:cs="Arial" w:eastAsia="Arial" w:hAnsi="Arial"/>
          <w:sz w:val="17"/>
          <w:szCs w:val="17"/>
          <w:color w:val="auto"/>
        </w:rPr>
        <w:t>(577nm) laser light and our IQ 532 delivers visible green (532nm) laser light. Our IQ laser systems are typically used with our TxCell Scanning Laser Delivery System and our Slit Lamp Adapters when used to treat DME with MicroPulse.</w:t>
      </w:r>
    </w:p>
    <w:p>
      <w:pPr>
        <w:spacing w:after="0" w:line="72"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i w:val="1"/>
          <w:iCs w:val="1"/>
          <w:color w:val="auto"/>
        </w:rPr>
        <w:t xml:space="preserve">Surgical retina: OcuLight laser systems. </w:t>
      </w:r>
      <w:r>
        <w:rPr>
          <w:rFonts w:ascii="Arial" w:cs="Arial" w:eastAsia="Arial" w:hAnsi="Arial"/>
          <w:sz w:val="17"/>
          <w:szCs w:val="17"/>
          <w:color w:val="auto"/>
        </w:rPr>
        <w:t>Our OcuLight TX, OcuLight GL, and OcuLightGLx lasers deliver visible green (532nm) laser light. Our OcuLight</w:t>
      </w:r>
      <w:r>
        <w:rPr>
          <w:rFonts w:ascii="Arial" w:cs="Arial" w:eastAsia="Arial" w:hAnsi="Arial"/>
          <w:sz w:val="17"/>
          <w:szCs w:val="17"/>
          <w:i w:val="1"/>
          <w:iCs w:val="1"/>
          <w:color w:val="auto"/>
        </w:rPr>
        <w:t xml:space="preserve"> </w:t>
      </w:r>
      <w:r>
        <w:rPr>
          <w:rFonts w:ascii="Arial" w:cs="Arial" w:eastAsia="Arial" w:hAnsi="Arial"/>
          <w:sz w:val="17"/>
          <w:szCs w:val="17"/>
          <w:color w:val="auto"/>
        </w:rPr>
        <w:t>SL and OcuLightSLx lasers deliver infrared (810 nm) laser light.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Delivery Devices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delivery devices are typically used with our IQ and OcuLight laser systems:</w:t>
      </w:r>
    </w:p>
    <w:p>
      <w:pPr>
        <w:spacing w:after="0" w:line="114" w:lineRule="exact"/>
        <w:rPr>
          <w:sz w:val="20"/>
          <w:szCs w:val="20"/>
          <w:color w:val="auto"/>
        </w:rPr>
      </w:pPr>
    </w:p>
    <w:p>
      <w:pPr>
        <w:ind w:right="660" w:firstLine="555"/>
        <w:spacing w:after="0" w:line="279" w:lineRule="auto"/>
        <w:rPr>
          <w:sz w:val="20"/>
          <w:szCs w:val="20"/>
          <w:color w:val="auto"/>
        </w:rPr>
      </w:pPr>
      <w:r>
        <w:rPr>
          <w:rFonts w:ascii="Arial" w:cs="Arial" w:eastAsia="Arial" w:hAnsi="Arial"/>
          <w:sz w:val="17"/>
          <w:szCs w:val="17"/>
          <w:i w:val="1"/>
          <w:iCs w:val="1"/>
          <w:color w:val="auto"/>
        </w:rPr>
        <w:t xml:space="preserve">TxCell Scanning Laser Delivery System (“TxCell”). </w:t>
      </w:r>
      <w:r>
        <w:rPr>
          <w:rFonts w:ascii="Arial" w:cs="Arial" w:eastAsia="Arial" w:hAnsi="Arial"/>
          <w:sz w:val="17"/>
          <w:szCs w:val="17"/>
          <w:color w:val="auto"/>
        </w:rPr>
        <w:t>TxCell allows the physician to perform multi-spot pattern scanning for efficient delivery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MicroPulse laser.</w:t>
      </w:r>
    </w:p>
    <w:p>
      <w:pPr>
        <w:spacing w:after="0" w:line="61" w:lineRule="exact"/>
        <w:rPr>
          <w:sz w:val="20"/>
          <w:szCs w:val="20"/>
          <w:color w:val="auto"/>
        </w:rPr>
      </w:pPr>
    </w:p>
    <w:p>
      <w:pPr>
        <w:ind w:right="200" w:firstLine="555"/>
        <w:spacing w:after="0" w:line="266" w:lineRule="auto"/>
        <w:rPr>
          <w:sz w:val="20"/>
          <w:szCs w:val="20"/>
          <w:color w:val="auto"/>
        </w:rPr>
      </w:pPr>
      <w:r>
        <w:rPr>
          <w:rFonts w:ascii="Arial" w:cs="Arial" w:eastAsia="Arial" w:hAnsi="Arial"/>
          <w:sz w:val="17"/>
          <w:szCs w:val="17"/>
          <w:i w:val="1"/>
          <w:iCs w:val="1"/>
          <w:color w:val="auto"/>
        </w:rPr>
        <w:t xml:space="preserve">Slit Lamp Adapter (“SLA”). </w:t>
      </w:r>
      <w:r>
        <w:rPr>
          <w:rFonts w:ascii="Arial" w:cs="Arial" w:eastAsia="Arial" w:hAnsi="Arial"/>
          <w:sz w:val="17"/>
          <w:szCs w:val="17"/>
          <w:color w:val="auto"/>
        </w:rPr>
        <w:t>These adapters allow the physician to utilize a standard slit lamp in both diagnosis and treatment procedures. Physicians can</w:t>
      </w:r>
      <w:r>
        <w:rPr>
          <w:rFonts w:ascii="Arial" w:cs="Arial" w:eastAsia="Arial" w:hAnsi="Arial"/>
          <w:sz w:val="17"/>
          <w:szCs w:val="17"/>
          <w:i w:val="1"/>
          <w:iCs w:val="1"/>
          <w:color w:val="auto"/>
        </w:rPr>
        <w:t xml:space="preserve"> </w:t>
      </w:r>
      <w:r>
        <w:rPr>
          <w:rFonts w:ascii="Arial" w:cs="Arial" w:eastAsia="Arial" w:hAnsi="Arial"/>
          <w:sz w:val="17"/>
          <w:szCs w:val="17"/>
          <w:color w:val="auto"/>
        </w:rPr>
        <w:t>install an SLA in a few minutes and convert standard diagnostic slit lamps into a therapeutic laser delivery system. SLAs are used in treatment procedures for both retinal diseases and glaucoma.</w:t>
      </w:r>
    </w:p>
    <w:p>
      <w:pPr>
        <w:spacing w:after="0" w:line="72" w:lineRule="exact"/>
        <w:rPr>
          <w:sz w:val="20"/>
          <w:szCs w:val="20"/>
          <w:color w:val="auto"/>
        </w:rPr>
      </w:pPr>
    </w:p>
    <w:p>
      <w:pPr>
        <w:ind w:right="160" w:firstLine="555"/>
        <w:spacing w:after="0" w:line="266" w:lineRule="auto"/>
        <w:rPr>
          <w:sz w:val="20"/>
          <w:szCs w:val="20"/>
          <w:color w:val="auto"/>
        </w:rPr>
      </w:pPr>
      <w:r>
        <w:rPr>
          <w:rFonts w:ascii="Arial" w:cs="Arial" w:eastAsia="Arial" w:hAnsi="Arial"/>
          <w:sz w:val="17"/>
          <w:szCs w:val="17"/>
          <w:i w:val="1"/>
          <w:iCs w:val="1"/>
          <w:color w:val="auto"/>
        </w:rPr>
        <w:t xml:space="preserve">Laser Indirect Ophthalmoscope (“LIO”). </w:t>
      </w:r>
      <w:r>
        <w:rPr>
          <w:rFonts w:ascii="Arial" w:cs="Arial" w:eastAsia="Arial" w:hAnsi="Arial"/>
          <w:sz w:val="17"/>
          <w:szCs w:val="17"/>
          <w:color w:val="auto"/>
        </w:rPr>
        <w:t>The indirect ophthalmoscope is designed to be worn on the physician’s head and to be used in procedures to treat</w:t>
      </w:r>
      <w:r>
        <w:rPr>
          <w:rFonts w:ascii="Arial" w:cs="Arial" w:eastAsia="Arial" w:hAnsi="Arial"/>
          <w:sz w:val="17"/>
          <w:szCs w:val="17"/>
          <w:i w:val="1"/>
          <w:iCs w:val="1"/>
          <w:color w:val="auto"/>
        </w:rPr>
        <w:t xml:space="preserve"> </w:t>
      </w:r>
      <w:r>
        <w:rPr>
          <w:rFonts w:ascii="Arial" w:cs="Arial" w:eastAsia="Arial" w:hAnsi="Arial"/>
          <w:sz w:val="17"/>
          <w:szCs w:val="17"/>
          <w:color w:val="auto"/>
        </w:rPr>
        <w:t>peripheral retinal disorders, particularly in infants or adults requiring treatment in the supine position. This product can be used in both diagnosis and treatment procedures at the point-of-care.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Single-use disposable probes</w:t>
      </w:r>
    </w:p>
    <w:p>
      <w:pPr>
        <w:spacing w:after="0" w:line="114" w:lineRule="exact"/>
        <w:rPr>
          <w:sz w:val="20"/>
          <w:szCs w:val="20"/>
          <w:color w:val="auto"/>
        </w:rPr>
      </w:pPr>
    </w:p>
    <w:p>
      <w:pPr>
        <w:ind w:firstLine="555"/>
        <w:spacing w:after="0" w:line="258" w:lineRule="auto"/>
        <w:rPr>
          <w:sz w:val="20"/>
          <w:szCs w:val="20"/>
          <w:color w:val="auto"/>
        </w:rPr>
      </w:pPr>
      <w:r>
        <w:rPr>
          <w:rFonts w:ascii="Arial" w:cs="Arial" w:eastAsia="Arial" w:hAnsi="Arial"/>
          <w:sz w:val="17"/>
          <w:szCs w:val="17"/>
          <w:i w:val="1"/>
          <w:iCs w:val="1"/>
          <w:color w:val="auto"/>
        </w:rPr>
        <w:t xml:space="preserve">MicroPulse P3 Probe. </w:t>
      </w:r>
      <w:r>
        <w:rPr>
          <w:rFonts w:ascii="Arial" w:cs="Arial" w:eastAsia="Arial" w:hAnsi="Arial"/>
          <w:sz w:val="17"/>
          <w:szCs w:val="17"/>
          <w:color w:val="auto"/>
        </w:rPr>
        <w:t>The MP3 Probe is used with our Cylco G6 laser systems and is our probe that delivers our MicroPulse laser to treat glaucoma. It is</w:t>
      </w:r>
      <w:r>
        <w:rPr>
          <w:rFonts w:ascii="Arial" w:cs="Arial" w:eastAsia="Arial" w:hAnsi="Arial"/>
          <w:sz w:val="17"/>
          <w:szCs w:val="17"/>
          <w:i w:val="1"/>
          <w:iCs w:val="1"/>
          <w:color w:val="auto"/>
        </w:rPr>
        <w:t xml:space="preserve"> </w:t>
      </w:r>
      <w:r>
        <w:rPr>
          <w:rFonts w:ascii="Arial" w:cs="Arial" w:eastAsia="Arial" w:hAnsi="Arial"/>
          <w:sz w:val="17"/>
          <w:szCs w:val="17"/>
          <w:color w:val="auto"/>
        </w:rPr>
        <w:t>believed that the MP3 procedure reduces IOP through a multi-factorial mechanism of action - it perhaps improves outflow through natural drainage pathways such as the uveoscleral and the trabecular meshwork while also reducing certain inflow. The MP3 Probe can be performed on an anesthetized eye in the doctor’s office or OR. The non-incisional procedure takes just a few minutes and results in minimal post-operative recovery for the patient. We believe that the MP3 procedure may be used to treat a wide variety of glaucoma states, including early to late stage glaucoma as well as open-angle and closed angle glaucoma. The MP3 Probe is a sterile disposable product.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 w:name="page8"/>
    <w:bookmarkEnd w:id="7"/>
    <w:p>
      <w:pPr>
        <w:jc w:val="both"/>
        <w:ind w:right="20" w:firstLine="555"/>
        <w:spacing w:after="0" w:line="266" w:lineRule="auto"/>
        <w:rPr>
          <w:sz w:val="20"/>
          <w:szCs w:val="20"/>
          <w:color w:val="auto"/>
        </w:rPr>
      </w:pPr>
      <w:r>
        <w:rPr>
          <w:rFonts w:ascii="Arial" w:cs="Arial" w:eastAsia="Arial" w:hAnsi="Arial"/>
          <w:sz w:val="17"/>
          <w:szCs w:val="17"/>
          <w:i w:val="1"/>
          <w:iCs w:val="1"/>
          <w:color w:val="auto"/>
        </w:rPr>
        <w:t xml:space="preserve">G-Probe. </w:t>
      </w:r>
      <w:r>
        <w:rPr>
          <w:rFonts w:ascii="Arial" w:cs="Arial" w:eastAsia="Arial" w:hAnsi="Arial"/>
          <w:sz w:val="17"/>
          <w:szCs w:val="17"/>
          <w:color w:val="auto"/>
        </w:rPr>
        <w:t>The G-Probe is used in procedures to treat uncontrolled glaucoma, typically described as “refractory glaucoma”. The G-Probe delivers CW laser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ciliary body and is believed to stop the production of aqueous humor, thus reducing IOP. The G-Probe’s non-invasive procedure takes approximately ten minutes and is performed on an anesthetized eye in the doctor’s office or OR. The G-Probe is a sterile disposable product.</w:t>
      </w:r>
    </w:p>
    <w:p>
      <w:pPr>
        <w:spacing w:after="0" w:line="72" w:lineRule="exact"/>
        <w:rPr>
          <w:sz w:val="20"/>
          <w:szCs w:val="20"/>
          <w:color w:val="auto"/>
        </w:rPr>
      </w:pPr>
    </w:p>
    <w:p>
      <w:pPr>
        <w:ind w:right="340" w:firstLine="555"/>
        <w:spacing w:after="0" w:line="279" w:lineRule="auto"/>
        <w:rPr>
          <w:sz w:val="20"/>
          <w:szCs w:val="20"/>
          <w:color w:val="auto"/>
        </w:rPr>
      </w:pPr>
      <w:r>
        <w:rPr>
          <w:rFonts w:ascii="Arial" w:cs="Arial" w:eastAsia="Arial" w:hAnsi="Arial"/>
          <w:sz w:val="17"/>
          <w:szCs w:val="17"/>
          <w:i w:val="1"/>
          <w:iCs w:val="1"/>
          <w:color w:val="auto"/>
        </w:rPr>
        <w:t xml:space="preserve">G-Probe Illuminate. </w:t>
      </w:r>
      <w:r>
        <w:rPr>
          <w:rFonts w:ascii="Arial" w:cs="Arial" w:eastAsia="Arial" w:hAnsi="Arial"/>
          <w:sz w:val="17"/>
          <w:szCs w:val="17"/>
          <w:color w:val="auto"/>
        </w:rPr>
        <w:t>The G-Probe Illuminate is also used in procedures to treat refractory glaucoma. The proprietary illumination feature allows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treatment and may offer additional clinical benefits. The G-Probe Illuminate is a sterile disposable product.</w:t>
      </w:r>
    </w:p>
    <w:p>
      <w:pPr>
        <w:spacing w:after="0" w:line="61" w:lineRule="exact"/>
        <w:rPr>
          <w:sz w:val="20"/>
          <w:szCs w:val="20"/>
          <w:color w:val="auto"/>
        </w:rPr>
      </w:pPr>
    </w:p>
    <w:p>
      <w:pPr>
        <w:ind w:right="100" w:firstLine="555"/>
        <w:spacing w:after="0" w:line="262" w:lineRule="auto"/>
        <w:rPr>
          <w:sz w:val="20"/>
          <w:szCs w:val="20"/>
          <w:color w:val="auto"/>
        </w:rPr>
      </w:pPr>
      <w:r>
        <w:rPr>
          <w:rFonts w:ascii="Arial" w:cs="Arial" w:eastAsia="Arial" w:hAnsi="Arial"/>
          <w:sz w:val="17"/>
          <w:szCs w:val="17"/>
          <w:i w:val="1"/>
          <w:iCs w:val="1"/>
          <w:color w:val="auto"/>
        </w:rPr>
        <w:t xml:space="preserve">EndoProbe. </w:t>
      </w:r>
      <w:r>
        <w:rPr>
          <w:rFonts w:ascii="Arial" w:cs="Arial" w:eastAsia="Arial" w:hAnsi="Arial"/>
          <w:sz w:val="17"/>
          <w:szCs w:val="17"/>
          <w:color w:val="auto"/>
        </w:rPr>
        <w:t>Our EndoProbe family of products are used for endophotocoagulation, a retinal treatment procedure performed in the hospital OR or surgery</w:t>
      </w:r>
      <w:r>
        <w:rPr>
          <w:rFonts w:ascii="Arial" w:cs="Arial" w:eastAsia="Arial" w:hAnsi="Arial"/>
          <w:sz w:val="17"/>
          <w:szCs w:val="17"/>
          <w:i w:val="1"/>
          <w:iCs w:val="1"/>
          <w:color w:val="auto"/>
        </w:rPr>
        <w:t xml:space="preserve"> </w:t>
      </w:r>
      <w:r>
        <w:rPr>
          <w:rFonts w:ascii="Arial" w:cs="Arial" w:eastAsia="Arial" w:hAnsi="Arial"/>
          <w:sz w:val="17"/>
          <w:szCs w:val="17"/>
          <w:color w:val="auto"/>
        </w:rPr>
        <w:t>center during a vitrectomy procedure. Vitrectomy procedures are performed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0"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We have close working relationships with researchers, clinicians and practicing physicians around the world who provide new ideas, evaluate prototypes and assist us in validating new products and new applications before they are introduced.</w:t>
      </w:r>
    </w:p>
    <w:p>
      <w:pPr>
        <w:spacing w:after="0" w:line="61" w:lineRule="exact"/>
        <w:rPr>
          <w:sz w:val="20"/>
          <w:szCs w:val="20"/>
          <w:color w:val="auto"/>
        </w:rPr>
      </w:pPr>
    </w:p>
    <w:p>
      <w:pPr>
        <w:ind w:right="40" w:firstLine="555"/>
        <w:spacing w:after="0" w:line="279" w:lineRule="auto"/>
        <w:rPr>
          <w:sz w:val="20"/>
          <w:szCs w:val="20"/>
          <w:color w:val="auto"/>
        </w:rPr>
      </w:pPr>
      <w:r>
        <w:rPr>
          <w:rFonts w:ascii="Arial" w:cs="Arial" w:eastAsia="Arial" w:hAnsi="Arial"/>
          <w:sz w:val="16"/>
          <w:szCs w:val="16"/>
          <w:color w:val="auto"/>
        </w:rPr>
        <w:t>Our internal research and development (“R&amp;D”) activities are performed by a current team of 11 engineers and regulatory professionals with experience in various aspects of medical products, laser systems, delivery devices, clinical techniques, and regulatory affairs with a focus on introducing innovative products which satisfy the unmet and emerging needs of our customers. The core competencies of the team include: mechanical engineering, electrical engineering, optics, lasers, fiber optics, software, and industrial designs. The R&amp;D process integrates all necessary disciplines of the Company from product inception through customer acceptance. This process facilitates reliable new product innovations and a consistent pipeline of innovative products for our customers.</w:t>
      </w:r>
    </w:p>
    <w:p>
      <w:pPr>
        <w:spacing w:after="0" w:line="65" w:lineRule="exact"/>
        <w:rPr>
          <w:sz w:val="20"/>
          <w:szCs w:val="20"/>
          <w:color w:val="auto"/>
        </w:rPr>
      </w:pPr>
    </w:p>
    <w:p>
      <w:pPr>
        <w:jc w:val="both"/>
        <w:ind w:right="180" w:firstLine="555"/>
        <w:spacing w:after="0" w:line="266" w:lineRule="auto"/>
        <w:rPr>
          <w:sz w:val="20"/>
          <w:szCs w:val="20"/>
          <w:color w:val="auto"/>
        </w:rPr>
      </w:pPr>
      <w:r>
        <w:rPr>
          <w:rFonts w:ascii="Arial" w:cs="Arial" w:eastAsia="Arial" w:hAnsi="Arial"/>
          <w:sz w:val="17"/>
          <w:szCs w:val="17"/>
          <w:color w:val="auto"/>
        </w:rPr>
        <w:t>Our research activities are managed internally by our R&amp;D staff. We supplement our internal R&amp;D staff by hiring consultants or partnering with physicians known for their expertise. Research efforts are directed toward the development of new products, as well as the identification of markets not currently addressed by our products.</w:t>
      </w:r>
    </w:p>
    <w:p>
      <w:pPr>
        <w:spacing w:after="0" w:line="72" w:lineRule="exact"/>
        <w:rPr>
          <w:sz w:val="20"/>
          <w:szCs w:val="20"/>
          <w:color w:val="auto"/>
        </w:rPr>
      </w:pPr>
    </w:p>
    <w:p>
      <w:pPr>
        <w:ind w:right="20" w:firstLine="555"/>
        <w:spacing w:after="0" w:line="318" w:lineRule="auto"/>
        <w:rPr>
          <w:sz w:val="20"/>
          <w:szCs w:val="20"/>
          <w:color w:val="auto"/>
        </w:rPr>
      </w:pPr>
      <w:r>
        <w:rPr>
          <w:rFonts w:ascii="Arial" w:cs="Arial" w:eastAsia="Arial" w:hAnsi="Arial"/>
          <w:sz w:val="15"/>
          <w:szCs w:val="15"/>
          <w:color w:val="auto"/>
        </w:rPr>
        <w:t>We believe that it is important to make a substantial contribution to improving clinical outcomes. For instance, we have made substantial investments in improving the treatment of serious eye diseases such as glaucoma and retinal disease. The objectives of developing new treatments and applications are to expand the patient population, to better and more economically treat diseases, to treat patients earlier in the treatment regimen and to reduce the side effects of treatment.</w:t>
      </w:r>
    </w:p>
    <w:p>
      <w:pPr>
        <w:spacing w:after="0" w:line="36" w:lineRule="exact"/>
        <w:rPr>
          <w:sz w:val="20"/>
          <w:szCs w:val="20"/>
          <w:color w:val="auto"/>
        </w:rPr>
      </w:pPr>
    </w:p>
    <w:p>
      <w:pPr>
        <w:ind w:right="1280" w:firstLine="555"/>
        <w:spacing w:after="0" w:line="379" w:lineRule="auto"/>
        <w:rPr>
          <w:sz w:val="20"/>
          <w:szCs w:val="20"/>
          <w:color w:val="auto"/>
        </w:rPr>
      </w:pPr>
      <w:r>
        <w:rPr>
          <w:rFonts w:ascii="Arial" w:cs="Arial" w:eastAsia="Arial" w:hAnsi="Arial"/>
          <w:sz w:val="17"/>
          <w:szCs w:val="17"/>
          <w:color w:val="auto"/>
        </w:rPr>
        <w:t xml:space="preserve">We consider clinical projects to be a component of our R&amp;D efforts and they may or may not result in additional commercial opportunities. </w:t>
      </w:r>
      <w:r>
        <w:rPr>
          <w:rFonts w:ascii="Arial" w:cs="Arial" w:eastAsia="Arial" w:hAnsi="Arial"/>
          <w:sz w:val="17"/>
          <w:szCs w:val="17"/>
          <w:b w:val="1"/>
          <w:bCs w:val="1"/>
          <w:color w:val="auto"/>
        </w:rPr>
        <w:t>Customers and Customer Support</w:t>
      </w:r>
    </w:p>
    <w:p>
      <w:pPr>
        <w:spacing w:after="0" w:line="1" w:lineRule="exact"/>
        <w:rPr>
          <w:sz w:val="20"/>
          <w:szCs w:val="20"/>
          <w:color w:val="auto"/>
        </w:rPr>
      </w:pPr>
    </w:p>
    <w:p>
      <w:pPr>
        <w:ind w:right="100" w:firstLine="555"/>
        <w:spacing w:after="0" w:line="266" w:lineRule="auto"/>
        <w:rPr>
          <w:sz w:val="20"/>
          <w:szCs w:val="20"/>
          <w:color w:val="auto"/>
        </w:rPr>
      </w:pPr>
      <w:r>
        <w:rPr>
          <w:rFonts w:ascii="Arial" w:cs="Arial" w:eastAsia="Arial" w:hAnsi="Arial"/>
          <w:sz w:val="17"/>
          <w:szCs w:val="17"/>
          <w:color w:val="auto"/>
        </w:rPr>
        <w:t>Our products are currently sold for use by ophthalmologists specializing in the treatment of eye disease in retina, glaucoma and pediatric eye diseases. Other customers include research and teaching hospitals, government installations, surgical centers, hospitals, and office clinics (outpatient). No single customer or distributor accounted for 10% or more of total revenues in fiscal years 2018 and 2017.</w:t>
      </w:r>
    </w:p>
    <w:p>
      <w:pPr>
        <w:spacing w:after="0" w:line="72" w:lineRule="exact"/>
        <w:rPr>
          <w:sz w:val="20"/>
          <w:szCs w:val="20"/>
          <w:color w:val="auto"/>
        </w:rPr>
      </w:pPr>
    </w:p>
    <w:p>
      <w:pPr>
        <w:ind w:firstLine="555"/>
        <w:spacing w:after="0" w:line="257" w:lineRule="auto"/>
        <w:rPr>
          <w:sz w:val="20"/>
          <w:szCs w:val="20"/>
          <w:color w:val="auto"/>
        </w:rPr>
      </w:pPr>
      <w:r>
        <w:rPr>
          <w:rFonts w:ascii="Arial" w:cs="Arial" w:eastAsia="Arial" w:hAnsi="Arial"/>
          <w:sz w:val="17"/>
          <w:szCs w:val="17"/>
          <w:color w:val="auto"/>
        </w:rPr>
        <w:t>We seek to provide superior customer support and service and believe that our customer service and technical support distinguish our product offerings from those of our competitors. We provide depot service at our Mountain View facility for our products. Our customer support representatives assist customers with orders, warranty returns and other administrative functions. Our technical support engineers provide customers with answers to technical and product-related questions. We maintain an “around-the-clock” telephone service line to service our customers. If a problem with a depot serviceable product cannot be diagnosed and resolved by telephone, a service loaner is shipped overnight to domestic customers under warranty or service contract, and by the most rapid delivery means available to our international customers, and the problem unit is returned to us. The small size and rugged design of our products allows for economical shipment and quick response to customers worldwide.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0"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We sell and market our products in the United States and Germany predominantly through our direct sales force and internationally through independent distributors. Currently we have a direct sales force of 20 employees who are engaged in sales efforts within the United States, 3 in Germany and 6 personnel engaged in managing our distribution sales efforts internationally. Our sales are administered through our corporate headquarters in Mountain View, California.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8" w:name="page9"/>
    <w:bookmarkEnd w:id="8"/>
    <w:p>
      <w:pPr>
        <w:ind w:right="60" w:firstLine="555"/>
        <w:spacing w:after="0" w:line="258" w:lineRule="auto"/>
        <w:rPr>
          <w:sz w:val="20"/>
          <w:szCs w:val="20"/>
          <w:color w:val="auto"/>
        </w:rPr>
      </w:pPr>
      <w:r>
        <w:rPr>
          <w:rFonts w:ascii="Arial" w:cs="Arial" w:eastAsia="Arial" w:hAnsi="Arial"/>
          <w:sz w:val="17"/>
          <w:szCs w:val="17"/>
          <w:color w:val="auto"/>
        </w:rPr>
        <w:t>International revenues represented 48.1% and 44.7% of our revenues in 2018 and 2017, respectively. We believe that our international sales will continue to represent a significant portion of our revenues for the foreseeable future. Our international sales are made principally to customers in Europe, Asia, the Pacific Rim, the Middle East, Russia, Africa and Latin America. Our distribution agreements with our international distributors are generally exclusive and typically can be terminated by either party without cause with 90 days’ notice. International sales may be adversely affected by currency fluctuations, the imposition of governmental controls, restrictions on export technology, political instability, trade restrictions, changes in tariffs and the economic condition in each country in which we sell our products.</w:t>
      </w:r>
    </w:p>
    <w:p>
      <w:pPr>
        <w:spacing w:after="0" w:line="80" w:lineRule="exact"/>
        <w:rPr>
          <w:sz w:val="20"/>
          <w:szCs w:val="20"/>
          <w:color w:val="auto"/>
        </w:rPr>
      </w:pPr>
    </w:p>
    <w:p>
      <w:pPr>
        <w:ind w:right="200" w:firstLine="555"/>
        <w:spacing w:after="0" w:line="290" w:lineRule="auto"/>
        <w:rPr>
          <w:sz w:val="20"/>
          <w:szCs w:val="20"/>
          <w:color w:val="auto"/>
        </w:rPr>
      </w:pPr>
      <w:r>
        <w:rPr>
          <w:rFonts w:ascii="Arial" w:cs="Arial" w:eastAsia="Arial" w:hAnsi="Arial"/>
          <w:sz w:val="16"/>
          <w:szCs w:val="16"/>
          <w:color w:val="auto"/>
        </w:rPr>
        <w:t>To support our sales process, we conduct marketing programs which include: our website, clinical education, social media, email marketing, trade shows, public relations, market research, key opinion leader collaborations and advertising in trade and academic journals and newsletters. We typically participate in over 85 trade shows worldwide on an annual basis. These meetings allow us to present our products to existing and prospective buyers.</w:t>
      </w:r>
    </w:p>
    <w:p>
      <w:pPr>
        <w:spacing w:after="0" w:line="55" w:lineRule="exact"/>
        <w:rPr>
          <w:sz w:val="20"/>
          <w:szCs w:val="20"/>
          <w:color w:val="auto"/>
        </w:rPr>
      </w:pPr>
    </w:p>
    <w:p>
      <w:pPr>
        <w:ind w:right="40" w:firstLine="555"/>
        <w:spacing w:after="0" w:line="279" w:lineRule="auto"/>
        <w:rPr>
          <w:sz w:val="20"/>
          <w:szCs w:val="20"/>
          <w:color w:val="auto"/>
        </w:rPr>
      </w:pPr>
      <w:r>
        <w:rPr>
          <w:rFonts w:ascii="Arial" w:cs="Arial" w:eastAsia="Arial" w:hAnsi="Arial"/>
          <w:sz w:val="16"/>
          <w:szCs w:val="16"/>
          <w:color w:val="auto"/>
        </w:rPr>
        <w:t>Through marketing, we collaborate with our customers to identify new products and applications which help meet their needs, and in turn provides us with new product concepts, enhances our ability to identify new applications for our products and validates new procedures using our products. Customers include key opinion leaders who are often the heads of the departments in which they work or professors at universities. We believe that these luminaries in the field of ophthalmology are key to the successful introduction of new products and the subsequent acceptance of these new products by the general market. Acceptance of our products by these early adopters is key to our strategy in the validation and commercialization of our new products.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Affairs</w:t>
      </w:r>
    </w:p>
    <w:p>
      <w:pPr>
        <w:spacing w:after="0" w:line="120" w:lineRule="exact"/>
        <w:rPr>
          <w:sz w:val="20"/>
          <w:szCs w:val="20"/>
          <w:color w:val="auto"/>
        </w:rPr>
      </w:pPr>
    </w:p>
    <w:p>
      <w:pPr>
        <w:ind w:firstLine="555"/>
        <w:spacing w:after="0" w:line="262" w:lineRule="auto"/>
        <w:rPr>
          <w:sz w:val="20"/>
          <w:szCs w:val="20"/>
          <w:color w:val="auto"/>
        </w:rPr>
      </w:pPr>
      <w:r>
        <w:rPr>
          <w:rFonts w:ascii="Arial" w:cs="Arial" w:eastAsia="Arial" w:hAnsi="Arial"/>
          <w:sz w:val="17"/>
          <w:szCs w:val="17"/>
          <w:color w:val="auto"/>
        </w:rPr>
        <w:t>Our clinical affairs group was established to support clinical research opportunities, provide specialized ophthalmic surgeon training and credentialing for our proprietary MicroPulse™ products, establish strong relationships with prominent key opinion leaders and assure the accuracy and consistency our messaging to the market. We believe that a strong research program underlying marketing initiatives and professional level training for our customers are key to driving the application of our technology for more widespread and consistent use.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w:t>
      </w:r>
    </w:p>
    <w:p>
      <w:pPr>
        <w:spacing w:after="0" w:line="120" w:lineRule="exact"/>
        <w:rPr>
          <w:sz w:val="20"/>
          <w:szCs w:val="20"/>
          <w:color w:val="auto"/>
        </w:rPr>
      </w:pPr>
    </w:p>
    <w:p>
      <w:pPr>
        <w:ind w:right="80" w:firstLine="555"/>
        <w:spacing w:after="0" w:line="318" w:lineRule="auto"/>
        <w:rPr>
          <w:sz w:val="20"/>
          <w:szCs w:val="20"/>
          <w:color w:val="auto"/>
        </w:rPr>
      </w:pPr>
      <w:r>
        <w:rPr>
          <w:rFonts w:ascii="Arial" w:cs="Arial" w:eastAsia="Arial" w:hAnsi="Arial"/>
          <w:sz w:val="15"/>
          <w:szCs w:val="15"/>
          <w:color w:val="auto"/>
        </w:rPr>
        <w:t>The manufacture of our visible light and infrared laser consoles and the related delivery devices is a highly complex and precise process. Completed systems must pass quality control and reliability tests before shipment. Our manufacturing activities consist of specifying, sourcing, assembling and testing of components and certain subassemblies for assembly into our final product. Currently we have a total of 17 employees engaged in manufacturing activities for these products.</w:t>
      </w:r>
    </w:p>
    <w:p>
      <w:pPr>
        <w:spacing w:after="0" w:line="36" w:lineRule="exact"/>
        <w:rPr>
          <w:sz w:val="20"/>
          <w:szCs w:val="20"/>
          <w:color w:val="auto"/>
        </w:rPr>
      </w:pPr>
    </w:p>
    <w:p>
      <w:pPr>
        <w:ind w:right="20" w:firstLine="555"/>
        <w:spacing w:after="0" w:line="289" w:lineRule="auto"/>
        <w:rPr>
          <w:sz w:val="20"/>
          <w:szCs w:val="20"/>
          <w:color w:val="auto"/>
        </w:rPr>
      </w:pPr>
      <w:r>
        <w:rPr>
          <w:rFonts w:ascii="Arial" w:cs="Arial" w:eastAsia="Arial" w:hAnsi="Arial"/>
          <w:sz w:val="15"/>
          <w:szCs w:val="15"/>
          <w:color w:val="auto"/>
        </w:rPr>
        <w:t>The medical devices we manufacture are subject to extensive regulation by numerous governmental authorities, including federal, state, and foreign governmental agencies. The principal regulators in the United States are the Food and Drug Administration (“FDA”) and the California Department of Public Health, Food and Drug Branch. In April 1998, we received certification for ISO 9001/EN 46001, which is an international quality system standard that documents compliance to the European Medical Device Directives. In February 2004, we were certified to ISO 13485:2003, which replaced ISO 9001/EN46001 as the international standard for quality systems as applied to medical devices. In December 2018, we were certified to ISO 13485:2016, which superseded the 2003 version of the standard. In August 2008, we received FDA 510(k) clearance on our family of IRIDEX IQ laser systems. This clearance covers the IRIDEX IQ 532 and IQ</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577 laser systems and their associated delivery devices to deliver laser energy in either CW or MicroPulse mode. In January 2015, we received FDA 510(k) clearance for Cyclo G6. These laser systems are intended for a wide range of specific applications in the medical specialties of ophthalmology.</w:t>
      </w:r>
    </w:p>
    <w:p>
      <w:pPr>
        <w:spacing w:after="0" w:line="72" w:lineRule="exact"/>
        <w:rPr>
          <w:sz w:val="20"/>
          <w:szCs w:val="20"/>
          <w:color w:val="auto"/>
        </w:rPr>
      </w:pPr>
    </w:p>
    <w:p>
      <w:pPr>
        <w:ind w:right="20" w:firstLine="555"/>
        <w:spacing w:after="0" w:line="272" w:lineRule="auto"/>
        <w:rPr>
          <w:sz w:val="20"/>
          <w:szCs w:val="20"/>
          <w:color w:val="auto"/>
        </w:rPr>
      </w:pPr>
      <w:r>
        <w:rPr>
          <w:rFonts w:ascii="Arial" w:cs="Arial" w:eastAsia="Arial" w:hAnsi="Arial"/>
          <w:sz w:val="16"/>
          <w:szCs w:val="16"/>
          <w:color w:val="auto"/>
        </w:rPr>
        <w:t>International regulatory bodies often establish varying product standards, packaging requirements, labeling requirements, tariff regulations, duties and tax requirements. As a result of our sales in Europe, we are required to have all products “CE” marked, an international symbol affixed to all products demonstrating compliance to the European Medical Device Directives and all applicable standards. In July 1998, we received CE mark certification under Annex II guidelines, the most stringent path to CE certification. With Annex II CE mark certification, we have demonstrated our ability to both understand and comply with all applicable standards under the European Medical Device Directives. Currently, all of our released products are CE marked. Continued certification is based on successful review of the process by our European Registrar during its annual audit. Any loss of certification would have a material adverse effect on our business, results of operations and financial condition. We rely on third parties to manufacture substantially all of the components used in our products, although we assemble critical subassemblies and the final product at our facility in Mountain View, California. Some of these suppliers and manufacturers are sole source. We have some long-term or volume purchase agreements with our suppliers but currently purchase most components on a purchase order basis. These components may not be available in the quantities required, on reasonable terms, or at all. Financial or other difficulties faced by our suppliers or significant changes in demand for these components or materials could limit their availability. Any failures by our third-party suppliers to adequately perform may delay the submission of products for regulatory approval, impair our ability to deliver products on a timely basis or otherwise impair our competitive position.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Competition</w:t>
      </w:r>
    </w:p>
    <w:p>
      <w:pPr>
        <w:spacing w:after="0" w:line="120"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55" w:lineRule="exact"/>
        <w:rPr>
          <w:sz w:val="20"/>
          <w:szCs w:val="20"/>
          <w:color w:val="auto"/>
        </w:rPr>
      </w:pPr>
    </w:p>
    <w:p>
      <w:pPr>
        <w:ind w:right="60" w:firstLine="555"/>
        <w:spacing w:after="0" w:line="273" w:lineRule="auto"/>
        <w:rPr>
          <w:sz w:val="20"/>
          <w:szCs w:val="20"/>
          <w:color w:val="auto"/>
        </w:rPr>
      </w:pPr>
      <w:r>
        <w:rPr>
          <w:rFonts w:ascii="Arial" w:cs="Arial" w:eastAsia="Arial" w:hAnsi="Arial"/>
          <w:sz w:val="16"/>
          <w:szCs w:val="16"/>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Glaukos, New World Medical and Ivantis. Pharmaceuticals represent alternative treatments to our laser procedures. Some of our principal pharmaceutical competitors are Alcon, Allergan, OSI Pharmaceuticals,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Proprietary Rights</w:t>
      </w:r>
    </w:p>
    <w:p>
      <w:pPr>
        <w:spacing w:after="0" w:line="120" w:lineRule="exact"/>
        <w:rPr>
          <w:sz w:val="20"/>
          <w:szCs w:val="20"/>
          <w:color w:val="auto"/>
        </w:rPr>
      </w:pPr>
    </w:p>
    <w:p>
      <w:pPr>
        <w:ind w:right="100" w:firstLine="555"/>
        <w:spacing w:after="0" w:line="258"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These are either developed internally or obtained from acquisitions such as RetinaLabs and Ocunetics. We file patent applications to protect technology, inventions and improvements that are significant to the development of our business. Our patent portfolio includes 20 active United States patents and 13 active foreign patents on the technologies related to our products and processes. In addition, we have 8 patent applications pending in the United States and 12 foreign patent applications pending. Our patent applications may not be approved.</w:t>
      </w:r>
    </w:p>
    <w:p>
      <w:pPr>
        <w:spacing w:after="0" w:line="80" w:lineRule="exact"/>
        <w:rPr>
          <w:sz w:val="20"/>
          <w:szCs w:val="20"/>
          <w:color w:val="auto"/>
        </w:rPr>
      </w:pPr>
    </w:p>
    <w:p>
      <w:pPr>
        <w:ind w:right="80" w:firstLine="555"/>
        <w:spacing w:after="0" w:line="262" w:lineRule="auto"/>
        <w:rPr>
          <w:sz w:val="20"/>
          <w:szCs w:val="20"/>
          <w:color w:val="auto"/>
        </w:rPr>
      </w:pPr>
      <w:r>
        <w:rPr>
          <w:rFonts w:ascii="Arial" w:cs="Arial" w:eastAsia="Arial" w:hAnsi="Arial"/>
          <w:sz w:val="17"/>
          <w:szCs w:val="17"/>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provisions requiring such individuals to assign to us, without additional consideration, any inventions conceived or reduced to practice by them while employed or retained by us, subject to customary exceptions.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20" w:lineRule="exact"/>
        <w:rPr>
          <w:sz w:val="20"/>
          <w:szCs w:val="20"/>
          <w:color w:val="auto"/>
        </w:rPr>
      </w:pPr>
    </w:p>
    <w:p>
      <w:pPr>
        <w:ind w:firstLine="555"/>
        <w:spacing w:after="0" w:line="276" w:lineRule="auto"/>
        <w:rPr>
          <w:sz w:val="20"/>
          <w:szCs w:val="20"/>
          <w:color w:val="auto"/>
        </w:rPr>
      </w:pPr>
      <w:r>
        <w:rPr>
          <w:rFonts w:ascii="Arial" w:cs="Arial" w:eastAsia="Arial" w:hAnsi="Arial"/>
          <w:sz w:val="16"/>
          <w:szCs w:val="16"/>
          <w:color w:val="auto"/>
        </w:rPr>
        <w:t>The medical devices marketed and manufactured by us are subject to extensive regulation by numerous governmental authorities, including federal, state, and foreign governmental agencies. Pursuant to the Federal Food, Drug, and Cosmetic Act (“FD&amp;C Act”), as amended, and the regulations promulgated thereunder, the FDA serves as the principal federal agency within the United States with authority over medical devices and regulates the research, clinical testing, manufacture, labeling, distribution, sale, marketing and promotion of such devices. Noncompliance with applicable requirements can result 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w:t>
      </w:r>
    </w:p>
    <w:p>
      <w:pPr>
        <w:spacing w:after="0" w:line="66" w:lineRule="exact"/>
        <w:rPr>
          <w:sz w:val="20"/>
          <w:szCs w:val="20"/>
          <w:color w:val="auto"/>
        </w:rPr>
      </w:pPr>
    </w:p>
    <w:p>
      <w:pPr>
        <w:ind w:right="40" w:firstLine="555"/>
        <w:spacing w:after="0" w:line="293" w:lineRule="auto"/>
        <w:rPr>
          <w:sz w:val="20"/>
          <w:szCs w:val="20"/>
          <w:color w:val="auto"/>
        </w:rPr>
      </w:pPr>
      <w:r>
        <w:rPr>
          <w:rFonts w:ascii="Arial" w:cs="Arial" w:eastAsia="Arial" w:hAnsi="Arial"/>
          <w:sz w:val="15"/>
          <w:szCs w:val="15"/>
          <w:color w:val="auto"/>
        </w:rPr>
        <w:t>In the United States, medical devices are classified into one of three classes - Class I, II or III. The class to which the device is assigned determines, among other things, the type of pre-marketing submission/application required for FDA clearance to market. If the device is classified as Class I or II, and if it is not exempt, a 510(k) pre-market notification will be required for marketing. Under FDA regulations, Class I devices are subject to general controls (for example, labeling, pre-market notification and adherence to Quality System Regulations (“QSRs”) requirements). Class II devices receive marketing clearance through a 510(k) pre-market notification. For Class III devices, a pre-market approval (“PMA”) application will be required unless the device is a pre-amendments device (on the market prior to the passage of the medical device amendments in 1976, or substantially equivalent to such a device) and PMAs have not been called for. In that case, a 510(k) will be the route to market. A 510(k) clearance will be granted if the submitted information establishes that the proposed device is substantially equivalent to a legally marketed Class I or II medical device, or to a Class III medical device for which the FDA has not called for a PMA. The FDA may determine that a proposed device is not substantially equivalent to a legally marketed device or that additional information or data are needed before a substantial equivalence determination can be made. A request for additional data may require that clinical studies of the device’s safety and efficacy be performed.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0" w:name="page11"/>
    <w:bookmarkEnd w:id="10"/>
    <w:p>
      <w:pPr>
        <w:ind w:right="300" w:firstLine="555"/>
        <w:spacing w:after="0" w:line="262" w:lineRule="auto"/>
        <w:rPr>
          <w:sz w:val="20"/>
          <w:szCs w:val="20"/>
          <w:color w:val="auto"/>
        </w:rPr>
      </w:pPr>
      <w:r>
        <w:rPr>
          <w:rFonts w:ascii="Arial" w:cs="Arial" w:eastAsia="Arial" w:hAnsi="Arial"/>
          <w:sz w:val="17"/>
          <w:szCs w:val="17"/>
          <w:color w:val="auto"/>
        </w:rPr>
        <w:t>Commercial distribution of a device for which a 510(k) notification is required can begin only after the FDA issues an order finding the device to be substantially equivalent to a previously cleared device. The FDA has recently been requiring a more rigorous demonstration of substantial equivalence than in the past. Even in cases where the FDA grants a 510(k) clearance, it can take the FDA between three and six months from the date of submission to grant a 510(k) clearance, but it may take longer.</w:t>
      </w:r>
    </w:p>
    <w:p>
      <w:pPr>
        <w:spacing w:after="0" w:line="75" w:lineRule="exact"/>
        <w:rPr>
          <w:sz w:val="20"/>
          <w:szCs w:val="20"/>
          <w:color w:val="auto"/>
        </w:rPr>
      </w:pPr>
    </w:p>
    <w:p>
      <w:pPr>
        <w:ind w:right="140" w:firstLine="555"/>
        <w:spacing w:after="0" w:line="262" w:lineRule="auto"/>
        <w:rPr>
          <w:sz w:val="20"/>
          <w:szCs w:val="20"/>
          <w:color w:val="auto"/>
        </w:rPr>
      </w:pPr>
      <w:r>
        <w:rPr>
          <w:rFonts w:ascii="Arial" w:cs="Arial" w:eastAsia="Arial" w:hAnsi="Arial"/>
          <w:sz w:val="17"/>
          <w:szCs w:val="17"/>
          <w:color w:val="auto"/>
        </w:rPr>
        <w:t>A “not substantially equivalent” (NSE) determination, or a request for additional information, could delay the market introduction of new products that fall into this category and could have a materially adverse effect on our business, financial condition and results of operations. For any of our products that are cleared through the 510(k) process, modifications or enhancements that could significantly affect the safety or efficacy of the device or that constitute a major change to the intended use of the device will require new 510(k) submissions.</w:t>
      </w:r>
    </w:p>
    <w:p>
      <w:pPr>
        <w:spacing w:after="0" w:line="75" w:lineRule="exact"/>
        <w:rPr>
          <w:sz w:val="20"/>
          <w:szCs w:val="20"/>
          <w:color w:val="auto"/>
        </w:rPr>
      </w:pPr>
    </w:p>
    <w:p>
      <w:pPr>
        <w:ind w:firstLine="555"/>
        <w:spacing w:after="0" w:line="276" w:lineRule="auto"/>
        <w:rPr>
          <w:sz w:val="20"/>
          <w:szCs w:val="20"/>
          <w:color w:val="auto"/>
        </w:rPr>
      </w:pPr>
      <w:r>
        <w:rPr>
          <w:rFonts w:ascii="Arial" w:cs="Arial" w:eastAsia="Arial" w:hAnsi="Arial"/>
          <w:sz w:val="16"/>
          <w:szCs w:val="16"/>
          <w:color w:val="auto"/>
        </w:rPr>
        <w:t>We have obtained 510(k) clearances for all of our marketed products. We have also modified aspects of our products since receiving regulatory clearance, and we have submitted 510(k)s for those modifications as required by FDA regulations. After a device receives a 510(k) clearance or a PMA, any modification that could significantly affect its safety or effectiveness, or that would constitute a major change in its intended use, will require a new clearance or approval. The FDA requires each manufacturer to make this determination initially, but the FDA can review any such decision and can disagree with a manufacturer’s determination. If the FDA disagrees with our determination not to seek a new 510(k) clearance or PMA, the FDA may retroactively require us to seek 510(k) clearance or pre-market approval. The FDA could also require us to cease marketing and distribution and/or recall the modified device until a 510(k) clearance or a PMA approval is obtained. Also, in these circumstances, we may be subject to significant regulatory fines or penalties.</w:t>
      </w:r>
    </w:p>
    <w:p>
      <w:pPr>
        <w:spacing w:after="0" w:line="66" w:lineRule="exact"/>
        <w:rPr>
          <w:sz w:val="20"/>
          <w:szCs w:val="20"/>
          <w:color w:val="auto"/>
        </w:rPr>
      </w:pPr>
    </w:p>
    <w:p>
      <w:pPr>
        <w:ind w:right="100" w:firstLine="555"/>
        <w:spacing w:after="0" w:line="257" w:lineRule="auto"/>
        <w:rPr>
          <w:sz w:val="20"/>
          <w:szCs w:val="20"/>
          <w:color w:val="auto"/>
        </w:rPr>
      </w:pPr>
      <w:r>
        <w:rPr>
          <w:rFonts w:ascii="Arial" w:cs="Arial" w:eastAsia="Arial" w:hAnsi="Arial"/>
          <w:sz w:val="17"/>
          <w:szCs w:val="17"/>
          <w:color w:val="auto"/>
        </w:rPr>
        <w:t>Any products manufactured or distributed by us pursuant to FDA clearances or approvals are subject to pervasive and continuing regulation by the FDA, including record keeping requirements and reporting of adverse experiences with the use of the device. Device manufacturers are required to register their establishments and list their devices with the FDA and certain state agencies, and are subject to periodic inspections by the FDA and certain state agencies. The FD&amp;C Act requires devices to be manufactured to comply with applicable QSR regulations which impose certain procedural and documentation requirements upon us with respect to design, development, manufacturing and quality assurance activities. We are subject to unannounced inspections by the FDA and the Food and Drug Branch of the California Department of Public Health, to determine our compliance with the QSR and other regulations, and these inspections may include the manufacturing facilities of our subcontractors.</w:t>
      </w:r>
    </w:p>
    <w:p>
      <w:pPr>
        <w:spacing w:after="0" w:line="82" w:lineRule="exact"/>
        <w:rPr>
          <w:sz w:val="20"/>
          <w:szCs w:val="20"/>
          <w:color w:val="auto"/>
        </w:rPr>
      </w:pPr>
    </w:p>
    <w:p>
      <w:pPr>
        <w:ind w:right="100" w:firstLine="555"/>
        <w:spacing w:after="0" w:line="299" w:lineRule="auto"/>
        <w:rPr>
          <w:sz w:val="20"/>
          <w:szCs w:val="20"/>
          <w:color w:val="auto"/>
        </w:rPr>
      </w:pPr>
      <w:r>
        <w:rPr>
          <w:rFonts w:ascii="Arial" w:cs="Arial" w:eastAsia="Arial" w:hAnsi="Arial"/>
          <w:sz w:val="15"/>
          <w:szCs w:val="15"/>
          <w:color w:val="auto"/>
        </w:rPr>
        <w:t>Labeling and promotion activities are subject to scrutiny by the FDA and in certain instances, by the Federal Trade Commission. The FDA actively enforces regulations prohibiting marketing of products for unapproved uses. We and our products are also subject to a variety of state laws and regulations in those states or localities where our products are or will be marketed. Any applicable state or local regulations may hinder our ability to market our products in those states or localities. Manufacturers are also subject to numerous federal, state and local laws relating to such matters as safe working conditions, manufacturing practices, environmental protection, fire hazard control and disposal of hazardous or potentially hazardous substances. We may be required to incur significant costs to comply with such laws and regulations now or in the future. Such laws or regulations may have a material adverse effect upon our ability to do business.</w:t>
      </w:r>
    </w:p>
    <w:p>
      <w:pPr>
        <w:spacing w:after="0" w:line="51" w:lineRule="exact"/>
        <w:rPr>
          <w:sz w:val="20"/>
          <w:szCs w:val="20"/>
          <w:color w:val="auto"/>
        </w:rPr>
      </w:pPr>
    </w:p>
    <w:p>
      <w:pPr>
        <w:ind w:right="20" w:firstLine="555"/>
        <w:spacing w:after="0" w:line="279" w:lineRule="auto"/>
        <w:rPr>
          <w:sz w:val="20"/>
          <w:szCs w:val="20"/>
          <w:color w:val="auto"/>
        </w:rPr>
      </w:pPr>
      <w:r>
        <w:rPr>
          <w:rFonts w:ascii="Arial" w:cs="Arial" w:eastAsia="Arial" w:hAnsi="Arial"/>
          <w:sz w:val="16"/>
          <w:szCs w:val="16"/>
          <w:color w:val="auto"/>
        </w:rPr>
        <w:t>Export of our products is regulated by the FDA and subject to the FD&amp;C Act, 21 U.S.C. §§321-397, and other statutes FDA administers, which greatly expanded the export of approved and unapproved United States medical devices. However, some foreign countries require manufacturers to provide a specific type of FDA export certificate (such as a Certificate to Foreign Government or Certificate of Exportability) which requires the device manufacturer to certify to the FDA that the product has been granted pre-market clearance in the United States and that the manufacturing facilities appeared to be in compliance with QSR at the time of the last QSR inspection. The FDA will refuse to issue any export certificate if significant outstanding QSR violations exist.</w:t>
      </w:r>
    </w:p>
    <w:p>
      <w:pPr>
        <w:spacing w:after="0" w:line="65" w:lineRule="exact"/>
        <w:rPr>
          <w:sz w:val="20"/>
          <w:szCs w:val="20"/>
          <w:color w:val="auto"/>
        </w:rPr>
      </w:pPr>
    </w:p>
    <w:p>
      <w:pPr>
        <w:ind w:right="40" w:firstLine="555"/>
        <w:spacing w:after="0" w:line="259" w:lineRule="auto"/>
        <w:rPr>
          <w:sz w:val="20"/>
          <w:szCs w:val="20"/>
          <w:color w:val="auto"/>
        </w:rPr>
      </w:pPr>
      <w:r>
        <w:rPr>
          <w:rFonts w:ascii="Arial" w:cs="Arial" w:eastAsia="Arial" w:hAnsi="Arial"/>
          <w:sz w:val="17"/>
          <w:szCs w:val="17"/>
          <w:color w:val="auto"/>
        </w:rPr>
        <w:t>We are also regulated under the Radiation Control provisions (originally enacted as the Radiation Control for Health and Safety Act of 1968) which are located in Sections 531 through 542 of the FD&amp;C Act, which requires laser products to comply with performance standards, including design and operation requirements, and manufacturers to certify in product labeling and in reports to the FDA that their products comply with all such standards. The law also requires laser manufacturers to file new product and annual reports, maintain manufacturing, testing and sales records and report product defects. Various warning labels must be affixed and certain protective devices installed, depending on the class of the product.</w:t>
      </w:r>
    </w:p>
    <w:p>
      <w:pPr>
        <w:spacing w:after="0" w:line="80" w:lineRule="exact"/>
        <w:rPr>
          <w:sz w:val="20"/>
          <w:szCs w:val="20"/>
          <w:color w:val="auto"/>
        </w:rPr>
      </w:pPr>
    </w:p>
    <w:p>
      <w:pPr>
        <w:ind w:right="140" w:firstLine="555"/>
        <w:spacing w:after="0" w:line="283" w:lineRule="auto"/>
        <w:rPr>
          <w:sz w:val="20"/>
          <w:szCs w:val="20"/>
          <w:color w:val="auto"/>
        </w:rPr>
      </w:pPr>
      <w:r>
        <w:rPr>
          <w:rFonts w:ascii="Arial" w:cs="Arial" w:eastAsia="Arial" w:hAnsi="Arial"/>
          <w:sz w:val="16"/>
          <w:szCs w:val="16"/>
          <w:color w:val="auto"/>
        </w:rPr>
        <w:t>The introduction of our products in foreign markets will also subject us to foreign regulatory clearances which may impose substantial additional costs and burdens. International sales of medical devices are subject to the regulatory requirements of each country. The regulatory review process varies from country to country. Many countries also impose product standards, packaging requirements, labeling requirements and import restrictions on devices. In addition, each country has its own tariff regulations, duties and tax requirements. The approval by the FDA and foreign government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1" w:name="page12"/>
    <w:bookmarkEnd w:id="11"/>
    <w:p>
      <w:pPr>
        <w:ind w:right="40"/>
        <w:spacing w:after="0" w:line="274" w:lineRule="auto"/>
        <w:rPr>
          <w:sz w:val="20"/>
          <w:szCs w:val="20"/>
          <w:color w:val="auto"/>
        </w:rPr>
      </w:pPr>
      <w:r>
        <w:rPr>
          <w:rFonts w:ascii="Arial" w:cs="Arial" w:eastAsia="Arial" w:hAnsi="Arial"/>
          <w:sz w:val="16"/>
          <w:szCs w:val="16"/>
          <w:color w:val="auto"/>
        </w:rPr>
        <w:t>authorities is unpredictable and uncertain. The necessary approvals or clearances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 There are a number of major regulatory changes occurring in the regulation of medical devices in the European Union.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European Union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69" w:lineRule="exact"/>
        <w:rPr>
          <w:sz w:val="20"/>
          <w:szCs w:val="20"/>
          <w:color w:val="auto"/>
        </w:rPr>
      </w:pPr>
    </w:p>
    <w:p>
      <w:pPr>
        <w:ind w:right="280" w:firstLine="555"/>
        <w:spacing w:after="0" w:line="258" w:lineRule="auto"/>
        <w:rPr>
          <w:sz w:val="20"/>
          <w:szCs w:val="20"/>
          <w:color w:val="auto"/>
        </w:rPr>
      </w:pPr>
      <w:r>
        <w:rPr>
          <w:rFonts w:ascii="Arial" w:cs="Arial" w:eastAsia="Arial" w:hAnsi="Arial"/>
          <w:sz w:val="17"/>
          <w:szCs w:val="17"/>
          <w:color w:val="auto"/>
        </w:rPr>
        <w:t>In order to maintain medical device sales in Canada, Iridex must obtain the ISO 13485:2016 certificate through the Medical Device Single Audit Program (MDSAP). This program allows a single audit of a medical device manufacturer's Quality Management Systems which satisfies the requirements of multiple regulatory jurisdictions. Specifically, MDSAP is a way that medical device manufacturers can be audited once for compliance with the standard and regulatory requirements of up to five different medical device markets: Australia, Brazil, Canada, Japan and the United States. The MDSAP audit program is voluntary in all countries except Canada. Iridex must pass comprehensive Stage I and Stage II audits and receive the ISO certificate by December 31, 2019 in order to continue to distribute product in Canada after that date.</w:t>
      </w:r>
    </w:p>
    <w:p>
      <w:pPr>
        <w:spacing w:after="0" w:line="80" w:lineRule="exact"/>
        <w:rPr>
          <w:sz w:val="20"/>
          <w:szCs w:val="20"/>
          <w:color w:val="auto"/>
        </w:rPr>
      </w:pPr>
    </w:p>
    <w:p>
      <w:pPr>
        <w:ind w:right="60" w:firstLine="555"/>
        <w:spacing w:after="0" w:line="262" w:lineRule="auto"/>
        <w:rPr>
          <w:sz w:val="20"/>
          <w:szCs w:val="20"/>
          <w:color w:val="auto"/>
        </w:rPr>
      </w:pPr>
      <w:r>
        <w:rPr>
          <w:rFonts w:ascii="Arial" w:cs="Arial" w:eastAsia="Arial" w:hAnsi="Arial"/>
          <w:sz w:val="17"/>
          <w:szCs w:val="17"/>
          <w:color w:val="auto"/>
        </w:rPr>
        <w:t>Changes in existing requirements or adoption of new requirements or policies by the FDA or other foreign and domestic regulatory authorities could adversely affect our ability to comply with regulatory requirements. Failure to comply with regulatory requirements could have a material adverse effect on our business, financial condition and results of operations. We may be required to incur significant costs to comply with laws and regulations in the future. These laws or regulations may have a material adverse effect upon our business, financial condition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w:t>
      </w:r>
    </w:p>
    <w:p>
      <w:pPr>
        <w:spacing w:after="0" w:line="120" w:lineRule="exact"/>
        <w:rPr>
          <w:sz w:val="20"/>
          <w:szCs w:val="20"/>
          <w:color w:val="auto"/>
        </w:rPr>
      </w:pPr>
    </w:p>
    <w:p>
      <w:pPr>
        <w:ind w:right="40" w:firstLine="555"/>
        <w:spacing w:after="0" w:line="275" w:lineRule="auto"/>
        <w:rPr>
          <w:sz w:val="20"/>
          <w:szCs w:val="20"/>
          <w:color w:val="auto"/>
        </w:rPr>
      </w:pPr>
      <w:r>
        <w:rPr>
          <w:rFonts w:ascii="Arial" w:cs="Arial" w:eastAsia="Arial" w:hAnsi="Arial"/>
          <w:sz w:val="16"/>
          <w:szCs w:val="16"/>
          <w:color w:val="auto"/>
        </w:rPr>
        <w:t>The cost of a significant portion of medical care in the United States is funded by government programs, health maintenance organizations and private insurance plans. Our ophthalmology products are typically purchased by doctors, clinics, hospitals and other users, which bill various third-party payers, such as government programs and private insurance plans, for the health care services provided to their patients. Government imposed limits on reimbursement of hospitals and other health care providers have significantly affected the spending budgets of doctors, clinics and hospitals to acquire new equipment, including our products. Under certain government insurance programs, a health care provider is reimbursed for a fixed sum for services rendered in treating a patient, regardless of the actual charge for such treatment. The Center for Medicare and Medicaid Services reimburses hospitals on a prospectively-determined fixed amount basis for the costs associated with an in-patient hospitalization based on the patient’s discharge diagnosis, regardless of the actual costs incurred by the hospital or physician in furnishing the care and regardless of the specific devices used in that procedure.</w:t>
      </w:r>
    </w:p>
    <w:p>
      <w:pPr>
        <w:spacing w:after="0" w:line="67" w:lineRule="exact"/>
        <w:rPr>
          <w:sz w:val="20"/>
          <w:szCs w:val="20"/>
          <w:color w:val="auto"/>
        </w:rPr>
      </w:pPr>
    </w:p>
    <w:p>
      <w:pPr>
        <w:ind w:firstLine="555"/>
        <w:spacing w:after="0" w:line="259" w:lineRule="auto"/>
        <w:rPr>
          <w:sz w:val="20"/>
          <w:szCs w:val="20"/>
          <w:color w:val="auto"/>
        </w:rPr>
      </w:pPr>
      <w:r>
        <w:rPr>
          <w:rFonts w:ascii="Arial" w:cs="Arial" w:eastAsia="Arial" w:hAnsi="Arial"/>
          <w:sz w:val="17"/>
          <w:szCs w:val="17"/>
          <w:color w:val="auto"/>
        </w:rPr>
        <w:t>Private third-party reimbursement plans are also developing increasingly sophisticated methods of controlling health-care costs by imposing limitations on reimbursable procedures and the exploration of more cost-effective methods of delivering health care. In general, these government and private measures have caused health care providers, including our customers, to be more selective in the purchase of medical products. In addition, changes in government regulation or in private third-party payers’ policies may limit or eliminate reimbursement for procedures employing our products, which could have a material adverse effect on our business, results of operations and financial condition.</w:t>
      </w:r>
    </w:p>
    <w:p>
      <w:pPr>
        <w:spacing w:after="0" w:line="80"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 and Seasonality</w:t>
      </w:r>
    </w:p>
    <w:p>
      <w:pPr>
        <w:spacing w:after="0" w:line="120" w:lineRule="exact"/>
        <w:rPr>
          <w:sz w:val="20"/>
          <w:szCs w:val="20"/>
          <w:color w:val="auto"/>
        </w:rPr>
      </w:pPr>
    </w:p>
    <w:p>
      <w:pPr>
        <w:ind w:right="120" w:firstLine="555"/>
        <w:spacing w:after="0" w:line="266" w:lineRule="auto"/>
        <w:rPr>
          <w:sz w:val="20"/>
          <w:szCs w:val="20"/>
          <w:color w:val="auto"/>
        </w:rPr>
      </w:pPr>
      <w:r>
        <w:rPr>
          <w:rFonts w:ascii="Arial" w:cs="Arial" w:eastAsia="Arial" w:hAnsi="Arial"/>
          <w:sz w:val="17"/>
          <w:szCs w:val="17"/>
          <w:color w:val="auto"/>
        </w:rPr>
        <w:t>We generally do not maintain a material level of backlog. As a result, we do not believe that our backlog at any particular time is indicative of future sales levels.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Employees</w:t>
      </w:r>
    </w:p>
    <w:p>
      <w:pPr>
        <w:spacing w:after="0" w:line="120" w:lineRule="exact"/>
        <w:rPr>
          <w:sz w:val="20"/>
          <w:szCs w:val="20"/>
          <w:color w:val="auto"/>
        </w:rPr>
      </w:pPr>
    </w:p>
    <w:p>
      <w:pPr>
        <w:ind w:right="80" w:firstLine="555"/>
        <w:spacing w:after="0" w:line="299" w:lineRule="auto"/>
        <w:rPr>
          <w:sz w:val="20"/>
          <w:szCs w:val="20"/>
          <w:color w:val="auto"/>
        </w:rPr>
      </w:pPr>
      <w:r>
        <w:rPr>
          <w:rFonts w:ascii="Arial" w:cs="Arial" w:eastAsia="Arial" w:hAnsi="Arial"/>
          <w:sz w:val="15"/>
          <w:szCs w:val="15"/>
          <w:color w:val="auto"/>
        </w:rPr>
        <w:t>As of December 29, 2018, we had a total of 114 full-time equivalent employees engaged in our ongoing operations, including 48 in operations (including manufacturing, quality, logistics and service), 40 in sales and marketing which does not include 4 consultants and one independent sales representative, 11 in R&amp;D and 15 in finance and administration. We also employ, from time to time, a number of temporary and part-time employees as well as consultants on a contract basis. As of December 29, 2018, we had 38 such persons serving in such roles. Our future success will depend in part on our ability to attract, train, retain and motivate highly qualified employees, who are in great demand. We may not be successful in attracting and retaining such personnel. Our employees are not represented by a collective bargaining organization, and we have never experienced a work stoppage or strike. We consider our employee relations to be good.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0" w:lineRule="exact"/>
        <w:rPr>
          <w:sz w:val="20"/>
          <w:szCs w:val="20"/>
          <w:color w:val="auto"/>
        </w:rPr>
      </w:pPr>
    </w:p>
    <w:p>
      <w:pPr>
        <w:ind w:firstLine="555"/>
        <w:spacing w:after="0" w:line="262"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and amendments to reports pursuant to Section 13(a) or 15(d) of the Securities Exchange Act of 1934, as amended, are available, free of charge, through the U.S. Securities and Exchange Commission’s (“SEC”) website at www.sec.gov. These periodic reports and amendments are also available, free of charge, on our website at </w:t>
      </w:r>
      <w:r>
        <w:rPr>
          <w:rFonts w:ascii="Arial" w:cs="Arial" w:eastAsia="Arial" w:hAnsi="Arial"/>
          <w:sz w:val="17"/>
          <w:szCs w:val="17"/>
          <w:u w:val="single" w:color="auto"/>
          <w:color w:val="auto"/>
        </w:rPr>
        <w:t>www.IRIDEX.com</w:t>
      </w:r>
      <w:r>
        <w:rPr>
          <w:rFonts w:ascii="Arial" w:cs="Arial" w:eastAsia="Arial" w:hAnsi="Arial"/>
          <w:sz w:val="17"/>
          <w:szCs w:val="17"/>
          <w:color w:val="auto"/>
        </w:rPr>
        <w:t>, as soon as reasonably practicable after such reports are electronically filed with the SEC.</w:t>
      </w:r>
    </w:p>
    <w:p>
      <w:pPr>
        <w:spacing w:after="0" w:line="75" w:lineRule="exact"/>
        <w:rPr>
          <w:sz w:val="20"/>
          <w:szCs w:val="20"/>
          <w:color w:val="auto"/>
        </w:rPr>
      </w:pPr>
    </w:p>
    <w:p>
      <w:pPr>
        <w:ind w:right="240" w:firstLine="555"/>
        <w:spacing w:after="0" w:line="302" w:lineRule="auto"/>
        <w:rPr>
          <w:sz w:val="20"/>
          <w:szCs w:val="20"/>
          <w:color w:val="auto"/>
        </w:rPr>
      </w:pPr>
      <w:r>
        <w:rPr>
          <w:rFonts w:ascii="Arial" w:cs="Arial" w:eastAsia="Arial" w:hAnsi="Arial"/>
          <w:sz w:val="15"/>
          <w:szCs w:val="15"/>
          <w:color w:val="auto"/>
        </w:rPr>
        <w:t>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IRIDEX to review the information we post on our Facebook page (www.facebook.com/IRIDEX) and Twitter feed (https://twitter.com/IRIDEX). Any information on, or that can be accessed through, our website and social media channels is not part of this report.</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224" w:right="29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Item 1A. Risk Factors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That May Affect Future Results</w:t>
      </w:r>
    </w:p>
    <w:p>
      <w:pPr>
        <w:spacing w:after="0" w:line="120" w:lineRule="exact"/>
        <w:rPr>
          <w:sz w:val="20"/>
          <w:szCs w:val="20"/>
          <w:color w:val="auto"/>
        </w:rPr>
      </w:pPr>
    </w:p>
    <w:p>
      <w:pPr>
        <w:jc w:val="both"/>
        <w:ind w:right="320" w:firstLine="555"/>
        <w:spacing w:after="0" w:line="266" w:lineRule="auto"/>
        <w:rPr>
          <w:sz w:val="20"/>
          <w:szCs w:val="20"/>
          <w:color w:val="auto"/>
        </w:rPr>
      </w:pPr>
      <w:r>
        <w:rPr>
          <w:rFonts w:ascii="Arial" w:cs="Arial" w:eastAsia="Arial" w:hAnsi="Arial"/>
          <w:sz w:val="17"/>
          <w:szCs w:val="17"/>
          <w:color w:val="auto"/>
        </w:rPr>
        <w:t>In addition to the other information contained in this Annual Report Form 10-K,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w:t>
      </w:r>
    </w:p>
    <w:p>
      <w:pPr>
        <w:spacing w:after="0" w:line="120"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b w:val="1"/>
          <w:bCs w:val="1"/>
          <w:i w:val="1"/>
          <w:iCs w:val="1"/>
          <w:color w:val="auto"/>
        </w:rPr>
        <w:t>We face quality control and other production issues that could materially and adversely impact our sales and financial results and the acceptance of our products.</w:t>
      </w:r>
    </w:p>
    <w:p>
      <w:pPr>
        <w:spacing w:after="0" w:line="61" w:lineRule="exact"/>
        <w:rPr>
          <w:sz w:val="20"/>
          <w:szCs w:val="20"/>
          <w:color w:val="auto"/>
        </w:rPr>
      </w:pPr>
    </w:p>
    <w:p>
      <w:pPr>
        <w:ind w:right="660" w:firstLine="555"/>
        <w:spacing w:after="0" w:line="279" w:lineRule="auto"/>
        <w:rPr>
          <w:sz w:val="20"/>
          <w:szCs w:val="20"/>
          <w:color w:val="auto"/>
        </w:rPr>
      </w:pPr>
      <w:r>
        <w:rPr>
          <w:rFonts w:ascii="Arial" w:cs="Arial" w:eastAsia="Arial" w:hAnsi="Arial"/>
          <w:sz w:val="17"/>
          <w:szCs w:val="17"/>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1" w:lineRule="exact"/>
        <w:rPr>
          <w:sz w:val="20"/>
          <w:szCs w:val="20"/>
          <w:color w:val="auto"/>
        </w:rPr>
      </w:pPr>
    </w:p>
    <w:p>
      <w:pPr>
        <w:ind w:right="520" w:firstLine="555"/>
        <w:spacing w:after="0" w:line="290" w:lineRule="auto"/>
        <w:rPr>
          <w:sz w:val="20"/>
          <w:szCs w:val="20"/>
          <w:color w:val="auto"/>
        </w:rPr>
      </w:pPr>
      <w:r>
        <w:rPr>
          <w:rFonts w:ascii="Arial" w:cs="Arial" w:eastAsia="Arial" w:hAnsi="Arial"/>
          <w:sz w:val="16"/>
          <w:szCs w:val="16"/>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55" w:lineRule="exact"/>
        <w:rPr>
          <w:sz w:val="20"/>
          <w:szCs w:val="20"/>
          <w:color w:val="auto"/>
        </w:rPr>
      </w:pPr>
    </w:p>
    <w:p>
      <w:pPr>
        <w:ind w:right="160" w:firstLine="555"/>
        <w:spacing w:after="0" w:line="299" w:lineRule="auto"/>
        <w:rPr>
          <w:sz w:val="20"/>
          <w:szCs w:val="20"/>
          <w:color w:val="auto"/>
        </w:rPr>
      </w:pPr>
      <w:r>
        <w:rPr>
          <w:rFonts w:ascii="Arial" w:cs="Arial" w:eastAsia="Arial" w:hAnsi="Arial"/>
          <w:sz w:val="15"/>
          <w:szCs w:val="15"/>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51"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1" w:lineRule="exact"/>
        <w:rPr>
          <w:sz w:val="20"/>
          <w:szCs w:val="20"/>
          <w:color w:val="auto"/>
        </w:rPr>
      </w:pPr>
    </w:p>
    <w:p>
      <w:pPr>
        <w:ind w:right="20" w:firstLine="555"/>
        <w:spacing w:after="0" w:line="275"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67" w:lineRule="exact"/>
        <w:rPr>
          <w:sz w:val="20"/>
          <w:szCs w:val="20"/>
          <w:color w:val="auto"/>
        </w:rPr>
      </w:pPr>
    </w:p>
    <w:p>
      <w:pPr>
        <w:ind w:right="40" w:firstLine="555"/>
        <w:spacing w:after="0" w:line="266" w:lineRule="auto"/>
        <w:rPr>
          <w:sz w:val="20"/>
          <w:szCs w:val="20"/>
          <w:color w:val="auto"/>
        </w:rPr>
      </w:pPr>
      <w:r>
        <w:rPr>
          <w:rFonts w:ascii="Arial" w:cs="Arial" w:eastAsia="Arial" w:hAnsi="Arial"/>
          <w:sz w:val="17"/>
          <w:szCs w:val="17"/>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72" w:lineRule="exact"/>
        <w:rPr>
          <w:sz w:val="20"/>
          <w:szCs w:val="20"/>
          <w:color w:val="auto"/>
        </w:rPr>
      </w:pPr>
    </w:p>
    <w:p>
      <w:pPr>
        <w:ind w:left="1120" w:hanging="563"/>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loss of customers;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costs of product returns and warranty expenses;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damage to our brand reputation;</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 to attract new customers or achieve market acceptance;</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diversion of development and engineering resources; and</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legal actions by our customers.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ind w:right="260" w:firstLine="555"/>
        <w:spacing w:after="0" w:line="279" w:lineRule="auto"/>
        <w:rPr>
          <w:sz w:val="20"/>
          <w:szCs w:val="20"/>
          <w:color w:val="auto"/>
        </w:rPr>
      </w:pPr>
      <w:r>
        <w:rPr>
          <w:rFonts w:ascii="Arial" w:cs="Arial" w:eastAsia="Arial" w:hAnsi="Arial"/>
          <w:sz w:val="17"/>
          <w:szCs w:val="17"/>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1" w:lineRule="exact"/>
        <w:rPr>
          <w:sz w:val="20"/>
          <w:szCs w:val="20"/>
          <w:color w:val="auto"/>
        </w:rPr>
      </w:pPr>
    </w:p>
    <w:p>
      <w:pPr>
        <w:ind w:right="100" w:firstLine="555"/>
        <w:spacing w:after="0" w:line="297" w:lineRule="auto"/>
        <w:rPr>
          <w:sz w:val="20"/>
          <w:szCs w:val="20"/>
          <w:color w:val="auto"/>
        </w:rPr>
      </w:pPr>
      <w:r>
        <w:rPr>
          <w:rFonts w:ascii="Arial" w:cs="Arial" w:eastAsia="Arial" w:hAnsi="Arial"/>
          <w:sz w:val="15"/>
          <w:szCs w:val="15"/>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20 employees and one independent representative, respectively and our direct sales force in Germany consists of 3 employees. Our international independent distributors are managed by a team of 6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53" w:lineRule="exact"/>
        <w:rPr>
          <w:sz w:val="20"/>
          <w:szCs w:val="20"/>
          <w:color w:val="auto"/>
        </w:rPr>
      </w:pPr>
    </w:p>
    <w:p>
      <w:pPr>
        <w:ind w:firstLine="555"/>
        <w:spacing w:after="0" w:line="277"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As we establish our direct sales capabilities in Germany, we may be unable to recruit and retain qualified personnel in this region.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Growth in our sales and marketing organization may create operational challenges without immediately offsetting benefits.</w:t>
      </w:r>
    </w:p>
    <w:p>
      <w:pPr>
        <w:spacing w:after="0" w:line="114" w:lineRule="exact"/>
        <w:rPr>
          <w:sz w:val="20"/>
          <w:szCs w:val="20"/>
          <w:color w:val="auto"/>
        </w:rPr>
      </w:pPr>
    </w:p>
    <w:p>
      <w:pPr>
        <w:ind w:right="120" w:firstLine="555"/>
        <w:spacing w:after="0" w:line="277"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67" w:lineRule="exact"/>
        <w:rPr>
          <w:sz w:val="20"/>
          <w:szCs w:val="20"/>
          <w:color w:val="auto"/>
        </w:rPr>
      </w:pPr>
    </w:p>
    <w:p>
      <w:pPr>
        <w:ind w:right="100" w:firstLine="555"/>
        <w:spacing w:after="0" w:line="283"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depend on international sales for a significant portion of our operating results.</w:t>
      </w:r>
    </w:p>
    <w:p>
      <w:pPr>
        <w:spacing w:after="0" w:line="114" w:lineRule="exact"/>
        <w:rPr>
          <w:sz w:val="20"/>
          <w:szCs w:val="20"/>
          <w:color w:val="auto"/>
        </w:rPr>
      </w:pPr>
    </w:p>
    <w:p>
      <w:pPr>
        <w:ind w:right="20" w:firstLine="555"/>
        <w:spacing w:after="0" w:line="277"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fiscal year ended December 29, 2018, our international sales were $20.5 million, or 48.1% of total revenues. We anticipate that international sales will continue to account for a significant portion of our revenues in the foreseeable future. All of our international revenues and costs for the year ended December 29, 2018 have been denominated in U.S. dollars except for a sale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67" w:lineRule="exact"/>
        <w:rPr>
          <w:sz w:val="20"/>
          <w:szCs w:val="20"/>
          <w:color w:val="auto"/>
        </w:rPr>
      </w:pPr>
    </w:p>
    <w:p>
      <w:pPr>
        <w:ind w:left="1120" w:hanging="563"/>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and production issues;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performance of our international channel of distributors;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longer accounts receivable collection periods;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impact of recessions in global economies and availability of credit;</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trade sanctions and embargoes;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5" w:name="page16"/>
    <w:bookmarkEnd w:id="15"/>
    <w:p>
      <w:pPr>
        <w:ind w:left="1120" w:hanging="563"/>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impact of international conflicts, terrorist and military activity, civil unrest;</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differing local product preferences and product requirements;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cultural differences;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foreign medical reimbursement and coverage policies and programs;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or limited protections of intellectual property rights in jurisdictions outside the United States;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potentially adverse tax consequences;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protectionist, adverse and changing foreign governmental laws and regulations;</w:t>
      </w:r>
    </w:p>
    <w:p>
      <w:pPr>
        <w:spacing w:after="0" w:line="113" w:lineRule="exact"/>
        <w:rPr>
          <w:rFonts w:ascii="Arial" w:cs="Arial" w:eastAsia="Arial" w:hAnsi="Arial"/>
          <w:sz w:val="17"/>
          <w:szCs w:val="17"/>
          <w:color w:val="auto"/>
        </w:rPr>
      </w:pPr>
    </w:p>
    <w:p>
      <w:pPr>
        <w:ind w:left="1120" w:right="140" w:hanging="563"/>
        <w:spacing w:after="0" w:line="279" w:lineRule="auto"/>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61" w:lineRule="exact"/>
        <w:rPr>
          <w:rFonts w:ascii="Arial" w:cs="Arial" w:eastAsia="Arial" w:hAnsi="Arial"/>
          <w:sz w:val="17"/>
          <w:szCs w:val="17"/>
          <w:color w:val="auto"/>
        </w:rPr>
      </w:pPr>
    </w:p>
    <w:p>
      <w:pPr>
        <w:ind w:left="560" w:right="200" w:hanging="3"/>
        <w:spacing w:after="0" w:line="430" w:lineRule="auto"/>
        <w:tabs>
          <w:tab w:leader="none" w:pos="1114"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compliance costs and risks of non-compliance with multiple regulatory regimes governing the production, marketing, sale and use of our products. Any one or more of these factors stated above could have a material adverse effect on our business, financial condition or results of operations.</w:t>
      </w:r>
    </w:p>
    <w:p>
      <w:pPr>
        <w:spacing w:after="0" w:line="1" w:lineRule="exact"/>
        <w:rPr>
          <w:sz w:val="20"/>
          <w:szCs w:val="20"/>
          <w:color w:val="auto"/>
        </w:rPr>
      </w:pPr>
    </w:p>
    <w:p>
      <w:pPr>
        <w:ind w:right="180" w:firstLine="555"/>
        <w:spacing w:after="0" w:line="262" w:lineRule="auto"/>
        <w:rPr>
          <w:sz w:val="20"/>
          <w:szCs w:val="20"/>
          <w:color w:val="auto"/>
        </w:rPr>
      </w:pPr>
      <w:r>
        <w:rPr>
          <w:rFonts w:ascii="Arial" w:cs="Arial" w:eastAsia="Arial" w:hAnsi="Arial"/>
          <w:sz w:val="17"/>
          <w:szCs w:val="17"/>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75" w:lineRule="exact"/>
        <w:rPr>
          <w:sz w:val="20"/>
          <w:szCs w:val="20"/>
          <w:color w:val="auto"/>
        </w:rPr>
      </w:pPr>
    </w:p>
    <w:p>
      <w:pPr>
        <w:ind w:right="520" w:firstLine="555"/>
        <w:spacing w:after="0" w:line="279" w:lineRule="auto"/>
        <w:rPr>
          <w:sz w:val="20"/>
          <w:szCs w:val="20"/>
          <w:color w:val="auto"/>
        </w:rPr>
      </w:pPr>
      <w:r>
        <w:rPr>
          <w:rFonts w:ascii="Arial" w:cs="Arial" w:eastAsia="Arial" w:hAnsi="Arial"/>
          <w:sz w:val="17"/>
          <w:szCs w:val="17"/>
          <w:b w:val="1"/>
          <w:bCs w:val="1"/>
          <w:i w:val="1"/>
          <w:iCs w:val="1"/>
          <w:color w:val="auto"/>
        </w:rPr>
        <w:t>If we fail to develop and successfully introduce new products and applications or fail to improve our existing products, our business prospects and operating results may suffer.</w:t>
      </w:r>
    </w:p>
    <w:p>
      <w:pPr>
        <w:spacing w:after="0" w:line="61" w:lineRule="exact"/>
        <w:rPr>
          <w:sz w:val="20"/>
          <w:szCs w:val="20"/>
          <w:color w:val="auto"/>
        </w:rPr>
      </w:pPr>
    </w:p>
    <w:p>
      <w:pPr>
        <w:ind w:right="300" w:firstLine="555"/>
        <w:spacing w:after="0" w:line="307" w:lineRule="auto"/>
        <w:rPr>
          <w:sz w:val="20"/>
          <w:szCs w:val="20"/>
          <w:color w:val="auto"/>
        </w:rPr>
      </w:pPr>
      <w:r>
        <w:rPr>
          <w:rFonts w:ascii="Arial" w:cs="Arial" w:eastAsia="Arial" w:hAnsi="Arial"/>
          <w:sz w:val="15"/>
          <w:szCs w:val="15"/>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46" w:lineRule="exact"/>
        <w:rPr>
          <w:sz w:val="20"/>
          <w:szCs w:val="20"/>
          <w:color w:val="auto"/>
        </w:rPr>
      </w:pPr>
    </w:p>
    <w:p>
      <w:pPr>
        <w:ind w:firstLine="555"/>
        <w:spacing w:after="0" w:line="258"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80" w:lineRule="exact"/>
        <w:rPr>
          <w:sz w:val="20"/>
          <w:szCs w:val="20"/>
          <w:color w:val="auto"/>
        </w:rPr>
      </w:pPr>
    </w:p>
    <w:p>
      <w:pPr>
        <w:ind w:right="140" w:firstLine="555"/>
        <w:spacing w:after="0" w:line="290" w:lineRule="auto"/>
        <w:rPr>
          <w:sz w:val="20"/>
          <w:szCs w:val="20"/>
          <w:color w:val="auto"/>
        </w:rPr>
      </w:pPr>
      <w:r>
        <w:rPr>
          <w:rFonts w:ascii="Arial" w:cs="Arial" w:eastAsia="Arial" w:hAnsi="Arial"/>
          <w:sz w:val="16"/>
          <w:szCs w:val="16"/>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are exposed to risks associated with worldwide economic slowdowns and related uncertainties.</w:t>
      </w:r>
    </w:p>
    <w:p>
      <w:pPr>
        <w:spacing w:after="0" w:line="114" w:lineRule="exact"/>
        <w:rPr>
          <w:sz w:val="20"/>
          <w:szCs w:val="20"/>
          <w:color w:val="auto"/>
        </w:rPr>
      </w:pPr>
    </w:p>
    <w:p>
      <w:pPr>
        <w:ind w:right="240" w:firstLine="555"/>
        <w:spacing w:after="0" w:line="262" w:lineRule="auto"/>
        <w:rPr>
          <w:sz w:val="20"/>
          <w:szCs w:val="20"/>
          <w:color w:val="auto"/>
        </w:rPr>
      </w:pPr>
      <w:r>
        <w:rPr>
          <w:rFonts w:ascii="Arial" w:cs="Arial" w:eastAsia="Arial" w:hAnsi="Arial"/>
          <w:sz w:val="17"/>
          <w:szCs w:val="17"/>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 w:name="page17"/>
    <w:bookmarkEnd w:id="16"/>
    <w:p>
      <w:pPr>
        <w:ind w:right="20" w:firstLine="555"/>
        <w:spacing w:after="0" w:line="258" w:lineRule="auto"/>
        <w:rPr>
          <w:sz w:val="20"/>
          <w:szCs w:val="20"/>
          <w:color w:val="auto"/>
        </w:rPr>
      </w:pPr>
      <w:r>
        <w:rPr>
          <w:rFonts w:ascii="Arial" w:cs="Arial" w:eastAsia="Arial" w:hAnsi="Arial"/>
          <w:sz w:val="17"/>
          <w:szCs w:val="17"/>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economic uncertainty persisted, or if the economy entered a prolonged period of decelerating growth, our results of operations may be harmed.</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operating results may fluctuate from quarter to quarter and year to year.</w:t>
      </w:r>
    </w:p>
    <w:p>
      <w:pPr>
        <w:spacing w:after="0" w:line="114" w:lineRule="exact"/>
        <w:rPr>
          <w:sz w:val="20"/>
          <w:szCs w:val="20"/>
          <w:color w:val="auto"/>
        </w:rPr>
      </w:pPr>
    </w:p>
    <w:p>
      <w:pPr>
        <w:ind w:right="420" w:firstLine="555"/>
        <w:spacing w:after="0" w:line="279" w:lineRule="auto"/>
        <w:rPr>
          <w:sz w:val="20"/>
          <w:szCs w:val="20"/>
          <w:color w:val="auto"/>
        </w:rPr>
      </w:pPr>
      <w:r>
        <w:rPr>
          <w:rFonts w:ascii="Arial" w:cs="Arial" w:eastAsia="Arial" w:hAnsi="Arial"/>
          <w:sz w:val="17"/>
          <w:szCs w:val="17"/>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61" w:lineRule="exact"/>
        <w:rPr>
          <w:sz w:val="20"/>
          <w:szCs w:val="20"/>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prices at which we can sell our products, including the impact of changes in exchange rates;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uncertainties and political concerns;</w:t>
      </w:r>
    </w:p>
    <w:p>
      <w:pPr>
        <w:spacing w:after="0" w:line="113" w:lineRule="exact"/>
        <w:rPr>
          <w:rFonts w:ascii="Arial" w:cs="Arial" w:eastAsia="Arial" w:hAnsi="Arial"/>
          <w:sz w:val="17"/>
          <w:szCs w:val="17"/>
          <w:color w:val="auto"/>
        </w:rPr>
      </w:pPr>
    </w:p>
    <w:p>
      <w:pPr>
        <w:ind w:left="1120" w:right="240" w:hanging="563"/>
        <w:spacing w:after="0" w:line="279"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introduction of new products, product enhancements and new applications by our competitors, including new drugs, entry of new competitors into our markets, pricing pressures and other competitive factors;</w:t>
      </w:r>
    </w:p>
    <w:p>
      <w:pPr>
        <w:spacing w:after="0" w:line="61" w:lineRule="exact"/>
        <w:rPr>
          <w:rFonts w:ascii="Arial" w:cs="Arial" w:eastAsia="Arial" w:hAnsi="Arial"/>
          <w:sz w:val="17"/>
          <w:szCs w:val="17"/>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the introduction and market acceptance of new products, product enhancements and new applications;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demand for our existing line of ophthalmology products;</w:t>
      </w:r>
    </w:p>
    <w:p>
      <w:pPr>
        <w:spacing w:after="0" w:line="113" w:lineRule="exact"/>
        <w:rPr>
          <w:rFonts w:ascii="Arial" w:cs="Arial" w:eastAsia="Arial" w:hAnsi="Arial"/>
          <w:sz w:val="17"/>
          <w:szCs w:val="17"/>
          <w:color w:val="auto"/>
        </w:rPr>
      </w:pPr>
    </w:p>
    <w:p>
      <w:pPr>
        <w:ind w:left="1120" w:right="400" w:hanging="563"/>
        <w:spacing w:after="0" w:line="279"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 and availability of components and subassemblies, including the willingness and ability of our sole or limited source suppliers to timely deliver components at the times and prices that we have planned;</w:t>
      </w:r>
    </w:p>
    <w:p>
      <w:pPr>
        <w:spacing w:after="0" w:line="61" w:lineRule="exact"/>
        <w:rPr>
          <w:rFonts w:ascii="Arial" w:cs="Arial" w:eastAsia="Arial" w:hAnsi="Arial"/>
          <w:sz w:val="17"/>
          <w:szCs w:val="17"/>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maintain sales volumes at a level sufficient to cover fixed manufacturing and operating costs;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our product mix within ophthalmology products and foreign and domestic sales;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 of regulatory approvals and changes in domestic and foreign regulatory requirements;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long and highly variable sales cycle;</w:t>
      </w:r>
    </w:p>
    <w:p>
      <w:pPr>
        <w:spacing w:after="0" w:line="113" w:lineRule="exact"/>
        <w:rPr>
          <w:rFonts w:ascii="Arial" w:cs="Arial" w:eastAsia="Arial" w:hAnsi="Arial"/>
          <w:sz w:val="17"/>
          <w:szCs w:val="17"/>
          <w:color w:val="auto"/>
        </w:rPr>
      </w:pPr>
    </w:p>
    <w:p>
      <w:pPr>
        <w:ind w:left="1120" w:hanging="563"/>
        <w:spacing w:after="0" w:line="279"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customers’ or potential customers’ budgets as a result of, among other things, reimbursement policies of government programs and private insurers for treatments that use our products;</w:t>
      </w:r>
    </w:p>
    <w:p>
      <w:pPr>
        <w:spacing w:after="0" w:line="61" w:lineRule="exact"/>
        <w:rPr>
          <w:rFonts w:ascii="Arial" w:cs="Arial" w:eastAsia="Arial" w:hAnsi="Arial"/>
          <w:sz w:val="17"/>
          <w:szCs w:val="17"/>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variances in shipment volumes as a result of product, supply chain and training issues; and</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product innovation costs.</w:t>
      </w:r>
    </w:p>
    <w:p>
      <w:pPr>
        <w:spacing w:after="0" w:line="114"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61" w:lineRule="exact"/>
        <w:rPr>
          <w:sz w:val="20"/>
          <w:szCs w:val="20"/>
          <w:color w:val="auto"/>
        </w:rPr>
      </w:pPr>
    </w:p>
    <w:p>
      <w:pPr>
        <w:ind w:right="60" w:firstLine="555"/>
        <w:spacing w:after="0" w:line="299" w:lineRule="auto"/>
        <w:rPr>
          <w:sz w:val="20"/>
          <w:szCs w:val="20"/>
          <w:color w:val="auto"/>
        </w:rPr>
      </w:pPr>
      <w:r>
        <w:rPr>
          <w:rFonts w:ascii="Arial" w:cs="Arial" w:eastAsia="Arial" w:hAnsi="Arial"/>
          <w:sz w:val="15"/>
          <w:szCs w:val="15"/>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7" w:name="page18"/>
    <w:bookmarkEnd w:id="17"/>
    <w:p>
      <w:pPr>
        <w:ind w:right="260" w:firstLine="555"/>
        <w:spacing w:after="0" w:line="279" w:lineRule="auto"/>
        <w:rPr>
          <w:sz w:val="20"/>
          <w:szCs w:val="20"/>
          <w:color w:val="auto"/>
        </w:rPr>
      </w:pPr>
      <w:r>
        <w:rPr>
          <w:rFonts w:ascii="Arial" w:cs="Arial" w:eastAsia="Arial" w:hAnsi="Arial"/>
          <w:sz w:val="17"/>
          <w:szCs w:val="17"/>
          <w:b w:val="1"/>
          <w:bCs w:val="1"/>
          <w:i w:val="1"/>
          <w:iCs w:val="1"/>
          <w:color w:val="auto"/>
        </w:rPr>
        <w:t>We rely on continued market acceptance of our existing products and any decline in sales of our existing products would adversely affect our business and results of operations.</w:t>
      </w:r>
    </w:p>
    <w:p>
      <w:pPr>
        <w:spacing w:after="0" w:line="61" w:lineRule="exact"/>
        <w:rPr>
          <w:sz w:val="20"/>
          <w:szCs w:val="20"/>
          <w:color w:val="auto"/>
        </w:rPr>
      </w:pPr>
    </w:p>
    <w:p>
      <w:pPr>
        <w:ind w:right="200" w:firstLine="555"/>
        <w:spacing w:after="0" w:line="279" w:lineRule="auto"/>
        <w:rPr>
          <w:sz w:val="20"/>
          <w:szCs w:val="20"/>
          <w:color w:val="auto"/>
        </w:rPr>
      </w:pPr>
      <w:r>
        <w:rPr>
          <w:rFonts w:ascii="Arial" w:cs="Arial" w:eastAsia="Arial" w:hAnsi="Arial"/>
          <w:sz w:val="17"/>
          <w:szCs w:val="17"/>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1" w:lineRule="exact"/>
        <w:rPr>
          <w:sz w:val="20"/>
          <w:szCs w:val="20"/>
          <w:color w:val="auto"/>
        </w:rPr>
      </w:pPr>
    </w:p>
    <w:p>
      <w:pPr>
        <w:ind w:left="1120" w:right="140" w:hanging="563"/>
        <w:spacing w:after="0" w:line="279"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acceptance of product performance, features, ease of use, scalability and durability, including with respect to our MicroPulse laser photocoagulation systems;</w:t>
      </w:r>
    </w:p>
    <w:p>
      <w:pPr>
        <w:spacing w:after="0" w:line="61" w:lineRule="exact"/>
        <w:rPr>
          <w:rFonts w:ascii="Arial" w:cs="Arial" w:eastAsia="Arial" w:hAnsi="Arial"/>
          <w:sz w:val="17"/>
          <w:szCs w:val="17"/>
          <w:color w:val="auto"/>
        </w:rPr>
      </w:pPr>
    </w:p>
    <w:p>
      <w:pPr>
        <w:ind w:left="1120" w:hanging="563"/>
        <w:spacing w:after="0"/>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recommendations and opinions by ophthalmologists, other clinicians, and their associated opinion leaders;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marketing and clinical study outcomes;</w:t>
      </w:r>
    </w:p>
    <w:p>
      <w:pPr>
        <w:spacing w:after="0" w:line="113" w:lineRule="exact"/>
        <w:rPr>
          <w:rFonts w:ascii="Arial" w:cs="Arial" w:eastAsia="Arial" w:hAnsi="Arial"/>
          <w:sz w:val="17"/>
          <w:szCs w:val="17"/>
          <w:color w:val="auto"/>
        </w:rPr>
      </w:pPr>
    </w:p>
    <w:p>
      <w:pPr>
        <w:ind w:left="1120" w:right="380" w:hanging="563"/>
        <w:spacing w:after="0" w:line="279"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1" w:lineRule="exact"/>
        <w:rPr>
          <w:rFonts w:ascii="Arial" w:cs="Arial" w:eastAsia="Arial" w:hAnsi="Arial"/>
          <w:sz w:val="17"/>
          <w:szCs w:val="17"/>
          <w:color w:val="auto"/>
        </w:rPr>
      </w:pPr>
    </w:p>
    <w:p>
      <w:pPr>
        <w:ind w:left="1120" w:hanging="563"/>
        <w:spacing w:after="0"/>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of competing products, technologies and alternative treatments; and</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of reimbursement for treatments administered with our products.</w:t>
      </w:r>
    </w:p>
    <w:p>
      <w:pPr>
        <w:spacing w:after="0" w:line="114" w:lineRule="exact"/>
        <w:rPr>
          <w:sz w:val="20"/>
          <w:szCs w:val="20"/>
          <w:color w:val="auto"/>
        </w:rPr>
      </w:pPr>
    </w:p>
    <w:p>
      <w:pPr>
        <w:ind w:right="140" w:firstLine="555"/>
        <w:spacing w:after="0" w:line="277" w:lineRule="auto"/>
        <w:rPr>
          <w:sz w:val="20"/>
          <w:szCs w:val="20"/>
          <w:color w:val="auto"/>
        </w:rPr>
      </w:pPr>
      <w:r>
        <w:rPr>
          <w:rFonts w:ascii="Arial" w:cs="Arial" w:eastAsia="Arial" w:hAnsi="Arial"/>
          <w:sz w:val="16"/>
          <w:szCs w:val="16"/>
          <w:color w:val="auto"/>
        </w:rPr>
        <w:t>In addition, we derive a meaningful portion of our sales in the form of recurring revenues from selling consumable instrumentation, including our MP3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face strong competition in our markets and expect the level of competition to grow in the foreseeable future.</w:t>
      </w:r>
    </w:p>
    <w:p>
      <w:pPr>
        <w:spacing w:after="0" w:line="114"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55" w:lineRule="exact"/>
        <w:rPr>
          <w:sz w:val="20"/>
          <w:szCs w:val="20"/>
          <w:color w:val="auto"/>
        </w:rPr>
      </w:pPr>
    </w:p>
    <w:p>
      <w:pPr>
        <w:ind w:firstLine="555"/>
        <w:spacing w:after="0" w:line="273" w:lineRule="auto"/>
        <w:rPr>
          <w:sz w:val="20"/>
          <w:szCs w:val="20"/>
          <w:color w:val="auto"/>
        </w:rPr>
      </w:pPr>
      <w:r>
        <w:rPr>
          <w:rFonts w:ascii="Arial" w:cs="Arial" w:eastAsia="Arial" w:hAnsi="Arial"/>
          <w:sz w:val="16"/>
          <w:szCs w:val="16"/>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Glaukos, New World Medical and Ivantis. Pharmaceuticals represent alternative treatments to our laser procedures. Some of our principal pharmaceutical competitors are Alcon, Allergan, OSI Pharmaceuticals (Astellas),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3" w:lineRule="exact"/>
        <w:rPr>
          <w:sz w:val="20"/>
          <w:szCs w:val="20"/>
          <w:color w:val="auto"/>
        </w:rPr>
      </w:pPr>
    </w:p>
    <w:p>
      <w:pPr>
        <w:ind w:right="740" w:firstLine="555"/>
        <w:spacing w:after="0" w:line="279" w:lineRule="auto"/>
        <w:rPr>
          <w:sz w:val="20"/>
          <w:szCs w:val="20"/>
          <w:color w:val="auto"/>
        </w:rPr>
      </w:pPr>
      <w:r>
        <w:rPr>
          <w:rFonts w:ascii="Arial" w:cs="Arial" w:eastAsia="Arial" w:hAnsi="Arial"/>
          <w:sz w:val="17"/>
          <w:szCs w:val="17"/>
          <w:b w:val="1"/>
          <w:bCs w:val="1"/>
          <w:i w:val="1"/>
          <w:iCs w:val="1"/>
          <w:color w:val="auto"/>
        </w:rPr>
        <w:t>Our operating results may be adversely affected by uncertainty regarding healthcare reform measures and changes in third-party coverage and reimbursement policies.</w:t>
      </w:r>
    </w:p>
    <w:p>
      <w:pPr>
        <w:spacing w:after="0" w:line="61" w:lineRule="exact"/>
        <w:rPr>
          <w:sz w:val="20"/>
          <w:szCs w:val="20"/>
          <w:color w:val="auto"/>
        </w:rPr>
      </w:pPr>
    </w:p>
    <w:p>
      <w:pPr>
        <w:ind w:right="20" w:firstLine="555"/>
        <w:spacing w:after="0" w:line="276" w:lineRule="auto"/>
        <w:rPr>
          <w:sz w:val="20"/>
          <w:szCs w:val="20"/>
          <w:color w:val="auto"/>
        </w:rPr>
      </w:pPr>
      <w:r>
        <w:rPr>
          <w:rFonts w:ascii="Arial" w:cs="Arial" w:eastAsia="Arial" w:hAnsi="Arial"/>
          <w:sz w:val="16"/>
          <w:szCs w:val="16"/>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8" w:name="page19"/>
    <w:bookmarkEnd w:id="18"/>
    <w:p>
      <w:pPr>
        <w:ind w:right="160"/>
        <w:spacing w:after="0" w:line="262" w:lineRule="auto"/>
        <w:rPr>
          <w:sz w:val="20"/>
          <w:szCs w:val="20"/>
          <w:color w:val="auto"/>
        </w:rPr>
      </w:pPr>
      <w:r>
        <w:rPr>
          <w:rFonts w:ascii="Arial" w:cs="Arial" w:eastAsia="Arial" w:hAnsi="Arial"/>
          <w:sz w:val="17"/>
          <w:szCs w:val="17"/>
          <w:color w:val="auto"/>
        </w:rPr>
        <w:t>Care and Education Reconciliation Act of 2010, collectively, the “Affordable Care Act”, and the current U.S. presidential administration has announced certain policy changes that could impact the availability of benefits under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75" w:lineRule="exact"/>
        <w:rPr>
          <w:sz w:val="20"/>
          <w:szCs w:val="20"/>
          <w:color w:val="auto"/>
        </w:rPr>
      </w:pPr>
    </w:p>
    <w:p>
      <w:pPr>
        <w:ind w:right="60" w:firstLine="555"/>
        <w:spacing w:after="0" w:line="279" w:lineRule="auto"/>
        <w:rPr>
          <w:sz w:val="20"/>
          <w:szCs w:val="20"/>
          <w:color w:val="auto"/>
        </w:rPr>
      </w:pPr>
      <w:r>
        <w:rPr>
          <w:rFonts w:ascii="Arial" w:cs="Arial" w:eastAsia="Arial" w:hAnsi="Arial"/>
          <w:sz w:val="16"/>
          <w:szCs w:val="16"/>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Denial of coverage and reimbursement of our products, or the revocation or changes to coverage and reimbursement policies, could have a material adverse effect on our business, results of operations and financial condition.</w:t>
      </w:r>
    </w:p>
    <w:p>
      <w:pPr>
        <w:spacing w:after="0" w:line="65" w:lineRule="exact"/>
        <w:rPr>
          <w:sz w:val="20"/>
          <w:szCs w:val="20"/>
          <w:color w:val="auto"/>
        </w:rPr>
      </w:pPr>
    </w:p>
    <w:p>
      <w:pPr>
        <w:ind w:right="40" w:firstLine="555"/>
        <w:spacing w:after="0" w:line="283"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60" w:lineRule="exact"/>
        <w:rPr>
          <w:sz w:val="20"/>
          <w:szCs w:val="20"/>
          <w:color w:val="auto"/>
        </w:rPr>
      </w:pPr>
    </w:p>
    <w:p>
      <w:pPr>
        <w:ind w:right="660" w:firstLine="555"/>
        <w:spacing w:after="0" w:line="279" w:lineRule="auto"/>
        <w:rPr>
          <w:sz w:val="20"/>
          <w:szCs w:val="20"/>
          <w:color w:val="auto"/>
        </w:rPr>
      </w:pPr>
      <w:r>
        <w:rPr>
          <w:rFonts w:ascii="Arial" w:cs="Arial" w:eastAsia="Arial" w:hAnsi="Arial"/>
          <w:sz w:val="17"/>
          <w:szCs w:val="17"/>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1" w:lineRule="exact"/>
        <w:rPr>
          <w:sz w:val="20"/>
          <w:szCs w:val="20"/>
          <w:color w:val="auto"/>
        </w:rPr>
      </w:pPr>
    </w:p>
    <w:p>
      <w:pPr>
        <w:ind w:right="20" w:firstLine="555"/>
        <w:spacing w:after="0" w:line="292" w:lineRule="auto"/>
        <w:rPr>
          <w:sz w:val="20"/>
          <w:szCs w:val="20"/>
          <w:color w:val="auto"/>
        </w:rPr>
      </w:pPr>
      <w:r>
        <w:rPr>
          <w:rFonts w:ascii="Arial" w:cs="Arial" w:eastAsia="Arial" w:hAnsi="Arial"/>
          <w:sz w:val="15"/>
          <w:szCs w:val="15"/>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56" w:lineRule="exact"/>
        <w:rPr>
          <w:sz w:val="20"/>
          <w:szCs w:val="20"/>
          <w:color w:val="auto"/>
        </w:rPr>
      </w:pPr>
    </w:p>
    <w:p>
      <w:pPr>
        <w:ind w:firstLine="555"/>
        <w:spacing w:after="0" w:line="292" w:lineRule="auto"/>
        <w:rPr>
          <w:sz w:val="20"/>
          <w:szCs w:val="20"/>
          <w:color w:val="auto"/>
        </w:rPr>
      </w:pPr>
      <w:r>
        <w:rPr>
          <w:rFonts w:ascii="Arial" w:cs="Arial" w:eastAsia="Arial" w:hAnsi="Arial"/>
          <w:sz w:val="15"/>
          <w:szCs w:val="15"/>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Open Payments, commonly known as the Sunshine Act, is a relatively new law, and compliance with this law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9" w:name="page20"/>
    <w:bookmarkEnd w:id="19"/>
    <w:p>
      <w:pPr>
        <w:ind w:left="56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25" w:lineRule="exact"/>
        <w:rPr>
          <w:sz w:val="20"/>
          <w:szCs w:val="20"/>
          <w:color w:val="auto"/>
        </w:rPr>
      </w:pPr>
    </w:p>
    <w:p>
      <w:pPr>
        <w:ind w:right="60" w:firstLine="555"/>
        <w:spacing w:after="0" w:line="277"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67" w:lineRule="exact"/>
        <w:rPr>
          <w:sz w:val="20"/>
          <w:szCs w:val="20"/>
          <w:color w:val="auto"/>
        </w:rPr>
      </w:pPr>
    </w:p>
    <w:p>
      <w:pPr>
        <w:ind w:right="140" w:firstLine="555"/>
        <w:spacing w:after="0" w:line="279" w:lineRule="auto"/>
        <w:rPr>
          <w:sz w:val="20"/>
          <w:szCs w:val="20"/>
          <w:color w:val="auto"/>
        </w:rPr>
      </w:pPr>
      <w:r>
        <w:rPr>
          <w:rFonts w:ascii="Arial" w:cs="Arial" w:eastAsia="Arial" w:hAnsi="Arial"/>
          <w:sz w:val="17"/>
          <w:szCs w:val="17"/>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1" w:lineRule="exact"/>
        <w:rPr>
          <w:sz w:val="20"/>
          <w:szCs w:val="20"/>
          <w:color w:val="auto"/>
        </w:rPr>
      </w:pPr>
    </w:p>
    <w:p>
      <w:pPr>
        <w:ind w:right="180" w:firstLine="555"/>
        <w:spacing w:after="0" w:line="259"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80" w:lineRule="exact"/>
        <w:rPr>
          <w:sz w:val="20"/>
          <w:szCs w:val="20"/>
          <w:color w:val="auto"/>
        </w:rPr>
      </w:pPr>
    </w:p>
    <w:p>
      <w:pPr>
        <w:ind w:right="420" w:firstLine="555"/>
        <w:spacing w:after="0" w:line="279" w:lineRule="auto"/>
        <w:rPr>
          <w:sz w:val="20"/>
          <w:szCs w:val="20"/>
          <w:color w:val="auto"/>
        </w:rPr>
      </w:pPr>
      <w:r>
        <w:rPr>
          <w:rFonts w:ascii="Arial" w:cs="Arial" w:eastAsia="Arial" w:hAnsi="Arial"/>
          <w:sz w:val="17"/>
          <w:szCs w:val="17"/>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61" w:lineRule="exact"/>
        <w:rPr>
          <w:sz w:val="20"/>
          <w:szCs w:val="20"/>
          <w:color w:val="auto"/>
        </w:rPr>
      </w:pPr>
    </w:p>
    <w:p>
      <w:pPr>
        <w:ind w:right="40" w:firstLine="555"/>
        <w:spacing w:after="0" w:line="258"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If we fail to manage growth effectively, our business could be disrupted which could harm our operating results.</w:t>
      </w:r>
    </w:p>
    <w:p>
      <w:pPr>
        <w:spacing w:after="0" w:line="114" w:lineRule="exact"/>
        <w:rPr>
          <w:sz w:val="20"/>
          <w:szCs w:val="20"/>
          <w:color w:val="auto"/>
        </w:rPr>
      </w:pPr>
    </w:p>
    <w:p>
      <w:pPr>
        <w:ind w:firstLine="555"/>
        <w:spacing w:after="0" w:line="279" w:lineRule="auto"/>
        <w:rPr>
          <w:sz w:val="20"/>
          <w:szCs w:val="20"/>
          <w:color w:val="auto"/>
        </w:rPr>
      </w:pPr>
      <w:r>
        <w:rPr>
          <w:rFonts w:ascii="Arial" w:cs="Arial" w:eastAsia="Arial" w:hAnsi="Arial"/>
          <w:sz w:val="16"/>
          <w:szCs w:val="16"/>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6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rely on patents and proprietary rights to protect our intellectual property and business.</w:t>
      </w:r>
    </w:p>
    <w:p>
      <w:pPr>
        <w:spacing w:after="0" w:line="114" w:lineRule="exact"/>
        <w:rPr>
          <w:sz w:val="20"/>
          <w:szCs w:val="20"/>
          <w:color w:val="auto"/>
        </w:rPr>
      </w:pPr>
    </w:p>
    <w:p>
      <w:pPr>
        <w:ind w:right="20" w:firstLine="555"/>
        <w:spacing w:after="0" w:line="295" w:lineRule="auto"/>
        <w:rPr>
          <w:sz w:val="20"/>
          <w:szCs w:val="20"/>
          <w:color w:val="auto"/>
        </w:rPr>
      </w:pPr>
      <w:r>
        <w:rPr>
          <w:rFonts w:ascii="Arial" w:cs="Arial" w:eastAsia="Arial" w:hAnsi="Arial"/>
          <w:sz w:val="15"/>
          <w:szCs w:val="15"/>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20 active United States patents and 13 active foreign patents on the technologies related to our products and processes. In addition, we have 8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57" w:lineRule="exact"/>
        <w:rPr>
          <w:sz w:val="20"/>
          <w:szCs w:val="20"/>
          <w:color w:val="auto"/>
        </w:rPr>
      </w:pPr>
    </w:p>
    <w:p>
      <w:pPr>
        <w:jc w:val="both"/>
        <w:ind w:right="80" w:firstLine="555"/>
        <w:spacing w:after="0" w:line="279" w:lineRule="auto"/>
        <w:rPr>
          <w:sz w:val="20"/>
          <w:szCs w:val="20"/>
          <w:color w:val="auto"/>
        </w:rPr>
      </w:pPr>
      <w:r>
        <w:rPr>
          <w:rFonts w:ascii="Arial" w:cs="Arial" w:eastAsia="Arial" w:hAnsi="Arial"/>
          <w:sz w:val="16"/>
          <w:szCs w:val="16"/>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0" w:name="page21"/>
    <w:bookmarkEnd w:id="20"/>
    <w:p>
      <w:pPr>
        <w:ind w:right="40" w:firstLine="555"/>
        <w:spacing w:after="0" w:line="279" w:lineRule="auto"/>
        <w:rPr>
          <w:sz w:val="20"/>
          <w:szCs w:val="20"/>
          <w:color w:val="auto"/>
        </w:rPr>
      </w:pPr>
      <w:r>
        <w:rPr>
          <w:rFonts w:ascii="Arial" w:cs="Arial" w:eastAsia="Arial" w:hAnsi="Arial"/>
          <w:sz w:val="17"/>
          <w:szCs w:val="17"/>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1" w:lineRule="exact"/>
        <w:rPr>
          <w:sz w:val="20"/>
          <w:szCs w:val="20"/>
          <w:color w:val="auto"/>
        </w:rPr>
      </w:pPr>
    </w:p>
    <w:p>
      <w:pPr>
        <w:ind w:right="100" w:firstLine="555"/>
        <w:spacing w:after="0" w:line="299" w:lineRule="auto"/>
        <w:rPr>
          <w:sz w:val="20"/>
          <w:szCs w:val="20"/>
          <w:color w:val="auto"/>
        </w:rPr>
      </w:pPr>
      <w:r>
        <w:rPr>
          <w:rFonts w:ascii="Arial" w:cs="Arial" w:eastAsia="Arial" w:hAnsi="Arial"/>
          <w:sz w:val="15"/>
          <w:szCs w:val="15"/>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51" w:lineRule="exact"/>
        <w:rPr>
          <w:sz w:val="20"/>
          <w:szCs w:val="20"/>
          <w:color w:val="auto"/>
        </w:rPr>
      </w:pPr>
    </w:p>
    <w:p>
      <w:pPr>
        <w:ind w:right="240" w:firstLine="555"/>
        <w:spacing w:after="0" w:line="307" w:lineRule="auto"/>
        <w:rPr>
          <w:sz w:val="20"/>
          <w:szCs w:val="20"/>
          <w:color w:val="auto"/>
        </w:rPr>
      </w:pPr>
      <w:r>
        <w:rPr>
          <w:rFonts w:ascii="Arial" w:cs="Arial" w:eastAsia="Arial" w:hAnsi="Arial"/>
          <w:sz w:val="15"/>
          <w:szCs w:val="15"/>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25" w:lineRule="exact"/>
        <w:rPr>
          <w:sz w:val="20"/>
          <w:szCs w:val="20"/>
          <w:color w:val="auto"/>
        </w:rPr>
      </w:pPr>
    </w:p>
    <w:p>
      <w:pPr>
        <w:ind w:right="140" w:firstLine="555"/>
        <w:spacing w:after="0" w:line="275" w:lineRule="auto"/>
        <w:rPr>
          <w:sz w:val="20"/>
          <w:szCs w:val="20"/>
          <w:color w:val="auto"/>
        </w:rPr>
      </w:pPr>
      <w:r>
        <w:rPr>
          <w:rFonts w:ascii="Arial" w:cs="Arial" w:eastAsia="Arial" w:hAnsi="Arial"/>
          <w:sz w:val="16"/>
          <w:szCs w:val="16"/>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67"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1" w:lineRule="exact"/>
        <w:rPr>
          <w:sz w:val="20"/>
          <w:szCs w:val="20"/>
          <w:color w:val="auto"/>
        </w:rPr>
      </w:pPr>
    </w:p>
    <w:p>
      <w:pPr>
        <w:ind w:right="100" w:firstLine="555"/>
        <w:spacing w:after="0" w:line="279" w:lineRule="auto"/>
        <w:rPr>
          <w:sz w:val="20"/>
          <w:szCs w:val="20"/>
          <w:color w:val="auto"/>
        </w:rPr>
      </w:pPr>
      <w:r>
        <w:rPr>
          <w:rFonts w:ascii="Arial" w:cs="Arial" w:eastAsia="Arial" w:hAnsi="Arial"/>
          <w:sz w:val="16"/>
          <w:szCs w:val="16"/>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65" w:lineRule="exact"/>
        <w:rPr>
          <w:sz w:val="20"/>
          <w:szCs w:val="20"/>
          <w:color w:val="auto"/>
        </w:rPr>
      </w:pPr>
    </w:p>
    <w:p>
      <w:pPr>
        <w:ind w:firstLine="555"/>
        <w:spacing w:after="0" w:line="262" w:lineRule="auto"/>
        <w:rPr>
          <w:sz w:val="20"/>
          <w:szCs w:val="20"/>
          <w:color w:val="auto"/>
        </w:rPr>
      </w:pPr>
      <w:r>
        <w:rPr>
          <w:rFonts w:ascii="Arial" w:cs="Arial" w:eastAsia="Arial" w:hAnsi="Arial"/>
          <w:sz w:val="17"/>
          <w:szCs w:val="17"/>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75" w:lineRule="exact"/>
        <w:rPr>
          <w:sz w:val="20"/>
          <w:szCs w:val="20"/>
          <w:color w:val="auto"/>
        </w:rPr>
      </w:pPr>
    </w:p>
    <w:p>
      <w:pPr>
        <w:jc w:val="both"/>
        <w:ind w:right="80" w:firstLine="555"/>
        <w:spacing w:after="0" w:line="283" w:lineRule="auto"/>
        <w:rPr>
          <w:sz w:val="20"/>
          <w:szCs w:val="20"/>
          <w:color w:val="auto"/>
        </w:rPr>
      </w:pPr>
      <w:r>
        <w:rPr>
          <w:rFonts w:ascii="Arial" w:cs="Arial" w:eastAsia="Arial" w:hAnsi="Arial"/>
          <w:sz w:val="16"/>
          <w:szCs w:val="16"/>
          <w:color w:val="auto"/>
        </w:rPr>
        <w:t>Sales or issuances of a substantial amount of securities, or the perception that such sales could occur, may adversely affect prevailing market prices for our common stock. As of December 29, 2018, we had 13,602,052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60" w:lineRule="exact"/>
        <w:rPr>
          <w:sz w:val="20"/>
          <w:szCs w:val="20"/>
          <w:color w:val="auto"/>
        </w:rPr>
      </w:pPr>
    </w:p>
    <w:p>
      <w:pPr>
        <w:ind w:right="120" w:firstLine="555"/>
        <w:spacing w:after="0" w:line="283" w:lineRule="auto"/>
        <w:rPr>
          <w:sz w:val="20"/>
          <w:szCs w:val="20"/>
          <w:color w:val="auto"/>
        </w:rPr>
      </w:pPr>
      <w:r>
        <w:rPr>
          <w:rFonts w:ascii="Arial" w:cs="Arial" w:eastAsia="Arial" w:hAnsi="Arial"/>
          <w:sz w:val="16"/>
          <w:szCs w:val="16"/>
          <w:color w:val="auto"/>
        </w:rPr>
        <w:t>As of December 29, 2018, holders of an aggregate of 982,742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21" w:name="page22"/>
    <w:bookmarkEnd w:id="21"/>
    <w:p>
      <w:pPr>
        <w:ind w:right="160" w:firstLine="555"/>
        <w:spacing w:after="0" w:line="262" w:lineRule="auto"/>
        <w:rPr>
          <w:sz w:val="20"/>
          <w:szCs w:val="20"/>
          <w:color w:val="auto"/>
        </w:rPr>
      </w:pPr>
      <w:r>
        <w:rPr>
          <w:rFonts w:ascii="Arial" w:cs="Arial" w:eastAsia="Arial" w:hAnsi="Arial"/>
          <w:sz w:val="17"/>
          <w:szCs w:val="17"/>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75" w:lineRule="exact"/>
        <w:rPr>
          <w:sz w:val="20"/>
          <w:szCs w:val="20"/>
          <w:color w:val="auto"/>
        </w:rPr>
      </w:pPr>
    </w:p>
    <w:p>
      <w:pPr>
        <w:ind w:right="360" w:firstLine="555"/>
        <w:spacing w:after="0" w:line="279" w:lineRule="auto"/>
        <w:rPr>
          <w:sz w:val="20"/>
          <w:szCs w:val="20"/>
          <w:color w:val="auto"/>
        </w:rPr>
      </w:pPr>
      <w:r>
        <w:rPr>
          <w:rFonts w:ascii="Arial" w:cs="Arial" w:eastAsia="Arial" w:hAnsi="Arial"/>
          <w:sz w:val="17"/>
          <w:szCs w:val="17"/>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61" w:lineRule="exact"/>
        <w:rPr>
          <w:sz w:val="20"/>
          <w:szCs w:val="20"/>
          <w:color w:val="auto"/>
        </w:rPr>
      </w:pPr>
    </w:p>
    <w:p>
      <w:pPr>
        <w:ind w:firstLine="555"/>
        <w:spacing w:after="0" w:line="297" w:lineRule="auto"/>
        <w:rPr>
          <w:sz w:val="20"/>
          <w:szCs w:val="20"/>
          <w:color w:val="auto"/>
        </w:rPr>
      </w:pPr>
      <w:r>
        <w:rPr>
          <w:rFonts w:ascii="Arial" w:cs="Arial" w:eastAsia="Arial" w:hAnsi="Arial"/>
          <w:sz w:val="15"/>
          <w:szCs w:val="15"/>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depend on sole source or limited source suppliers.</w:t>
      </w:r>
    </w:p>
    <w:p>
      <w:pPr>
        <w:spacing w:after="0" w:line="114" w:lineRule="exact"/>
        <w:rPr>
          <w:sz w:val="20"/>
          <w:szCs w:val="20"/>
          <w:color w:val="auto"/>
        </w:rPr>
      </w:pPr>
    </w:p>
    <w:p>
      <w:pPr>
        <w:ind w:right="240" w:firstLine="555"/>
        <w:spacing w:after="0" w:line="283"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60" w:lineRule="exact"/>
        <w:rPr>
          <w:sz w:val="20"/>
          <w:szCs w:val="20"/>
          <w:color w:val="auto"/>
        </w:rPr>
      </w:pPr>
    </w:p>
    <w:p>
      <w:pPr>
        <w:ind w:left="1120" w:hanging="563"/>
        <w:spacing w:after="0"/>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unavailability of shortages or limitations on the ability to obtain supplies of components and products in the quantities that we require;</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delays in delivery or failure of suppliers to deliver critical components and products on the dates we require;</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inability to obtain components and products at acceptable prices.</w:t>
      </w:r>
    </w:p>
    <w:p>
      <w:pPr>
        <w:spacing w:after="0" w:line="114" w:lineRule="exact"/>
        <w:rPr>
          <w:sz w:val="20"/>
          <w:szCs w:val="20"/>
          <w:color w:val="auto"/>
        </w:rPr>
      </w:pPr>
    </w:p>
    <w:p>
      <w:pPr>
        <w:ind w:right="60" w:firstLine="555"/>
        <w:spacing w:after="0" w:line="274"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If our facilities were to experience catastrophic loss, our operations would be seriously harmed.</w:t>
      </w:r>
    </w:p>
    <w:p>
      <w:pPr>
        <w:spacing w:after="0" w:line="114" w:lineRule="exact"/>
        <w:rPr>
          <w:sz w:val="20"/>
          <w:szCs w:val="20"/>
          <w:color w:val="auto"/>
        </w:rPr>
      </w:pPr>
    </w:p>
    <w:p>
      <w:pPr>
        <w:jc w:val="both"/>
        <w:ind w:right="420" w:firstLine="555"/>
        <w:spacing w:after="0" w:line="290" w:lineRule="auto"/>
        <w:rPr>
          <w:sz w:val="20"/>
          <w:szCs w:val="20"/>
          <w:color w:val="auto"/>
        </w:rPr>
      </w:pPr>
      <w:r>
        <w:rPr>
          <w:rFonts w:ascii="Arial" w:cs="Arial" w:eastAsia="Arial" w:hAnsi="Arial"/>
          <w:sz w:val="16"/>
          <w:szCs w:val="16"/>
          <w:color w:val="auto"/>
        </w:rPr>
        <w:t>Our facilities could be subject to catastrophic loss such as fire, flood or earthquake. All of our research and development activities, manufacturing, our corporate headquarters and other critical business operations are located near major earthquake faults in Mountain View, California. Any such loss at any of our facilities could disrupt our operations, delay production, shipments and revenue and result in large expense to repair and replace our facilities.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22" w:name="page23"/>
    <w:bookmarkEnd w:id="22"/>
    <w:p>
      <w:pPr>
        <w:ind w:left="560"/>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37" w:lineRule="exact"/>
        <w:rPr>
          <w:sz w:val="20"/>
          <w:szCs w:val="20"/>
          <w:color w:val="auto"/>
        </w:rPr>
      </w:pPr>
    </w:p>
    <w:p>
      <w:pPr>
        <w:ind w:right="20" w:firstLine="555"/>
        <w:spacing w:after="0" w:line="297" w:lineRule="auto"/>
        <w:rPr>
          <w:sz w:val="20"/>
          <w:szCs w:val="20"/>
          <w:color w:val="auto"/>
        </w:rPr>
      </w:pPr>
      <w:r>
        <w:rPr>
          <w:rFonts w:ascii="Arial" w:cs="Arial" w:eastAsia="Arial" w:hAnsi="Arial"/>
          <w:sz w:val="15"/>
          <w:szCs w:val="15"/>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53" w:lineRule="exact"/>
        <w:rPr>
          <w:sz w:val="20"/>
          <w:szCs w:val="20"/>
          <w:color w:val="auto"/>
        </w:rPr>
      </w:pPr>
    </w:p>
    <w:p>
      <w:pPr>
        <w:jc w:val="both"/>
        <w:ind w:right="160" w:firstLine="555"/>
        <w:spacing w:after="0" w:line="262"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75" w:lineRule="exact"/>
        <w:rPr>
          <w:sz w:val="20"/>
          <w:szCs w:val="20"/>
          <w:color w:val="auto"/>
        </w:rPr>
      </w:pPr>
    </w:p>
    <w:p>
      <w:pPr>
        <w:ind w:firstLine="555"/>
        <w:spacing w:after="0" w:line="277"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67" w:lineRule="exact"/>
        <w:rPr>
          <w:sz w:val="20"/>
          <w:szCs w:val="20"/>
          <w:color w:val="auto"/>
        </w:rPr>
      </w:pPr>
    </w:p>
    <w:p>
      <w:pPr>
        <w:ind w:right="40" w:firstLine="555"/>
        <w:spacing w:after="0" w:line="266" w:lineRule="auto"/>
        <w:rPr>
          <w:sz w:val="20"/>
          <w:szCs w:val="20"/>
          <w:color w:val="auto"/>
        </w:rPr>
      </w:pPr>
      <w:r>
        <w:rPr>
          <w:rFonts w:ascii="Arial" w:cs="Arial" w:eastAsia="Arial" w:hAnsi="Arial"/>
          <w:sz w:val="17"/>
          <w:szCs w:val="17"/>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2" w:lineRule="exact"/>
        <w:rPr>
          <w:sz w:val="20"/>
          <w:szCs w:val="20"/>
          <w:color w:val="auto"/>
        </w:rPr>
      </w:pPr>
    </w:p>
    <w:p>
      <w:pPr>
        <w:ind w:right="60" w:firstLine="555"/>
        <w:spacing w:after="0" w:line="258" w:lineRule="auto"/>
        <w:rPr>
          <w:sz w:val="20"/>
          <w:szCs w:val="20"/>
          <w:color w:val="auto"/>
        </w:rPr>
      </w:pPr>
      <w:r>
        <w:rPr>
          <w:rFonts w:ascii="Arial" w:cs="Arial" w:eastAsia="Arial" w:hAnsi="Arial"/>
          <w:sz w:val="17"/>
          <w:szCs w:val="17"/>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80" w:lineRule="exact"/>
        <w:rPr>
          <w:sz w:val="20"/>
          <w:szCs w:val="20"/>
          <w:color w:val="auto"/>
        </w:rPr>
      </w:pPr>
    </w:p>
    <w:p>
      <w:pPr>
        <w:ind w:right="660" w:firstLine="555"/>
        <w:spacing w:after="0" w:line="279" w:lineRule="auto"/>
        <w:rPr>
          <w:sz w:val="20"/>
          <w:szCs w:val="20"/>
          <w:color w:val="auto"/>
        </w:rPr>
      </w:pPr>
      <w:r>
        <w:rPr>
          <w:rFonts w:ascii="Arial" w:cs="Arial" w:eastAsia="Arial" w:hAnsi="Arial"/>
          <w:sz w:val="17"/>
          <w:szCs w:val="17"/>
          <w:b w:val="1"/>
          <w:bCs w:val="1"/>
          <w:i w:val="1"/>
          <w:iCs w:val="1"/>
          <w:color w:val="auto"/>
        </w:rPr>
        <w:t>We are subject to government regulations which may cause us to delay or withdraw the introduction of new products or new applications for our products.</w:t>
      </w:r>
    </w:p>
    <w:p>
      <w:pPr>
        <w:spacing w:after="0" w:line="61" w:lineRule="exact"/>
        <w:rPr>
          <w:sz w:val="20"/>
          <w:szCs w:val="20"/>
          <w:color w:val="auto"/>
        </w:rPr>
      </w:pPr>
    </w:p>
    <w:p>
      <w:pPr>
        <w:ind w:right="40" w:firstLine="555"/>
        <w:spacing w:after="0" w:line="273" w:lineRule="auto"/>
        <w:rPr>
          <w:sz w:val="20"/>
          <w:szCs w:val="20"/>
          <w:color w:val="auto"/>
        </w:rPr>
      </w:pPr>
      <w:r>
        <w:rPr>
          <w:rFonts w:ascii="Arial" w:cs="Arial" w:eastAsia="Arial" w:hAnsi="Arial"/>
          <w:sz w:val="16"/>
          <w:szCs w:val="16"/>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3" w:name="page24"/>
    <w:bookmarkEnd w:id="23"/>
    <w:p>
      <w:pPr>
        <w:ind w:right="260" w:firstLine="555"/>
        <w:spacing w:after="0" w:line="257"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9" w:lineRule="exact"/>
        <w:rPr>
          <w:sz w:val="20"/>
          <w:szCs w:val="20"/>
          <w:color w:val="auto"/>
        </w:rPr>
      </w:pPr>
    </w:p>
    <w:p>
      <w:pPr>
        <w:ind w:firstLine="555"/>
        <w:spacing w:after="0" w:line="259" w:lineRule="auto"/>
        <w:rPr>
          <w:sz w:val="20"/>
          <w:szCs w:val="20"/>
          <w:color w:val="auto"/>
        </w:rPr>
      </w:pPr>
      <w:r>
        <w:rPr>
          <w:rFonts w:ascii="Arial" w:cs="Arial" w:eastAsia="Arial" w:hAnsi="Arial"/>
          <w:sz w:val="17"/>
          <w:szCs w:val="17"/>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40" w:firstLine="555"/>
        <w:spacing w:after="0" w:line="293" w:lineRule="auto"/>
        <w:rPr>
          <w:sz w:val="20"/>
          <w:szCs w:val="20"/>
          <w:color w:val="auto"/>
        </w:rPr>
      </w:pPr>
      <w:r>
        <w:rPr>
          <w:rFonts w:ascii="Arial" w:cs="Arial" w:eastAsia="Arial" w:hAnsi="Arial"/>
          <w:sz w:val="15"/>
          <w:szCs w:val="15"/>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56" w:lineRule="exact"/>
        <w:rPr>
          <w:sz w:val="20"/>
          <w:szCs w:val="20"/>
          <w:color w:val="auto"/>
        </w:rPr>
      </w:pPr>
    </w:p>
    <w:p>
      <w:pPr>
        <w:ind w:right="80" w:firstLine="555"/>
        <w:spacing w:after="0" w:line="259" w:lineRule="auto"/>
        <w:rPr>
          <w:sz w:val="20"/>
          <w:szCs w:val="20"/>
          <w:color w:val="auto"/>
        </w:rPr>
      </w:pPr>
      <w:r>
        <w:rPr>
          <w:rFonts w:ascii="Arial" w:cs="Arial" w:eastAsia="Arial" w:hAnsi="Arial"/>
          <w:sz w:val="17"/>
          <w:szCs w:val="17"/>
          <w:color w:val="auto"/>
        </w:rPr>
        <w:t>Further, in order to maintain medical device sales in Canada, we must obtain the ISO 13485:2016 certificate through the MDSAP. MDSAP allows a single audit of a medical device manufacturer's Quality Management Systems which satisfies the requirements of multiple regulatory jurisdictions - Australia, Brazil, Canada, Japan and the United States. The MDSAP audit program is voluntary in all countries except Canada. MDSAP may impose a higher compliance burden than the CE Mark through more rigorous audit requirements. If we do not comply with the new MDSAP standard, we will not be able to sell our products in Canada after December 31, 2019.</w:t>
      </w:r>
    </w:p>
    <w:p>
      <w:pPr>
        <w:spacing w:after="0" w:line="80" w:lineRule="exact"/>
        <w:rPr>
          <w:sz w:val="20"/>
          <w:szCs w:val="20"/>
          <w:color w:val="auto"/>
        </w:rPr>
      </w:pPr>
    </w:p>
    <w:p>
      <w:pPr>
        <w:ind w:right="320" w:firstLine="555"/>
        <w:spacing w:after="0" w:line="279" w:lineRule="auto"/>
        <w:rPr>
          <w:sz w:val="20"/>
          <w:szCs w:val="20"/>
          <w:color w:val="auto"/>
        </w:rPr>
      </w:pPr>
      <w:r>
        <w:rPr>
          <w:rFonts w:ascii="Arial" w:cs="Arial" w:eastAsia="Arial" w:hAnsi="Arial"/>
          <w:sz w:val="17"/>
          <w:szCs w:val="17"/>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61" w:lineRule="exact"/>
        <w:rPr>
          <w:sz w:val="20"/>
          <w:szCs w:val="20"/>
          <w:color w:val="auto"/>
        </w:rPr>
      </w:pPr>
    </w:p>
    <w:p>
      <w:pPr>
        <w:ind w:right="20" w:firstLine="555"/>
        <w:spacing w:after="0" w:line="257"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82"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b w:val="1"/>
          <w:bCs w:val="1"/>
          <w:i w:val="1"/>
          <w:iCs w:val="1"/>
          <w:color w:val="auto"/>
        </w:rPr>
        <w:t>If we fail to comply with the FDA’s quality system regulation and laser performance standards, our manufacturing operations could be halted, and our business would suffer.</w:t>
      </w:r>
    </w:p>
    <w:p>
      <w:pPr>
        <w:spacing w:after="0" w:line="61" w:lineRule="exact"/>
        <w:rPr>
          <w:sz w:val="20"/>
          <w:szCs w:val="20"/>
          <w:color w:val="auto"/>
        </w:rPr>
      </w:pPr>
    </w:p>
    <w:p>
      <w:pPr>
        <w:ind w:firstLine="555"/>
        <w:spacing w:after="0" w:line="299" w:lineRule="auto"/>
        <w:rPr>
          <w:sz w:val="20"/>
          <w:szCs w:val="20"/>
          <w:color w:val="auto"/>
        </w:rPr>
      </w:pPr>
      <w:r>
        <w:rPr>
          <w:rFonts w:ascii="Arial" w:cs="Arial" w:eastAsia="Arial" w:hAnsi="Arial"/>
          <w:sz w:val="15"/>
          <w:szCs w:val="15"/>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24" w:name="page25"/>
    <w:bookmarkEnd w:id="24"/>
    <w:p>
      <w:pPr>
        <w:ind w:right="40"/>
        <w:spacing w:after="0" w:line="349" w:lineRule="auto"/>
        <w:rPr>
          <w:sz w:val="20"/>
          <w:szCs w:val="20"/>
          <w:color w:val="auto"/>
        </w:rPr>
      </w:pPr>
      <w:r>
        <w:rPr>
          <w:rFonts w:ascii="Arial" w:cs="Arial" w:eastAsia="Arial" w:hAnsi="Arial"/>
          <w:sz w:val="15"/>
          <w:szCs w:val="15"/>
          <w:color w:val="auto"/>
        </w:rPr>
        <w:t>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14"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1" w:lineRule="exact"/>
        <w:rPr>
          <w:sz w:val="20"/>
          <w:szCs w:val="20"/>
          <w:color w:val="auto"/>
        </w:rPr>
      </w:pPr>
    </w:p>
    <w:p>
      <w:pPr>
        <w:ind w:firstLine="555"/>
        <w:spacing w:after="0" w:line="257" w:lineRule="auto"/>
        <w:rPr>
          <w:sz w:val="20"/>
          <w:szCs w:val="20"/>
          <w:color w:val="auto"/>
        </w:rPr>
      </w:pPr>
      <w:r>
        <w:rPr>
          <w:rFonts w:ascii="Arial" w:cs="Arial" w:eastAsia="Arial" w:hAnsi="Arial"/>
          <w:sz w:val="17"/>
          <w:szCs w:val="17"/>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products may be misused, which could harm our reputation and our business.</w:t>
      </w:r>
    </w:p>
    <w:p>
      <w:pPr>
        <w:spacing w:after="0" w:line="114" w:lineRule="exact"/>
        <w:rPr>
          <w:sz w:val="20"/>
          <w:szCs w:val="20"/>
          <w:color w:val="auto"/>
        </w:rPr>
      </w:pPr>
    </w:p>
    <w:p>
      <w:pPr>
        <w:ind w:right="40" w:firstLine="555"/>
        <w:spacing w:after="0" w:line="275" w:lineRule="auto"/>
        <w:rPr>
          <w:sz w:val="20"/>
          <w:szCs w:val="20"/>
          <w:color w:val="auto"/>
        </w:rPr>
      </w:pPr>
      <w:r>
        <w:rPr>
          <w:rFonts w:ascii="Arial" w:cs="Arial" w:eastAsia="Arial" w:hAnsi="Arial"/>
          <w:sz w:val="16"/>
          <w:szCs w:val="16"/>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Inability of customers to obtain credit or material increases in interest rates may harm our sales.</w:t>
      </w:r>
    </w:p>
    <w:p>
      <w:pPr>
        <w:spacing w:after="0" w:line="114" w:lineRule="exact"/>
        <w:rPr>
          <w:sz w:val="20"/>
          <w:szCs w:val="20"/>
          <w:color w:val="auto"/>
        </w:rPr>
      </w:pPr>
    </w:p>
    <w:p>
      <w:pPr>
        <w:jc w:val="both"/>
        <w:ind w:right="120" w:firstLine="555"/>
        <w:spacing w:after="0" w:line="283"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60" w:lineRule="exact"/>
        <w:rPr>
          <w:sz w:val="20"/>
          <w:szCs w:val="20"/>
          <w:color w:val="auto"/>
        </w:rPr>
      </w:pPr>
    </w:p>
    <w:p>
      <w:pPr>
        <w:ind w:right="280" w:firstLine="555"/>
        <w:spacing w:after="0" w:line="279" w:lineRule="auto"/>
        <w:rPr>
          <w:sz w:val="20"/>
          <w:szCs w:val="20"/>
          <w:color w:val="auto"/>
        </w:rPr>
      </w:pPr>
      <w:r>
        <w:rPr>
          <w:rFonts w:ascii="Arial" w:cs="Arial" w:eastAsia="Arial" w:hAnsi="Arial"/>
          <w:sz w:val="17"/>
          <w:szCs w:val="17"/>
          <w:b w:val="1"/>
          <w:bCs w:val="1"/>
          <w:i w:val="1"/>
          <w:iCs w:val="1"/>
          <w:color w:val="auto"/>
        </w:rPr>
        <w:t>Our products could be subject to recalls even after receiving FDA approval or clearance. A recall would harm our reputation and adversely affect our operating results.</w:t>
      </w:r>
    </w:p>
    <w:p>
      <w:pPr>
        <w:spacing w:after="0" w:line="61" w:lineRule="exact"/>
        <w:rPr>
          <w:sz w:val="20"/>
          <w:szCs w:val="20"/>
          <w:color w:val="auto"/>
        </w:rPr>
      </w:pPr>
    </w:p>
    <w:p>
      <w:pPr>
        <w:ind w:right="20" w:firstLine="555"/>
        <w:spacing w:after="0" w:line="266" w:lineRule="auto"/>
        <w:rPr>
          <w:sz w:val="20"/>
          <w:szCs w:val="20"/>
          <w:color w:val="auto"/>
        </w:rPr>
      </w:pPr>
      <w:r>
        <w:rPr>
          <w:rFonts w:ascii="Arial" w:cs="Arial" w:eastAsia="Arial" w:hAnsi="Arial"/>
          <w:sz w:val="17"/>
          <w:szCs w:val="17"/>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72" w:lineRule="exact"/>
        <w:rPr>
          <w:sz w:val="20"/>
          <w:szCs w:val="20"/>
          <w:color w:val="auto"/>
        </w:rPr>
      </w:pPr>
    </w:p>
    <w:p>
      <w:pPr>
        <w:ind w:right="100" w:firstLine="555"/>
        <w:spacing w:after="0" w:line="307" w:lineRule="auto"/>
        <w:rPr>
          <w:sz w:val="20"/>
          <w:szCs w:val="20"/>
          <w:color w:val="auto"/>
        </w:rPr>
      </w:pPr>
      <w:r>
        <w:rPr>
          <w:rFonts w:ascii="Arial" w:cs="Arial" w:eastAsia="Arial" w:hAnsi="Arial"/>
          <w:sz w:val="15"/>
          <w:szCs w:val="15"/>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46" w:lineRule="exact"/>
        <w:rPr>
          <w:sz w:val="20"/>
          <w:szCs w:val="20"/>
          <w:color w:val="auto"/>
        </w:rPr>
      </w:pPr>
    </w:p>
    <w:p>
      <w:pPr>
        <w:ind w:right="40" w:firstLine="555"/>
        <w:spacing w:after="0" w:line="259" w:lineRule="auto"/>
        <w:rPr>
          <w:sz w:val="20"/>
          <w:szCs w:val="20"/>
          <w:color w:val="auto"/>
        </w:rPr>
      </w:pPr>
      <w:r>
        <w:rPr>
          <w:rFonts w:ascii="Arial" w:cs="Arial" w:eastAsia="Arial" w:hAnsi="Arial"/>
          <w:sz w:val="17"/>
          <w:szCs w:val="17"/>
          <w:color w:val="auto"/>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The recall is still in progress and expected to be completed by end of first quarter of fiscal year 2019.</w:t>
      </w:r>
    </w:p>
    <w:p>
      <w:pPr>
        <w:spacing w:after="0" w:line="80" w:lineRule="exact"/>
        <w:rPr>
          <w:sz w:val="20"/>
          <w:szCs w:val="20"/>
          <w:color w:val="auto"/>
        </w:rPr>
      </w:pPr>
    </w:p>
    <w:p>
      <w:pPr>
        <w:ind w:right="40" w:firstLine="555"/>
        <w:spacing w:after="0" w:line="283" w:lineRule="auto"/>
        <w:rPr>
          <w:sz w:val="20"/>
          <w:szCs w:val="20"/>
          <w:color w:val="auto"/>
        </w:rPr>
      </w:pPr>
      <w:r>
        <w:rPr>
          <w:rFonts w:ascii="Arial" w:cs="Arial" w:eastAsia="Arial" w:hAnsi="Arial"/>
          <w:sz w:val="16"/>
          <w:szCs w:val="16"/>
          <w:color w:val="auto"/>
        </w:rPr>
        <w:t>We recently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5" w:name="page26"/>
    <w:bookmarkEnd w:id="25"/>
    <w:p>
      <w:pPr>
        <w:ind w:right="160"/>
        <w:spacing w:after="0" w:line="266" w:lineRule="auto"/>
        <w:rPr>
          <w:sz w:val="20"/>
          <w:szCs w:val="20"/>
          <w:color w:val="auto"/>
        </w:rPr>
      </w:pPr>
      <w:r>
        <w:rPr>
          <w:rFonts w:ascii="Arial" w:cs="Arial" w:eastAsia="Arial" w:hAnsi="Arial"/>
          <w:sz w:val="17"/>
          <w:szCs w:val="17"/>
          <w:color w:val="auto"/>
        </w:rPr>
        <w:t>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72" w:lineRule="exact"/>
        <w:rPr>
          <w:sz w:val="20"/>
          <w:szCs w:val="20"/>
          <w:color w:val="auto"/>
        </w:rPr>
      </w:pPr>
    </w:p>
    <w:p>
      <w:pPr>
        <w:ind w:right="340" w:firstLine="555"/>
        <w:spacing w:after="0" w:line="279" w:lineRule="auto"/>
        <w:rPr>
          <w:sz w:val="20"/>
          <w:szCs w:val="20"/>
          <w:color w:val="auto"/>
        </w:rPr>
      </w:pPr>
      <w:r>
        <w:rPr>
          <w:rFonts w:ascii="Arial" w:cs="Arial" w:eastAsia="Arial" w:hAnsi="Arial"/>
          <w:sz w:val="17"/>
          <w:szCs w:val="17"/>
          <w:b w:val="1"/>
          <w:bCs w:val="1"/>
          <w:i w:val="1"/>
          <w:iCs w:val="1"/>
          <w:color w:val="auto"/>
        </w:rPr>
        <w:t>If product liability claims are successfully asserted against us, we may incur substantial liabilities that may adversely affect our business or results of operations.</w:t>
      </w:r>
    </w:p>
    <w:p>
      <w:pPr>
        <w:spacing w:after="0" w:line="61" w:lineRule="exact"/>
        <w:rPr>
          <w:sz w:val="20"/>
          <w:szCs w:val="20"/>
          <w:color w:val="auto"/>
        </w:rPr>
      </w:pPr>
    </w:p>
    <w:p>
      <w:pPr>
        <w:jc w:val="both"/>
        <w:ind w:right="140" w:firstLine="555"/>
        <w:spacing w:after="0" w:line="262" w:lineRule="auto"/>
        <w:rPr>
          <w:sz w:val="20"/>
          <w:szCs w:val="20"/>
          <w:color w:val="auto"/>
        </w:rPr>
      </w:pPr>
      <w:r>
        <w:rPr>
          <w:rFonts w:ascii="Arial" w:cs="Arial" w:eastAsia="Arial" w:hAnsi="Arial"/>
          <w:sz w:val="17"/>
          <w:szCs w:val="17"/>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137" w:lineRule="exact"/>
        <w:rPr>
          <w:sz w:val="20"/>
          <w:szCs w:val="20"/>
          <w:color w:val="auto"/>
        </w:rPr>
      </w:pPr>
    </w:p>
    <w:p>
      <w:pPr>
        <w:ind w:right="80" w:firstLine="555"/>
        <w:spacing w:after="0" w:line="273" w:lineRule="auto"/>
        <w:rPr>
          <w:sz w:val="20"/>
          <w:szCs w:val="20"/>
          <w:color w:val="auto"/>
        </w:rPr>
      </w:pPr>
      <w:r>
        <w:rPr>
          <w:rFonts w:ascii="Arial" w:cs="Arial" w:eastAsia="Arial" w:hAnsi="Arial"/>
          <w:sz w:val="16"/>
          <w:szCs w:val="16"/>
          <w:color w:val="auto"/>
        </w:rPr>
        <w:t>Certain of our materials may be subject to the effects of various trade agreements, treaties and tariffs. The current U.S. presidential administration has publicly stated its intention to renegotiate or withdraw from the North American Free Trade Agreement and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73"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7"/>
          <w:szCs w:val="17"/>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79" w:lineRule="exact"/>
        <w:rPr>
          <w:sz w:val="20"/>
          <w:szCs w:val="20"/>
          <w:color w:val="auto"/>
        </w:rPr>
      </w:pPr>
    </w:p>
    <w:p>
      <w:pPr>
        <w:ind w:right="240" w:firstLine="555"/>
        <w:spacing w:after="0" w:line="262" w:lineRule="auto"/>
        <w:rPr>
          <w:sz w:val="20"/>
          <w:szCs w:val="20"/>
          <w:color w:val="auto"/>
        </w:rPr>
      </w:pPr>
      <w:r>
        <w:rPr>
          <w:rFonts w:ascii="Arial" w:cs="Arial" w:eastAsia="Arial" w:hAnsi="Arial"/>
          <w:sz w:val="17"/>
          <w:szCs w:val="17"/>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25" w:lineRule="exact"/>
        <w:rPr>
          <w:sz w:val="20"/>
          <w:szCs w:val="20"/>
          <w:color w:val="auto"/>
        </w:rPr>
      </w:pPr>
    </w:p>
    <w:p>
      <w:pPr>
        <w:ind w:right="220" w:firstLine="555"/>
        <w:spacing w:after="0" w:line="283"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60" w:lineRule="exact"/>
        <w:rPr>
          <w:sz w:val="20"/>
          <w:szCs w:val="20"/>
          <w:color w:val="auto"/>
        </w:rPr>
      </w:pPr>
    </w:p>
    <w:p>
      <w:pPr>
        <w:ind w:right="100" w:firstLine="555"/>
        <w:spacing w:after="0" w:line="283" w:lineRule="auto"/>
        <w:rPr>
          <w:sz w:val="20"/>
          <w:szCs w:val="20"/>
          <w:color w:val="auto"/>
        </w:rPr>
      </w:pPr>
      <w:r>
        <w:rPr>
          <w:rFonts w:ascii="Arial" w:cs="Arial" w:eastAsia="Arial" w:hAnsi="Arial"/>
          <w:sz w:val="16"/>
          <w:szCs w:val="16"/>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Company’s net operating loss carryovers and valuation allowance, there is no impact to its consolidated financial statements as a result of the accounting for the tax effects of the Tax Act.</w:t>
      </w:r>
    </w:p>
    <w:p>
      <w:pPr>
        <w:spacing w:after="0" w:line="60" w:lineRule="exact"/>
        <w:rPr>
          <w:sz w:val="20"/>
          <w:szCs w:val="20"/>
          <w:color w:val="auto"/>
        </w:rPr>
      </w:pPr>
    </w:p>
    <w:p>
      <w:pPr>
        <w:ind w:right="20" w:firstLine="555"/>
        <w:spacing w:after="0" w:line="349" w:lineRule="auto"/>
        <w:rPr>
          <w:sz w:val="20"/>
          <w:szCs w:val="20"/>
          <w:color w:val="auto"/>
        </w:rPr>
      </w:pPr>
      <w:r>
        <w:rPr>
          <w:rFonts w:ascii="Arial" w:cs="Arial" w:eastAsia="Arial" w:hAnsi="Arial"/>
          <w:sz w:val="15"/>
          <w:szCs w:val="15"/>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26" w:name="page27"/>
    <w:bookmarkEnd w:id="26"/>
    <w:p>
      <w:pPr>
        <w:ind w:right="240" w:firstLine="555"/>
        <w:spacing w:after="0" w:line="349" w:lineRule="auto"/>
        <w:rPr>
          <w:sz w:val="20"/>
          <w:szCs w:val="20"/>
          <w:color w:val="auto"/>
        </w:rPr>
      </w:pPr>
      <w:r>
        <w:rPr>
          <w:rFonts w:ascii="Arial" w:cs="Arial" w:eastAsia="Arial" w:hAnsi="Arial"/>
          <w:sz w:val="15"/>
          <w:szCs w:val="15"/>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14" w:lineRule="exact"/>
        <w:rPr>
          <w:sz w:val="20"/>
          <w:szCs w:val="20"/>
          <w:color w:val="auto"/>
        </w:rPr>
      </w:pPr>
    </w:p>
    <w:p>
      <w:pPr>
        <w:ind w:right="20" w:firstLine="555"/>
        <w:spacing w:after="0" w:line="293" w:lineRule="auto"/>
        <w:rPr>
          <w:sz w:val="20"/>
          <w:szCs w:val="20"/>
          <w:color w:val="auto"/>
        </w:rPr>
      </w:pPr>
      <w:r>
        <w:rPr>
          <w:rFonts w:ascii="Arial" w:cs="Arial" w:eastAsia="Arial" w:hAnsi="Arial"/>
          <w:sz w:val="15"/>
          <w:szCs w:val="15"/>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56" w:lineRule="exact"/>
        <w:rPr>
          <w:sz w:val="20"/>
          <w:szCs w:val="20"/>
          <w:color w:val="auto"/>
        </w:rPr>
      </w:pPr>
    </w:p>
    <w:p>
      <w:pPr>
        <w:ind w:right="300" w:firstLine="555"/>
        <w:spacing w:after="0" w:line="279" w:lineRule="auto"/>
        <w:rPr>
          <w:sz w:val="20"/>
          <w:szCs w:val="20"/>
          <w:color w:val="auto"/>
        </w:rPr>
      </w:pPr>
      <w:r>
        <w:rPr>
          <w:rFonts w:ascii="Arial" w:cs="Arial" w:eastAsia="Arial" w:hAnsi="Arial"/>
          <w:sz w:val="17"/>
          <w:szCs w:val="17"/>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61" w:lineRule="exact"/>
        <w:rPr>
          <w:sz w:val="20"/>
          <w:szCs w:val="20"/>
          <w:color w:val="auto"/>
        </w:rPr>
      </w:pPr>
    </w:p>
    <w:p>
      <w:pPr>
        <w:ind w:right="20" w:firstLine="555"/>
        <w:spacing w:after="0" w:line="307" w:lineRule="auto"/>
        <w:rPr>
          <w:sz w:val="20"/>
          <w:szCs w:val="20"/>
          <w:color w:val="auto"/>
        </w:rPr>
      </w:pPr>
      <w:r>
        <w:rPr>
          <w:rFonts w:ascii="Arial" w:cs="Arial" w:eastAsia="Arial" w:hAnsi="Arial"/>
          <w:sz w:val="15"/>
          <w:szCs w:val="15"/>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46" w:lineRule="exact"/>
        <w:rPr>
          <w:sz w:val="20"/>
          <w:szCs w:val="20"/>
          <w:color w:val="auto"/>
        </w:rPr>
      </w:pPr>
    </w:p>
    <w:p>
      <w:pPr>
        <w:ind w:left="1120" w:hanging="563"/>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integrating any acquired products into our existing business;</w:t>
      </w:r>
    </w:p>
    <w:p>
      <w:pPr>
        <w:spacing w:after="0" w:line="113" w:lineRule="exact"/>
        <w:rPr>
          <w:rFonts w:ascii="Arial" w:cs="Arial" w:eastAsia="Arial" w:hAnsi="Arial"/>
          <w:sz w:val="17"/>
          <w:szCs w:val="17"/>
          <w:color w:val="auto"/>
        </w:rPr>
      </w:pPr>
    </w:p>
    <w:p>
      <w:pPr>
        <w:ind w:left="1120" w:right="120" w:hanging="563"/>
        <w:spacing w:after="0" w:line="279"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integrating an acquired company’s technologies, services, employees, customers, partners, business operations and administrative and software management systems with ours;</w:t>
      </w:r>
    </w:p>
    <w:p>
      <w:pPr>
        <w:spacing w:after="0" w:line="61" w:lineRule="exact"/>
        <w:rPr>
          <w:rFonts w:ascii="Arial" w:cs="Arial" w:eastAsia="Arial" w:hAnsi="Arial"/>
          <w:sz w:val="17"/>
          <w:szCs w:val="17"/>
          <w:color w:val="auto"/>
        </w:rPr>
      </w:pPr>
    </w:p>
    <w:p>
      <w:pPr>
        <w:ind w:left="1120" w:hanging="563"/>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delays in realizing the benefits of the acquired products;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diversion of our management’s time and attention from other business concerns;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adverse customer reaction to the product acquisition; and</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increases in expenses.</w:t>
      </w:r>
    </w:p>
    <w:p>
      <w:pPr>
        <w:spacing w:after="0" w:line="114" w:lineRule="exact"/>
        <w:rPr>
          <w:sz w:val="20"/>
          <w:szCs w:val="20"/>
          <w:color w:val="auto"/>
        </w:rPr>
      </w:pPr>
    </w:p>
    <w:p>
      <w:pPr>
        <w:ind w:right="20" w:firstLine="555"/>
        <w:spacing w:after="0" w:line="258" w:lineRule="auto"/>
        <w:rPr>
          <w:sz w:val="20"/>
          <w:szCs w:val="20"/>
          <w:color w:val="auto"/>
        </w:rPr>
      </w:pPr>
      <w:r>
        <w:rPr>
          <w:rFonts w:ascii="Arial" w:cs="Arial" w:eastAsia="Arial" w:hAnsi="Arial"/>
          <w:sz w:val="17"/>
          <w:szCs w:val="17"/>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80" w:lineRule="exact"/>
        <w:rPr>
          <w:sz w:val="20"/>
          <w:szCs w:val="20"/>
          <w:color w:val="auto"/>
        </w:rPr>
      </w:pPr>
    </w:p>
    <w:p>
      <w:pPr>
        <w:ind w:right="240" w:firstLine="555"/>
        <w:spacing w:after="0" w:line="279"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61" w:lineRule="exact"/>
        <w:rPr>
          <w:sz w:val="20"/>
          <w:szCs w:val="20"/>
          <w:color w:val="auto"/>
        </w:rPr>
      </w:pPr>
    </w:p>
    <w:p>
      <w:pPr>
        <w:ind w:firstLine="555"/>
        <w:spacing w:after="0" w:line="275"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27" w:name="page28"/>
    <w:bookmarkEnd w:id="27"/>
    <w:p>
      <w:pPr>
        <w:jc w:val="right"/>
        <w:ind w:right="320"/>
        <w:spacing w:after="0"/>
        <w:rPr>
          <w:sz w:val="20"/>
          <w:szCs w:val="20"/>
          <w:color w:val="auto"/>
        </w:rPr>
      </w:pPr>
      <w:r>
        <w:rPr>
          <w:rFonts w:ascii="Arial" w:cs="Arial" w:eastAsia="Arial" w:hAnsi="Arial"/>
          <w:sz w:val="15"/>
          <w:szCs w:val="15"/>
          <w:color w:val="auto"/>
        </w:rPr>
        <w:t>business, financial condition, results of operations and cash flows, and may also result in a diversion of management attention, operational difficulties and losses.</w:t>
      </w:r>
    </w:p>
    <w:p>
      <w:pPr>
        <w:spacing w:after="0" w:line="137" w:lineRule="exact"/>
        <w:rPr>
          <w:sz w:val="20"/>
          <w:szCs w:val="20"/>
          <w:color w:val="auto"/>
        </w:rPr>
      </w:pPr>
    </w:p>
    <w:p>
      <w:pPr>
        <w:jc w:val="right"/>
        <w:ind w:right="320"/>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137" w:lineRule="exact"/>
        <w:rPr>
          <w:sz w:val="20"/>
          <w:szCs w:val="20"/>
          <w:color w:val="auto"/>
        </w:rPr>
      </w:pPr>
    </w:p>
    <w:p>
      <w:pPr>
        <w:ind w:right="40" w:firstLine="555"/>
        <w:spacing w:after="0" w:line="274"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2011/65/EU relating to Restrictions on the Use of Certain Hazardous Substances “RoHS Directive,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69" w:lineRule="exact"/>
        <w:rPr>
          <w:sz w:val="20"/>
          <w:szCs w:val="20"/>
          <w:color w:val="auto"/>
        </w:rPr>
      </w:pPr>
    </w:p>
    <w:p>
      <w:pPr>
        <w:ind w:right="180" w:firstLine="555"/>
        <w:spacing w:after="0" w:line="259"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Ownership of Our Common Stock</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14" w:lineRule="exact"/>
        <w:rPr>
          <w:sz w:val="20"/>
          <w:szCs w:val="20"/>
          <w:color w:val="auto"/>
        </w:rPr>
      </w:pPr>
    </w:p>
    <w:p>
      <w:pPr>
        <w:ind w:right="20" w:firstLine="555"/>
        <w:spacing w:after="0" w:line="297" w:lineRule="auto"/>
        <w:rPr>
          <w:sz w:val="20"/>
          <w:szCs w:val="20"/>
          <w:color w:val="auto"/>
        </w:rPr>
      </w:pPr>
      <w:r>
        <w:rPr>
          <w:rFonts w:ascii="Arial" w:cs="Arial" w:eastAsia="Arial" w:hAnsi="Arial"/>
          <w:sz w:val="15"/>
          <w:szCs w:val="15"/>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fiscal year ended December 29, 2018, the trading price of our common stock fluctuated from a low of $3.85 per share to a high of $9.15 per share. During the fourth fiscal quarter ended December 29, 2018, the trading price of our common stock fluctuated from $3.85 per share to a high of $6.30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25" w:lineRule="exact"/>
        <w:rPr>
          <w:sz w:val="20"/>
          <w:szCs w:val="20"/>
          <w:color w:val="auto"/>
        </w:rPr>
      </w:pPr>
    </w:p>
    <w:p>
      <w:pPr>
        <w:ind w:right="40" w:firstLine="555"/>
        <w:spacing w:after="0" w:line="258" w:lineRule="auto"/>
        <w:rPr>
          <w:sz w:val="20"/>
          <w:szCs w:val="20"/>
          <w:color w:val="auto"/>
        </w:rPr>
      </w:pPr>
      <w:r>
        <w:rPr>
          <w:rFonts w:ascii="Arial" w:cs="Arial" w:eastAsia="Arial" w:hAnsi="Arial"/>
          <w:sz w:val="17"/>
          <w:szCs w:val="17"/>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In addition, our loan facility with Silicon Valley Bank restricts us from paying any dividends or making any other distribution or payment on account of our common stock.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80"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1" w:lineRule="exact"/>
        <w:rPr>
          <w:sz w:val="20"/>
          <w:szCs w:val="20"/>
          <w:color w:val="auto"/>
        </w:rPr>
      </w:pPr>
    </w:p>
    <w:p>
      <w:pPr>
        <w:ind w:firstLine="555"/>
        <w:spacing w:after="0" w:line="259"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28" w:name="page29"/>
    <w:bookmarkEnd w:id="28"/>
    <w:p>
      <w:pPr>
        <w:ind w:right="80" w:firstLine="555"/>
        <w:spacing w:after="0" w:line="279" w:lineRule="auto"/>
        <w:rPr>
          <w:sz w:val="20"/>
          <w:szCs w:val="20"/>
          <w:color w:val="auto"/>
        </w:rPr>
      </w:pPr>
      <w:r>
        <w:rPr>
          <w:rFonts w:ascii="Arial" w:cs="Arial" w:eastAsia="Arial" w:hAnsi="Arial"/>
          <w:sz w:val="17"/>
          <w:szCs w:val="17"/>
          <w:b w:val="1"/>
          <w:bCs w:val="1"/>
          <w:i w:val="1"/>
          <w:iCs w:val="1"/>
          <w:color w:val="auto"/>
        </w:rPr>
        <w:t>Ownership of our common stock is concentrated among a few investors, which may affect the ability of a third party to acquire control of us. Substantial sales by such investors could cause our stock price to decline.</w:t>
      </w:r>
    </w:p>
    <w:p>
      <w:pPr>
        <w:spacing w:after="0" w:line="61" w:lineRule="exact"/>
        <w:rPr>
          <w:sz w:val="20"/>
          <w:szCs w:val="20"/>
          <w:color w:val="auto"/>
        </w:rPr>
      </w:pPr>
    </w:p>
    <w:p>
      <w:pPr>
        <w:ind w:right="240" w:firstLine="555"/>
        <w:spacing w:after="0" w:line="262" w:lineRule="auto"/>
        <w:rPr>
          <w:sz w:val="20"/>
          <w:szCs w:val="20"/>
          <w:color w:val="auto"/>
        </w:rPr>
      </w:pPr>
      <w:r>
        <w:rPr>
          <w:rFonts w:ascii="Arial" w:cs="Arial" w:eastAsia="Arial" w:hAnsi="Arial"/>
          <w:sz w:val="17"/>
          <w:szCs w:val="17"/>
          <w:color w:val="auto"/>
        </w:rPr>
        <w:t>Our directors, executive officers, current five percent or greater stockholders and affiliated entities together beneficially own a significant portion of our common stock outstanding as of December 29, 2018.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5" w:lineRule="exact"/>
        <w:rPr>
          <w:sz w:val="20"/>
          <w:szCs w:val="20"/>
          <w:color w:val="auto"/>
        </w:rPr>
      </w:pPr>
    </w:p>
    <w:p>
      <w:pPr>
        <w:ind w:right="20" w:firstLine="555"/>
        <w:spacing w:after="0" w:line="266"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72" w:lineRule="exact"/>
        <w:rPr>
          <w:sz w:val="20"/>
          <w:szCs w:val="20"/>
          <w:color w:val="auto"/>
        </w:rPr>
      </w:pPr>
    </w:p>
    <w:p>
      <w:pPr>
        <w:ind w:firstLine="555"/>
        <w:spacing w:after="0" w:line="257"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As of June 30, 2018, we became a “smaller reporting company” as defined in the Exchange Act, and effective with our Annual Report covering our fiscal year 2018, our independent registered public accounting firm will not be required to formally attest to the effectiveness of our internal control over financial reporting pursuant to Section 404.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79" w:lineRule="exact"/>
        <w:rPr>
          <w:sz w:val="20"/>
          <w:szCs w:val="20"/>
          <w:color w:val="auto"/>
        </w:rPr>
      </w:pPr>
    </w:p>
    <w:p>
      <w:pPr>
        <w:ind w:right="40" w:firstLine="555"/>
        <w:spacing w:after="0" w:line="259"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80" w:lineRule="exact"/>
        <w:rPr>
          <w:sz w:val="20"/>
          <w:szCs w:val="20"/>
          <w:color w:val="auto"/>
        </w:rPr>
      </w:pPr>
    </w:p>
    <w:p>
      <w:pPr>
        <w:ind w:right="140" w:firstLine="555"/>
        <w:spacing w:after="0" w:line="277"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67" w:lineRule="exact"/>
        <w:rPr>
          <w:sz w:val="20"/>
          <w:szCs w:val="20"/>
          <w:color w:val="auto"/>
        </w:rPr>
      </w:pPr>
    </w:p>
    <w:p>
      <w:pPr>
        <w:ind w:right="600" w:firstLine="555"/>
        <w:spacing w:after="0" w:line="279" w:lineRule="auto"/>
        <w:rPr>
          <w:sz w:val="20"/>
          <w:szCs w:val="20"/>
          <w:color w:val="auto"/>
        </w:rPr>
      </w:pPr>
      <w:r>
        <w:rPr>
          <w:rFonts w:ascii="Arial" w:cs="Arial" w:eastAsia="Arial" w:hAnsi="Arial"/>
          <w:sz w:val="17"/>
          <w:szCs w:val="17"/>
          <w:b w:val="1"/>
          <w:bCs w:val="1"/>
          <w:i w:val="1"/>
          <w:iCs w:val="1"/>
          <w:color w:val="auto"/>
        </w:rPr>
        <w:t>Our charter documents, anti-takeover provisions of Delaware law, and contractual provisions could delay or prevent an acquisition or sale of our company.</w:t>
      </w:r>
    </w:p>
    <w:p>
      <w:pPr>
        <w:spacing w:after="0" w:line="61" w:lineRule="exact"/>
        <w:rPr>
          <w:sz w:val="20"/>
          <w:szCs w:val="20"/>
          <w:color w:val="auto"/>
        </w:rPr>
      </w:pPr>
    </w:p>
    <w:p>
      <w:pPr>
        <w:ind w:right="40" w:firstLine="555"/>
        <w:spacing w:after="0" w:line="259"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80" w:lineRule="exact"/>
        <w:rPr>
          <w:sz w:val="20"/>
          <w:szCs w:val="20"/>
          <w:color w:val="auto"/>
        </w:rPr>
      </w:pPr>
    </w:p>
    <w:p>
      <w:pPr>
        <w:ind w:left="1120" w:hanging="563"/>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authorized number of directors may be changed only by resolution of our board of directors;</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only our board of directors is authorized to fill vacant directorships, including newly created seats;</w:t>
      </w:r>
    </w:p>
    <w:p>
      <w:pPr>
        <w:spacing w:after="0" w:line="113" w:lineRule="exact"/>
        <w:rPr>
          <w:rFonts w:ascii="Arial" w:cs="Arial" w:eastAsia="Arial" w:hAnsi="Arial"/>
          <w:sz w:val="17"/>
          <w:szCs w:val="17"/>
          <w:color w:val="auto"/>
        </w:rPr>
      </w:pPr>
    </w:p>
    <w:p>
      <w:pPr>
        <w:ind w:left="1120" w:right="320" w:hanging="563"/>
        <w:spacing w:after="0" w:line="279" w:lineRule="auto"/>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special meetings of our stockholders may be called only by our board of directors, the chairman of the board, chief executive officer or president, thus prohibiting a stockholder from calling a special meeting;</w:t>
      </w:r>
    </w:p>
    <w:p>
      <w:pPr>
        <w:spacing w:after="0" w:line="61" w:lineRule="exact"/>
        <w:rPr>
          <w:rFonts w:ascii="Arial" w:cs="Arial" w:eastAsia="Arial" w:hAnsi="Arial"/>
          <w:sz w:val="17"/>
          <w:szCs w:val="17"/>
          <w:color w:val="auto"/>
        </w:rPr>
      </w:pPr>
    </w:p>
    <w:p>
      <w:pPr>
        <w:ind w:left="1120" w:hanging="563"/>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stockholders must give advance notice to nominate directors or propose other business; and</w:t>
      </w:r>
    </w:p>
    <w:p>
      <w:pPr>
        <w:spacing w:after="0" w:line="113" w:lineRule="exact"/>
        <w:rPr>
          <w:rFonts w:ascii="Arial" w:cs="Arial" w:eastAsia="Arial" w:hAnsi="Arial"/>
          <w:sz w:val="17"/>
          <w:szCs w:val="17"/>
          <w:color w:val="auto"/>
        </w:rPr>
      </w:pPr>
    </w:p>
    <w:p>
      <w:pPr>
        <w:ind w:left="1120" w:hanging="563"/>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stockholders are not permitted to cumulate votes in the election of directors.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9" w:name="page30"/>
    <w:bookmarkEnd w:id="29"/>
    <w:p>
      <w:pPr>
        <w:ind w:right="100" w:firstLine="555"/>
        <w:spacing w:after="0" w:line="266" w:lineRule="auto"/>
        <w:rPr>
          <w:sz w:val="20"/>
          <w:szCs w:val="20"/>
          <w:color w:val="auto"/>
        </w:rPr>
      </w:pPr>
      <w:r>
        <w:rPr>
          <w:rFonts w:ascii="Arial" w:cs="Arial" w:eastAsia="Arial" w:hAnsi="Arial"/>
          <w:sz w:val="17"/>
          <w:szCs w:val="17"/>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lease a 37,166 square feet facility in Mountain View, California pursuant to a lease that is scheduled to expire in February 2022.</w:t>
      </w:r>
    </w:p>
    <w:p>
      <w:pPr>
        <w:spacing w:after="0" w:line="114"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This facility is being substantially utilized for all of our manufacturing, research and development efforts and also serves as our corporate headquarters. Management believes that these facilities are adequate for our current needs and that suitable additional space or an alternative space would be available as needed in the future on commercially reasonable terms.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20" w:lineRule="exact"/>
        <w:rPr>
          <w:sz w:val="20"/>
          <w:szCs w:val="20"/>
          <w:color w:val="auto"/>
        </w:rPr>
      </w:pPr>
    </w:p>
    <w:p>
      <w:pPr>
        <w:ind w:right="40" w:firstLine="555"/>
        <w:spacing w:after="0" w:line="279" w:lineRule="auto"/>
        <w:rPr>
          <w:sz w:val="20"/>
          <w:szCs w:val="20"/>
          <w:color w:val="auto"/>
        </w:rPr>
      </w:pPr>
      <w:r>
        <w:rPr>
          <w:rFonts w:ascii="Arial" w:cs="Arial" w:eastAsia="Arial" w:hAnsi="Arial"/>
          <w:sz w:val="16"/>
          <w:szCs w:val="16"/>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 Quantel has infringed 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w:t>
      </w:r>
    </w:p>
    <w:p>
      <w:pPr>
        <w:spacing w:after="0" w:line="65" w:lineRule="exact"/>
        <w:rPr>
          <w:sz w:val="20"/>
          <w:szCs w:val="20"/>
          <w:color w:val="auto"/>
        </w:rPr>
      </w:pPr>
    </w:p>
    <w:p>
      <w:pPr>
        <w:jc w:val="both"/>
        <w:ind w:right="20" w:firstLine="555"/>
        <w:spacing w:after="0" w:line="262" w:lineRule="auto"/>
        <w:rPr>
          <w:sz w:val="20"/>
          <w:szCs w:val="20"/>
          <w:color w:val="auto"/>
        </w:rPr>
      </w:pPr>
      <w:r>
        <w:rPr>
          <w:rFonts w:ascii="Arial" w:cs="Arial" w:eastAsia="Arial" w:hAnsi="Arial"/>
          <w:sz w:val="17"/>
          <w:szCs w:val="17"/>
          <w:color w:val="auto"/>
        </w:rPr>
        <w:t>In March 2017, OD-OS GmbH noticed an opposition to the Company’s European Patent No. currently EP 1 856 774 at the European Patent Office (“EPO”). On June 8, 2018, Quantel intervened in the Opposition. Oral proceedings on the opposition took place on July 13, 2018. At the conclusion of those proceedings, the EPO’s Opposition Division communicated that it would move to revoke the patent. The formal written decision from the Opposition Division was issued on October 1, 2018. The Company filed its notice of appeal on October 10, 2018.</w:t>
      </w:r>
    </w:p>
    <w:p>
      <w:pPr>
        <w:spacing w:after="0" w:line="75" w:lineRule="exact"/>
        <w:rPr>
          <w:sz w:val="20"/>
          <w:szCs w:val="20"/>
          <w:color w:val="auto"/>
        </w:rPr>
      </w:pPr>
    </w:p>
    <w:p>
      <w:pPr>
        <w:ind w:right="460" w:firstLine="555"/>
        <w:spacing w:after="0" w:line="279" w:lineRule="auto"/>
        <w:rPr>
          <w:sz w:val="20"/>
          <w:szCs w:val="20"/>
          <w:color w:val="auto"/>
        </w:rPr>
      </w:pPr>
      <w:r>
        <w:rPr>
          <w:rFonts w:ascii="Arial" w:cs="Arial" w:eastAsia="Arial" w:hAnsi="Arial"/>
          <w:sz w:val="17"/>
          <w:szCs w:val="17"/>
          <w:color w:val="auto"/>
        </w:rPr>
        <w:t>In late May of 2018, Quantel applied to the Paris District Court in Paris, France for a ruling that its products do not infringe the French Part of Iridex’s European Patent at issue in the opposition, EP 1 856 774.</w:t>
      </w:r>
    </w:p>
    <w:p>
      <w:pPr>
        <w:spacing w:after="0" w:line="61"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On February 12, 2019, we announced the resolution of our dispute with Quantel and dismissed the lawsuit we filed against Quantel in the U.S. District Court for the Northern District of California. Quantel dismissed and ceased its participation in parallel proceedings against us in Europe.</w:t>
      </w:r>
    </w:p>
    <w:p>
      <w:pPr>
        <w:spacing w:after="0" w:line="61" w:lineRule="exact"/>
        <w:rPr>
          <w:sz w:val="20"/>
          <w:szCs w:val="20"/>
          <w:color w:val="auto"/>
        </w:rPr>
      </w:pPr>
    </w:p>
    <w:p>
      <w:pPr>
        <w:ind w:right="100" w:firstLine="555"/>
        <w:spacing w:after="0" w:line="262" w:lineRule="auto"/>
        <w:rPr>
          <w:sz w:val="20"/>
          <w:szCs w:val="20"/>
          <w:color w:val="auto"/>
        </w:rPr>
      </w:pPr>
      <w:r>
        <w:rPr>
          <w:rFonts w:ascii="Arial" w:cs="Arial" w:eastAsia="Arial" w:hAnsi="Arial"/>
          <w:sz w:val="17"/>
          <w:szCs w:val="17"/>
          <w:color w:val="auto"/>
        </w:rPr>
        <w:t>In addition, 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17" w:lineRule="exact"/>
        <w:rPr>
          <w:sz w:val="20"/>
          <w:szCs w:val="20"/>
          <w:color w:val="auto"/>
        </w:rPr>
      </w:pPr>
    </w:p>
    <w:p>
      <w:pPr>
        <w:ind w:right="2220"/>
        <w:spacing w:after="0" w:line="383" w:lineRule="auto"/>
        <w:rPr>
          <w:sz w:val="20"/>
          <w:szCs w:val="20"/>
          <w:color w:val="auto"/>
        </w:rPr>
      </w:pPr>
      <w:r>
        <w:rPr>
          <w:rFonts w:ascii="Arial" w:cs="Arial" w:eastAsia="Arial" w:hAnsi="Arial"/>
          <w:sz w:val="17"/>
          <w:szCs w:val="17"/>
          <w:b w:val="1"/>
          <w:bCs w:val="1"/>
          <w:color w:val="auto"/>
        </w:rPr>
        <w:t>Item 5. Market for Registrant’s Common Equity and Related Stockholder Matters, and Issuer Purchases of Equity Securities Market Information for Common Equity</w:t>
      </w:r>
    </w:p>
    <w:p>
      <w:pPr>
        <w:spacing w:after="0" w:line="1" w:lineRule="exact"/>
        <w:rPr>
          <w:sz w:val="20"/>
          <w:szCs w:val="20"/>
          <w:color w:val="auto"/>
        </w:rPr>
      </w:pPr>
    </w:p>
    <w:p>
      <w:pPr>
        <w:ind w:right="240" w:firstLine="555"/>
        <w:spacing w:after="0" w:line="279" w:lineRule="auto"/>
        <w:rPr>
          <w:sz w:val="20"/>
          <w:szCs w:val="20"/>
          <w:color w:val="auto"/>
        </w:rPr>
      </w:pPr>
      <w:r>
        <w:rPr>
          <w:rFonts w:ascii="Arial" w:cs="Arial" w:eastAsia="Arial" w:hAnsi="Arial"/>
          <w:sz w:val="17"/>
          <w:szCs w:val="17"/>
          <w:color w:val="auto"/>
        </w:rPr>
        <w:t>Our common stock is currently quoted on the Nasdaq Global Market under the symbol “IRIX”. The following table sets forth for the periods indicated the high and low sales prices for our common stock, as reported on the Nasdaq Global Market in fiscal years 2017 and 2018.</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64"/>
        </w:trPr>
        <w:tc>
          <w:tcPr>
            <w:tcW w:w="3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2"/>
          </w:tcPr>
          <w:p>
            <w:pPr>
              <w:ind w:left="42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4"/>
                <w:szCs w:val="14"/>
                <w:color w:val="auto"/>
              </w:rPr>
            </w:pPr>
          </w:p>
        </w:tc>
        <w:tc>
          <w:tcPr>
            <w:tcW w:w="1700" w:type="dxa"/>
            <w:vAlign w:val="bottom"/>
            <w:gridSpan w:val="2"/>
          </w:tcPr>
          <w:p>
            <w:pPr>
              <w:ind w:left="420"/>
              <w:spacing w:after="0"/>
              <w:rPr>
                <w:sz w:val="20"/>
                <w:szCs w:val="20"/>
                <w:color w:val="auto"/>
              </w:rPr>
            </w:pPr>
            <w:r>
              <w:rPr>
                <w:rFonts w:ascii="Arial" w:cs="Arial" w:eastAsia="Arial" w:hAnsi="Arial"/>
                <w:sz w:val="14"/>
                <w:szCs w:val="14"/>
                <w:b w:val="1"/>
                <w:bCs w:val="1"/>
                <w:color w:val="auto"/>
              </w:rPr>
              <w:t>Low</w:t>
            </w:r>
          </w:p>
        </w:tc>
      </w:tr>
      <w:tr>
        <w:trPr>
          <w:trHeight w:val="212"/>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Fiscal 2018</w:t>
            </w:r>
          </w:p>
        </w:tc>
        <w:tc>
          <w:tcPr>
            <w:tcW w:w="5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Fourth Quarter</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6.30</w:t>
            </w:r>
          </w:p>
        </w:tc>
        <w:tc>
          <w:tcPr>
            <w:tcW w:w="30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3.85</w:t>
            </w:r>
          </w:p>
        </w:tc>
        <w:tc>
          <w:tcPr>
            <w:tcW w:w="80" w:type="dxa"/>
            <w:vAlign w:val="bottom"/>
          </w:tcPr>
          <w:p>
            <w:pPr>
              <w:spacing w:after="0"/>
              <w:rPr>
                <w:sz w:val="18"/>
                <w:szCs w:val="18"/>
                <w:color w:val="auto"/>
              </w:rPr>
            </w:pPr>
          </w:p>
        </w:tc>
      </w:tr>
      <w:tr>
        <w:trPr>
          <w:trHeight w:val="220"/>
        </w:trPr>
        <w:tc>
          <w:tcPr>
            <w:tcW w:w="3380" w:type="dxa"/>
            <w:vAlign w:val="bottom"/>
            <w:shd w:val="clear" w:color="auto" w:fill="CFF0FC"/>
          </w:tcPr>
          <w:p>
            <w:pPr>
              <w:spacing w:after="0"/>
              <w:rPr>
                <w:sz w:val="20"/>
                <w:szCs w:val="20"/>
                <w:color w:val="auto"/>
              </w:rPr>
            </w:pPr>
            <w:r>
              <w:rPr>
                <w:rFonts w:ascii="Arial" w:cs="Arial" w:eastAsia="Arial" w:hAnsi="Arial"/>
                <w:sz w:val="17"/>
                <w:szCs w:val="17"/>
                <w:color w:val="auto"/>
              </w:rPr>
              <w:t>Third Quarter</w:t>
            </w:r>
          </w:p>
        </w:tc>
        <w:tc>
          <w:tcPr>
            <w:tcW w:w="500" w:type="dxa"/>
            <w:vAlign w:val="bottom"/>
            <w:shd w:val="clear" w:color="auto" w:fill="CFF0FC"/>
          </w:tcPr>
          <w:p>
            <w:pPr>
              <w:jc w:val="right"/>
              <w:ind w:right="31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9.15</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80" w:type="dxa"/>
            <w:vAlign w:val="bottom"/>
            <w:shd w:val="clear" w:color="auto" w:fill="CFF0FC"/>
          </w:tcPr>
          <w:p>
            <w:pPr>
              <w:spacing w:after="0"/>
              <w:rPr>
                <w:sz w:val="19"/>
                <w:szCs w:val="19"/>
                <w:color w:val="auto"/>
              </w:rPr>
            </w:pPr>
          </w:p>
        </w:tc>
      </w:t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Second Quarter</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7.24</w:t>
            </w:r>
          </w:p>
        </w:tc>
        <w:tc>
          <w:tcPr>
            <w:tcW w:w="30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5.33</w:t>
            </w:r>
          </w:p>
        </w:tc>
        <w:tc>
          <w:tcPr>
            <w:tcW w:w="80" w:type="dxa"/>
            <w:vAlign w:val="bottom"/>
          </w:tcPr>
          <w:p>
            <w:pPr>
              <w:spacing w:after="0"/>
              <w:rPr>
                <w:sz w:val="18"/>
                <w:szCs w:val="18"/>
                <w:color w:val="auto"/>
              </w:rPr>
            </w:pPr>
          </w:p>
        </w:tc>
      </w:tr>
      <w:tr>
        <w:trPr>
          <w:trHeight w:val="220"/>
        </w:trPr>
        <w:tc>
          <w:tcPr>
            <w:tcW w:w="3380" w:type="dxa"/>
            <w:vAlign w:val="bottom"/>
            <w:shd w:val="clear" w:color="auto" w:fill="CFF0FC"/>
          </w:tcPr>
          <w:p>
            <w:pPr>
              <w:spacing w:after="0"/>
              <w:rPr>
                <w:sz w:val="20"/>
                <w:szCs w:val="20"/>
                <w:color w:val="auto"/>
              </w:rPr>
            </w:pPr>
            <w:r>
              <w:rPr>
                <w:rFonts w:ascii="Arial" w:cs="Arial" w:eastAsia="Arial" w:hAnsi="Arial"/>
                <w:sz w:val="17"/>
                <w:szCs w:val="17"/>
                <w:color w:val="auto"/>
              </w:rPr>
              <w:t>First Quarter</w:t>
            </w:r>
          </w:p>
        </w:tc>
        <w:tc>
          <w:tcPr>
            <w:tcW w:w="500" w:type="dxa"/>
            <w:vAlign w:val="bottom"/>
            <w:shd w:val="clear" w:color="auto" w:fill="CFF0FC"/>
          </w:tcPr>
          <w:p>
            <w:pPr>
              <w:jc w:val="right"/>
              <w:ind w:right="31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8.28</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5.72</w:t>
            </w:r>
          </w:p>
        </w:tc>
        <w:tc>
          <w:tcPr>
            <w:tcW w:w="80" w:type="dxa"/>
            <w:vAlign w:val="bottom"/>
            <w:shd w:val="clear" w:color="auto" w:fill="CFF0FC"/>
          </w:tcPr>
          <w:p>
            <w:pPr>
              <w:spacing w:after="0"/>
              <w:rPr>
                <w:sz w:val="19"/>
                <w:szCs w:val="19"/>
                <w:color w:val="auto"/>
              </w:rPr>
            </w:pPr>
          </w:p>
        </w:tc>
      </w:tr>
      <w:tr>
        <w:trPr>
          <w:trHeight w:val="219"/>
        </w:trPr>
        <w:tc>
          <w:tcPr>
            <w:tcW w:w="3380" w:type="dxa"/>
            <w:vAlign w:val="bottom"/>
          </w:tcPr>
          <w:p>
            <w:pPr>
              <w:spacing w:after="0"/>
              <w:rPr>
                <w:sz w:val="20"/>
                <w:szCs w:val="20"/>
                <w:color w:val="auto"/>
              </w:rPr>
            </w:pPr>
            <w:r>
              <w:rPr>
                <w:rFonts w:ascii="Arial" w:cs="Arial" w:eastAsia="Arial" w:hAnsi="Arial"/>
                <w:sz w:val="17"/>
                <w:szCs w:val="17"/>
                <w:b w:val="1"/>
                <w:bCs w:val="1"/>
                <w:color w:val="auto"/>
              </w:rPr>
              <w:t>Fiscal 2017</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9"/>
        </w:trPr>
        <w:tc>
          <w:tcPr>
            <w:tcW w:w="3380" w:type="dxa"/>
            <w:vAlign w:val="bottom"/>
            <w:shd w:val="clear" w:color="auto" w:fill="CFF0FC"/>
          </w:tcPr>
          <w:p>
            <w:pPr>
              <w:spacing w:after="0"/>
              <w:rPr>
                <w:sz w:val="20"/>
                <w:szCs w:val="20"/>
                <w:color w:val="auto"/>
              </w:rPr>
            </w:pPr>
            <w:r>
              <w:rPr>
                <w:rFonts w:ascii="Arial" w:cs="Arial" w:eastAsia="Arial" w:hAnsi="Arial"/>
                <w:sz w:val="17"/>
                <w:szCs w:val="17"/>
                <w:color w:val="auto"/>
              </w:rPr>
              <w:t>Fourth Quarter</w:t>
            </w:r>
          </w:p>
        </w:tc>
        <w:tc>
          <w:tcPr>
            <w:tcW w:w="500" w:type="dxa"/>
            <w:vAlign w:val="bottom"/>
            <w:shd w:val="clear" w:color="auto" w:fill="CFF0FC"/>
          </w:tcPr>
          <w:p>
            <w:pPr>
              <w:jc w:val="right"/>
              <w:ind w:right="31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9.94</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7.62</w:t>
            </w:r>
          </w:p>
        </w:tc>
        <w:tc>
          <w:tcPr>
            <w:tcW w:w="80" w:type="dxa"/>
            <w:vAlign w:val="bottom"/>
            <w:shd w:val="clear" w:color="auto" w:fill="CFF0FC"/>
          </w:tcPr>
          <w:p>
            <w:pPr>
              <w:spacing w:after="0"/>
              <w:rPr>
                <w:sz w:val="19"/>
                <w:szCs w:val="19"/>
                <w:color w:val="auto"/>
              </w:rPr>
            </w:pPr>
          </w:p>
        </w:tc>
      </w:t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Third Quarter</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10.25</w:t>
            </w:r>
          </w:p>
        </w:tc>
        <w:tc>
          <w:tcPr>
            <w:tcW w:w="30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8.19</w:t>
            </w:r>
          </w:p>
        </w:tc>
        <w:tc>
          <w:tcPr>
            <w:tcW w:w="80" w:type="dxa"/>
            <w:vAlign w:val="bottom"/>
          </w:tcPr>
          <w:p>
            <w:pPr>
              <w:spacing w:after="0"/>
              <w:rPr>
                <w:sz w:val="18"/>
                <w:szCs w:val="18"/>
                <w:color w:val="auto"/>
              </w:rPr>
            </w:pPr>
          </w:p>
        </w:tc>
      </w:tr>
      <w:tr>
        <w:trPr>
          <w:trHeight w:val="220"/>
        </w:trPr>
        <w:tc>
          <w:tcPr>
            <w:tcW w:w="3380" w:type="dxa"/>
            <w:vAlign w:val="bottom"/>
            <w:shd w:val="clear" w:color="auto" w:fill="CFF0FC"/>
          </w:tcPr>
          <w:p>
            <w:pPr>
              <w:spacing w:after="0"/>
              <w:rPr>
                <w:sz w:val="20"/>
                <w:szCs w:val="20"/>
                <w:color w:val="auto"/>
              </w:rPr>
            </w:pPr>
            <w:r>
              <w:rPr>
                <w:rFonts w:ascii="Arial" w:cs="Arial" w:eastAsia="Arial" w:hAnsi="Arial"/>
                <w:sz w:val="17"/>
                <w:szCs w:val="17"/>
                <w:color w:val="auto"/>
              </w:rPr>
              <w:t>Second Quarter</w:t>
            </w:r>
          </w:p>
        </w:tc>
        <w:tc>
          <w:tcPr>
            <w:tcW w:w="500" w:type="dxa"/>
            <w:vAlign w:val="bottom"/>
            <w:shd w:val="clear" w:color="auto" w:fill="CFF0FC"/>
          </w:tcPr>
          <w:p>
            <w:pPr>
              <w:jc w:val="right"/>
              <w:ind w:right="31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11.52</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8.95</w:t>
            </w:r>
          </w:p>
        </w:tc>
        <w:tc>
          <w:tcPr>
            <w:tcW w:w="80" w:type="dxa"/>
            <w:vAlign w:val="bottom"/>
            <w:shd w:val="clear" w:color="auto" w:fill="CFF0FC"/>
          </w:tcPr>
          <w:p>
            <w:pPr>
              <w:spacing w:after="0"/>
              <w:rPr>
                <w:sz w:val="19"/>
                <w:szCs w:val="19"/>
                <w:color w:val="auto"/>
              </w:rPr>
            </w:pPr>
          </w:p>
        </w:tc>
      </w:t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First Quarter</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15.99</w:t>
            </w:r>
          </w:p>
        </w:tc>
        <w:tc>
          <w:tcPr>
            <w:tcW w:w="30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11.87</w:t>
            </w:r>
          </w:p>
        </w:tc>
        <w:tc>
          <w:tcPr>
            <w:tcW w:w="80" w:type="dxa"/>
            <w:vAlign w:val="bottom"/>
          </w:tcPr>
          <w:p>
            <w:pPr>
              <w:spacing w:after="0"/>
              <w:rPr>
                <w:sz w:val="18"/>
                <w:szCs w:val="18"/>
                <w:color w:val="auto"/>
              </w:rPr>
            </w:pPr>
          </w:p>
        </w:tc>
      </w:tr>
    </w:tbl>
    <w:p>
      <w:pPr>
        <w:spacing w:after="0" w:line="195" w:lineRule="exact"/>
        <w:rPr>
          <w:sz w:val="20"/>
          <w:szCs w:val="20"/>
          <w:color w:val="auto"/>
        </w:rPr>
      </w:pPr>
    </w:p>
    <w:p>
      <w:pPr>
        <w:jc w:val="both"/>
        <w:ind w:right="780" w:firstLine="555"/>
        <w:spacing w:after="0" w:line="290" w:lineRule="auto"/>
        <w:rPr>
          <w:sz w:val="20"/>
          <w:szCs w:val="20"/>
          <w:color w:val="auto"/>
        </w:rPr>
      </w:pPr>
      <w:r>
        <w:rPr>
          <w:rFonts w:ascii="Arial" w:cs="Arial" w:eastAsia="Arial" w:hAnsi="Arial"/>
          <w:sz w:val="16"/>
          <w:szCs w:val="16"/>
          <w:color w:val="auto"/>
        </w:rPr>
        <w:t>On March 14, 2019, the closing price for our common stock on the Nasdaq Global Market was $4.53 per share. As of March 14, 2019, there were approximately 35 holders of record (not in street name) of our common stock. Because many of our shares of common stock are held by brokers and other institutions on behalf of our stockholders, we are unable to estimate the total number of stockholders represented by these record holders.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0"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have never paid cash dividends on our common stock. We currently intend to retain any earnings for use in our business and do not anticipate paying cash dividends in the foreseeable future.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Unregistered Securities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20" w:lineRule="exact"/>
        <w:rPr>
          <w:sz w:val="20"/>
          <w:szCs w:val="20"/>
          <w:color w:val="auto"/>
        </w:rPr>
      </w:pPr>
    </w:p>
    <w:p>
      <w:pPr>
        <w:ind w:right="100" w:firstLine="555"/>
        <w:spacing w:after="0" w:line="257" w:lineRule="auto"/>
        <w:rPr>
          <w:sz w:val="20"/>
          <w:szCs w:val="20"/>
          <w:color w:val="auto"/>
        </w:rPr>
      </w:pPr>
      <w:r>
        <w:rPr>
          <w:rFonts w:ascii="Arial" w:cs="Arial" w:eastAsia="Arial" w:hAnsi="Arial"/>
          <w:sz w:val="17"/>
          <w:szCs w:val="17"/>
          <w:color w:val="auto"/>
        </w:rPr>
        <w:t>On September 18, 2018, we sold 1,916,667 shares of the Company’s common stock (including 250,000 shares of common stock from the exercise of the overallotment option of shares granted to the underwriters) at a price of $6.00 per share. The offer and sale of all of the shares in the public offering were registered under the Securities Act pursuant to a registration statement on Form S-3 (File No. 333- 213094). We entered into an underwriting agreement with underwriters for whom Stifel, Nicolaus &amp; Company, Incorporated acted as representative. The net proceeds to the Company after deducting estimated underwriting discounts and commissions, fees and expenses of approximately $1.0 million were approximately $10.5 million. There has been no material change in the planned use of proceeds as described in our final prospectus filed with the SEC on September 14, 2018 pursuant to Rule 424(b) of the Securities Act. We invested the funds received in registered money market funds.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 applicable.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 Item.</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ind w:right="4320"/>
        <w:spacing w:after="0" w:line="383" w:lineRule="auto"/>
        <w:rPr>
          <w:sz w:val="20"/>
          <w:szCs w:val="20"/>
          <w:color w:val="auto"/>
        </w:rPr>
      </w:pPr>
      <w:r>
        <w:rPr>
          <w:rFonts w:ascii="Arial" w:cs="Arial" w:eastAsia="Arial" w:hAnsi="Arial"/>
          <w:sz w:val="17"/>
          <w:szCs w:val="17"/>
          <w:b w:val="1"/>
          <w:bCs w:val="1"/>
          <w:color w:val="auto"/>
        </w:rPr>
        <w:t>Item 7. Management’s Discussion and Analysis of Financial Condition and Results of Operations Overview</w:t>
      </w:r>
    </w:p>
    <w:p>
      <w:pPr>
        <w:spacing w:after="0" w:line="1" w:lineRule="exact"/>
        <w:rPr>
          <w:sz w:val="20"/>
          <w:szCs w:val="20"/>
          <w:color w:val="auto"/>
        </w:rPr>
      </w:pPr>
    </w:p>
    <w:p>
      <w:pPr>
        <w:ind w:right="180" w:firstLine="555"/>
        <w:spacing w:after="0" w:line="283"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laser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laser consoles consist of the following product lines:</w:t>
      </w:r>
    </w:p>
    <w:p>
      <w:pPr>
        <w:spacing w:after="0" w:line="108" w:lineRule="exact"/>
        <w:rPr>
          <w:sz w:val="20"/>
          <w:szCs w:val="20"/>
          <w:color w:val="auto"/>
        </w:rPr>
      </w:pPr>
    </w:p>
    <w:p>
      <w:pPr>
        <w:ind w:left="1120" w:hanging="563"/>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Glaucoma </w:t>
      </w:r>
      <w:r>
        <w:rPr>
          <w:rFonts w:ascii="Arial" w:cs="Arial" w:eastAsia="Arial" w:hAnsi="Arial"/>
          <w:sz w:val="17"/>
          <w:szCs w:val="17"/>
          <w:color w:val="auto"/>
        </w:rPr>
        <w:t>– This product line includes our Cyclo G6 laser system used for the treatment of glaucoma;</w:t>
      </w:r>
    </w:p>
    <w:p>
      <w:pPr>
        <w:spacing w:after="0" w:line="113" w:lineRule="exact"/>
        <w:rPr>
          <w:rFonts w:ascii="Arial" w:cs="Arial" w:eastAsia="Arial" w:hAnsi="Arial"/>
          <w:sz w:val="17"/>
          <w:szCs w:val="17"/>
          <w:color w:val="auto"/>
        </w:rPr>
      </w:pPr>
    </w:p>
    <w:p>
      <w:pPr>
        <w:ind w:left="1120" w:right="120" w:hanging="563"/>
        <w:spacing w:after="0" w:line="287" w:lineRule="auto"/>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Medical Retina </w:t>
      </w:r>
      <w:r>
        <w:rPr>
          <w:rFonts w:ascii="Arial" w:cs="Arial" w:eastAsia="Arial" w:hAnsi="Arial"/>
          <w:sz w:val="17"/>
          <w:szCs w:val="17"/>
          <w:color w:val="auto"/>
        </w:rPr>
        <w:t>– Our medical retina product line includes our IQ 532 and IQ 577 laser photocoagulation systems, which are used for the treatment</w:t>
      </w:r>
      <w:r>
        <w:rPr>
          <w:rFonts w:ascii="Arial" w:cs="Arial" w:eastAsia="Arial" w:hAnsi="Arial"/>
          <w:sz w:val="17"/>
          <w:szCs w:val="17"/>
          <w:b w:val="1"/>
          <w:bCs w:val="1"/>
          <w:color w:val="auto"/>
        </w:rPr>
        <w:t xml:space="preserve"> </w:t>
      </w:r>
      <w:r>
        <w:rPr>
          <w:rFonts w:ascii="Arial" w:cs="Arial" w:eastAsia="Arial" w:hAnsi="Arial"/>
          <w:sz w:val="17"/>
          <w:szCs w:val="17"/>
          <w:color w:val="auto"/>
        </w:rPr>
        <w:t>of diabetic macular edema and other retinal diseases; and</w:t>
      </w:r>
    </w:p>
    <w:p>
      <w:pPr>
        <w:spacing w:after="0" w:line="48" w:lineRule="exact"/>
        <w:rPr>
          <w:rFonts w:ascii="Arial" w:cs="Arial" w:eastAsia="Arial" w:hAnsi="Arial"/>
          <w:sz w:val="17"/>
          <w:szCs w:val="17"/>
          <w:color w:val="auto"/>
        </w:rPr>
      </w:pPr>
    </w:p>
    <w:p>
      <w:pPr>
        <w:jc w:val="both"/>
        <w:ind w:left="1120" w:right="280" w:hanging="563"/>
        <w:spacing w:after="0" w:line="270" w:lineRule="auto"/>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Surgical Retina </w:t>
      </w:r>
      <w:r>
        <w:rPr>
          <w:rFonts w:ascii="Arial" w:cs="Arial" w:eastAsia="Arial" w:hAnsi="Arial"/>
          <w:sz w:val="17"/>
          <w:szCs w:val="17"/>
          <w:color w:val="auto"/>
        </w:rPr>
        <w:t>– Our surgical retina line of products includes our OcuLight TX, OcuLight SL, OcuLight SLx, OcuLight GL and OcuLight GLx</w:t>
      </w:r>
      <w:r>
        <w:rPr>
          <w:rFonts w:ascii="Arial" w:cs="Arial" w:eastAsia="Arial" w:hAnsi="Arial"/>
          <w:sz w:val="17"/>
          <w:szCs w:val="17"/>
          <w:b w:val="1"/>
          <w:bCs w:val="1"/>
          <w:color w:val="auto"/>
        </w:rPr>
        <w:t xml:space="preserve"> </w:t>
      </w:r>
      <w:r>
        <w:rPr>
          <w:rFonts w:ascii="Arial" w:cs="Arial" w:eastAsia="Arial" w:hAnsi="Arial"/>
          <w:sz w:val="17"/>
          <w:szCs w:val="17"/>
          <w:color w:val="auto"/>
        </w:rPr>
        <w:t>laser photocoagulation systems. These systems are often used in vitrectomy procedures, which are used to treat proliferative diabetic retinopathy, macular holes, retinal tears and detachments.</w:t>
      </w:r>
    </w:p>
    <w:p>
      <w:pPr>
        <w:spacing w:after="0" w:line="68"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31" w:lineRule="exact"/>
        <w:rPr>
          <w:sz w:val="20"/>
          <w:szCs w:val="20"/>
          <w:color w:val="auto"/>
        </w:rPr>
      </w:pPr>
    </w:p>
    <w:p>
      <w:pPr>
        <w:ind w:left="1120" w:right="740" w:hanging="563"/>
        <w:spacing w:after="0" w:line="287"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Glaucoma </w:t>
      </w:r>
      <w:r>
        <w:rPr>
          <w:rFonts w:ascii="Arial" w:cs="Arial" w:eastAsia="Arial" w:hAnsi="Arial"/>
          <w:sz w:val="17"/>
          <w:szCs w:val="17"/>
          <w:color w:val="auto"/>
        </w:rPr>
        <w:t>– Probes used in our glaucoma product line include our recently patented MicroPulse P3 (“MP3”) probe, G-Probe and G-Probe</w:t>
      </w:r>
      <w:r>
        <w:rPr>
          <w:rFonts w:ascii="Arial" w:cs="Arial" w:eastAsia="Arial" w:hAnsi="Arial"/>
          <w:sz w:val="17"/>
          <w:szCs w:val="17"/>
          <w:b w:val="1"/>
          <w:bCs w:val="1"/>
          <w:color w:val="auto"/>
        </w:rPr>
        <w:t xml:space="preserve"> </w:t>
      </w:r>
      <w:r>
        <w:rPr>
          <w:rFonts w:ascii="Arial" w:cs="Arial" w:eastAsia="Arial" w:hAnsi="Arial"/>
          <w:sz w:val="17"/>
          <w:szCs w:val="17"/>
          <w:color w:val="auto"/>
        </w:rPr>
        <w:t>Illuminate; and</w:t>
      </w:r>
    </w:p>
    <w:p>
      <w:pPr>
        <w:spacing w:after="0" w:line="48" w:lineRule="exact"/>
        <w:rPr>
          <w:rFonts w:ascii="Arial" w:cs="Arial" w:eastAsia="Arial" w:hAnsi="Arial"/>
          <w:sz w:val="17"/>
          <w:szCs w:val="17"/>
          <w:color w:val="auto"/>
        </w:rPr>
      </w:pPr>
    </w:p>
    <w:p>
      <w:pPr>
        <w:ind w:left="1120" w:hanging="563"/>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Surgical Retina </w:t>
      </w:r>
      <w:r>
        <w:rPr>
          <w:rFonts w:ascii="Arial" w:cs="Arial" w:eastAsia="Arial" w:hAnsi="Arial"/>
          <w:sz w:val="17"/>
          <w:szCs w:val="17"/>
          <w:color w:val="auto"/>
        </w:rPr>
        <w:t>– Our surgical retina probes include our EndoProbe family of products used in vitrectomy procedures.</w:t>
      </w:r>
    </w:p>
    <w:p>
      <w:pPr>
        <w:spacing w:after="0" w:line="120" w:lineRule="exact"/>
        <w:rPr>
          <w:sz w:val="20"/>
          <w:szCs w:val="20"/>
          <w:color w:val="auto"/>
        </w:rPr>
      </w:pPr>
    </w:p>
    <w:p>
      <w:pPr>
        <w:ind w:right="200" w:firstLine="555"/>
        <w:spacing w:after="0" w:line="349" w:lineRule="auto"/>
        <w:rPr>
          <w:sz w:val="20"/>
          <w:szCs w:val="20"/>
          <w:color w:val="auto"/>
        </w:rPr>
      </w:pPr>
      <w:r>
        <w:rPr>
          <w:rFonts w:ascii="Arial" w:cs="Arial" w:eastAsia="Arial" w:hAnsi="Arial"/>
          <w:sz w:val="15"/>
          <w:szCs w:val="15"/>
          <w:color w:val="auto"/>
        </w:rPr>
        <w:t>Ophthalmologists typically use our laser systems in hospital ORs and ambulatory surgical centers (“ASCs”), as well as their offices and clinics. In the ORs and ASCs, ophthalmologists use our laser systems with either an indirect laser ophthalmoscope or a consumable, single use MP3 probe, G-Probe or EndoProbe.</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products are sold in the United States and Germany predominantly through a direct sales force and internationally, through independent distributors.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Total revenues in 2018 and 2017 were $42.6 million and $41.6 million, respectively. We generated net losses of $12.8 million and $12.9 million in 2018 and 2017.</w:t>
      </w:r>
    </w:p>
    <w:p>
      <w:pPr>
        <w:spacing w:after="0" w:line="126"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Cost of revenues consists primarily of the cost of components and sub-systems, assembling, packaging, shipping and testing components at our facility, direct labor and associated overhead, warranty, royalty and amortization of intangible assets and depot service costs.</w:t>
      </w:r>
    </w:p>
    <w:p>
      <w:pPr>
        <w:spacing w:after="0" w:line="61" w:lineRule="exact"/>
        <w:rPr>
          <w:sz w:val="20"/>
          <w:szCs w:val="20"/>
          <w:color w:val="auto"/>
        </w:rPr>
      </w:pPr>
    </w:p>
    <w:p>
      <w:pPr>
        <w:ind w:right="260" w:firstLine="555"/>
        <w:spacing w:after="0" w:line="266" w:lineRule="auto"/>
        <w:rPr>
          <w:sz w:val="20"/>
          <w:szCs w:val="20"/>
          <w:color w:val="auto"/>
        </w:rPr>
      </w:pPr>
      <w:r>
        <w:rPr>
          <w:rFonts w:ascii="Arial" w:cs="Arial" w:eastAsia="Arial" w:hAnsi="Arial"/>
          <w:sz w:val="17"/>
          <w:szCs w:val="17"/>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25"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General and administrative expenses consist primarily of costs of personnel, legal, accounting and other public company costs, insurance and other expenses not allocated to other departments.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- 2018 and 2017</w:t>
      </w:r>
    </w:p>
    <w:p>
      <w:pPr>
        <w:spacing w:after="0" w:line="120"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Our fiscal year ends on the Saturday closest to December 31. Fiscal 2018 ended on December 29, 2018 and fiscal 2017 ended on December 30, 2017. Fiscal years 2018 and 2017 each included 52 weeks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ind w:left="560"/>
        <w:spacing w:after="0"/>
        <w:rPr>
          <w:sz w:val="20"/>
          <w:szCs w:val="20"/>
          <w:color w:val="auto"/>
        </w:rPr>
      </w:pPr>
      <w:r>
        <w:rPr>
          <w:rFonts w:ascii="Arial" w:cs="Arial" w:eastAsia="Arial" w:hAnsi="Arial"/>
          <w:sz w:val="17"/>
          <w:szCs w:val="17"/>
          <w:color w:val="auto"/>
        </w:rPr>
        <w:t>The following table sets forth certain operating data as a percentage of revenue for the periods indicated.</w:t>
      </w:r>
    </w:p>
    <w:p>
      <w:pPr>
        <w:spacing w:after="0" w:line="284" w:lineRule="exact"/>
        <w:rPr>
          <w:sz w:val="20"/>
          <w:szCs w:val="20"/>
          <w:color w:val="auto"/>
        </w:rPr>
      </w:pPr>
    </w:p>
    <w:tbl>
      <w:tblPr>
        <w:tblLayout w:type="fixed"/>
        <w:tblInd w:w="1160" w:type="dxa"/>
        <w:tblCellMar>
          <w:top w:w="0" w:type="dxa"/>
          <w:left w:w="0" w:type="dxa"/>
          <w:bottom w:w="0" w:type="dxa"/>
          <w:right w:w="0" w:type="dxa"/>
        </w:tblCellMar>
      </w:tblPr>
      <w:tr>
        <w:trPr>
          <w:trHeight w:val="164"/>
        </w:trPr>
        <w:tc>
          <w:tcPr>
            <w:tcW w:w="5780" w:type="dxa"/>
            <w:vAlign w:val="bottom"/>
          </w:tcPr>
          <w:p>
            <w:pPr>
              <w:spacing w:after="0"/>
              <w:rPr>
                <w:sz w:val="14"/>
                <w:szCs w:val="14"/>
                <w:color w:val="auto"/>
              </w:rPr>
            </w:pPr>
          </w:p>
        </w:tc>
        <w:tc>
          <w:tcPr>
            <w:tcW w:w="3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Percentage of Revenue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3120" w:type="dxa"/>
            <w:vAlign w:val="bottom"/>
            <w:tcBorders>
              <w:top w:val="single" w:sz="8" w:color="auto"/>
              <w:bottom w:val="single" w:sz="8" w:color="auto"/>
            </w:tcBorders>
            <w:gridSpan w:val="3"/>
          </w:tcPr>
          <w:p>
            <w:pPr>
              <w:jc w:val="center"/>
              <w:spacing w:after="0" w:line="148" w:lineRule="exact"/>
              <w:rPr>
                <w:sz w:val="20"/>
                <w:szCs w:val="20"/>
                <w:color w:val="auto"/>
              </w:rPr>
            </w:pPr>
            <w:r>
              <w:rPr>
                <w:rFonts w:ascii="Arial" w:cs="Arial" w:eastAsia="Arial" w:hAnsi="Arial"/>
                <w:sz w:val="14"/>
                <w:szCs w:val="14"/>
                <w:b w:val="1"/>
                <w:bCs w:val="1"/>
                <w:color w:val="auto"/>
                <w:w w:val="87"/>
              </w:rPr>
              <w:t>Years Ended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7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FY 2018</w:t>
            </w: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FY 2017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FF0FC"/>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December 29, 2018</w:t>
            </w:r>
          </w:p>
        </w:tc>
        <w:tc>
          <w:tcPr>
            <w:tcW w:w="360" w:type="dxa"/>
            <w:vAlign w:val="bottom"/>
            <w:tcBorders>
              <w:bottom w:val="single" w:sz="8" w:color="CFF0FC"/>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December 30, 2017</w:t>
            </w:r>
          </w:p>
        </w:tc>
        <w:tc>
          <w:tcPr>
            <w:tcW w:w="2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8"/>
        </w:trPr>
        <w:tc>
          <w:tcPr>
            <w:tcW w:w="5780" w:type="dxa"/>
            <w:vAlign w:val="bottom"/>
          </w:tcPr>
          <w:p>
            <w:pPr>
              <w:spacing w:after="0"/>
              <w:rPr>
                <w:sz w:val="20"/>
                <w:szCs w:val="20"/>
                <w:color w:val="auto"/>
              </w:rPr>
            </w:pPr>
            <w:r>
              <w:rPr>
                <w:rFonts w:ascii="Arial" w:cs="Arial" w:eastAsia="Arial" w:hAnsi="Arial"/>
                <w:sz w:val="17"/>
                <w:szCs w:val="17"/>
                <w:color w:val="auto"/>
              </w:rPr>
              <w:t>Cost of revenues</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59.0%</w:t>
            </w:r>
          </w:p>
        </w:tc>
        <w:tc>
          <w:tcPr>
            <w:tcW w:w="1600" w:type="dxa"/>
            <w:vAlign w:val="bottom"/>
            <w:gridSpan w:val="2"/>
          </w:tcPr>
          <w:p>
            <w:pPr>
              <w:jc w:val="right"/>
              <w:ind w:right="80"/>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Gross margin</w:t>
            </w: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8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41.0%</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7"/>
                <w:szCs w:val="17"/>
                <w:color w:val="auto"/>
              </w:rPr>
              <w:t>Operating expenses:</w:t>
            </w:r>
          </w:p>
        </w:tc>
        <w:tc>
          <w:tcPr>
            <w:tcW w:w="1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9.4%</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8"/>
        </w:trPr>
        <w:tc>
          <w:tcPr>
            <w:tcW w:w="5780" w:type="dxa"/>
            <w:vAlign w:val="bottom"/>
          </w:tcPr>
          <w:p>
            <w:pPr>
              <w:spacing w:after="0"/>
              <w:rPr>
                <w:sz w:val="20"/>
                <w:szCs w:val="20"/>
                <w:color w:val="auto"/>
              </w:rPr>
            </w:pPr>
            <w:r>
              <w:rPr>
                <w:rFonts w:ascii="Arial" w:cs="Arial" w:eastAsia="Arial" w:hAnsi="Arial"/>
                <w:sz w:val="17"/>
                <w:szCs w:val="17"/>
                <w:color w:val="auto"/>
              </w:rPr>
              <w:t>Sales and marketing</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39.4%</w:t>
            </w:r>
          </w:p>
        </w:tc>
        <w:tc>
          <w:tcPr>
            <w:tcW w:w="1600" w:type="dxa"/>
            <w:vAlign w:val="bottom"/>
            <w:gridSpan w:val="2"/>
          </w:tcPr>
          <w:p>
            <w:pPr>
              <w:jc w:val="right"/>
              <w:ind w:right="8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20"/>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22.4%</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18"/>
        </w:trPr>
        <w:tc>
          <w:tcPr>
            <w:tcW w:w="5780" w:type="dxa"/>
            <w:vAlign w:val="bottom"/>
          </w:tcPr>
          <w:p>
            <w:pPr>
              <w:spacing w:after="0"/>
              <w:rPr>
                <w:sz w:val="20"/>
                <w:szCs w:val="20"/>
                <w:color w:val="auto"/>
              </w:rPr>
            </w:pPr>
            <w:r>
              <w:rPr>
                <w:rFonts w:ascii="Arial" w:cs="Arial" w:eastAsia="Arial" w:hAnsi="Arial"/>
                <w:sz w:val="17"/>
                <w:szCs w:val="17"/>
                <w:color w:val="auto"/>
              </w:rPr>
              <w:t>Gain on sale of intellectual property</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0.0%</w:t>
            </w:r>
          </w:p>
        </w:tc>
        <w:tc>
          <w:tcPr>
            <w:tcW w:w="1600" w:type="dxa"/>
            <w:vAlign w:val="bottom"/>
            <w:gridSpan w:val="2"/>
          </w:tcPr>
          <w:p>
            <w:pPr>
              <w:jc w:val="right"/>
              <w:ind w:right="2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0"/>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Impairment of long-lived assets</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0.0%</w:t>
            </w: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7"/>
                <w:szCs w:val="17"/>
                <w:color w:val="auto"/>
              </w:rPr>
              <w:t>Total operating expenses</w:t>
            </w:r>
          </w:p>
        </w:tc>
        <w:tc>
          <w:tcPr>
            <w:tcW w:w="1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vMerge w:val="continue"/>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71.2%</w:t>
            </w:r>
          </w:p>
        </w:tc>
        <w:tc>
          <w:tcPr>
            <w:tcW w:w="1600" w:type="dxa"/>
            <w:vAlign w:val="bottom"/>
            <w:gridSpan w:val="2"/>
          </w:tcPr>
          <w:p>
            <w:pPr>
              <w:jc w:val="right"/>
              <w:ind w:right="80"/>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income from operations</w:t>
            </w: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8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(30.2%)</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18"/>
        </w:trPr>
        <w:tc>
          <w:tcPr>
            <w:tcW w:w="578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0.2%</w:t>
            </w:r>
          </w:p>
        </w:tc>
        <w:tc>
          <w:tcPr>
            <w:tcW w:w="1600" w:type="dxa"/>
            <w:vAlign w:val="bottom"/>
            <w:gridSpan w:val="2"/>
          </w:tcPr>
          <w:p>
            <w:pPr>
              <w:jc w:val="right"/>
              <w:ind w:right="2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w w:val="97"/>
              </w:rPr>
              <w:t>(Loss) income from operations before (benefit from) provision for income taxes</w:t>
            </w: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8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(30.0%)</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18"/>
        </w:trPr>
        <w:tc>
          <w:tcPr>
            <w:tcW w:w="5780" w:type="dxa"/>
            <w:vAlign w:val="bottom"/>
          </w:tcPr>
          <w:p>
            <w:pPr>
              <w:spacing w:after="0"/>
              <w:rPr>
                <w:sz w:val="20"/>
                <w:szCs w:val="20"/>
                <w:color w:val="auto"/>
              </w:rPr>
            </w:pPr>
            <w:r>
              <w:rPr>
                <w:rFonts w:ascii="Arial" w:cs="Arial" w:eastAsia="Arial" w:hAnsi="Arial"/>
                <w:sz w:val="17"/>
                <w:szCs w:val="17"/>
                <w:color w:val="auto"/>
              </w:rPr>
              <w:t>(Benefit from) provision for income taxes</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0.1%</w:t>
            </w:r>
          </w:p>
        </w:tc>
        <w:tc>
          <w:tcPr>
            <w:tcW w:w="1600" w:type="dxa"/>
            <w:vAlign w:val="bottom"/>
            <w:gridSpan w:val="2"/>
          </w:tcPr>
          <w:p>
            <w:pPr>
              <w:jc w:val="right"/>
              <w:ind w:right="2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 income</w:t>
            </w: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80" w:type="dxa"/>
            <w:vAlign w:val="bottom"/>
            <w:vMerge w:val="continue"/>
            <w:shd w:val="clear" w:color="auto" w:fill="CFF0FC"/>
          </w:tcPr>
          <w:p>
            <w:pPr>
              <w:spacing w:after="0"/>
              <w:rPr>
                <w:sz w:val="18"/>
                <w:szCs w:val="18"/>
                <w:color w:val="auto"/>
              </w:rPr>
            </w:pP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(30.1%)</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2018 and 2017</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114" w:lineRule="exact"/>
        <w:rPr>
          <w:sz w:val="20"/>
          <w:szCs w:val="20"/>
          <w:color w:val="auto"/>
        </w:rPr>
      </w:pPr>
    </w:p>
    <w:p>
      <w:pPr>
        <w:ind w:firstLine="555"/>
        <w:spacing w:after="0" w:line="307" w:lineRule="auto"/>
        <w:rPr>
          <w:sz w:val="20"/>
          <w:szCs w:val="20"/>
          <w:color w:val="auto"/>
        </w:rPr>
      </w:pPr>
      <w:r>
        <w:rPr>
          <w:rFonts w:ascii="Arial" w:cs="Arial" w:eastAsia="Arial" w:hAnsi="Arial"/>
          <w:sz w:val="15"/>
          <w:szCs w:val="15"/>
          <w:color w:val="auto"/>
        </w:rPr>
        <w:t>Our total revenues increased $1.0 million or 2.4% from $41.6 million in 2017 to $42.6 million in 2018. The increase was due primarily to an increase in our international systems revenues and recurring revenues, partially offset by a decrease in our domestic systems sales. Domestic systems sales were impacted by a decrease in retina system sales primarily due to the impact of our voluntary recall. The increase in international systems revenues was primarily due to an increase in G6 system sales. Our recurring revenues increased due to an increase in G6 related probes sales, partially offset by a decrease in legacy probes sales.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4"/>
        </w:trPr>
        <w:tc>
          <w:tcPr>
            <w:tcW w:w="2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FY 2018</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FY 2017</w:t>
            </w: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Change in $</w:t>
            </w:r>
          </w:p>
        </w:tc>
        <w:tc>
          <w:tcPr>
            <w:tcW w:w="2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Change in %</w:t>
            </w:r>
          </w:p>
        </w:tc>
        <w:tc>
          <w:tcPr>
            <w:tcW w:w="220" w:type="dxa"/>
            <w:vAlign w:val="bottom"/>
            <w:tcBorders>
              <w:bottom w:val="single" w:sz="8" w:color="CFF0FC"/>
            </w:tcBorders>
          </w:tcPr>
          <w:p>
            <w:pPr>
              <w:spacing w:after="0"/>
              <w:rPr>
                <w:sz w:val="14"/>
                <w:szCs w:val="14"/>
                <w:color w:val="auto"/>
              </w:rPr>
            </w:pPr>
          </w:p>
        </w:tc>
      </w:tr>
      <w:tr>
        <w:trPr>
          <w:trHeight w:val="212"/>
        </w:trPr>
        <w:tc>
          <w:tcPr>
            <w:tcW w:w="2460" w:type="dxa"/>
            <w:vAlign w:val="bottom"/>
            <w:shd w:val="clear" w:color="auto" w:fill="CFF0FC"/>
          </w:tcPr>
          <w:p>
            <w:pPr>
              <w:spacing w:after="0"/>
              <w:rPr>
                <w:sz w:val="20"/>
                <w:szCs w:val="20"/>
                <w:color w:val="auto"/>
              </w:rPr>
            </w:pPr>
            <w:r>
              <w:rPr>
                <w:rFonts w:ascii="Arial" w:cs="Arial" w:eastAsia="Arial" w:hAnsi="Arial"/>
                <w:sz w:val="17"/>
                <w:szCs w:val="17"/>
                <w:color w:val="auto"/>
              </w:rPr>
              <w:t>Systems – domestic</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(0.7)</w:t>
            </w: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(8.8%)</w:t>
            </w:r>
          </w:p>
        </w:tc>
      </w:tr>
      <w:tr>
        <w:trPr>
          <w:trHeight w:val="218"/>
        </w:trPr>
        <w:tc>
          <w:tcPr>
            <w:tcW w:w="2460" w:type="dxa"/>
            <w:vAlign w:val="bottom"/>
          </w:tcPr>
          <w:p>
            <w:pPr>
              <w:spacing w:after="0"/>
              <w:rPr>
                <w:sz w:val="20"/>
                <w:szCs w:val="20"/>
                <w:color w:val="auto"/>
              </w:rPr>
            </w:pPr>
            <w:r>
              <w:rPr>
                <w:rFonts w:ascii="Arial" w:cs="Arial" w:eastAsia="Arial" w:hAnsi="Arial"/>
                <w:sz w:val="17"/>
                <w:szCs w:val="17"/>
                <w:color w:val="auto"/>
              </w:rPr>
              <w:t>Systems – international</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7"/>
                <w:szCs w:val="17"/>
                <w:color w:val="auto"/>
              </w:rPr>
              <w:t>8.5%</w:t>
            </w:r>
          </w:p>
        </w:tc>
      </w:tr>
      <w:tr>
        <w:trPr>
          <w:trHeight w:val="220"/>
        </w:trPr>
        <w:tc>
          <w:tcPr>
            <w:tcW w:w="2460" w:type="dxa"/>
            <w:vAlign w:val="bottom"/>
            <w:shd w:val="clear" w:color="auto" w:fill="CFF0FC"/>
          </w:tcPr>
          <w:p>
            <w:pPr>
              <w:spacing w:after="0"/>
              <w:rPr>
                <w:sz w:val="20"/>
                <w:szCs w:val="20"/>
                <w:color w:val="auto"/>
              </w:rPr>
            </w:pPr>
            <w:r>
              <w:rPr>
                <w:rFonts w:ascii="Arial" w:cs="Arial" w:eastAsia="Arial" w:hAnsi="Arial"/>
                <w:sz w:val="17"/>
                <w:szCs w:val="17"/>
                <w:color w:val="auto"/>
              </w:rPr>
              <w:t>Recurring revenues</w:t>
            </w:r>
          </w:p>
        </w:tc>
        <w:tc>
          <w:tcPr>
            <w:tcW w:w="8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21.9</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0.7</w:t>
            </w: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3.2%</w:t>
            </w:r>
          </w:p>
        </w:tc>
      </w:tr>
      <w:tr>
        <w:trPr>
          <w:trHeight w:val="211"/>
        </w:trPr>
        <w:tc>
          <w:tcPr>
            <w:tcW w:w="2460" w:type="dxa"/>
            <w:vAlign w:val="bottom"/>
          </w:tcPr>
          <w:p>
            <w:pPr>
              <w:spacing w:after="0"/>
              <w:rPr>
                <w:sz w:val="20"/>
                <w:szCs w:val="20"/>
                <w:color w:val="auto"/>
              </w:rPr>
            </w:pPr>
            <w:r>
              <w:rPr>
                <w:rFonts w:ascii="Arial" w:cs="Arial" w:eastAsia="Arial" w:hAnsi="Arial"/>
                <w:sz w:val="17"/>
                <w:szCs w:val="17"/>
                <w:color w:val="auto"/>
              </w:rPr>
              <w:t>Total revenues</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42.6</w:t>
            </w: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41.6</w:t>
            </w:r>
          </w:p>
        </w:tc>
        <w:tc>
          <w:tcPr>
            <w:tcW w:w="2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7"/>
                <w:szCs w:val="17"/>
                <w:color w:val="auto"/>
              </w:rPr>
              <w:t>2.4%</w:t>
            </w:r>
          </w:p>
        </w:tc>
      </w:tr>
      <w:tr>
        <w:trPr>
          <w:trHeight w:val="20"/>
        </w:trPr>
        <w:tc>
          <w:tcPr>
            <w:tcW w:w="2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w:t>
      </w:r>
    </w:p>
    <w:p>
      <w:pPr>
        <w:spacing w:after="0" w:line="114" w:lineRule="exact"/>
        <w:rPr>
          <w:sz w:val="20"/>
          <w:szCs w:val="20"/>
          <w:color w:val="auto"/>
        </w:rPr>
      </w:pPr>
    </w:p>
    <w:p>
      <w:pPr>
        <w:ind w:right="20" w:firstLine="555"/>
        <w:spacing w:after="0" w:line="266" w:lineRule="auto"/>
        <w:rPr>
          <w:sz w:val="20"/>
          <w:szCs w:val="20"/>
          <w:color w:val="auto"/>
        </w:rPr>
      </w:pPr>
      <w:r>
        <w:rPr>
          <w:rFonts w:ascii="Arial" w:cs="Arial" w:eastAsia="Arial" w:hAnsi="Arial"/>
          <w:sz w:val="17"/>
          <w:szCs w:val="17"/>
          <w:color w:val="auto"/>
        </w:rPr>
        <w:t>Gross profit increased $2.0 million or 12.7% from $15.5 million in 2017 to $17.5 million in 2018. Gross margin increased 3.7 percentage points from 37.3% in 2017 to 41.0% in 2018. Gross margin improved primarily due to lower manufacturing costs and elimination of costs associated with our voluntary LIO product recall in 2017, partially offset by the impact of a shift in geographic mix.</w:t>
      </w:r>
    </w:p>
    <w:p>
      <w:pPr>
        <w:spacing w:after="0" w:line="72" w:lineRule="exact"/>
        <w:rPr>
          <w:sz w:val="20"/>
          <w:szCs w:val="20"/>
          <w:color w:val="auto"/>
        </w:rPr>
      </w:pPr>
    </w:p>
    <w:p>
      <w:pPr>
        <w:ind w:right="160" w:firstLine="555"/>
        <w:spacing w:after="0" w:line="312" w:lineRule="auto"/>
        <w:rPr>
          <w:sz w:val="20"/>
          <w:szCs w:val="20"/>
          <w:color w:val="auto"/>
        </w:rPr>
      </w:pPr>
      <w:r>
        <w:rPr>
          <w:rFonts w:ascii="Arial" w:cs="Arial" w:eastAsia="Arial" w:hAnsi="Arial"/>
          <w:sz w:val="16"/>
          <w:szCs w:val="16"/>
          <w:color w:val="auto"/>
        </w:rPr>
        <w:t>Gross margins are expected to continue to fluctuate due to changes in the relative proportions of domestic and international sales, the product mix of sales, manufacturing variances, total unit volume changes that lead to greater or lesser production efficiencies, sales return and a variety of other factors.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w:t>
      </w:r>
    </w:p>
    <w:p>
      <w:pPr>
        <w:spacing w:after="0" w:line="114"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R&amp;D expenses decreased $1.2 million or 23.1% from $5.2 million in 2017 to $4.0 million in 2018. The decrease was attributable primarily to a decrease in salaries and related costs as a result of decrease in headcount and a decrease in share-based compensation expense.</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color w:val="auto"/>
        </w:rPr>
        <w:t>Sales and Marketing.</w:t>
      </w:r>
    </w:p>
    <w:p>
      <w:pPr>
        <w:spacing w:after="0" w:line="114" w:lineRule="exact"/>
        <w:rPr>
          <w:sz w:val="20"/>
          <w:szCs w:val="20"/>
          <w:color w:val="auto"/>
        </w:rPr>
      </w:pPr>
    </w:p>
    <w:p>
      <w:pPr>
        <w:ind w:right="120" w:firstLine="555"/>
        <w:spacing w:after="0" w:line="312" w:lineRule="auto"/>
        <w:rPr>
          <w:sz w:val="20"/>
          <w:szCs w:val="20"/>
          <w:color w:val="auto"/>
        </w:rPr>
      </w:pPr>
      <w:r>
        <w:rPr>
          <w:rFonts w:ascii="Arial" w:cs="Arial" w:eastAsia="Arial" w:hAnsi="Arial"/>
          <w:sz w:val="16"/>
          <w:szCs w:val="16"/>
          <w:color w:val="auto"/>
        </w:rPr>
        <w:t>Sales and marketing expenses increased $2.2 million or 15.4%, from $14.5 million in 2017 to $16.8 million in 2018. The increase was attributable primarily to an increase in salaries and related costs due to an increase in headcount and an increase in other general selling and marketing expenses.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14" w:lineRule="exact"/>
        <w:rPr>
          <w:sz w:val="20"/>
          <w:szCs w:val="20"/>
          <w:color w:val="auto"/>
        </w:rPr>
      </w:pPr>
    </w:p>
    <w:p>
      <w:pPr>
        <w:ind w:right="620" w:firstLine="555"/>
        <w:spacing w:after="0" w:line="312" w:lineRule="auto"/>
        <w:rPr>
          <w:sz w:val="20"/>
          <w:szCs w:val="20"/>
          <w:color w:val="auto"/>
        </w:rPr>
      </w:pPr>
      <w:r>
        <w:rPr>
          <w:rFonts w:ascii="Arial" w:cs="Arial" w:eastAsia="Arial" w:hAnsi="Arial"/>
          <w:sz w:val="16"/>
          <w:szCs w:val="16"/>
          <w:color w:val="auto"/>
        </w:rPr>
        <w:t>General and administrative expenses increased $0.8 million or 8.8% from $8.8 million in 2017 to $9.6 million in 2018. The increase in spending was attributable primarily to an increase in headcount and associated costs, an increase in our German operations and an increase in legal expense.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intellectual property</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2017, we recognized a $0.2 million gain on sale of intellectual property which was written off in 2016.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114" w:lineRule="exact"/>
        <w:rPr>
          <w:sz w:val="20"/>
          <w:szCs w:val="20"/>
          <w:color w:val="auto"/>
        </w:rPr>
      </w:pPr>
    </w:p>
    <w:p>
      <w:pPr>
        <w:jc w:val="both"/>
        <w:ind w:right="140" w:firstLine="555"/>
        <w:spacing w:after="0" w:line="290" w:lineRule="auto"/>
        <w:rPr>
          <w:sz w:val="20"/>
          <w:szCs w:val="20"/>
          <w:color w:val="auto"/>
        </w:rPr>
      </w:pPr>
      <w:r>
        <w:rPr>
          <w:rFonts w:ascii="Arial" w:cs="Arial" w:eastAsia="Arial" w:hAnsi="Arial"/>
          <w:sz w:val="16"/>
          <w:szCs w:val="16"/>
          <w:color w:val="auto"/>
        </w:rPr>
        <w:t>Other expense totaled $0.1 million in 2018 and was attributable primarily to interest income, partially offset by an increase in the fair value re-measurement of the contingent earn-out liabilities of the RetinaLabs acquisition. Other expense totaled $0.1 million in 2017 and was attributed primarily to an increase in the fair value re-measurement of the contingent earn-out liabilities of the RetinaLabs acquisition, partially offset by interest income.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4" w:lineRule="exact"/>
        <w:rPr>
          <w:sz w:val="20"/>
          <w:szCs w:val="20"/>
          <w:color w:val="auto"/>
        </w:rPr>
      </w:pPr>
    </w:p>
    <w:p>
      <w:pPr>
        <w:jc w:val="both"/>
        <w:ind w:right="160" w:firstLine="555"/>
        <w:spacing w:after="0" w:line="318" w:lineRule="auto"/>
        <w:rPr>
          <w:sz w:val="20"/>
          <w:szCs w:val="20"/>
          <w:color w:val="auto"/>
        </w:rPr>
      </w:pPr>
      <w:r>
        <w:rPr>
          <w:rFonts w:ascii="Arial" w:cs="Arial" w:eastAsia="Arial" w:hAnsi="Arial"/>
          <w:sz w:val="15"/>
          <w:szCs w:val="15"/>
          <w:color w:val="auto"/>
        </w:rPr>
        <w:t>We recorded a provision for income taxes of $37 thousand for the year ended December 29, 2018 compared to a benefit from income taxes of $0.1 million for the year ended December 30, 2017. The effective tax rate for the year ended December 29, 2018 was negative 0.29% compared to an effective tax rate of 0.98% for the year ended December 30, 2017. The income tax valuation allowance was $15.5 million at the end of 2018 compared to $12.3 million at the end of 2017.</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Comparison of 2018 and 2017</w:t>
      </w:r>
    </w:p>
    <w:p>
      <w:pPr>
        <w:spacing w:after="0" w:line="114" w:lineRule="exact"/>
        <w:rPr>
          <w:sz w:val="20"/>
          <w:szCs w:val="20"/>
          <w:color w:val="auto"/>
        </w:rPr>
      </w:pPr>
    </w:p>
    <w:p>
      <w:pPr>
        <w:ind w:right="500" w:firstLine="555"/>
        <w:spacing w:after="0" w:line="279" w:lineRule="auto"/>
        <w:rPr>
          <w:sz w:val="20"/>
          <w:szCs w:val="20"/>
          <w:color w:val="auto"/>
        </w:rPr>
      </w:pPr>
      <w:r>
        <w:rPr>
          <w:rFonts w:ascii="Arial" w:cs="Arial" w:eastAsia="Arial" w:hAnsi="Arial"/>
          <w:sz w:val="17"/>
          <w:szCs w:val="17"/>
          <w:color w:val="auto"/>
        </w:rPr>
        <w:t>As of December 29, 2018, we had cash and cash equivalents of $21.2 million, no debt and working capital of $28.5 million compared to cash and cash equivalents of $21.7 million, no debt and working capital of $29.1 million as of December 30, 2017.</w:t>
      </w:r>
    </w:p>
    <w:p>
      <w:pPr>
        <w:spacing w:after="0" w:line="61" w:lineRule="exact"/>
        <w:rPr>
          <w:sz w:val="20"/>
          <w:szCs w:val="20"/>
          <w:color w:val="auto"/>
        </w:rPr>
      </w:pPr>
    </w:p>
    <w:p>
      <w:pPr>
        <w:ind w:right="260" w:firstLine="555"/>
        <w:spacing w:after="0" w:line="312" w:lineRule="auto"/>
        <w:rPr>
          <w:sz w:val="20"/>
          <w:szCs w:val="20"/>
          <w:color w:val="auto"/>
        </w:rPr>
      </w:pPr>
      <w:r>
        <w:rPr>
          <w:rFonts w:ascii="Arial" w:cs="Arial" w:eastAsia="Arial" w:hAnsi="Arial"/>
          <w:sz w:val="16"/>
          <w:szCs w:val="16"/>
          <w:color w:val="auto"/>
        </w:rPr>
        <w:t>Net cash used in operating activities was $10.0 million in 2018 compared to $3.6 million in 2017. The increase in net cash used in operating activities was primarily due to changes in working capital, driven by lower cash collections, timing of vendor payments and increase in operating expenses.</w:t>
      </w:r>
    </w:p>
    <w:p>
      <w:pPr>
        <w:spacing w:after="0" w:line="37"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During 2018, net cash used in investing activities was $0.8 million, which consisted of $0.4 million for capital expenditures and $0.4 million payments of the contingent earn-out liability. Net cash used in investing activities during 2017 was $0.8 million, which consisted of $0.6 million for capital expenditures and $0.4 million for payment of the contingent earn-out liability, partially offset by $0.2 million proceeds from sale of intellectual property.</w:t>
      </w:r>
    </w:p>
    <w:p>
      <w:pPr>
        <w:spacing w:after="0" w:line="55"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During 2018, net cash provided by financing activities was $10.4 million, which consisted of $10.5 million net proceeds arising from the issuance of common stock and $0.1 million proceeds from stock option exercises, partially offset by $0.2 million payroll taxes related to net share settlement of equity awards. Net cash provided by financing activities during 2017 was $2.3 million, which consisted of $2.3 million net proceeds arising from issuance of common stock and $0.4 million proceeds from stock option exercises, partially offset by $0.3 million payroll taxes related to net share settlement of equity awards.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our existing cash and cash equivalents will be sufficient to meet our anticipated cash needs over the next 12 months.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114" w:lineRule="exact"/>
        <w:rPr>
          <w:sz w:val="20"/>
          <w:szCs w:val="20"/>
          <w:color w:val="auto"/>
        </w:rPr>
      </w:pPr>
    </w:p>
    <w:p>
      <w:pPr>
        <w:ind w:right="60" w:firstLine="555"/>
        <w:spacing w:after="0" w:line="266" w:lineRule="auto"/>
        <w:rPr>
          <w:sz w:val="20"/>
          <w:szCs w:val="20"/>
          <w:color w:val="auto"/>
        </w:rPr>
      </w:pPr>
      <w:r>
        <w:rPr>
          <w:rFonts w:ascii="Arial" w:cs="Arial" w:eastAsia="Arial" w:hAnsi="Arial"/>
          <w:sz w:val="17"/>
          <w:szCs w:val="17"/>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34" w:name="page35"/>
    <w:bookmarkEnd w:id="34"/>
    <w:p>
      <w:pPr>
        <w:ind w:right="540" w:firstLine="555"/>
        <w:spacing w:after="0" w:line="279" w:lineRule="auto"/>
        <w:rPr>
          <w:sz w:val="20"/>
          <w:szCs w:val="20"/>
          <w:color w:val="auto"/>
        </w:rPr>
      </w:pPr>
      <w:r>
        <w:rPr>
          <w:rFonts w:ascii="Arial" w:cs="Arial" w:eastAsia="Arial" w:hAnsi="Arial"/>
          <w:sz w:val="17"/>
          <w:szCs w:val="17"/>
          <w:color w:val="auto"/>
        </w:rPr>
        <w:t>The Company has the following revenue transaction types: (1) Product Sale Only, (2) VIP/LAP Programs, (3) Extended Warranty, (4) System Repairs (outside of warranty) and (5) Royalty Revenue.</w:t>
      </w:r>
    </w:p>
    <w:p>
      <w:pPr>
        <w:spacing w:after="0" w:line="61" w:lineRule="exact"/>
        <w:rPr>
          <w:sz w:val="20"/>
          <w:szCs w:val="20"/>
          <w:color w:val="auto"/>
        </w:rPr>
      </w:pPr>
    </w:p>
    <w:p>
      <w:pPr>
        <w:ind w:left="1120" w:right="20" w:hanging="563"/>
        <w:spacing w:after="0" w:line="307" w:lineRule="auto"/>
        <w:tabs>
          <w:tab w:leader="none" w:pos="1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the Company utilizes independent, third-party distributors to market and sell the Company’s products. There is no continuing obligation subsequent to the shipment to the distributors.</w:t>
      </w:r>
    </w:p>
    <w:p>
      <w:pPr>
        <w:spacing w:after="0" w:line="45" w:lineRule="exact"/>
        <w:rPr>
          <w:rFonts w:ascii="Arial" w:cs="Arial" w:eastAsia="Arial" w:hAnsi="Arial"/>
          <w:sz w:val="15"/>
          <w:szCs w:val="15"/>
          <w:color w:val="auto"/>
        </w:rPr>
      </w:pPr>
    </w:p>
    <w:p>
      <w:pPr>
        <w:ind w:left="1120" w:right="160"/>
        <w:spacing w:after="0" w:line="258" w:lineRule="auto"/>
        <w:rPr>
          <w:rFonts w:ascii="Arial" w:cs="Arial" w:eastAsia="Arial" w:hAnsi="Arial"/>
          <w:sz w:val="15"/>
          <w:szCs w:val="15"/>
          <w:color w:val="auto"/>
        </w:rPr>
      </w:pPr>
      <w:r>
        <w:rPr>
          <w:rFonts w:ascii="Arial" w:cs="Arial" w:eastAsia="Arial" w:hAnsi="Arial"/>
          <w:sz w:val="17"/>
          <w:szCs w:val="17"/>
          <w:color w:val="auto"/>
        </w:rPr>
        <w:t>Under the new guidance, there is no change in our revenue recognition for product-sale-only transactions, as compared to revenue recognition for these transactions under the prior revenue recognition standards. 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79" w:lineRule="exact"/>
        <w:rPr>
          <w:rFonts w:ascii="Arial" w:cs="Arial" w:eastAsia="Arial" w:hAnsi="Arial"/>
          <w:sz w:val="15"/>
          <w:szCs w:val="15"/>
          <w:color w:val="auto"/>
        </w:rPr>
      </w:pPr>
    </w:p>
    <w:p>
      <w:pPr>
        <w:ind w:left="1120" w:hanging="563"/>
        <w:spacing w:after="0" w:line="273"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VIP/LAP Programs: The Company sometimes enters into VIP or Laser Advantage Program (LAP) contracts with customers. For the VIP program, under the terms of such contracts, the customer is not charged for the system upon the initial agreement, but rather is obligated to purchase a quarterly minimum quantity of Endoprobes (classified as disposables) at a premium during the contract period, such that at the end of the contract period the system has been paid in full. The Company decided to replace its previously utilized VIP program (contract length of two years) with an LAP program (contract length of 12 months or less) beginning in fourth quarter of 2016.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72" w:lineRule="exact"/>
        <w:rPr>
          <w:rFonts w:ascii="Arial" w:cs="Arial" w:eastAsia="Arial" w:hAnsi="Arial"/>
          <w:sz w:val="16"/>
          <w:szCs w:val="16"/>
          <w:color w:val="auto"/>
        </w:rPr>
      </w:pPr>
    </w:p>
    <w:p>
      <w:pPr>
        <w:ind w:left="1120" w:right="180"/>
        <w:spacing w:after="0" w:line="259" w:lineRule="auto"/>
        <w:rPr>
          <w:rFonts w:ascii="Arial" w:cs="Arial" w:eastAsia="Arial" w:hAnsi="Arial"/>
          <w:sz w:val="16"/>
          <w:szCs w:val="16"/>
          <w:color w:val="auto"/>
        </w:rPr>
      </w:pPr>
      <w:r>
        <w:rPr>
          <w:rFonts w:ascii="Arial" w:cs="Arial" w:eastAsia="Arial" w:hAnsi="Arial"/>
          <w:sz w:val="17"/>
          <w:szCs w:val="17"/>
          <w:color w:val="auto"/>
        </w:rPr>
        <w:t>Under the new guidance, there is no change in our revenue recognition for product sales under VIP/LAP programs as compared to revenue recognition for these transactions under the prior revenue recognition standards. The Company recognizes revenue from product sales under VIP/LAP programs at a point in time. For both programs,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9" w:lineRule="exact"/>
        <w:rPr>
          <w:rFonts w:ascii="Arial" w:cs="Arial" w:eastAsia="Arial" w:hAnsi="Arial"/>
          <w:sz w:val="16"/>
          <w:szCs w:val="16"/>
          <w:color w:val="auto"/>
        </w:rPr>
      </w:pPr>
    </w:p>
    <w:p>
      <w:pPr>
        <w:ind w:left="1120" w:right="40" w:hanging="563"/>
        <w:spacing w:after="0" w:line="262" w:lineRule="auto"/>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Extended Warranty: The Company offers a standard 2 year warranty on all system sales (5 years on the laser heads for its IQ 532/577 laser consoles). The Company also offers an extended warranty which is sold to customers in incremental, one-year warranty periods which begin subsequent to the expiration of the standard 2 year warranty. The customer can opt to purchase the extended warranty at the time of the system sale or after the initial system sale.</w:t>
      </w:r>
    </w:p>
    <w:p>
      <w:pPr>
        <w:spacing w:after="0" w:line="75" w:lineRule="exact"/>
        <w:rPr>
          <w:sz w:val="20"/>
          <w:szCs w:val="20"/>
          <w:color w:val="auto"/>
        </w:rPr>
      </w:pPr>
    </w:p>
    <w:p>
      <w:pPr>
        <w:ind w:left="1120" w:right="420"/>
        <w:spacing w:after="0" w:line="290" w:lineRule="auto"/>
        <w:rPr>
          <w:sz w:val="20"/>
          <w:szCs w:val="20"/>
          <w:color w:val="auto"/>
        </w:rPr>
      </w:pPr>
      <w:r>
        <w:rPr>
          <w:rFonts w:ascii="Arial" w:cs="Arial" w:eastAsia="Arial" w:hAnsi="Arial"/>
          <w:sz w:val="16"/>
          <w:szCs w:val="16"/>
          <w:color w:val="auto"/>
        </w:rPr>
        <w:t>Under the new guidance, there is no change in our revenue recognition for extended warranty as compared to revenue recognition for these transactions under the prior revenue recognition standards. The Company recognizes revenue from extended warranty ratably over the warranty period. Revenue recognition for the sale of an extended warranty is largely dependent on the timing of the sale as follows:</w:t>
      </w:r>
    </w:p>
    <w:p>
      <w:pPr>
        <w:spacing w:after="0" w:line="55" w:lineRule="exact"/>
        <w:rPr>
          <w:sz w:val="20"/>
          <w:szCs w:val="20"/>
          <w:color w:val="auto"/>
        </w:rPr>
      </w:pPr>
    </w:p>
    <w:p>
      <w:pPr>
        <w:ind w:left="1120" w:right="200" w:hanging="563"/>
        <w:spacing w:after="0" w:line="290"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54" w:lineRule="exact"/>
        <w:rPr>
          <w:rFonts w:ascii="Arial" w:cs="Arial" w:eastAsia="Arial" w:hAnsi="Arial"/>
          <w:sz w:val="16"/>
          <w:szCs w:val="16"/>
          <w:color w:val="auto"/>
        </w:rPr>
      </w:pPr>
    </w:p>
    <w:p>
      <w:pPr>
        <w:ind w:left="1120" w:right="40" w:hanging="563"/>
        <w:spacing w:after="0" w:line="257" w:lineRule="auto"/>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sixty days after the initial sale, the sale of the extended warranty is deemed a separate contract and is deferred at the selling price and recognized ratably over the extended warranty period as the performance obligation is satisfied.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35" w:name="page36"/>
    <w:bookmarkEnd w:id="35"/>
    <w:p>
      <w:pPr>
        <w:ind w:left="1120" w:right="460" w:hanging="563"/>
        <w:spacing w:after="0" w:line="279" w:lineRule="auto"/>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System Repairs (outside of warranty): Customers will sometime request repairs from the Company subsequent to the expiration of the standard warranty and outside of an extended warranty contract.</w:t>
      </w:r>
    </w:p>
    <w:p>
      <w:pPr>
        <w:spacing w:after="0" w:line="61" w:lineRule="exact"/>
        <w:rPr>
          <w:rFonts w:ascii="Arial" w:cs="Arial" w:eastAsia="Arial" w:hAnsi="Arial"/>
          <w:sz w:val="17"/>
          <w:szCs w:val="17"/>
          <w:color w:val="auto"/>
        </w:rPr>
      </w:pPr>
    </w:p>
    <w:p>
      <w:pPr>
        <w:ind w:left="1120" w:right="120"/>
        <w:spacing w:after="0" w:line="259" w:lineRule="auto"/>
        <w:rPr>
          <w:rFonts w:ascii="Arial" w:cs="Arial" w:eastAsia="Arial" w:hAnsi="Arial"/>
          <w:sz w:val="17"/>
          <w:szCs w:val="17"/>
          <w:color w:val="auto"/>
        </w:rPr>
      </w:pPr>
      <w:r>
        <w:rPr>
          <w:rFonts w:ascii="Arial" w:cs="Arial" w:eastAsia="Arial" w:hAnsi="Arial"/>
          <w:sz w:val="17"/>
          <w:szCs w:val="17"/>
          <w:color w:val="auto"/>
        </w:rPr>
        <w:t>Under the new guidance, there is no change in our revenue recognition for system repairs (outside warranty) as compared to revenue recognition for these transactions under the prior revenue recognition standards. The Company recognizes revenue from system repairs (outside of warranty) at a point in time. When the customer requests repairs from the Company subsequent to the expiration of the standard warranty and outside of an extended warranty contracts, these repair contracts are considered separate from the initial sale, and as such, revenue is recognized as the repair services are rendered and the performance obligation satisfied.</w:t>
      </w:r>
    </w:p>
    <w:p>
      <w:pPr>
        <w:spacing w:after="0" w:line="79" w:lineRule="exact"/>
        <w:rPr>
          <w:rFonts w:ascii="Arial" w:cs="Arial" w:eastAsia="Arial" w:hAnsi="Arial"/>
          <w:sz w:val="17"/>
          <w:szCs w:val="17"/>
          <w:color w:val="auto"/>
        </w:rPr>
      </w:pPr>
    </w:p>
    <w:p>
      <w:pPr>
        <w:ind w:left="1120" w:right="340" w:hanging="563"/>
        <w:spacing w:after="0" w:line="279" w:lineRule="auto"/>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Royalty Revenue: The Company has royalty agreements with two customers related to the sale of the Company’s intellectual property. Under the terms of these agreements, the customer is to remit a percentage of sales to the Company.</w:t>
      </w:r>
    </w:p>
    <w:p>
      <w:pPr>
        <w:spacing w:after="0" w:line="61" w:lineRule="exact"/>
        <w:rPr>
          <w:rFonts w:ascii="Arial" w:cs="Arial" w:eastAsia="Arial" w:hAnsi="Arial"/>
          <w:sz w:val="17"/>
          <w:szCs w:val="17"/>
          <w:color w:val="auto"/>
        </w:rPr>
      </w:pPr>
    </w:p>
    <w:p>
      <w:pPr>
        <w:ind w:left="1120"/>
        <w:spacing w:after="0" w:line="259" w:lineRule="auto"/>
        <w:rPr>
          <w:rFonts w:ascii="Arial" w:cs="Arial" w:eastAsia="Arial" w:hAnsi="Arial"/>
          <w:sz w:val="17"/>
          <w:szCs w:val="17"/>
          <w:color w:val="auto"/>
        </w:rPr>
      </w:pPr>
      <w:r>
        <w:rPr>
          <w:rFonts w:ascii="Arial" w:cs="Arial" w:eastAsia="Arial" w:hAnsi="Arial"/>
          <w:sz w:val="17"/>
          <w:szCs w:val="17"/>
          <w:color w:val="auto"/>
        </w:rPr>
        <w:t>Under the new guidance, 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80"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 There is no change in the Company’s accounting for commissions.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14" w:lineRule="exact"/>
        <w:rPr>
          <w:sz w:val="20"/>
          <w:szCs w:val="20"/>
          <w:color w:val="auto"/>
        </w:rPr>
      </w:pPr>
    </w:p>
    <w:p>
      <w:pPr>
        <w:ind w:right="60" w:firstLine="555"/>
        <w:spacing w:after="0" w:line="297" w:lineRule="auto"/>
        <w:rPr>
          <w:sz w:val="20"/>
          <w:szCs w:val="20"/>
          <w:color w:val="auto"/>
        </w:rPr>
      </w:pPr>
      <w:r>
        <w:rPr>
          <w:rFonts w:ascii="Arial" w:cs="Arial" w:eastAsia="Arial" w:hAnsi="Arial"/>
          <w:sz w:val="15"/>
          <w:szCs w:val="15"/>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obsolete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Returns Allowance and Allowance for Doubtful Accounts.</w:t>
      </w:r>
    </w:p>
    <w:p>
      <w:pPr>
        <w:spacing w:after="0" w:line="114" w:lineRule="exact"/>
        <w:rPr>
          <w:sz w:val="20"/>
          <w:szCs w:val="20"/>
          <w:color w:val="auto"/>
        </w:rPr>
      </w:pPr>
    </w:p>
    <w:p>
      <w:pPr>
        <w:ind w:right="100" w:firstLine="555"/>
        <w:spacing w:after="0" w:line="307" w:lineRule="auto"/>
        <w:rPr>
          <w:sz w:val="20"/>
          <w:szCs w:val="20"/>
          <w:color w:val="auto"/>
        </w:rPr>
      </w:pPr>
      <w:r>
        <w:rPr>
          <w:rFonts w:ascii="Arial" w:cs="Arial" w:eastAsia="Arial" w:hAnsi="Arial"/>
          <w:sz w:val="15"/>
          <w:szCs w:val="15"/>
          <w:color w:val="auto"/>
        </w:rPr>
        <w:t>We estimate future product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w:t>
      </w:r>
    </w:p>
    <w:p>
      <w:pPr>
        <w:spacing w:after="0" w:line="46" w:lineRule="exact"/>
        <w:rPr>
          <w:sz w:val="20"/>
          <w:szCs w:val="20"/>
          <w:color w:val="auto"/>
        </w:rPr>
      </w:pPr>
    </w:p>
    <w:p>
      <w:pPr>
        <w:ind w:right="60" w:firstLine="555"/>
        <w:spacing w:after="0" w:line="258" w:lineRule="auto"/>
        <w:rPr>
          <w:sz w:val="20"/>
          <w:szCs w:val="20"/>
          <w:color w:val="auto"/>
        </w:rPr>
      </w:pPr>
      <w:r>
        <w:rPr>
          <w:rFonts w:ascii="Arial" w:cs="Arial" w:eastAsia="Arial" w:hAnsi="Arial"/>
          <w:sz w:val="17"/>
          <w:szCs w:val="17"/>
          <w:color w:val="auto"/>
        </w:rPr>
        <w:t>Similarly, management must make estimates regarding the uncollectibility of accounts receivable. We are exposed to credit risk in the event of non-payment by customers to the extent of amounts recorded on the consolidated balance sheets. As sales increase the level of accounts receivable would likely also increase. In addition, in the event that customers were to delay their payments to us, the levels of accounts receivable would likely also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Warranty.</w:t>
      </w:r>
    </w:p>
    <w:p>
      <w:pPr>
        <w:spacing w:after="0" w:line="114" w:lineRule="exact"/>
        <w:rPr>
          <w:sz w:val="20"/>
          <w:szCs w:val="20"/>
          <w:color w:val="auto"/>
        </w:rPr>
      </w:pPr>
    </w:p>
    <w:p>
      <w:pPr>
        <w:ind w:firstLine="555"/>
        <w:spacing w:after="0" w:line="258" w:lineRule="auto"/>
        <w:rPr>
          <w:sz w:val="20"/>
          <w:szCs w:val="20"/>
          <w:color w:val="auto"/>
        </w:rPr>
      </w:pPr>
      <w:r>
        <w:rPr>
          <w:rFonts w:ascii="Arial" w:cs="Arial" w:eastAsia="Arial" w:hAnsi="Arial"/>
          <w:sz w:val="17"/>
          <w:szCs w:val="17"/>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Additionally, from time to time, specific warranty accruals may be made if unforeseen technical problems arise. Alternatively, if estimates are determined to be greater than the actual amounts necessary, we may reverse a portion of such provisions in future periods. Actual warranty costs incurred have not materially differed from those accrued. Our warranty policy is applicable to products which are considered defective in their performance or fail to meet the product specifications. Warranty costs are reflected in the consolidated statements of operations as cost of revenues.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i w:val="1"/>
          <w:iCs w:val="1"/>
          <w:color w:val="auto"/>
        </w:rPr>
        <w:t>Income Taxes.</w:t>
      </w:r>
    </w:p>
    <w:p>
      <w:pPr>
        <w:spacing w:after="0" w:line="114" w:lineRule="exact"/>
        <w:rPr>
          <w:sz w:val="20"/>
          <w:szCs w:val="20"/>
          <w:color w:val="auto"/>
        </w:rPr>
      </w:pPr>
    </w:p>
    <w:p>
      <w:pPr>
        <w:ind w:firstLine="555"/>
        <w:spacing w:after="0" w:line="293" w:lineRule="auto"/>
        <w:rPr>
          <w:sz w:val="20"/>
          <w:szCs w:val="20"/>
          <w:color w:val="auto"/>
        </w:rPr>
      </w:pPr>
      <w:r>
        <w:rPr>
          <w:rFonts w:ascii="Arial" w:cs="Arial" w:eastAsia="Arial" w:hAnsi="Arial"/>
          <w:sz w:val="15"/>
          <w:szCs w:val="15"/>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In 2014, we released the valuation allowance against most of our deferred tax assets except that we retained a valuation allowance for certain deferred tax assets associated with our California research and development credit (“CA R&amp;D credit”). In 2018, based on the Company's recent history of losses and its forecasted losses, management believes on the more likely than not basis that a full valuation allowance is required. Accordingly, in the fourth quarter of fiscal year 2018, the Company provided a full valuation allowance on its federal and states deferred tax assets.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Uncertainty in Income Taxes.</w:t>
      </w:r>
    </w:p>
    <w:p>
      <w:pPr>
        <w:spacing w:after="0" w:line="114" w:lineRule="exact"/>
        <w:rPr>
          <w:sz w:val="20"/>
          <w:szCs w:val="20"/>
          <w:color w:val="auto"/>
        </w:rPr>
      </w:pPr>
    </w:p>
    <w:p>
      <w:pPr>
        <w:ind w:firstLine="555"/>
        <w:spacing w:after="0" w:line="299" w:lineRule="auto"/>
        <w:rPr>
          <w:sz w:val="20"/>
          <w:szCs w:val="20"/>
          <w:color w:val="auto"/>
        </w:rPr>
      </w:pPr>
      <w:r>
        <w:rPr>
          <w:rFonts w:ascii="Arial" w:cs="Arial" w:eastAsia="Arial" w:hAnsi="Arial"/>
          <w:sz w:val="15"/>
          <w:szCs w:val="15"/>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was no accrued interest and penalties during the year ended December 29, 2018.</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w:t>
      </w:r>
    </w:p>
    <w:p>
      <w:pPr>
        <w:spacing w:after="0" w:line="114" w:lineRule="exact"/>
        <w:rPr>
          <w:sz w:val="20"/>
          <w:szCs w:val="20"/>
          <w:color w:val="auto"/>
        </w:rPr>
      </w:pPr>
    </w:p>
    <w:p>
      <w:pPr>
        <w:jc w:val="both"/>
        <w:ind w:firstLine="555"/>
        <w:spacing w:after="0" w:line="266" w:lineRule="auto"/>
        <w:rPr>
          <w:sz w:val="20"/>
          <w:szCs w:val="20"/>
          <w:color w:val="auto"/>
        </w:rPr>
      </w:pPr>
      <w:r>
        <w:rPr>
          <w:rFonts w:ascii="Arial" w:cs="Arial" w:eastAsia="Arial" w:hAnsi="Arial"/>
          <w:sz w:val="17"/>
          <w:szCs w:val="17"/>
          <w:color w:val="auto"/>
        </w:rPr>
        <w:t>We account for stock-based compensation granted to employees and directors, including employees’ stock option awards, restricted stock and restricted stock units at grant date, based on the fair value of the award. Stock-based compensation is recognized as expense on a ratable basis over the requisite service period of the award.</w:t>
      </w:r>
    </w:p>
    <w:p>
      <w:pPr>
        <w:spacing w:after="0" w:line="72" w:lineRule="exact"/>
        <w:rPr>
          <w:sz w:val="20"/>
          <w:szCs w:val="20"/>
          <w:color w:val="auto"/>
        </w:rPr>
      </w:pPr>
    </w:p>
    <w:p>
      <w:pPr>
        <w:ind w:right="20" w:firstLine="555"/>
        <w:spacing w:after="0" w:line="259" w:lineRule="auto"/>
        <w:rPr>
          <w:sz w:val="20"/>
          <w:szCs w:val="20"/>
          <w:color w:val="auto"/>
        </w:rPr>
      </w:pPr>
      <w:r>
        <w:rPr>
          <w:rFonts w:ascii="Arial" w:cs="Arial" w:eastAsia="Arial" w:hAnsi="Arial"/>
          <w:sz w:val="17"/>
          <w:szCs w:val="17"/>
          <w:color w:val="auto"/>
        </w:rPr>
        <w:t>We value options using the Black-Scholes option pricing model. Restricted stock and time-based restricted stock units are valued at the grant date fair value of the underlying common shares. Performance-based restricted stock units are valued using a Monte Carlo simulation model. The Black-Scholes option pricing model requires the use of highly subjective and complex assumptions which determine the fair value of share-based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Standards.</w:t>
      </w:r>
    </w:p>
    <w:p>
      <w:pPr>
        <w:spacing w:after="0" w:line="114" w:lineRule="exact"/>
        <w:rPr>
          <w:sz w:val="20"/>
          <w:szCs w:val="20"/>
          <w:color w:val="auto"/>
        </w:rPr>
      </w:pPr>
    </w:p>
    <w:p>
      <w:pPr>
        <w:ind w:right="220" w:firstLine="555"/>
        <w:spacing w:after="0" w:line="299" w:lineRule="auto"/>
        <w:rPr>
          <w:sz w:val="20"/>
          <w:szCs w:val="20"/>
          <w:color w:val="auto"/>
        </w:rPr>
      </w:pPr>
      <w:r>
        <w:rPr>
          <w:rFonts w:ascii="Arial" w:cs="Arial" w:eastAsia="Arial" w:hAnsi="Arial"/>
          <w:sz w:val="15"/>
          <w:szCs w:val="15"/>
          <w:color w:val="auto"/>
        </w:rPr>
        <w:t>In May 2014, the Financial Accounting Standards Board (“FASB”) issued Accounting Standards Update (“ASU”) 2014-09 Revenue from Contracts with Customers (Topic 606) (“ASC 606”), which, along with amendments issued in 2015, 2016 and 2017, replaces nearly all current U.S. GAAP guidance on this topic with a comprehensive revenue measurement and recognition standard and expanded disclosure requirements. This new guidance provides a five-step analysis in determining when and how revenue is recognized. Under the new guidance, revenue is recognized when a customer obtains control of promised goods or services and is recognized in an amount that reflects the consideration which the entity expects to receive in exchange for those goods or services. In addition, the new guidance requires disclosure of the nature, amount, timing and uncertainty of revenue and cash flows arising from contracts with customers.</w:t>
      </w:r>
    </w:p>
    <w:p>
      <w:pPr>
        <w:spacing w:after="0" w:line="51" w:lineRule="exact"/>
        <w:rPr>
          <w:sz w:val="20"/>
          <w:szCs w:val="20"/>
          <w:color w:val="auto"/>
        </w:rPr>
      </w:pPr>
    </w:p>
    <w:p>
      <w:pPr>
        <w:ind w:right="100" w:firstLine="555"/>
        <w:spacing w:after="0" w:line="257" w:lineRule="auto"/>
        <w:rPr>
          <w:sz w:val="20"/>
          <w:szCs w:val="20"/>
          <w:color w:val="auto"/>
        </w:rPr>
      </w:pPr>
      <w:r>
        <w:rPr>
          <w:rFonts w:ascii="Arial" w:cs="Arial" w:eastAsia="Arial" w:hAnsi="Arial"/>
          <w:sz w:val="17"/>
          <w:szCs w:val="17"/>
          <w:color w:val="auto"/>
        </w:rPr>
        <w:t>As part of our assessment and implementation plan, we evaluated our policies, procedures and internal controls. In preparation for adoption of the standard, the Company has implemented internal controls to enable the preparation of financial information, including the assessment of the impact of the standard. The Company has adopted this guidance using the modified retrospective method in the first quarter of fiscal 2018. Under the modified retrospective method, the new standards apply to all new contracts initiated on or after the effective date, and for contracts which have remaining obligations as of the effective date, an adjustment to the opening balance of retained earnings is required. Based on the results of the procedures taken in adopting this standard, we determined that our accounting for revenues under the then prescribed standard (ASC 605) was not different from the new ASC 606 standard. As such, we did not have any adjustments to our opening balance of our retained earnings.</w:t>
      </w:r>
    </w:p>
    <w:p>
      <w:pPr>
        <w:spacing w:after="0" w:line="82" w:lineRule="exact"/>
        <w:rPr>
          <w:sz w:val="20"/>
          <w:szCs w:val="20"/>
          <w:color w:val="auto"/>
        </w:rPr>
      </w:pPr>
    </w:p>
    <w:p>
      <w:pPr>
        <w:ind w:right="200" w:firstLine="555"/>
        <w:spacing w:after="0" w:line="258"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The amendment gives guidance and reduces diversity in practice with respect to certain types of cash flows. This ASU is effective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adoption of this standard in fiscal year 2018 did not have a material impact on our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37" w:name="page38"/>
    <w:bookmarkEnd w:id="37"/>
    <w:p>
      <w:pPr>
        <w:ind w:right="140" w:firstLine="555"/>
        <w:spacing w:after="0" w:line="279" w:lineRule="auto"/>
        <w:rPr>
          <w:sz w:val="20"/>
          <w:szCs w:val="20"/>
          <w:color w:val="auto"/>
        </w:rPr>
      </w:pPr>
      <w:r>
        <w:rPr>
          <w:rFonts w:ascii="Arial" w:cs="Arial" w:eastAsia="Arial" w:hAnsi="Arial"/>
          <w:sz w:val="16"/>
          <w:szCs w:val="16"/>
          <w:color w:val="auto"/>
        </w:rPr>
        <w:t>In October 2016, the FASB issued ASU 2016-16, to ASC 740 “Income Taxes,” which simplifies the recording of an inter-entity transfer of assets other than inventory. The new guidance requires that a company recognize the income tax consequences of an intra-entity transfer of an asset other than inventory when the transfer occurs. The new guidance becomes effective for annual reporting periods beginning after December 15, 2017 and must be applied using a modified retrospective basis through a cumulative-effect adjustment directly to retained earnings as of the beginning of the adoption period. The adoption of this standard in fiscal year 2018 did not have a material impact on the Company’s consolidated financial statements.</w:t>
      </w:r>
    </w:p>
    <w:p>
      <w:pPr>
        <w:spacing w:after="0" w:line="65" w:lineRule="exact"/>
        <w:rPr>
          <w:sz w:val="20"/>
          <w:szCs w:val="20"/>
          <w:color w:val="auto"/>
        </w:rPr>
      </w:pPr>
    </w:p>
    <w:p>
      <w:pPr>
        <w:ind w:firstLine="555"/>
        <w:spacing w:after="0" w:line="274" w:lineRule="auto"/>
        <w:rPr>
          <w:sz w:val="20"/>
          <w:szCs w:val="20"/>
          <w:color w:val="auto"/>
        </w:rPr>
      </w:pPr>
      <w:r>
        <w:rPr>
          <w:rFonts w:ascii="Arial" w:cs="Arial" w:eastAsia="Arial" w:hAnsi="Arial"/>
          <w:sz w:val="16"/>
          <w:szCs w:val="16"/>
          <w:color w:val="auto"/>
        </w:rPr>
        <w:t>In May 2017, the FASB issued ASU 2017-09, “Compensation – Stock Compensation (Topic 718): Scope of Modification Accounting.” The amendments in ASU 2017-09 include guidance on determining which changes to the terms and conditions of share-based payment awards require an entity to apply modification accounting under Topic 718. These amendments require the entity to account for the effects of a modification unless all of the following conditions are met: the fair value (or calculated value or intrinsic value, if such an alternative measurement method is used) of the modified award is the same as the fair value (or value using an alternative measurement method) of the original award immediately before the original award is modified; the vesting conditions of the modified award are the same as the vesting conditions of the original award immediately before the original award is modified; and the classification of the modified award as an equity instrument or a liability instrument is the same as the classification of the original award immediately before the original award is modified. This guidance is effective for annual reporting periods beginning after December 15, 2017, including interim periods within that reporting period, with early adoption permitted. The adoption of this standard in fiscal year 2018 did not have a material impact on the Company’s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Standards Not Yet Adopted.</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 February 2016, the FASB issued ASU 2016-02, “Leases,” which, along with subsequent amendments, modified lessee accounting guidance under Topic</w:t>
      </w:r>
    </w:p>
    <w:p>
      <w:pPr>
        <w:spacing w:after="0" w:line="45" w:lineRule="exact"/>
        <w:rPr>
          <w:sz w:val="20"/>
          <w:szCs w:val="20"/>
          <w:color w:val="auto"/>
        </w:rPr>
      </w:pPr>
    </w:p>
    <w:p>
      <w:pPr>
        <w:ind w:right="80" w:firstLine="3"/>
        <w:spacing w:after="0" w:line="271" w:lineRule="auto"/>
        <w:tabs>
          <w:tab w:leader="none" w:pos="3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ASU requires the Company to recognize on the balance sheet the assets and liabilities for the rights and obligations created by leases with terms of more than twelve months. This ASU also requires disclosures enabling the users of financial statements to understand the amount, timing and uncertainty of cash flows arising from leases. This new standard will become effective for annual periods beginning after December 15, 2018 (including interim reporting periods within those periods). Early adoption is permitted as of the beginning of an interim or annual reporting period. The Company will adopt the new standard in the first quarter of its fiscal year 2019 using the optional transition method. The Company will elect not to reassess whether any expired or existing contracts are or contain leases, not to reassess the lease classification for any expired or existing leases, not to reassess initial direct costs for any existing leases and not to separate non-lease components from lease components and instead account for each separate lease component and the non-lease components associated with that lease component as a single lease component for new or modified leases. While we continue to evaluate certain provisions of the standard, based on our current estimates, we expect the adoption of the standard will result in recognition of right-of-use assets and lease liabilities, primarily relating to real estate operating leases, of approximately $4.0 million and $4.5 million, respectively, as of the first day of fiscal year 2019, on the Company’s consolidated balance sheets. No material impact is expected to the Company’s consolidated statements of operations or its consolidated statements of cash flows.</w:t>
      </w:r>
    </w:p>
    <w:p>
      <w:pPr>
        <w:spacing w:after="0" w:line="76" w:lineRule="exact"/>
        <w:rPr>
          <w:sz w:val="20"/>
          <w:szCs w:val="20"/>
          <w:color w:val="auto"/>
        </w:rPr>
      </w:pPr>
    </w:p>
    <w:p>
      <w:pPr>
        <w:ind w:right="20" w:firstLine="555"/>
        <w:spacing w:after="0" w:line="262"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which removes, modifies and adds certain disclosure requirements on fair value measurements. The new guidance is effective for fiscal years, and interim periods within those fiscal years, beginning after December 15, 2019. Early adoption is permitted. The Company is currently evaluating the effect of the adoption of this guidance on its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do not have any off-balance 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 Item.</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20" w:lineRule="exact"/>
        <w:rPr>
          <w:sz w:val="20"/>
          <w:szCs w:val="20"/>
          <w:color w:val="auto"/>
        </w:rPr>
      </w:pPr>
    </w:p>
    <w:p>
      <w:pPr>
        <w:jc w:val="both"/>
        <w:ind w:right="320" w:firstLine="555"/>
        <w:spacing w:after="0" w:line="290" w:lineRule="auto"/>
        <w:rPr>
          <w:sz w:val="20"/>
          <w:szCs w:val="20"/>
          <w:color w:val="auto"/>
        </w:rPr>
      </w:pPr>
      <w:r>
        <w:rPr>
          <w:rFonts w:ascii="Arial" w:cs="Arial" w:eastAsia="Arial" w:hAnsi="Arial"/>
          <w:sz w:val="16"/>
          <w:szCs w:val="16"/>
          <w:color w:val="auto"/>
        </w:rPr>
        <w:t>Our consolidated balance sheets as of December 29, 2018 and December 30, 2017 and the consolidated statements of operations, comprehensive income, stockholders’ equity and cash flows for each of our fiscal years 2018 and 2017 together with the related notes and the report of our independent registered public accounting firm, are on the following pages. Additional required financial information is described in Item 15.</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38" w:name="page39"/>
    <w:bookmarkEnd w:id="38"/>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IRIDEX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120" w:lineRule="exact"/>
        <w:rPr>
          <w:sz w:val="20"/>
          <w:szCs w:val="20"/>
          <w:color w:val="auto"/>
        </w:rPr>
      </w:pPr>
    </w:p>
    <w:p>
      <w:pPr>
        <w:jc w:val="both"/>
        <w:ind w:firstLine="555"/>
        <w:spacing w:after="0" w:line="258" w:lineRule="auto"/>
        <w:rPr>
          <w:sz w:val="20"/>
          <w:szCs w:val="20"/>
          <w:color w:val="auto"/>
        </w:rPr>
      </w:pPr>
      <w:r>
        <w:rPr>
          <w:rFonts w:ascii="Arial" w:cs="Arial" w:eastAsia="Arial" w:hAnsi="Arial"/>
          <w:sz w:val="17"/>
          <w:szCs w:val="17"/>
          <w:color w:val="auto"/>
        </w:rPr>
        <w:t>We have audited the accompanying consolidated balance sheets of IRIDEX Corporation (a Delaware corporation) and its subsidiaries (the “Company”) as of December 29, 2018 and December 30, 2017, and the related consolidated statements of operations, comprehensive loss, stockholders’ equity, and cash flows for each of the two years in the period ended December 29, 2018, and the related notes (collectively referred to as the “consolidated financial statements”). In our opinion, the consolidated financial statements present fairly, in all material respects, the financial position of the Company as of December 29, 2018 and December 30, 2017, and the results of its operations and its cash flows for each of the two years in the period ended December 29, 2018, in conformity with accounting principles generally accepted in the United States of America.</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Accounting Principle</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discussed in Note 1 to the consolidated financial statements, the Company changed its method of accounting for revenues from contracts with customers in 2018 due to the adoption of the new revenue standard.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0" w:lineRule="exact"/>
        <w:rPr>
          <w:sz w:val="20"/>
          <w:szCs w:val="20"/>
          <w:color w:val="auto"/>
        </w:rPr>
      </w:pPr>
    </w:p>
    <w:p>
      <w:pPr>
        <w:jc w:val="both"/>
        <w:ind w:firstLine="555"/>
        <w:spacing w:after="0" w:line="26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ind w:firstLine="555"/>
        <w:spacing w:after="0" w:line="307"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 BPM LLP</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2007.</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March 29,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IRIDEX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FY 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FY 2017</w:t>
            </w:r>
          </w:p>
        </w:tc>
      </w:tr>
      <w:tr>
        <w:trPr>
          <w:trHeight w:val="164"/>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December 29, 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30, 2017</w:t>
            </w:r>
          </w:p>
        </w:tc>
      </w:tr>
      <w:tr>
        <w:trPr>
          <w:trHeight w:val="212"/>
        </w:trPr>
        <w:tc>
          <w:tcPr>
            <w:tcW w:w="7720" w:type="dxa"/>
            <w:vAlign w:val="bottom"/>
            <w:tcBorders>
              <w:top w:val="single" w:sz="8" w:color="CFF0FC"/>
            </w:tcBorders>
            <w:shd w:val="clear" w:color="auto" w:fill="CFF0FC"/>
          </w:tcPr>
          <w:p>
            <w:pPr>
              <w:ind w:left="3520"/>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8"/>
        </w:trPr>
        <w:tc>
          <w:tcPr>
            <w:tcW w:w="772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21,194</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21,707</w:t>
            </w: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Pr>
          <w:p>
            <w:pPr>
              <w:ind w:left="240"/>
              <w:spacing w:after="0"/>
              <w:rPr>
                <w:sz w:val="20"/>
                <w:szCs w:val="20"/>
                <w:color w:val="auto"/>
              </w:rPr>
            </w:pPr>
            <w:r>
              <w:rPr>
                <w:rFonts w:ascii="Arial" w:cs="Arial" w:eastAsia="Arial" w:hAnsi="Arial"/>
                <w:sz w:val="17"/>
                <w:szCs w:val="17"/>
                <w:color w:val="auto"/>
                <w:w w:val="92"/>
              </w:rPr>
              <w:t>Accounts receivable, net of allowance for doubtful accounts of $213 as of December 29, 2018 and $226 as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240"/>
              <w:spacing w:after="0"/>
              <w:rPr>
                <w:sz w:val="20"/>
                <w:szCs w:val="20"/>
                <w:color w:val="auto"/>
              </w:rPr>
            </w:pPr>
            <w:r>
              <w:rPr>
                <w:rFonts w:ascii="Arial" w:cs="Arial" w:eastAsia="Arial" w:hAnsi="Arial"/>
                <w:sz w:val="17"/>
                <w:szCs w:val="17"/>
                <w:color w:val="auto"/>
              </w:rPr>
              <w:t>of December 30, 2017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9,083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7,863</w:t>
            </w: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9,381</w:t>
            </w:r>
          </w:p>
        </w:tc>
        <w:tc>
          <w:tcPr>
            <w:tcW w:w="120" w:type="dxa"/>
            <w:vAlign w:val="bottom"/>
            <w:shd w:val="clear" w:color="auto" w:fill="CFF0FC"/>
          </w:tcPr>
          <w:p>
            <w:pPr>
              <w:spacing w:after="0"/>
              <w:rPr>
                <w:sz w:val="19"/>
                <w:szCs w:val="19"/>
                <w:color w:val="auto"/>
              </w:rPr>
            </w:pPr>
          </w:p>
        </w:tc>
      </w:tr>
      <w:tr>
        <w:trPr>
          <w:trHeight w:val="218"/>
        </w:trPr>
        <w:tc>
          <w:tcPr>
            <w:tcW w:w="77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39,618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39,451</w:t>
            </w:r>
          </w:p>
        </w:tc>
        <w:tc>
          <w:tcPr>
            <w:tcW w:w="120" w:type="dxa"/>
            <w:vAlign w:val="bottom"/>
            <w:shd w:val="clear" w:color="auto" w:fill="CFF0FC"/>
          </w:tcPr>
          <w:p>
            <w:pPr>
              <w:spacing w:after="0"/>
              <w:rPr>
                <w:sz w:val="18"/>
                <w:szCs w:val="18"/>
                <w:color w:val="auto"/>
              </w:rPr>
            </w:pPr>
          </w:p>
        </w:tc>
      </w:tr>
      <w:tr>
        <w:trPr>
          <w:trHeight w:val="218"/>
        </w:trPr>
        <w:tc>
          <w:tcPr>
            <w:tcW w:w="77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1,403</w:t>
            </w: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 net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FF0FC"/>
          </w:tcPr>
          <w:p>
            <w:pPr>
              <w:spacing w:after="0"/>
              <w:rPr>
                <w:sz w:val="19"/>
                <w:szCs w:val="19"/>
                <w:color w:val="auto"/>
              </w:rPr>
            </w:pPr>
          </w:p>
        </w:tc>
      </w:tr>
      <w:tr>
        <w:trPr>
          <w:trHeight w:val="218"/>
        </w:trPr>
        <w:tc>
          <w:tcPr>
            <w:tcW w:w="772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533</w:t>
            </w: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assets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FF0FC"/>
          </w:tcPr>
          <w:p>
            <w:pPr>
              <w:spacing w:after="0"/>
              <w:rPr>
                <w:sz w:val="19"/>
                <w:szCs w:val="19"/>
                <w:color w:val="auto"/>
              </w:rPr>
            </w:pPr>
          </w:p>
        </w:tc>
      </w:tr>
      <w:tr>
        <w:trPr>
          <w:trHeight w:val="251"/>
        </w:trPr>
        <w:tc>
          <w:tcPr>
            <w:tcW w:w="7720" w:type="dxa"/>
            <w:vAlign w:val="bottom"/>
          </w:tcPr>
          <w:p>
            <w:pPr>
              <w:spacing w:after="0"/>
              <w:rPr>
                <w:sz w:val="20"/>
                <w:szCs w:val="20"/>
                <w:color w:val="auto"/>
              </w:rPr>
            </w:pPr>
            <w:r>
              <w:rPr>
                <w:rFonts w:ascii="Arial" w:cs="Arial" w:eastAsia="Arial" w:hAnsi="Arial"/>
                <w:sz w:val="17"/>
                <w:szCs w:val="17"/>
                <w:color w:val="auto"/>
              </w:rPr>
              <w:t>Total assets</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41,672</w:t>
            </w:r>
          </w:p>
        </w:tc>
        <w:tc>
          <w:tcPr>
            <w:tcW w:w="18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41,646</w:t>
            </w:r>
          </w:p>
        </w:tc>
        <w:tc>
          <w:tcPr>
            <w:tcW w:w="120" w:type="dxa"/>
            <w:vAlign w:val="bottom"/>
          </w:tcPr>
          <w:p>
            <w:pPr>
              <w:spacing w:after="0"/>
              <w:rPr>
                <w:sz w:val="21"/>
                <w:szCs w:val="21"/>
                <w:color w:val="auto"/>
              </w:rPr>
            </w:pPr>
          </w:p>
        </w:tc>
      </w:tr>
      <w:tr>
        <w:trPr>
          <w:trHeight w:val="199"/>
        </w:trPr>
        <w:tc>
          <w:tcPr>
            <w:tcW w:w="7720" w:type="dxa"/>
            <w:vAlign w:val="bottom"/>
            <w:tcBorders>
              <w:top w:val="single" w:sz="8" w:color="CFF0FC"/>
            </w:tcBorders>
            <w:shd w:val="clear" w:color="auto" w:fill="CFF0FC"/>
          </w:tcPr>
          <w:p>
            <w:pPr>
              <w:ind w:left="1980"/>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8"/>
        </w:trPr>
        <w:tc>
          <w:tcPr>
            <w:tcW w:w="772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payable</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2,516</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1,724</w:t>
            </w:r>
          </w:p>
        </w:tc>
        <w:tc>
          <w:tcPr>
            <w:tcW w:w="120" w:type="dxa"/>
            <w:vAlign w:val="bottom"/>
            <w:shd w:val="clear" w:color="auto" w:fill="CFF0FC"/>
          </w:tcPr>
          <w:p>
            <w:pPr>
              <w:spacing w:after="0"/>
              <w:rPr>
                <w:sz w:val="19"/>
                <w:szCs w:val="19"/>
                <w:color w:val="auto"/>
              </w:rPr>
            </w:pPr>
          </w:p>
        </w:tc>
      </w:tr>
      <w:tr>
        <w:trPr>
          <w:trHeight w:val="218"/>
        </w:trPr>
        <w:tc>
          <w:tcPr>
            <w:tcW w:w="7720" w:type="dxa"/>
            <w:vAlign w:val="bottom"/>
          </w:tcPr>
          <w:p>
            <w:pPr>
              <w:ind w:left="240"/>
              <w:spacing w:after="0"/>
              <w:rPr>
                <w:sz w:val="20"/>
                <w:szCs w:val="20"/>
                <w:color w:val="auto"/>
              </w:rPr>
            </w:pPr>
            <w:r>
              <w:rPr>
                <w:rFonts w:ascii="Arial" w:cs="Arial" w:eastAsia="Arial" w:hAnsi="Arial"/>
                <w:sz w:val="17"/>
                <w:szCs w:val="17"/>
                <w:color w:val="auto"/>
              </w:rPr>
              <w:t>Accrued compensation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2,459</w:t>
            </w: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2,153</w:t>
            </w:r>
          </w:p>
        </w:tc>
        <w:tc>
          <w:tcPr>
            <w:tcW w:w="120" w:type="dxa"/>
            <w:vAlign w:val="bottom"/>
            <w:shd w:val="clear" w:color="auto" w:fill="CFF0FC"/>
          </w:tcPr>
          <w:p>
            <w:pPr>
              <w:spacing w:after="0"/>
              <w:rPr>
                <w:sz w:val="19"/>
                <w:szCs w:val="19"/>
                <w:color w:val="auto"/>
              </w:rPr>
            </w:pPr>
          </w:p>
        </w:tc>
      </w:tr>
      <w:tr>
        <w:trPr>
          <w:trHeight w:val="218"/>
        </w:trPr>
        <w:tc>
          <w:tcPr>
            <w:tcW w:w="7720" w:type="dxa"/>
            <w:vAlign w:val="bottom"/>
          </w:tcPr>
          <w:p>
            <w:pPr>
              <w:ind w:left="240"/>
              <w:spacing w:after="0"/>
              <w:rPr>
                <w:sz w:val="20"/>
                <w:szCs w:val="20"/>
                <w:color w:val="auto"/>
              </w:rPr>
            </w:pPr>
            <w:r>
              <w:rPr>
                <w:rFonts w:ascii="Arial" w:cs="Arial" w:eastAsia="Arial" w:hAnsi="Arial"/>
                <w:sz w:val="17"/>
                <w:szCs w:val="17"/>
                <w:color w:val="auto"/>
              </w:rPr>
              <w:t>Accrued warranty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1,536</w:t>
            </w: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2,520</w:t>
            </w:r>
          </w:p>
        </w:tc>
        <w:tc>
          <w:tcPr>
            <w:tcW w:w="120" w:type="dxa"/>
            <w:vAlign w:val="bottom"/>
            <w:shd w:val="clear" w:color="auto" w:fill="CFF0FC"/>
          </w:tcPr>
          <w:p>
            <w:pPr>
              <w:spacing w:after="0"/>
              <w:rPr>
                <w:sz w:val="19"/>
                <w:szCs w:val="19"/>
                <w:color w:val="auto"/>
              </w:rPr>
            </w:pPr>
          </w:p>
        </w:tc>
      </w:tr>
      <w:tr>
        <w:trPr>
          <w:trHeight w:val="211"/>
        </w:trPr>
        <w:tc>
          <w:tcPr>
            <w:tcW w:w="77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10,392</w:t>
            </w: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Long-term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8"/>
        </w:trPr>
        <w:tc>
          <w:tcPr>
            <w:tcW w:w="7720" w:type="dxa"/>
            <w:vAlign w:val="bottom"/>
          </w:tcPr>
          <w:p>
            <w:pPr>
              <w:ind w:left="240"/>
              <w:spacing w:after="0"/>
              <w:rPr>
                <w:sz w:val="20"/>
                <w:szCs w:val="20"/>
                <w:color w:val="auto"/>
              </w:rPr>
            </w:pPr>
            <w:r>
              <w:rPr>
                <w:rFonts w:ascii="Arial" w:cs="Arial" w:eastAsia="Arial" w:hAnsi="Arial"/>
                <w:sz w:val="17"/>
                <w:szCs w:val="17"/>
                <w:color w:val="auto"/>
              </w:rPr>
              <w:t>Accrued warranty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long-term liabilities</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533</w:t>
            </w:r>
          </w:p>
        </w:tc>
        <w:tc>
          <w:tcPr>
            <w:tcW w:w="120" w:type="dxa"/>
            <w:vAlign w:val="bottom"/>
            <w:shd w:val="clear" w:color="auto" w:fill="CFF0FC"/>
          </w:tcPr>
          <w:p>
            <w:pPr>
              <w:spacing w:after="0"/>
              <w:rPr>
                <w:sz w:val="19"/>
                <w:szCs w:val="19"/>
                <w:color w:val="auto"/>
              </w:rPr>
            </w:pPr>
          </w:p>
        </w:tc>
      </w:tr>
      <w:tr>
        <w:trPr>
          <w:trHeight w:val="211"/>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11,124</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8"/>
        </w:trPr>
        <w:tc>
          <w:tcPr>
            <w:tcW w:w="7720" w:type="dxa"/>
            <w:vAlign w:val="bottom"/>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$0.01 par value, 2,000,000 shares authorized, no shares issued and outstanding</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8"/>
        </w:trPr>
        <w:tc>
          <w:tcPr>
            <w:tcW w:w="7720" w:type="dxa"/>
            <w:vAlign w:val="bottom"/>
          </w:tcPr>
          <w:p>
            <w:pPr>
              <w:spacing w:after="0"/>
              <w:rPr>
                <w:sz w:val="20"/>
                <w:szCs w:val="20"/>
                <w:color w:val="auto"/>
              </w:rPr>
            </w:pPr>
            <w:r>
              <w:rPr>
                <w:rFonts w:ascii="Arial" w:cs="Arial" w:eastAsia="Arial" w:hAnsi="Arial"/>
                <w:sz w:val="17"/>
                <w:szCs w:val="17"/>
                <w:color w:val="auto"/>
              </w:rPr>
              <w:t>Common stock, $0.01 par value: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Authorized: 30,000,000 shares;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Pr>
          <w:p>
            <w:pPr>
              <w:ind w:left="240"/>
              <w:spacing w:after="0"/>
              <w:rPr>
                <w:sz w:val="20"/>
                <w:szCs w:val="20"/>
                <w:color w:val="auto"/>
              </w:rPr>
            </w:pPr>
            <w:r>
              <w:rPr>
                <w:rFonts w:ascii="Arial" w:cs="Arial" w:eastAsia="Arial" w:hAnsi="Arial"/>
                <w:sz w:val="17"/>
                <w:szCs w:val="17"/>
                <w:color w:val="auto"/>
                <w:w w:val="95"/>
              </w:rPr>
              <w:t>Issued and outstanding 13,602,052 and 11,596,274 shares as of December 29, 2018 and December 30,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240"/>
              <w:spacing w:after="0"/>
              <w:rPr>
                <w:sz w:val="20"/>
                <w:szCs w:val="20"/>
                <w:color w:val="auto"/>
              </w:rPr>
            </w:pPr>
            <w:r>
              <w:rPr>
                <w:rFonts w:ascii="Arial" w:cs="Arial" w:eastAsia="Arial" w:hAnsi="Arial"/>
                <w:sz w:val="17"/>
                <w:szCs w:val="17"/>
                <w:color w:val="auto"/>
              </w:rPr>
              <w:t>2017,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18"/>
                <w:szCs w:val="18"/>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71,548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59,385</w:t>
            </w:r>
          </w:p>
        </w:tc>
        <w:tc>
          <w:tcPr>
            <w:tcW w:w="120" w:type="dxa"/>
            <w:vAlign w:val="bottom"/>
            <w:shd w:val="clear" w:color="auto" w:fill="CFF0FC"/>
          </w:tcPr>
          <w:p>
            <w:pPr>
              <w:spacing w:after="0"/>
              <w:rPr>
                <w:sz w:val="19"/>
                <w:szCs w:val="19"/>
                <w:color w:val="auto"/>
              </w:rPr>
            </w:pPr>
          </w:p>
        </w:tc>
      </w:tr>
      <w:tr>
        <w:trPr>
          <w:trHeight w:val="218"/>
        </w:trPr>
        <w:tc>
          <w:tcPr>
            <w:tcW w:w="7720" w:type="dxa"/>
            <w:vAlign w:val="bottom"/>
          </w:tcPr>
          <w:p>
            <w:pPr>
              <w:spacing w:after="0"/>
              <w:rPr>
                <w:sz w:val="20"/>
                <w:szCs w:val="20"/>
                <w:color w:val="auto"/>
              </w:rPr>
            </w:pPr>
            <w:r>
              <w:rPr>
                <w:rFonts w:ascii="Arial" w:cs="Arial" w:eastAsia="Arial" w:hAnsi="Arial"/>
                <w:sz w:val="17"/>
                <w:szCs w:val="17"/>
                <w:color w:val="auto"/>
              </w:rPr>
              <w:t>Accumulated other comprehensive income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(41,802)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(28,989)</w:t>
            </w:r>
          </w:p>
        </w:tc>
      </w:tr>
      <w:tr>
        <w:trPr>
          <w:trHeight w:val="211"/>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stockholders’ equity</w:t>
            </w:r>
          </w:p>
        </w:tc>
        <w:tc>
          <w:tcPr>
            <w:tcW w:w="1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29,961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30,522</w:t>
            </w: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41,672</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41,646</w:t>
            </w:r>
          </w:p>
        </w:tc>
        <w:tc>
          <w:tcPr>
            <w:tcW w:w="120" w:type="dxa"/>
            <w:vAlign w:val="bottom"/>
            <w:shd w:val="clear" w:color="auto" w:fill="CFF0FC"/>
          </w:tcPr>
          <w:p>
            <w:pPr>
              <w:spacing w:after="0"/>
              <w:rPr>
                <w:sz w:val="18"/>
                <w:szCs w:val="18"/>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IRIDEX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FY 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FY 2017</w:t>
            </w:r>
          </w:p>
        </w:tc>
        <w:tc>
          <w:tcPr>
            <w:tcW w:w="0" w:type="dxa"/>
            <w:vAlign w:val="bottom"/>
          </w:tcPr>
          <w:p>
            <w:pPr>
              <w:spacing w:after="0"/>
              <w:rPr>
                <w:sz w:val="1"/>
                <w:szCs w:val="1"/>
                <w:color w:val="auto"/>
              </w:rPr>
            </w:pPr>
          </w:p>
        </w:tc>
      </w:tr>
      <w:tr>
        <w:trPr>
          <w:trHeight w:val="155"/>
        </w:trPr>
        <w:tc>
          <w:tcPr>
            <w:tcW w:w="6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4"/>
        </w:trPr>
        <w:tc>
          <w:tcPr>
            <w:tcW w:w="640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7"/>
              </w:rPr>
              <w:t>December 29, 2018</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7"/>
              </w:rPr>
              <w:t>December 30, 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400" w:type="dxa"/>
            <w:vAlign w:val="bottom"/>
            <w:shd w:val="clear" w:color="auto" w:fill="CFF0FC"/>
          </w:tcPr>
          <w:p>
            <w:pPr>
              <w:spacing w:after="0"/>
              <w:rPr>
                <w:sz w:val="20"/>
                <w:szCs w:val="20"/>
                <w:color w:val="auto"/>
              </w:rPr>
            </w:pPr>
            <w:r>
              <w:rPr>
                <w:rFonts w:ascii="Arial" w:cs="Arial" w:eastAsia="Arial" w:hAnsi="Arial"/>
                <w:sz w:val="17"/>
                <w:szCs w:val="17"/>
                <w:color w:val="auto"/>
              </w:rPr>
              <w:t>Total revenues</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42,600</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 of revenues</w:t>
            </w:r>
          </w:p>
        </w:tc>
        <w:tc>
          <w:tcPr>
            <w:tcW w:w="14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25,129</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26,090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FF0FC"/>
          </w:tcPr>
          <w:p>
            <w:pPr>
              <w:spacing w:after="0"/>
              <w:rPr>
                <w:sz w:val="20"/>
                <w:szCs w:val="20"/>
                <w:color w:val="auto"/>
              </w:rPr>
            </w:pPr>
            <w:r>
              <w:rPr>
                <w:rFonts w:ascii="Arial" w:cs="Arial" w:eastAsia="Arial" w:hAnsi="Arial"/>
                <w:sz w:val="17"/>
                <w:szCs w:val="17"/>
                <w:color w:val="auto"/>
              </w:rPr>
              <w:t>Gross profit</w:t>
            </w:r>
          </w:p>
        </w:tc>
        <w:tc>
          <w:tcPr>
            <w:tcW w:w="14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17,471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0" w:type="dxa"/>
            <w:vAlign w:val="bottom"/>
          </w:tcPr>
          <w:p>
            <w:pPr>
              <w:spacing w:after="0"/>
              <w:rPr>
                <w:sz w:val="20"/>
                <w:szCs w:val="20"/>
                <w:color w:val="auto"/>
              </w:rPr>
            </w:pPr>
            <w:r>
              <w:rPr>
                <w:rFonts w:ascii="Arial" w:cs="Arial" w:eastAsia="Arial" w:hAnsi="Arial"/>
                <w:sz w:val="17"/>
                <w:szCs w:val="17"/>
                <w:color w:val="auto"/>
              </w:rPr>
              <w:t>Operating expenses: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0" w:type="dxa"/>
            <w:vAlign w:val="bottom"/>
          </w:tcPr>
          <w:p>
            <w:pPr>
              <w:ind w:left="240"/>
              <w:spacing w:after="0"/>
              <w:rPr>
                <w:sz w:val="20"/>
                <w:szCs w:val="20"/>
                <w:color w:val="auto"/>
              </w:rPr>
            </w:pPr>
            <w:r>
              <w:rPr>
                <w:rFonts w:ascii="Arial" w:cs="Arial" w:eastAsia="Arial" w:hAnsi="Arial"/>
                <w:sz w:val="17"/>
                <w:szCs w:val="17"/>
                <w:color w:val="auto"/>
              </w:rPr>
              <w:t>Sales and marketing</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16,782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0" w:type="dxa"/>
            <w:vAlign w:val="bottom"/>
          </w:tcPr>
          <w:p>
            <w:pPr>
              <w:ind w:left="240"/>
              <w:spacing w:after="0"/>
              <w:rPr>
                <w:sz w:val="20"/>
                <w:szCs w:val="20"/>
                <w:color w:val="auto"/>
              </w:rPr>
            </w:pPr>
            <w:r>
              <w:rPr>
                <w:rFonts w:ascii="Arial" w:cs="Arial" w:eastAsia="Arial" w:hAnsi="Arial"/>
                <w:sz w:val="17"/>
                <w:szCs w:val="17"/>
                <w:color w:val="auto"/>
              </w:rPr>
              <w:t>Gain on sale of intellectual property</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220"/>
        </w:trPr>
        <w:tc>
          <w:tcPr>
            <w:tcW w:w="6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Impairment of long-lived assets</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operating expenses</w:t>
            </w:r>
          </w:p>
        </w:tc>
        <w:tc>
          <w:tcPr>
            <w:tcW w:w="14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30,339</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28,391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(12,868)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(12,888)</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from operations before provision for (benefit from) income taxes</w:t>
            </w:r>
          </w:p>
        </w:tc>
        <w:tc>
          <w:tcPr>
            <w:tcW w:w="1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vMerge w:val="continue"/>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(12,776)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(12,995)</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20"/>
                <w:szCs w:val="20"/>
                <w:color w:val="auto"/>
              </w:rPr>
            </w:pPr>
            <w:r>
              <w:rPr>
                <w:rFonts w:ascii="Arial" w:cs="Arial" w:eastAsia="Arial" w:hAnsi="Arial"/>
                <w:sz w:val="17"/>
                <w:szCs w:val="17"/>
                <w:color w:val="auto"/>
              </w:rPr>
              <w:t>Provision for (benefit from) income taxes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1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400" w:type="dxa"/>
            <w:vAlign w:val="bottom"/>
            <w:vMerge w:val="continue"/>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(12,813)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(12,867)</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loss per share:</w:t>
            </w:r>
          </w:p>
        </w:tc>
        <w:tc>
          <w:tcPr>
            <w:tcW w:w="14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0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(1.05)</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7"/>
                <w:szCs w:val="17"/>
                <w:color w:val="auto"/>
              </w:rPr>
              <w:t>Diluted</w:t>
            </w:r>
          </w:p>
        </w:tc>
        <w:tc>
          <w:tcPr>
            <w:tcW w:w="14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400" w:type="dxa"/>
            <w:vAlign w:val="bottom"/>
            <w:vMerge w:val="continue"/>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7"/>
                <w:szCs w:val="17"/>
                <w:color w:val="auto"/>
              </w:rPr>
              <w:t>(1.05)</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199"/>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Weighted average shares used in computing net loss per common share:</w:t>
            </w:r>
          </w:p>
        </w:tc>
        <w:tc>
          <w:tcPr>
            <w:tcW w:w="14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4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Basic</w:t>
            </w:r>
          </w:p>
        </w:tc>
        <w:tc>
          <w:tcPr>
            <w:tcW w:w="14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12,199</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Diluted</w:t>
            </w:r>
          </w:p>
        </w:tc>
        <w:tc>
          <w:tcPr>
            <w:tcW w:w="14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12,199</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11,555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IRIDEX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FY 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FY 2017</w:t>
            </w:r>
          </w:p>
        </w:tc>
      </w:tr>
      <w:tr>
        <w:trPr>
          <w:trHeight w:val="155"/>
        </w:trPr>
        <w:tc>
          <w:tcPr>
            <w:tcW w:w="5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0"/>
              </w:rPr>
              <w:t>Year Ended</w:t>
            </w:r>
          </w:p>
        </w:tc>
      </w:tr>
      <w:tr>
        <w:trPr>
          <w:trHeight w:val="164"/>
        </w:trPr>
        <w:tc>
          <w:tcPr>
            <w:tcW w:w="5700" w:type="dxa"/>
            <w:vAlign w:val="bottom"/>
            <w:tcBorders>
              <w:bottom w:val="single" w:sz="8" w:color="CFF0FC"/>
            </w:tcBorders>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December 29, 2018</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December 30, 2017</w:t>
            </w:r>
          </w:p>
        </w:tc>
        <w:tc>
          <w:tcPr>
            <w:tcW w:w="120" w:type="dxa"/>
            <w:vAlign w:val="bottom"/>
            <w:tcBorders>
              <w:bottom w:val="single" w:sz="8" w:color="CFF0FC"/>
            </w:tcBorders>
          </w:tcPr>
          <w:p>
            <w:pPr>
              <w:spacing w:after="0"/>
              <w:rPr>
                <w:sz w:val="14"/>
                <w:szCs w:val="14"/>
                <w:color w:val="auto"/>
              </w:rPr>
            </w:pPr>
          </w:p>
        </w:tc>
      </w:tr>
      <w:tr>
        <w:trPr>
          <w:trHeight w:val="212"/>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2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(12,813)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(12,867)</w:t>
            </w:r>
          </w:p>
        </w:tc>
      </w:tr>
      <w:tr>
        <w:trPr>
          <w:trHeight w:val="218"/>
        </w:trPr>
        <w:tc>
          <w:tcPr>
            <w:tcW w:w="5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Change in foreign currency translation adjustments</w:t>
            </w:r>
          </w:p>
        </w:tc>
        <w:tc>
          <w:tcPr>
            <w:tcW w:w="2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r>
      <w:tr>
        <w:trPr>
          <w:trHeight w:val="212"/>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Comprehensive loss</w:t>
            </w:r>
          </w:p>
        </w:tc>
        <w:tc>
          <w:tcPr>
            <w:tcW w:w="2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(12,743)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(12,867)</w:t>
            </w: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7"/>
          <w:szCs w:val="17"/>
          <w:b w:val="1"/>
          <w:bCs w:val="1"/>
          <w:color w:val="auto"/>
        </w:rPr>
        <w:t>IRIDEX Corporation</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 thousands, except share data)</w:t>
      </w:r>
    </w:p>
    <w:p>
      <w:pPr>
        <w:spacing w:after="0" w:line="190" w:lineRule="exact"/>
        <w:rPr>
          <w:sz w:val="20"/>
          <w:szCs w:val="20"/>
          <w:color w:val="auto"/>
        </w:rPr>
      </w:pPr>
    </w:p>
    <w:tbl>
      <w:tblPr>
        <w:tblLayout w:type="fixed"/>
        <w:tblInd w:w="392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gridSpan w:val="4"/>
            <w:vMerge w:val="restart"/>
          </w:tcPr>
          <w:p>
            <w:pPr>
              <w:ind w:left="70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2"/>
            <w:vMerge w:val="continue"/>
          </w:tcPr>
          <w:p>
            <w:pPr>
              <w:spacing w:after="0"/>
              <w:rPr>
                <w:sz w:val="12"/>
                <w:szCs w:val="12"/>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Other</w:t>
            </w: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520" w:type="dxa"/>
            <w:vAlign w:val="bottom"/>
            <w:gridSpan w:val="4"/>
            <w:vMerge w:val="continue"/>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Paid-in</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12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tcBorders>
              <w:top w:val="single" w:sz="8" w:color="auto"/>
              <w:bottom w:val="single" w:sz="8" w:color="auto"/>
            </w:tcBorders>
          </w:tcPr>
          <w:p>
            <w:pPr>
              <w:ind w:left="320"/>
              <w:spacing w:after="0" w:line="148"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60"/>
              <w:spacing w:after="0" w:line="148"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Capital</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Deficit</w:t>
            </w:r>
          </w:p>
        </w:tc>
        <w:tc>
          <w:tcPr>
            <w:tcW w:w="220" w:type="dxa"/>
            <w:vAlign w:val="bottom"/>
          </w:tcPr>
          <w:p>
            <w:pPr>
              <w:spacing w:after="0"/>
              <w:rPr>
                <w:sz w:val="12"/>
                <w:szCs w:val="12"/>
                <w:color w:val="auto"/>
              </w:rPr>
            </w:pPr>
          </w:p>
        </w:tc>
        <w:tc>
          <w:tcPr>
            <w:tcW w:w="1060" w:type="dxa"/>
            <w:vAlign w:val="bottom"/>
            <w:tcBorders>
              <w:bottom w:val="single" w:sz="8" w:color="auto"/>
            </w:tcBorders>
          </w:tcPr>
          <w:p>
            <w:pPr>
              <w:ind w:left="3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2529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13906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FY 2016: Balances, December 31, 2016</w:t>
      </w:r>
    </w:p>
    <w:p>
      <w:pPr>
        <w:spacing w:after="0" w:line="34"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Proceeds from issuance of common stock, net of issuance costs</w:t>
      </w:r>
    </w:p>
    <w:p>
      <w:pPr>
        <w:spacing w:after="0"/>
        <w:rPr>
          <w:sz w:val="20"/>
          <w:szCs w:val="20"/>
          <w:color w:val="auto"/>
        </w:rPr>
      </w:pPr>
      <w:r>
        <w:rPr>
          <w:rFonts w:ascii="Arial" w:cs="Arial" w:eastAsia="Arial" w:hAnsi="Arial"/>
          <w:sz w:val="15"/>
          <w:szCs w:val="15"/>
          <w:color w:val="auto"/>
        </w:rPr>
        <w:t>Issuance of common stock under stock option plan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Employee stock-based compensation expense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Release of restricted stock</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Net loss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FY 2017: Balances, December 30, 2017</w:t>
      </w:r>
    </w:p>
    <w:p>
      <w:pPr>
        <w:spacing w:after="0" w:line="34"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Proceeds from issuance of common stock, net of issuance costs</w:t>
      </w:r>
    </w:p>
    <w:p>
      <w:pPr>
        <w:spacing w:after="0"/>
        <w:rPr>
          <w:sz w:val="20"/>
          <w:szCs w:val="20"/>
          <w:color w:val="auto"/>
        </w:rPr>
      </w:pPr>
      <w:r>
        <w:rPr>
          <w:rFonts w:ascii="Arial" w:cs="Arial" w:eastAsia="Arial" w:hAnsi="Arial"/>
          <w:sz w:val="15"/>
          <w:szCs w:val="15"/>
          <w:color w:val="auto"/>
        </w:rPr>
        <w:t>Issuance of common stock under stock option plan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Employee stock-based compensation expense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Release of restricted stock</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Other comprehensive income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Net loss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FY 2018: Balances, December 29, 2018</w:t>
      </w:r>
    </w:p>
    <w:p>
      <w:pPr>
        <w:spacing w:after="0" w:line="20" w:lineRule="exact"/>
        <w:rPr>
          <w:sz w:val="20"/>
          <w:szCs w:val="20"/>
          <w:color w:val="auto"/>
        </w:rPr>
      </w:pPr>
      <w:r>
        <w:rPr>
          <w:sz w:val="20"/>
          <w:szCs w:val="20"/>
          <w:color w:val="auto"/>
        </w:rPr>
        <w:br w:type="column"/>
      </w:r>
    </w:p>
    <w:p>
      <w:pPr>
        <w:ind w:left="20"/>
        <w:spacing w:after="0"/>
        <w:tabs>
          <w:tab w:leader="none" w:pos="920" w:val="left"/>
        </w:tabs>
        <w:rPr>
          <w:sz w:val="20"/>
          <w:szCs w:val="20"/>
          <w:color w:val="auto"/>
        </w:rPr>
      </w:pPr>
      <w:r>
        <w:rPr>
          <w:rFonts w:ascii="Arial" w:cs="Arial" w:eastAsia="Arial" w:hAnsi="Arial"/>
          <w:sz w:val="14"/>
          <w:szCs w:val="14"/>
          <w:color w:val="auto"/>
        </w:rPr>
        <w:t>11,304,736</w:t>
      </w:r>
      <w:r>
        <w:rPr>
          <w:sz w:val="20"/>
          <w:szCs w:val="20"/>
          <w:color w:val="auto"/>
        </w:rPr>
        <w:tab/>
      </w:r>
      <w:r>
        <w:rPr>
          <w:rFonts w:ascii="Arial" w:cs="Arial" w:eastAsia="Arial" w:hAnsi="Arial"/>
          <w:sz w:val="14"/>
          <w:szCs w:val="14"/>
          <w:color w:val="auto"/>
        </w:rPr>
        <w: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172,500</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64,380</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54,658</w:t>
      </w:r>
    </w:p>
    <w:p>
      <w:pPr>
        <w:spacing w:after="0" w:line="253" w:lineRule="exact"/>
        <w:rPr>
          <w:sz w:val="20"/>
          <w:szCs w:val="20"/>
          <w:color w:val="auto"/>
        </w:rPr>
      </w:pPr>
    </w:p>
    <w:p>
      <w:pPr>
        <w:jc w:val="right"/>
        <w:ind w:right="320"/>
        <w:spacing w:after="0"/>
        <w:rPr>
          <w:sz w:val="20"/>
          <w:szCs w:val="20"/>
          <w:color w:val="auto"/>
        </w:rPr>
      </w:pPr>
      <w:r>
        <w:rPr>
          <w:rFonts w:ascii="Arial" w:cs="Arial" w:eastAsia="Arial" w:hAnsi="Arial"/>
          <w:sz w:val="13"/>
          <w:szCs w:val="13"/>
          <w:color w:val="auto"/>
        </w:rPr>
        <w:t>11,596,274</w:t>
      </w:r>
    </w:p>
    <w:p>
      <w:pPr>
        <w:spacing w:after="0" w:line="147" w:lineRule="exact"/>
        <w:rPr>
          <w:sz w:val="20"/>
          <w:szCs w:val="20"/>
          <w:color w:val="auto"/>
        </w:rPr>
      </w:pPr>
    </w:p>
    <w:p>
      <w:pPr>
        <w:jc w:val="right"/>
        <w:ind w:right="320"/>
        <w:spacing w:after="0"/>
        <w:rPr>
          <w:sz w:val="20"/>
          <w:szCs w:val="20"/>
          <w:color w:val="auto"/>
        </w:rPr>
      </w:pPr>
      <w:r>
        <w:rPr>
          <w:rFonts w:ascii="Arial" w:cs="Arial" w:eastAsia="Arial" w:hAnsi="Arial"/>
          <w:sz w:val="15"/>
          <w:szCs w:val="15"/>
          <w:color w:val="auto"/>
        </w:rPr>
        <w:t>1,916,667</w:t>
      </w:r>
    </w:p>
    <w:p>
      <w:pPr>
        <w:spacing w:after="0" w:line="137" w:lineRule="exact"/>
        <w:rPr>
          <w:sz w:val="20"/>
          <w:szCs w:val="20"/>
          <w:color w:val="auto"/>
        </w:rPr>
      </w:pPr>
    </w:p>
    <w:p>
      <w:pPr>
        <w:jc w:val="right"/>
        <w:ind w:right="320"/>
        <w:spacing w:after="0"/>
        <w:rPr>
          <w:sz w:val="20"/>
          <w:szCs w:val="20"/>
          <w:color w:val="auto"/>
        </w:rPr>
      </w:pPr>
      <w:r>
        <w:rPr>
          <w:rFonts w:ascii="Arial" w:cs="Arial" w:eastAsia="Arial" w:hAnsi="Arial"/>
          <w:sz w:val="15"/>
          <w:szCs w:val="15"/>
          <w:color w:val="auto"/>
        </w:rPr>
        <w:t>24,050</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65,061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280035</wp:posOffset>
            </wp:positionV>
            <wp:extent cx="6546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15"/>
          <w:szCs w:val="15"/>
          <w:color w:val="auto"/>
        </w:rPr>
        <w:t>13,602,052</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18415</wp:posOffset>
            </wp:positionV>
            <wp:extent cx="6546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4685" cy="825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34925</wp:posOffset>
            </wp:positionV>
            <wp:extent cx="654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460" w:type="dxa"/>
            <w:vAlign w:val="bottom"/>
          </w:tcPr>
          <w:p>
            <w:pPr>
              <w:jc w:val="right"/>
              <w:ind w:right="163"/>
              <w:spacing w:after="0"/>
              <w:rPr>
                <w:sz w:val="20"/>
                <w:szCs w:val="20"/>
                <w:color w:val="auto"/>
              </w:rPr>
            </w:pPr>
            <w:r>
              <w:rPr>
                <w:rFonts w:ascii="Arial" w:cs="Arial" w:eastAsia="Arial" w:hAnsi="Arial"/>
                <w:sz w:val="15"/>
                <w:szCs w:val="15"/>
                <w:color w:val="auto"/>
                <w:w w:val="79"/>
              </w:rPr>
              <w:t>124</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55,158</w:t>
            </w:r>
          </w:p>
        </w:tc>
        <w:tc>
          <w:tcPr>
            <w:tcW w:w="140" w:type="dxa"/>
            <w:vAlign w:val="bottom"/>
          </w:tcPr>
          <w:p>
            <w:pPr>
              <w:spacing w:after="0"/>
              <w:rPr>
                <w:sz w:val="17"/>
                <w:szCs w:val="17"/>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560" w:type="dxa"/>
            <w:vAlign w:val="bottom"/>
          </w:tcPr>
          <w:p>
            <w:pPr>
              <w:ind w:left="400"/>
              <w:spacing w:after="0"/>
              <w:rPr>
                <w:sz w:val="20"/>
                <w:szCs w:val="20"/>
                <w:color w:val="auto"/>
              </w:rPr>
            </w:pPr>
            <w:r>
              <w:rPr>
                <w:rFonts w:ascii="Arial" w:cs="Arial" w:eastAsia="Arial" w:hAnsi="Arial"/>
                <w:sz w:val="15"/>
                <w:szCs w:val="15"/>
                <w:color w:val="auto"/>
                <w:w w:val="93"/>
              </w:rPr>
              <w:t>—</w:t>
            </w: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(16,122)</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39,160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460" w:type="dxa"/>
            <w:vAlign w:val="bottom"/>
          </w:tcPr>
          <w:p>
            <w:pPr>
              <w:jc w:val="right"/>
              <w:ind w:right="163"/>
              <w:spacing w:after="0"/>
              <w:rPr>
                <w:sz w:val="20"/>
                <w:szCs w:val="20"/>
                <w:color w:val="auto"/>
              </w:rPr>
            </w:pPr>
            <w:r>
              <w:rPr>
                <w:rFonts w:ascii="Arial" w:cs="Arial" w:eastAsia="Arial" w:hAnsi="Arial"/>
                <w:sz w:val="15"/>
                <w:szCs w:val="15"/>
                <w:color w:val="auto"/>
              </w:rPr>
              <w:t>2</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2,261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(333)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(12,867)</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(12,867)</w:t>
            </w: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163"/>
              <w:spacing w:after="0"/>
              <w:rPr>
                <w:sz w:val="20"/>
                <w:szCs w:val="20"/>
                <w:color w:val="auto"/>
              </w:rPr>
            </w:pPr>
            <w:r>
              <w:rPr>
                <w:rFonts w:ascii="Arial" w:cs="Arial" w:eastAsia="Arial" w:hAnsi="Arial"/>
                <w:sz w:val="15"/>
                <w:szCs w:val="15"/>
                <w:color w:val="auto"/>
                <w:w w:val="79"/>
              </w:rPr>
              <w:t>126</w:t>
            </w: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59,385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ind w:left="400"/>
              <w:spacing w:after="0"/>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(28,989)</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30,522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460" w:type="dxa"/>
            <w:vAlign w:val="bottom"/>
          </w:tcPr>
          <w:p>
            <w:pPr>
              <w:jc w:val="right"/>
              <w:ind w:right="163"/>
              <w:spacing w:after="0"/>
              <w:rPr>
                <w:sz w:val="20"/>
                <w:szCs w:val="20"/>
                <w:color w:val="auto"/>
              </w:rPr>
            </w:pPr>
            <w:r>
              <w:rPr>
                <w:rFonts w:ascii="Arial" w:cs="Arial" w:eastAsia="Arial" w:hAnsi="Arial"/>
                <w:sz w:val="15"/>
                <w:szCs w:val="15"/>
                <w:color w:val="auto"/>
              </w:rPr>
              <w:t>19</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10,456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10,475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(194)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ind w:left="400"/>
              <w:spacing w:after="0"/>
              <w:rPr>
                <w:sz w:val="20"/>
                <w:szCs w:val="20"/>
                <w:color w:val="auto"/>
              </w:rPr>
            </w:pPr>
            <w:r>
              <w:rPr>
                <w:rFonts w:ascii="Arial" w:cs="Arial" w:eastAsia="Arial" w:hAnsi="Arial"/>
                <w:sz w:val="15"/>
                <w:szCs w:val="15"/>
                <w:color w:val="auto"/>
                <w:w w:val="83"/>
              </w:rPr>
              <w:t>70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(12,813)</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(12,813)</w:t>
            </w: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163"/>
              <w:spacing w:after="0"/>
              <w:rPr>
                <w:sz w:val="20"/>
                <w:szCs w:val="20"/>
                <w:color w:val="auto"/>
              </w:rPr>
            </w:pPr>
            <w:r>
              <w:rPr>
                <w:rFonts w:ascii="Arial" w:cs="Arial" w:eastAsia="Arial" w:hAnsi="Arial"/>
                <w:sz w:val="15"/>
                <w:szCs w:val="15"/>
                <w:color w:val="auto"/>
                <w:w w:val="79"/>
              </w:rPr>
              <w:t>145</w:t>
            </w: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0" w:type="dxa"/>
            <w:vAlign w:val="bottom"/>
            <w:vMerge w:val="continue"/>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71,548</w:t>
            </w:r>
          </w:p>
        </w:tc>
        <w:tc>
          <w:tcPr>
            <w:tcW w:w="140" w:type="dxa"/>
            <w:vAlign w:val="bottom"/>
          </w:tcPr>
          <w:p>
            <w:pPr>
              <w:spacing w:after="0"/>
              <w:rPr>
                <w:sz w:val="17"/>
                <w:szCs w:val="17"/>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560" w:type="dxa"/>
            <w:vAlign w:val="bottom"/>
          </w:tcPr>
          <w:p>
            <w:pPr>
              <w:ind w:left="400"/>
              <w:spacing w:after="0"/>
              <w:rPr>
                <w:sz w:val="20"/>
                <w:szCs w:val="20"/>
                <w:color w:val="auto"/>
              </w:rPr>
            </w:pPr>
            <w:r>
              <w:rPr>
                <w:rFonts w:ascii="Arial" w:cs="Arial" w:eastAsia="Arial" w:hAnsi="Arial"/>
                <w:sz w:val="15"/>
                <w:szCs w:val="15"/>
                <w:color w:val="auto"/>
                <w:w w:val="83"/>
              </w:rPr>
              <w:t>70</w:t>
            </w:r>
          </w:p>
        </w:tc>
        <w:tc>
          <w:tcPr>
            <w:tcW w:w="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(41,802)</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29,961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-1734820</wp:posOffset>
            </wp:positionV>
            <wp:extent cx="7252970" cy="130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970" cy="13081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-1472565</wp:posOffset>
            </wp:positionV>
            <wp:extent cx="7252970" cy="1308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13081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-817880</wp:posOffset>
            </wp:positionV>
            <wp:extent cx="7252970" cy="1308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13081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-556260</wp:posOffset>
            </wp:positionV>
            <wp:extent cx="7252970" cy="1308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13081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-294005</wp:posOffset>
            </wp:positionV>
            <wp:extent cx="7252970" cy="294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970" cy="29464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-1210945</wp:posOffset>
            </wp:positionV>
            <wp:extent cx="7252970" cy="139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970" cy="13906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3">
            <w:col w:w="3580" w:space="660"/>
            <w:col w:w="1020" w:space="720"/>
            <w:col w:w="5380"/>
          </w:cols>
          <w:pgMar w:left="240" w:top="121" w:right="299" w:bottom="1440" w:gutter="0" w:footer="0" w:header="0"/>
          <w:type w:val="continuous"/>
        </w:sectPr>
      </w:pPr>
    </w:p>
    <w:p>
      <w:pPr>
        <w:jc w:val="center"/>
        <w:ind w:right="-7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IRIDEX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FY 2018</w:t>
            </w: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FY 2017</w:t>
            </w:r>
          </w:p>
        </w:tc>
        <w:tc>
          <w:tcPr>
            <w:tcW w:w="0" w:type="dxa"/>
            <w:vAlign w:val="bottom"/>
          </w:tcPr>
          <w:p>
            <w:pPr>
              <w:spacing w:after="0"/>
              <w:rPr>
                <w:sz w:val="1"/>
                <w:szCs w:val="1"/>
                <w:color w:val="auto"/>
              </w:rPr>
            </w:pPr>
          </w:p>
        </w:tc>
      </w:tr>
      <w:tr>
        <w:trPr>
          <w:trHeight w:val="155"/>
        </w:trPr>
        <w:tc>
          <w:tcPr>
            <w:tcW w:w="6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3"/>
                <w:szCs w:val="13"/>
                <w:color w:val="auto"/>
              </w:rPr>
            </w:pPr>
          </w:p>
        </w:tc>
        <w:tc>
          <w:tcPr>
            <w:tcW w:w="15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4"/>
        </w:trPr>
        <w:tc>
          <w:tcPr>
            <w:tcW w:w="6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December 29, 2018</w:t>
            </w: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December 30, 2017</w:t>
            </w:r>
          </w:p>
        </w:tc>
        <w:tc>
          <w:tcPr>
            <w:tcW w:w="0" w:type="dxa"/>
            <w:vAlign w:val="bottom"/>
          </w:tcPr>
          <w:p>
            <w:pPr>
              <w:spacing w:after="0"/>
              <w:rPr>
                <w:sz w:val="1"/>
                <w:szCs w:val="1"/>
                <w:color w:val="auto"/>
              </w:rPr>
            </w:pPr>
          </w:p>
        </w:tc>
      </w:tr>
      <w:tr>
        <w:trPr>
          <w:trHeight w:val="212"/>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activities:</w:t>
            </w:r>
          </w:p>
        </w:tc>
        <w:tc>
          <w:tcPr>
            <w:tcW w:w="14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60" w:type="dxa"/>
            <w:vAlign w:val="bottom"/>
          </w:tcPr>
          <w:p>
            <w:pPr>
              <w:spacing w:after="0"/>
              <w:rPr>
                <w:sz w:val="20"/>
                <w:szCs w:val="20"/>
                <w:color w:val="auto"/>
              </w:rPr>
            </w:pPr>
            <w:r>
              <w:rPr>
                <w:rFonts w:ascii="Arial" w:cs="Arial" w:eastAsia="Arial" w:hAnsi="Arial"/>
                <w:sz w:val="17"/>
                <w:szCs w:val="17"/>
                <w:color w:val="auto"/>
              </w:rPr>
              <w:t>Net loss</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(12,813)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(12,867)</w:t>
            </w: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Pr>
          <w:p>
            <w:pPr>
              <w:spacing w:after="0"/>
              <w:rPr>
                <w:sz w:val="20"/>
                <w:szCs w:val="20"/>
                <w:color w:val="auto"/>
              </w:rPr>
            </w:pPr>
            <w:r>
              <w:rPr>
                <w:rFonts w:ascii="Arial" w:cs="Arial" w:eastAsia="Arial" w:hAnsi="Arial"/>
                <w:sz w:val="17"/>
                <w:szCs w:val="17"/>
                <w:color w:val="auto"/>
              </w:rPr>
              <w:t>Gain on sale of intellectual property</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spacing w:after="0"/>
              <w:rPr>
                <w:sz w:val="20"/>
                <w:szCs w:val="20"/>
                <w:color w:val="auto"/>
              </w:rPr>
            </w:pPr>
            <w:r>
              <w:rPr>
                <w:rFonts w:ascii="Arial" w:cs="Arial" w:eastAsia="Arial" w:hAnsi="Arial"/>
                <w:sz w:val="17"/>
                <w:szCs w:val="17"/>
                <w:color w:val="auto"/>
              </w:rPr>
              <w:t>Impairment of long-lived assets</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Pr>
          <w:p>
            <w:pPr>
              <w:spacing w:after="0"/>
              <w:rPr>
                <w:sz w:val="20"/>
                <w:szCs w:val="20"/>
                <w:color w:val="auto"/>
              </w:rPr>
            </w:pPr>
            <w:r>
              <w:rPr>
                <w:rFonts w:ascii="Arial" w:cs="Arial" w:eastAsia="Arial" w:hAnsi="Arial"/>
                <w:sz w:val="17"/>
                <w:szCs w:val="17"/>
                <w:color w:val="auto"/>
              </w:rPr>
              <w:t>Loss on disposal of property and equipment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809</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Pr>
          <w:p>
            <w:pPr>
              <w:spacing w:after="0"/>
              <w:rPr>
                <w:sz w:val="20"/>
                <w:szCs w:val="20"/>
                <w:color w:val="auto"/>
              </w:rPr>
            </w:pPr>
            <w:r>
              <w:rPr>
                <w:rFonts w:ascii="Arial" w:cs="Arial" w:eastAsia="Arial" w:hAnsi="Arial"/>
                <w:sz w:val="17"/>
                <w:szCs w:val="17"/>
                <w:color w:val="auto"/>
              </w:rPr>
              <w:t>Change in fair value of earn-out liability</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Accounts receivable</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(1,159)</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Pr>
          <w:p>
            <w:pPr>
              <w:ind w:left="480"/>
              <w:spacing w:after="0"/>
              <w:rPr>
                <w:sz w:val="20"/>
                <w:szCs w:val="20"/>
                <w:color w:val="auto"/>
              </w:rPr>
            </w:pPr>
            <w:r>
              <w:rPr>
                <w:rFonts w:ascii="Arial" w:cs="Arial" w:eastAsia="Arial" w:hAnsi="Arial"/>
                <w:sz w:val="17"/>
                <w:szCs w:val="17"/>
                <w:color w:val="auto"/>
              </w:rPr>
              <w:t>Inventories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Prepaid expenses and other current assets</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(54)</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8"/>
        </w:trPr>
        <w:tc>
          <w:tcPr>
            <w:tcW w:w="6460" w:type="dxa"/>
            <w:vAlign w:val="bottom"/>
          </w:tcPr>
          <w:p>
            <w:pPr>
              <w:ind w:left="480"/>
              <w:spacing w:after="0"/>
              <w:rPr>
                <w:sz w:val="20"/>
                <w:szCs w:val="20"/>
                <w:color w:val="auto"/>
              </w:rPr>
            </w:pPr>
            <w:r>
              <w:rPr>
                <w:rFonts w:ascii="Arial" w:cs="Arial" w:eastAsia="Arial" w:hAnsi="Arial"/>
                <w:sz w:val="17"/>
                <w:szCs w:val="17"/>
                <w:color w:val="auto"/>
              </w:rPr>
              <w:t>Other long-term assets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Accounts payable</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788</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18"/>
        </w:trPr>
        <w:tc>
          <w:tcPr>
            <w:tcW w:w="6460" w:type="dxa"/>
            <w:vAlign w:val="bottom"/>
          </w:tcPr>
          <w:p>
            <w:pPr>
              <w:ind w:left="480"/>
              <w:spacing w:after="0"/>
              <w:rPr>
                <w:sz w:val="20"/>
                <w:szCs w:val="20"/>
                <w:color w:val="auto"/>
              </w:rPr>
            </w:pPr>
            <w:r>
              <w:rPr>
                <w:rFonts w:ascii="Arial" w:cs="Arial" w:eastAsia="Arial" w:hAnsi="Arial"/>
                <w:sz w:val="17"/>
                <w:szCs w:val="17"/>
                <w:color w:val="auto"/>
              </w:rPr>
              <w:t>Accrued compensation</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Accrued expenses</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Pr>
          <w:p>
            <w:pPr>
              <w:ind w:left="480"/>
              <w:spacing w:after="0"/>
              <w:rPr>
                <w:sz w:val="20"/>
                <w:szCs w:val="20"/>
                <w:color w:val="auto"/>
              </w:rPr>
            </w:pPr>
            <w:r>
              <w:rPr>
                <w:rFonts w:ascii="Arial" w:cs="Arial" w:eastAsia="Arial" w:hAnsi="Arial"/>
                <w:sz w:val="17"/>
                <w:szCs w:val="17"/>
                <w:color w:val="auto"/>
              </w:rPr>
              <w:t>Accrued warranty</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(875)</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Deferred revenue</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(295)</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Other long-term liabilities</w:t>
            </w:r>
          </w:p>
        </w:tc>
        <w:tc>
          <w:tcPr>
            <w:tcW w:w="14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3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6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(10,025)</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(3,565)</w:t>
            </w:r>
          </w:p>
        </w:tc>
        <w:tc>
          <w:tcPr>
            <w:tcW w:w="0" w:type="dxa"/>
            <w:vAlign w:val="bottom"/>
          </w:tcPr>
          <w:p>
            <w:pPr>
              <w:spacing w:after="0"/>
              <w:rPr>
                <w:sz w:val="1"/>
                <w:szCs w:val="1"/>
                <w:color w:val="auto"/>
              </w:rPr>
            </w:pPr>
          </w:p>
        </w:tc>
      </w:tr>
      <w:tr>
        <w:trPr>
          <w:trHeight w:val="211"/>
        </w:trPr>
        <w:tc>
          <w:tcPr>
            <w:tcW w:w="6460" w:type="dxa"/>
            <w:vAlign w:val="bottom"/>
          </w:tcPr>
          <w:p>
            <w:pPr>
              <w:spacing w:after="0"/>
              <w:rPr>
                <w:sz w:val="20"/>
                <w:szCs w:val="20"/>
                <w:color w:val="auto"/>
              </w:rPr>
            </w:pPr>
            <w:r>
              <w:rPr>
                <w:rFonts w:ascii="Arial" w:cs="Arial" w:eastAsia="Arial" w:hAnsi="Arial"/>
                <w:sz w:val="17"/>
                <w:szCs w:val="17"/>
                <w:color w:val="auto"/>
              </w:rPr>
              <w:t>Investing activities:</w:t>
            </w:r>
          </w:p>
        </w:tc>
        <w:tc>
          <w:tcPr>
            <w:tcW w:w="1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Acquisition of property and equipment</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(440)</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18"/>
        </w:trPr>
        <w:tc>
          <w:tcPr>
            <w:tcW w:w="6460" w:type="dxa"/>
            <w:vAlign w:val="bottom"/>
          </w:tcPr>
          <w:p>
            <w:pPr>
              <w:ind w:left="480"/>
              <w:spacing w:after="0"/>
              <w:rPr>
                <w:sz w:val="20"/>
                <w:szCs w:val="20"/>
                <w:color w:val="auto"/>
              </w:rPr>
            </w:pPr>
            <w:r>
              <w:rPr>
                <w:rFonts w:ascii="Arial" w:cs="Arial" w:eastAsia="Arial" w:hAnsi="Arial"/>
                <w:sz w:val="17"/>
                <w:szCs w:val="17"/>
                <w:color w:val="auto"/>
              </w:rPr>
              <w:t>Proceeds from sale of intellectual property</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Payment on earn-out liability</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(387)</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(827)</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13"/>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Financing activities:</w:t>
            </w:r>
          </w:p>
        </w:tc>
        <w:tc>
          <w:tcPr>
            <w:tcW w:w="14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60" w:type="dxa"/>
            <w:vAlign w:val="bottom"/>
          </w:tcPr>
          <w:p>
            <w:pPr>
              <w:ind w:left="480"/>
              <w:spacing w:after="0"/>
              <w:rPr>
                <w:sz w:val="20"/>
                <w:szCs w:val="20"/>
                <w:color w:val="auto"/>
              </w:rPr>
            </w:pPr>
            <w:r>
              <w:rPr>
                <w:rFonts w:ascii="Arial" w:cs="Arial" w:eastAsia="Arial" w:hAnsi="Arial"/>
                <w:sz w:val="17"/>
                <w:szCs w:val="17"/>
                <w:color w:val="auto"/>
              </w:rPr>
              <w:t>Proceeds from issuance of common stock, net of issuance costs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10,475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Proceeds from stock option exercises</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Pr>
          <w:p>
            <w:pPr>
              <w:ind w:left="480"/>
              <w:spacing w:after="0"/>
              <w:rPr>
                <w:sz w:val="20"/>
                <w:szCs w:val="20"/>
                <w:color w:val="auto"/>
              </w:rPr>
            </w:pPr>
            <w:r>
              <w:rPr>
                <w:rFonts w:ascii="Arial" w:cs="Arial" w:eastAsia="Arial" w:hAnsi="Arial"/>
                <w:sz w:val="17"/>
                <w:szCs w:val="17"/>
                <w:color w:val="auto"/>
              </w:rPr>
              <w:t>Taxes paid related to net share settlements of equity awards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(194)</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13"/>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14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10,379</w:t>
            </w: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Pr>
          <w:p>
            <w:pPr>
              <w:spacing w:after="0"/>
              <w:rPr>
                <w:sz w:val="20"/>
                <w:szCs w:val="20"/>
                <w:color w:val="auto"/>
              </w:rPr>
            </w:pPr>
            <w:r>
              <w:rPr>
                <w:rFonts w:ascii="Arial" w:cs="Arial" w:eastAsia="Arial" w:hAnsi="Arial"/>
                <w:sz w:val="17"/>
                <w:szCs w:val="17"/>
                <w:color w:val="auto"/>
              </w:rPr>
              <w:t>Effect of foreign exchange rate changes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decrease in cash and cash equivalents</w:t>
            </w:r>
          </w:p>
        </w:tc>
        <w:tc>
          <w:tcPr>
            <w:tcW w:w="14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60" w:type="dxa"/>
            <w:vAlign w:val="bottom"/>
            <w:vMerge w:val="continue"/>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(513)</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(2,040)</w:t>
            </w:r>
          </w:p>
        </w:tc>
        <w:tc>
          <w:tcPr>
            <w:tcW w:w="0" w:type="dxa"/>
            <w:vAlign w:val="bottom"/>
          </w:tcPr>
          <w:p>
            <w:pPr>
              <w:spacing w:after="0"/>
              <w:rPr>
                <w:sz w:val="1"/>
                <w:szCs w:val="1"/>
                <w:color w:val="auto"/>
              </w:rPr>
            </w:pPr>
          </w:p>
        </w:tc>
      </w:tr>
      <w:tr>
        <w:trPr>
          <w:trHeight w:val="218"/>
        </w:trPr>
        <w:tc>
          <w:tcPr>
            <w:tcW w:w="6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beginning of year</w:t>
            </w:r>
          </w:p>
        </w:tc>
        <w:tc>
          <w:tcPr>
            <w:tcW w:w="14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21,707</w:t>
            </w:r>
          </w:p>
        </w:tc>
        <w:tc>
          <w:tcPr>
            <w:tcW w:w="3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23,747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end of year</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21,194</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4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46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paid during the year for:</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Pr>
          <w:p>
            <w:pPr>
              <w:ind w:left="480"/>
              <w:spacing w:after="0"/>
              <w:rPr>
                <w:sz w:val="20"/>
                <w:szCs w:val="20"/>
                <w:color w:val="auto"/>
              </w:rPr>
            </w:pPr>
            <w:r>
              <w:rPr>
                <w:rFonts w:ascii="Arial" w:cs="Arial" w:eastAsia="Arial" w:hAnsi="Arial"/>
                <w:sz w:val="17"/>
                <w:szCs w:val="17"/>
                <w:color w:val="auto"/>
              </w:rPr>
              <w:t>Income taxes</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4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activities:</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Pr>
          <w:p>
            <w:pPr>
              <w:ind w:left="240"/>
              <w:spacing w:after="0"/>
              <w:rPr>
                <w:sz w:val="20"/>
                <w:szCs w:val="20"/>
                <w:color w:val="auto"/>
              </w:rPr>
            </w:pPr>
            <w:r>
              <w:rPr>
                <w:rFonts w:ascii="Arial" w:cs="Arial" w:eastAsia="Arial" w:hAnsi="Arial"/>
                <w:sz w:val="17"/>
                <w:szCs w:val="17"/>
                <w:color w:val="auto"/>
              </w:rPr>
              <w:t>Transfer of inventory to property and equipment</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166</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7"/>
          <w:szCs w:val="17"/>
          <w:b w:val="1"/>
          <w:bCs w:val="1"/>
          <w:color w:val="auto"/>
        </w:rPr>
        <w:t>IRIDEX Corporation</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Description of Business.</w:t>
      </w:r>
    </w:p>
    <w:p>
      <w:pPr>
        <w:spacing w:after="0" w:line="114"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IRIDEX Corporation (“IRIDEX”, the “Company”, “we”, “us”, or “our”) is a leading worldwide provider of therapeutic based laser systems, delivery devices and consumable instrumentation used to treat sight-threatening eye diseases in ophthalmology. Our ophthalmology products are sold in the United States and Germany predominantly through a direct sales force and internationally through independent distributors.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 Presentation.</w:t>
      </w:r>
    </w:p>
    <w:p>
      <w:pPr>
        <w:spacing w:after="0" w:line="114" w:lineRule="exact"/>
        <w:rPr>
          <w:sz w:val="20"/>
          <w:szCs w:val="20"/>
          <w:color w:val="auto"/>
        </w:rPr>
      </w:pPr>
    </w:p>
    <w:p>
      <w:pPr>
        <w:ind w:right="520" w:firstLine="555"/>
        <w:spacing w:after="0" w:line="279" w:lineRule="auto"/>
        <w:rPr>
          <w:sz w:val="20"/>
          <w:szCs w:val="20"/>
          <w:color w:val="auto"/>
        </w:rPr>
      </w:pPr>
      <w:r>
        <w:rPr>
          <w:rFonts w:ascii="Arial" w:cs="Arial" w:eastAsia="Arial" w:hAnsi="Arial"/>
          <w:sz w:val="17"/>
          <w:szCs w:val="17"/>
          <w:color w:val="auto"/>
        </w:rPr>
        <w:t>The consolidated financial statements include the accounts of IRIDEX and our wholly owned subsidiaries. All significant intercompany accounts and transactions have been eliminated in consolidation.</w:t>
      </w:r>
    </w:p>
    <w:p>
      <w:pPr>
        <w:spacing w:after="0" w:line="61" w:lineRule="exact"/>
        <w:rPr>
          <w:sz w:val="20"/>
          <w:szCs w:val="20"/>
          <w:color w:val="auto"/>
        </w:rPr>
      </w:pPr>
    </w:p>
    <w:p>
      <w:pPr>
        <w:ind w:right="480" w:firstLine="555"/>
        <w:spacing w:after="0" w:line="279" w:lineRule="auto"/>
        <w:rPr>
          <w:sz w:val="20"/>
          <w:szCs w:val="20"/>
          <w:color w:val="auto"/>
        </w:rPr>
      </w:pPr>
      <w:r>
        <w:rPr>
          <w:rFonts w:ascii="Arial" w:cs="Arial" w:eastAsia="Arial" w:hAnsi="Arial"/>
          <w:sz w:val="17"/>
          <w:szCs w:val="17"/>
          <w:color w:val="auto"/>
        </w:rPr>
        <w:t>Our fiscal year always ends on the Saturday closest to December 31. Fiscal 2018 ended on December 29, 2018 (“FY 2018”) and Fiscal 2017 ended on December 30, 2017 (“FY 2017”). Fiscal years 2018 and 2017 each included 52 weeks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Use of Estimates.</w:t>
      </w:r>
    </w:p>
    <w:p>
      <w:pPr>
        <w:spacing w:after="0" w:line="114" w:lineRule="exact"/>
        <w:rPr>
          <w:sz w:val="20"/>
          <w:szCs w:val="20"/>
          <w:color w:val="auto"/>
        </w:rPr>
      </w:pPr>
    </w:p>
    <w:p>
      <w:pPr>
        <w:ind w:right="200" w:firstLine="555"/>
        <w:spacing w:after="0" w:line="258"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w:t>
      </w:r>
    </w:p>
    <w:p>
      <w:pPr>
        <w:spacing w:after="0" w:line="114" w:lineRule="exact"/>
        <w:rPr>
          <w:sz w:val="20"/>
          <w:szCs w:val="20"/>
          <w:color w:val="auto"/>
        </w:rPr>
      </w:pPr>
    </w:p>
    <w:p>
      <w:pPr>
        <w:ind w:right="40" w:firstLine="555"/>
        <w:spacing w:after="0" w:line="312" w:lineRule="auto"/>
        <w:rPr>
          <w:sz w:val="20"/>
          <w:szCs w:val="20"/>
          <w:color w:val="auto"/>
        </w:rPr>
      </w:pPr>
      <w:r>
        <w:rPr>
          <w:rFonts w:ascii="Arial" w:cs="Arial" w:eastAsia="Arial" w:hAnsi="Arial"/>
          <w:sz w:val="16"/>
          <w:szCs w:val="16"/>
          <w:color w:val="auto"/>
        </w:rPr>
        <w:t>We consider all highly liquid debt instruments with insignificant interest rate risk and an original maturity of three months or less when purchased to be cash equivalents. Cash equivalents consist primarily of cash deposits in money market funds that are available for withdrawal without restriction.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Sales Returns Allowance and Allowance for Doubtful Accounts.</w:t>
      </w:r>
    </w:p>
    <w:p>
      <w:pPr>
        <w:spacing w:after="0" w:line="114" w:lineRule="exact"/>
        <w:rPr>
          <w:sz w:val="20"/>
          <w:szCs w:val="20"/>
          <w:color w:val="auto"/>
        </w:rPr>
      </w:pPr>
    </w:p>
    <w:p>
      <w:pPr>
        <w:ind w:right="20" w:firstLine="555"/>
        <w:spacing w:after="0" w:line="258" w:lineRule="auto"/>
        <w:rPr>
          <w:sz w:val="20"/>
          <w:szCs w:val="20"/>
          <w:color w:val="auto"/>
        </w:rPr>
      </w:pPr>
      <w:r>
        <w:rPr>
          <w:rFonts w:ascii="Arial" w:cs="Arial" w:eastAsia="Arial" w:hAnsi="Arial"/>
          <w:sz w:val="17"/>
          <w:szCs w:val="17"/>
          <w:color w:val="auto"/>
        </w:rPr>
        <w:t>We estimate future product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 The balance for the provision for sales returns was $277 thousand and $570 thousand as of December 29, 2018 and December 30, 2017, respectively, and is recorded within the deferred revenue accounts in the consolidated balance sheets.</w:t>
      </w:r>
    </w:p>
    <w:p>
      <w:pPr>
        <w:spacing w:after="0" w:line="80" w:lineRule="exact"/>
        <w:rPr>
          <w:sz w:val="20"/>
          <w:szCs w:val="20"/>
          <w:color w:val="auto"/>
        </w:rPr>
      </w:pPr>
    </w:p>
    <w:p>
      <w:pPr>
        <w:ind w:firstLine="555"/>
        <w:spacing w:after="0" w:line="258" w:lineRule="auto"/>
        <w:rPr>
          <w:sz w:val="20"/>
          <w:szCs w:val="20"/>
          <w:color w:val="auto"/>
        </w:rPr>
      </w:pPr>
      <w:r>
        <w:rPr>
          <w:rFonts w:ascii="Arial" w:cs="Arial" w:eastAsia="Arial" w:hAnsi="Arial"/>
          <w:sz w:val="17"/>
          <w:szCs w:val="17"/>
          <w:color w:val="auto"/>
        </w:rPr>
        <w:t>Similarly management must make estimates regarding the uncollectibility of accounts receivable. We are exposed to credit risk in the event of non-payment by customers to the extent of amounts recorded on the consolidated balance sheets. As sales levels change, the level of accounts receivable would likely also change. In addition, in the event that customers were to delay their payments to us, the levels of accounts receivable would likely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5" w:name="page46"/>
    <w:bookmarkEnd w:id="45"/>
    <w:p>
      <w:pPr>
        <w:ind w:right="500" w:firstLine="555"/>
        <w:spacing w:after="0" w:line="279" w:lineRule="auto"/>
        <w:rPr>
          <w:sz w:val="20"/>
          <w:szCs w:val="20"/>
          <w:color w:val="auto"/>
        </w:rPr>
      </w:pPr>
      <w:r>
        <w:rPr>
          <w:rFonts w:ascii="Arial" w:cs="Arial" w:eastAsia="Arial" w:hAnsi="Arial"/>
          <w:sz w:val="17"/>
          <w:szCs w:val="17"/>
          <w:color w:val="auto"/>
        </w:rPr>
        <w:t>A reconciliation of the changes in our allowance for doubtful accounts balances for the years ended December 29, 2018 and December 30, 2017 are as follows (in thousands):</w:t>
      </w:r>
    </w:p>
    <w:p>
      <w:pPr>
        <w:spacing w:after="0" w:line="257" w:lineRule="exact"/>
        <w:rPr>
          <w:sz w:val="20"/>
          <w:szCs w:val="20"/>
          <w:color w:val="auto"/>
        </w:rPr>
      </w:pPr>
    </w:p>
    <w:tbl>
      <w:tblPr>
        <w:tblLayout w:type="fixed"/>
        <w:tblInd w:w="1160" w:type="dxa"/>
        <w:tblCellMar>
          <w:top w:w="0" w:type="dxa"/>
          <w:left w:w="0" w:type="dxa"/>
          <w:bottom w:w="0" w:type="dxa"/>
          <w:right w:w="0" w:type="dxa"/>
        </w:tblCellMar>
      </w:tblPr>
      <w:tr>
        <w:trPr>
          <w:trHeight w:val="178"/>
        </w:trPr>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Balance at</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w:t>
            </w:r>
          </w:p>
        </w:tc>
      </w:tr>
      <w:tr>
        <w:trPr>
          <w:trHeight w:val="208"/>
        </w:trPr>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Beginning of</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at End of</w:t>
            </w:r>
          </w:p>
        </w:tc>
      </w:tr>
      <w:tr>
        <w:trPr>
          <w:trHeight w:val="164"/>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period</w:t>
            </w:r>
          </w:p>
        </w:tc>
        <w:tc>
          <w:tcPr>
            <w:tcW w:w="24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Additions</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The period</w:t>
            </w:r>
          </w:p>
        </w:tc>
        <w:tc>
          <w:tcPr>
            <w:tcW w:w="100" w:type="dxa"/>
            <w:vAlign w:val="bottom"/>
            <w:tcBorders>
              <w:bottom w:val="single" w:sz="8" w:color="CFF0FC"/>
            </w:tcBorders>
          </w:tcPr>
          <w:p>
            <w:pPr>
              <w:spacing w:after="0"/>
              <w:rPr>
                <w:sz w:val="14"/>
                <w:szCs w:val="14"/>
                <w:color w:val="auto"/>
              </w:rPr>
            </w:pPr>
          </w:p>
        </w:tc>
      </w:tr>
      <w:tr>
        <w:trPr>
          <w:trHeight w:val="212"/>
        </w:trPr>
        <w:tc>
          <w:tcPr>
            <w:tcW w:w="3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Allowance for doubtful accounts Years ended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8"/>
        </w:trPr>
        <w:tc>
          <w:tcPr>
            <w:tcW w:w="3540" w:type="dxa"/>
            <w:vAlign w:val="bottom"/>
            <w:gridSpan w:val="2"/>
          </w:tcPr>
          <w:p>
            <w:pPr>
              <w:spacing w:after="0"/>
              <w:rPr>
                <w:sz w:val="20"/>
                <w:szCs w:val="20"/>
                <w:color w:val="auto"/>
              </w:rPr>
            </w:pPr>
            <w:r>
              <w:rPr>
                <w:rFonts w:ascii="Arial" w:cs="Arial" w:eastAsia="Arial" w:hAnsi="Arial"/>
                <w:sz w:val="17"/>
                <w:szCs w:val="17"/>
                <w:color w:val="auto"/>
              </w:rPr>
              <w:t>December 29, 2018</w:t>
            </w:r>
          </w:p>
        </w:tc>
        <w:tc>
          <w:tcPr>
            <w:tcW w:w="1180" w:type="dxa"/>
            <w:vAlign w:val="bottom"/>
          </w:tcPr>
          <w:p>
            <w:pPr>
              <w:jc w:val="right"/>
              <w:spacing w:after="0"/>
              <w:rPr>
                <w:sz w:val="20"/>
                <w:szCs w:val="20"/>
                <w:color w:val="auto"/>
              </w:rPr>
            </w:pPr>
            <w:r>
              <w:rPr>
                <w:rFonts w:ascii="Arial" w:cs="Arial" w:eastAsia="Arial" w:hAnsi="Arial"/>
                <w:sz w:val="17"/>
                <w:szCs w:val="17"/>
                <w:color w:val="auto"/>
              </w:rPr>
              <w:t>226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(44)</w:t>
            </w:r>
          </w:p>
        </w:tc>
        <w:tc>
          <w:tcPr>
            <w:tcW w:w="120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8"/>
                <w:szCs w:val="18"/>
                <w:color w:val="auto"/>
              </w:rPr>
            </w:pPr>
          </w:p>
        </w:tc>
      </w:tr>
      <w:tr>
        <w:trPr>
          <w:trHeight w:val="220"/>
        </w:trPr>
        <w:tc>
          <w:tcPr>
            <w:tcW w:w="3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December 30, 2017</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(28)</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FF0FC"/>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Inventories.</w:t>
      </w:r>
    </w:p>
    <w:p>
      <w:pPr>
        <w:spacing w:after="0" w:line="114" w:lineRule="exact"/>
        <w:rPr>
          <w:sz w:val="20"/>
          <w:szCs w:val="20"/>
          <w:color w:val="auto"/>
        </w:rPr>
      </w:pPr>
    </w:p>
    <w:p>
      <w:pPr>
        <w:ind w:right="60" w:firstLine="555"/>
        <w:spacing w:after="0" w:line="297" w:lineRule="auto"/>
        <w:rPr>
          <w:sz w:val="20"/>
          <w:szCs w:val="20"/>
          <w:color w:val="auto"/>
        </w:rPr>
      </w:pPr>
      <w:r>
        <w:rPr>
          <w:rFonts w:ascii="Arial" w:cs="Arial" w:eastAsia="Arial" w:hAnsi="Arial"/>
          <w:sz w:val="15"/>
          <w:szCs w:val="15"/>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53" w:lineRule="exact"/>
        <w:rPr>
          <w:sz w:val="20"/>
          <w:szCs w:val="20"/>
          <w:color w:val="auto"/>
        </w:rPr>
      </w:pPr>
    </w:p>
    <w:p>
      <w:pPr>
        <w:ind w:right="40" w:firstLine="555"/>
        <w:spacing w:after="0" w:line="258" w:lineRule="auto"/>
        <w:rPr>
          <w:sz w:val="20"/>
          <w:szCs w:val="20"/>
          <w:color w:val="auto"/>
        </w:rPr>
      </w:pPr>
      <w:r>
        <w:rPr>
          <w:rFonts w:ascii="Arial" w:cs="Arial" w:eastAsia="Arial" w:hAnsi="Arial"/>
          <w:sz w:val="17"/>
          <w:szCs w:val="17"/>
          <w:color w:val="auto"/>
        </w:rPr>
        <w:t>As part of our normal business, we generally utilize various finished goods inventory as either sales demos to facilitate the sale of our products to prospective customers, or as loaners that we allow our existing customers to use while we repair their products. We are amortizing these demos and loaners over an estimated useful life of four years. The amortization of the demos is charged to sales and marketing expense while the amortization on the loaners is charged to cost of revenues. The gross value of demos and loaners was $3.1 million and $2.4 million, and the accumulated amortization was $1.4 million and $0.9 million as of December 29, 2018 and December 30, 2017, respectively. The net book value of demos and loaners is charged to cost of revenues when such demos or loaners are sold.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w:t>
      </w:r>
    </w:p>
    <w:p>
      <w:pPr>
        <w:spacing w:after="0" w:line="114"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and amortization are calculated on a straight–line basis over the estimated useful lives of the assets, which is generally three years. Leasehold improvements are amortized over the lesser of their estimated useful lives or the lease term. Repairs and maintenance costs are expensed as incurred.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Valuation of Goodwill and Intangible Assets.</w:t>
      </w:r>
    </w:p>
    <w:p>
      <w:pPr>
        <w:spacing w:after="0" w:line="114" w:lineRule="exact"/>
        <w:rPr>
          <w:sz w:val="20"/>
          <w:szCs w:val="20"/>
          <w:color w:val="auto"/>
        </w:rPr>
      </w:pPr>
    </w:p>
    <w:p>
      <w:pPr>
        <w:ind w:right="60" w:firstLine="555"/>
        <w:spacing w:after="0" w:line="273"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2018 and determined that its goodwill was not impaired. As of December 29, 2018, we had not identified any factors that indicated there was an impairment of our goodwill and determined that no additional impairment analysis was then required.</w:t>
      </w:r>
    </w:p>
    <w:p>
      <w:pPr>
        <w:spacing w:after="0" w:line="70" w:lineRule="exact"/>
        <w:rPr>
          <w:sz w:val="20"/>
          <w:szCs w:val="20"/>
          <w:color w:val="auto"/>
        </w:rPr>
      </w:pPr>
    </w:p>
    <w:p>
      <w:pPr>
        <w:ind w:right="200" w:firstLine="555"/>
        <w:spacing w:after="0" w:line="259" w:lineRule="auto"/>
        <w:rPr>
          <w:sz w:val="20"/>
          <w:szCs w:val="20"/>
          <w:color w:val="auto"/>
        </w:rPr>
      </w:pPr>
      <w:r>
        <w:rPr>
          <w:rFonts w:ascii="Arial" w:cs="Arial" w:eastAsia="Arial" w:hAnsi="Arial"/>
          <w:sz w:val="17"/>
          <w:szCs w:val="17"/>
          <w:color w:val="auto"/>
        </w:rPr>
        <w:t>Intangible assets with definite lives are amortized over the useful life of the asset. We review our amortizing intangible assets for impairment whenever events or changes in circumstances indicate that their carrying value may not be recoverable. An asset is considered impaired if its carrying amount exceeds the future non-discounted net cash flow the asset is expected to generate. If an asset is considered to be impaired, the impairment to be recognized is measured by the amount by which the carrying amount of the asset exceeds its fair value. In such circumstances, we conduct an impairment analysis in accordance with Accounting Standard Codification (“ASC”) 350, “Intangibles – Goodwill and Other” (“ASC 350”).</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Revenue Recognition.</w:t>
      </w:r>
    </w:p>
    <w:p>
      <w:pPr>
        <w:spacing w:after="0" w:line="114" w:lineRule="exact"/>
        <w:rPr>
          <w:sz w:val="20"/>
          <w:szCs w:val="20"/>
          <w:color w:val="auto"/>
        </w:rPr>
      </w:pPr>
    </w:p>
    <w:p>
      <w:pPr>
        <w:ind w:right="60" w:firstLine="555"/>
        <w:spacing w:after="0" w:line="266" w:lineRule="auto"/>
        <w:rPr>
          <w:sz w:val="20"/>
          <w:szCs w:val="20"/>
          <w:color w:val="auto"/>
        </w:rPr>
      </w:pPr>
      <w:r>
        <w:rPr>
          <w:rFonts w:ascii="Arial" w:cs="Arial" w:eastAsia="Arial" w:hAnsi="Arial"/>
          <w:sz w:val="17"/>
          <w:szCs w:val="17"/>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72" w:lineRule="exact"/>
        <w:rPr>
          <w:sz w:val="20"/>
          <w:szCs w:val="20"/>
          <w:color w:val="auto"/>
        </w:rPr>
      </w:pPr>
    </w:p>
    <w:p>
      <w:pPr>
        <w:ind w:right="540" w:firstLine="555"/>
        <w:spacing w:after="0" w:line="279" w:lineRule="auto"/>
        <w:rPr>
          <w:sz w:val="20"/>
          <w:szCs w:val="20"/>
          <w:color w:val="auto"/>
        </w:rPr>
      </w:pPr>
      <w:r>
        <w:rPr>
          <w:rFonts w:ascii="Arial" w:cs="Arial" w:eastAsia="Arial" w:hAnsi="Arial"/>
          <w:sz w:val="17"/>
          <w:szCs w:val="17"/>
          <w:color w:val="auto"/>
        </w:rPr>
        <w:t>The Company has the following revenue transaction types: (1) Product Sale Only, (2) VIP/LAP Programs, (3) Extended Warranty, (4) System Repairs (outside of warranty) and (5) Royalty Revenue.</w:t>
      </w:r>
    </w:p>
    <w:p>
      <w:pPr>
        <w:spacing w:after="0" w:line="61" w:lineRule="exact"/>
        <w:rPr>
          <w:sz w:val="20"/>
          <w:szCs w:val="20"/>
          <w:color w:val="auto"/>
        </w:rPr>
      </w:pPr>
    </w:p>
    <w:p>
      <w:pPr>
        <w:ind w:left="1120" w:right="20" w:hanging="563"/>
        <w:spacing w:after="0" w:line="307" w:lineRule="auto"/>
        <w:tabs>
          <w:tab w:leader="none" w:pos="11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the Company utilizes independent, third-party distributors to market and sell the Company’s products. There is no continuing obligation subsequent to the shipment to the distributors.</w:t>
      </w:r>
    </w:p>
    <w:p>
      <w:pPr>
        <w:spacing w:after="0" w:line="45" w:lineRule="exact"/>
        <w:rPr>
          <w:rFonts w:ascii="Arial" w:cs="Arial" w:eastAsia="Arial" w:hAnsi="Arial"/>
          <w:sz w:val="15"/>
          <w:szCs w:val="15"/>
          <w:color w:val="auto"/>
        </w:rPr>
      </w:pPr>
    </w:p>
    <w:p>
      <w:pPr>
        <w:ind w:left="1120" w:right="160"/>
        <w:spacing w:after="0" w:line="258" w:lineRule="auto"/>
        <w:rPr>
          <w:rFonts w:ascii="Arial" w:cs="Arial" w:eastAsia="Arial" w:hAnsi="Arial"/>
          <w:sz w:val="15"/>
          <w:szCs w:val="15"/>
          <w:color w:val="auto"/>
        </w:rPr>
      </w:pPr>
      <w:r>
        <w:rPr>
          <w:rFonts w:ascii="Arial" w:cs="Arial" w:eastAsia="Arial" w:hAnsi="Arial"/>
          <w:sz w:val="17"/>
          <w:szCs w:val="17"/>
          <w:color w:val="auto"/>
        </w:rPr>
        <w:t>Under the new guidance, there is no change in our revenue recognition for product-sale-only transactions, as compared to revenue recognition for these transactions under the prior revenue recognition standards. 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79" w:lineRule="exact"/>
        <w:rPr>
          <w:rFonts w:ascii="Arial" w:cs="Arial" w:eastAsia="Arial" w:hAnsi="Arial"/>
          <w:sz w:val="15"/>
          <w:szCs w:val="15"/>
          <w:color w:val="auto"/>
        </w:rPr>
      </w:pPr>
    </w:p>
    <w:p>
      <w:pPr>
        <w:ind w:left="1120" w:hanging="563"/>
        <w:spacing w:after="0" w:line="273" w:lineRule="auto"/>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VIP/LAP Programs: The Company sometimes enters into VIP or Laser Advantage Program (LAP) contracts with customers. For the VIP program, under the terms of such contracts, the customer is not charged for the system upon the initial agreement, but rather is obligated to purchase a quarterly minimum quantity of Endoprobes (classified as disposables) at a premium during the contract period, such that at the end of the contract period the system has been paid in full. The Company decided to replace its previously utilized VIP program (contract length of two years) with an LAP program (contract length of 12 months or less) beginning in fourth quarter of 2016.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72" w:lineRule="exact"/>
        <w:rPr>
          <w:rFonts w:ascii="Arial" w:cs="Arial" w:eastAsia="Arial" w:hAnsi="Arial"/>
          <w:sz w:val="16"/>
          <w:szCs w:val="16"/>
          <w:color w:val="auto"/>
        </w:rPr>
      </w:pPr>
    </w:p>
    <w:p>
      <w:pPr>
        <w:ind w:left="1120" w:right="180"/>
        <w:spacing w:after="0" w:line="259" w:lineRule="auto"/>
        <w:rPr>
          <w:rFonts w:ascii="Arial" w:cs="Arial" w:eastAsia="Arial" w:hAnsi="Arial"/>
          <w:sz w:val="16"/>
          <w:szCs w:val="16"/>
          <w:color w:val="auto"/>
        </w:rPr>
      </w:pPr>
      <w:r>
        <w:rPr>
          <w:rFonts w:ascii="Arial" w:cs="Arial" w:eastAsia="Arial" w:hAnsi="Arial"/>
          <w:sz w:val="17"/>
          <w:szCs w:val="17"/>
          <w:color w:val="auto"/>
        </w:rPr>
        <w:t>Under the new guidance, there is no change in our revenue recognition for product sales under VIP/LAP programs as compared to revenue recognition for these transactions under the prior revenue recognition standards. The Company recognizes revenue from product sales under VIP/LAP programs at a point in time. For both programs,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9" w:lineRule="exact"/>
        <w:rPr>
          <w:rFonts w:ascii="Arial" w:cs="Arial" w:eastAsia="Arial" w:hAnsi="Arial"/>
          <w:sz w:val="16"/>
          <w:szCs w:val="16"/>
          <w:color w:val="auto"/>
        </w:rPr>
      </w:pPr>
    </w:p>
    <w:p>
      <w:pPr>
        <w:ind w:left="1120" w:right="20" w:hanging="563"/>
        <w:spacing w:after="0" w:line="262" w:lineRule="auto"/>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Extended Warranty: The Company offers a standard 2-year warranty on all system sales (5 years on the laser heads for its IQ 532/577 laser consoles). The Company also offers an extended warranty which is sold to customers in incremental, one-year warranty periods which begin subsequent to the expiration of the standard 2-year warranty. The customer can opt to purchase the extended warranty at the time of the system sale or after the initial system sale.</w:t>
      </w:r>
    </w:p>
    <w:p>
      <w:pPr>
        <w:spacing w:after="0" w:line="74" w:lineRule="exact"/>
        <w:rPr>
          <w:rFonts w:ascii="Arial" w:cs="Arial" w:eastAsia="Arial" w:hAnsi="Arial"/>
          <w:sz w:val="17"/>
          <w:szCs w:val="17"/>
          <w:color w:val="auto"/>
        </w:rPr>
      </w:pPr>
    </w:p>
    <w:p>
      <w:pPr>
        <w:ind w:left="1120" w:right="420"/>
        <w:spacing w:after="0" w:line="290" w:lineRule="auto"/>
        <w:rPr>
          <w:rFonts w:ascii="Arial" w:cs="Arial" w:eastAsia="Arial" w:hAnsi="Arial"/>
          <w:sz w:val="17"/>
          <w:szCs w:val="17"/>
          <w:color w:val="auto"/>
        </w:rPr>
      </w:pPr>
      <w:r>
        <w:rPr>
          <w:rFonts w:ascii="Arial" w:cs="Arial" w:eastAsia="Arial" w:hAnsi="Arial"/>
          <w:sz w:val="16"/>
          <w:szCs w:val="16"/>
          <w:color w:val="auto"/>
        </w:rPr>
        <w:t>Under the new guidance, there is no change in our revenue recognition for extended warranty as compared to revenue recognition for these transactions under the prior revenue recognition standards. The Company recognizes revenue from extended warranty ratably over the warranty period. Revenue recognition for the sale of an extended warranty is largely dependent on the timing of the sale as follows:</w:t>
      </w:r>
    </w:p>
    <w:p>
      <w:pPr>
        <w:spacing w:after="0" w:line="55" w:lineRule="exact"/>
        <w:rPr>
          <w:sz w:val="20"/>
          <w:szCs w:val="20"/>
          <w:color w:val="auto"/>
        </w:rPr>
      </w:pPr>
    </w:p>
    <w:p>
      <w:pPr>
        <w:ind w:left="1120" w:right="200" w:hanging="563"/>
        <w:spacing w:after="0" w:line="290"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47" w:name="page48"/>
    <w:bookmarkEnd w:id="47"/>
    <w:p>
      <w:pPr>
        <w:ind w:left="1120" w:right="80" w:hanging="563"/>
        <w:spacing w:after="0" w:line="257"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sixty days after the initial sale, the sale of the extended warranty is deemed a separate contract and is deferred at the selling price and recognized ratably over the extended warranty period as the performance obligation is satisfied.</w:t>
      </w:r>
    </w:p>
    <w:p>
      <w:pPr>
        <w:spacing w:after="0" w:line="82" w:lineRule="exact"/>
        <w:rPr>
          <w:sz w:val="20"/>
          <w:szCs w:val="20"/>
          <w:color w:val="auto"/>
        </w:rPr>
      </w:pPr>
    </w:p>
    <w:p>
      <w:pPr>
        <w:ind w:left="1120" w:right="500" w:hanging="563"/>
        <w:spacing w:after="0" w:line="279"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System Repairs (outside of warranty): Customers will sometime request repairs from the Company subsequent to the expiration of the standard warranty and outside of an extended warranty contract.</w:t>
      </w:r>
    </w:p>
    <w:p>
      <w:pPr>
        <w:spacing w:after="0" w:line="61" w:lineRule="exact"/>
        <w:rPr>
          <w:rFonts w:ascii="Arial" w:cs="Arial" w:eastAsia="Arial" w:hAnsi="Arial"/>
          <w:sz w:val="17"/>
          <w:szCs w:val="17"/>
          <w:color w:val="auto"/>
        </w:rPr>
      </w:pPr>
    </w:p>
    <w:p>
      <w:pPr>
        <w:ind w:left="1120" w:right="160"/>
        <w:spacing w:after="0" w:line="259" w:lineRule="auto"/>
        <w:rPr>
          <w:rFonts w:ascii="Arial" w:cs="Arial" w:eastAsia="Arial" w:hAnsi="Arial"/>
          <w:sz w:val="17"/>
          <w:szCs w:val="17"/>
          <w:color w:val="auto"/>
        </w:rPr>
      </w:pPr>
      <w:r>
        <w:rPr>
          <w:rFonts w:ascii="Arial" w:cs="Arial" w:eastAsia="Arial" w:hAnsi="Arial"/>
          <w:sz w:val="17"/>
          <w:szCs w:val="17"/>
          <w:color w:val="auto"/>
        </w:rPr>
        <w:t>Under the new guidance, there is no change in our revenue recognition for system repairs (outside warranty) as compared to revenue recognition for these transactions under the prior revenue recognition standards. The Company recognizes revenue from system repairs (outside of warranty) at a point in time. When the customer requests repairs from the Company subsequent to the expiration of the standard warranty and outside of an extended warranty contracts, these repair contracts are considered separate from the initial sale, and as such, revenue is recognized as the repair services are rendered and the performance obligation satisfied.</w:t>
      </w:r>
    </w:p>
    <w:p>
      <w:pPr>
        <w:spacing w:after="0" w:line="79" w:lineRule="exact"/>
        <w:rPr>
          <w:rFonts w:ascii="Arial" w:cs="Arial" w:eastAsia="Arial" w:hAnsi="Arial"/>
          <w:sz w:val="17"/>
          <w:szCs w:val="17"/>
          <w:color w:val="auto"/>
        </w:rPr>
      </w:pPr>
    </w:p>
    <w:p>
      <w:pPr>
        <w:ind w:left="1120" w:right="380" w:hanging="563"/>
        <w:spacing w:after="0" w:line="279"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Royalty Revenue: The Company has royalty agreements with two customers related to the sale of the Company’s intellectual property. Under the terms of these agreements, the customer is to remit a percentage of sales to the Company.</w:t>
      </w:r>
    </w:p>
    <w:p>
      <w:pPr>
        <w:spacing w:after="0" w:line="61" w:lineRule="exact"/>
        <w:rPr>
          <w:rFonts w:ascii="Arial" w:cs="Arial" w:eastAsia="Arial" w:hAnsi="Arial"/>
          <w:sz w:val="17"/>
          <w:szCs w:val="17"/>
          <w:color w:val="auto"/>
        </w:rPr>
      </w:pPr>
    </w:p>
    <w:p>
      <w:pPr>
        <w:ind w:left="1120" w:right="40"/>
        <w:spacing w:after="0" w:line="259" w:lineRule="auto"/>
        <w:rPr>
          <w:rFonts w:ascii="Arial" w:cs="Arial" w:eastAsia="Arial" w:hAnsi="Arial"/>
          <w:sz w:val="17"/>
          <w:szCs w:val="17"/>
          <w:color w:val="auto"/>
        </w:rPr>
      </w:pPr>
      <w:r>
        <w:rPr>
          <w:rFonts w:ascii="Arial" w:cs="Arial" w:eastAsia="Arial" w:hAnsi="Arial"/>
          <w:sz w:val="17"/>
          <w:szCs w:val="17"/>
          <w:color w:val="auto"/>
        </w:rPr>
        <w:t>Under the new guidance, 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80" w:lineRule="exact"/>
        <w:rPr>
          <w:sz w:val="20"/>
          <w:szCs w:val="20"/>
          <w:color w:val="auto"/>
        </w:rPr>
      </w:pPr>
    </w:p>
    <w:p>
      <w:pPr>
        <w:ind w:right="100" w:firstLine="555"/>
        <w:spacing w:after="0" w:line="290" w:lineRule="auto"/>
        <w:rPr>
          <w:sz w:val="20"/>
          <w:szCs w:val="20"/>
          <w:color w:val="auto"/>
        </w:rPr>
      </w:pPr>
      <w:r>
        <w:rPr>
          <w:rFonts w:ascii="Arial" w:cs="Arial" w:eastAsia="Arial" w:hAnsi="Arial"/>
          <w:sz w:val="16"/>
          <w:szCs w:val="16"/>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 There is no change in the Company’s accounting for commissions.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Taxes Collected from Customers and Remitted to Governmental Authorities.</w:t>
      </w:r>
    </w:p>
    <w:p>
      <w:pPr>
        <w:spacing w:after="0" w:line="114" w:lineRule="exact"/>
        <w:rPr>
          <w:sz w:val="20"/>
          <w:szCs w:val="20"/>
          <w:color w:val="auto"/>
        </w:rPr>
      </w:pPr>
    </w:p>
    <w:p>
      <w:pPr>
        <w:ind w:right="520" w:firstLine="555"/>
        <w:spacing w:after="0" w:line="279" w:lineRule="auto"/>
        <w:rPr>
          <w:sz w:val="20"/>
          <w:szCs w:val="20"/>
          <w:color w:val="auto"/>
        </w:rPr>
      </w:pPr>
      <w:r>
        <w:rPr>
          <w:rFonts w:ascii="Arial" w:cs="Arial" w:eastAsia="Arial" w:hAnsi="Arial"/>
          <w:sz w:val="17"/>
          <w:szCs w:val="17"/>
          <w:color w:val="auto"/>
        </w:rPr>
        <w:t>Taxes collected from customers and remitted to governmental authorities are recognized on a net basis in the accompanying consolidated statements of operations as well as accrued expenses to the degree which is appropriate.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w:t>
      </w:r>
    </w:p>
    <w:p>
      <w:pPr>
        <w:spacing w:after="0" w:line="114" w:lineRule="exact"/>
        <w:rPr>
          <w:sz w:val="20"/>
          <w:szCs w:val="20"/>
          <w:color w:val="auto"/>
        </w:rPr>
      </w:pPr>
    </w:p>
    <w:p>
      <w:pPr>
        <w:jc w:val="both"/>
        <w:ind w:right="400" w:firstLine="555"/>
        <w:spacing w:after="0" w:line="266" w:lineRule="auto"/>
        <w:rPr>
          <w:sz w:val="20"/>
          <w:szCs w:val="20"/>
          <w:color w:val="auto"/>
        </w:rPr>
      </w:pPr>
      <w:r>
        <w:rPr>
          <w:rFonts w:ascii="Arial" w:cs="Arial" w:eastAsia="Arial" w:hAnsi="Arial"/>
          <w:sz w:val="17"/>
          <w:szCs w:val="17"/>
          <w:color w:val="auto"/>
        </w:rPr>
        <w:t>Deferred revenue represents contract liabilities. Revenue related to extended service contracts is deferred and recognized on a straight-line basis over the period of the applicable service period. Costs associated with these service arrangements are recognized as incurred. Approximately $1.6 million of the deferred revenue balance is expected to be recognized over the next 12 months.</w:t>
      </w:r>
    </w:p>
    <w:p>
      <w:pPr>
        <w:spacing w:after="0" w:line="72" w:lineRule="exact"/>
        <w:rPr>
          <w:sz w:val="20"/>
          <w:szCs w:val="20"/>
          <w:color w:val="auto"/>
        </w:rPr>
      </w:pPr>
    </w:p>
    <w:p>
      <w:pPr>
        <w:ind w:right="800" w:firstLine="555"/>
        <w:spacing w:after="0" w:line="279" w:lineRule="auto"/>
        <w:rPr>
          <w:sz w:val="20"/>
          <w:szCs w:val="20"/>
          <w:color w:val="auto"/>
        </w:rPr>
      </w:pPr>
      <w:r>
        <w:rPr>
          <w:rFonts w:ascii="Arial" w:cs="Arial" w:eastAsia="Arial" w:hAnsi="Arial"/>
          <w:sz w:val="17"/>
          <w:szCs w:val="17"/>
          <w:color w:val="auto"/>
        </w:rPr>
        <w:t>A reconciliation of the changes in our deferred revenue balances for the years ended December 29, 2018 and December 30, 2017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FY 2016: Balance as of December 31, 2016</w:t>
            </w:r>
          </w:p>
        </w:tc>
        <w:tc>
          <w:tcPr>
            <w:tcW w:w="4580" w:type="dxa"/>
            <w:vAlign w:val="bottom"/>
            <w:gridSpan w:val="2"/>
            <w:shd w:val="clear" w:color="auto" w:fill="CFF0FC"/>
          </w:tcPr>
          <w:p>
            <w:pPr>
              <w:jc w:val="right"/>
              <w:ind w:right="10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1,383</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20" w:type="dxa"/>
            <w:vAlign w:val="bottom"/>
            <w:gridSpan w:val="2"/>
          </w:tcPr>
          <w:p>
            <w:pPr>
              <w:ind w:left="580"/>
              <w:spacing w:after="0"/>
              <w:rPr>
                <w:sz w:val="20"/>
                <w:szCs w:val="20"/>
                <w:color w:val="auto"/>
              </w:rPr>
            </w:pPr>
            <w:r>
              <w:rPr>
                <w:rFonts w:ascii="Arial" w:cs="Arial" w:eastAsia="Arial" w:hAnsi="Arial"/>
                <w:sz w:val="17"/>
                <w:szCs w:val="17"/>
                <w:color w:val="auto"/>
              </w:rPr>
              <w:t>Additions to deferral</w:t>
            </w:r>
          </w:p>
        </w:tc>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2,451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Revenue recognized</w:t>
            </w:r>
          </w:p>
        </w:tc>
        <w:tc>
          <w:tcPr>
            <w:tcW w:w="3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(1,314)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20" w:type="dxa"/>
            <w:vAlign w:val="bottom"/>
            <w:gridSpan w:val="2"/>
          </w:tcPr>
          <w:p>
            <w:pPr>
              <w:ind w:left="580"/>
              <w:spacing w:after="0"/>
              <w:rPr>
                <w:sz w:val="20"/>
                <w:szCs w:val="20"/>
                <w:color w:val="auto"/>
              </w:rPr>
            </w:pPr>
            <w:r>
              <w:rPr>
                <w:rFonts w:ascii="Arial" w:cs="Arial" w:eastAsia="Arial" w:hAnsi="Arial"/>
                <w:sz w:val="17"/>
                <w:szCs w:val="17"/>
                <w:color w:val="auto"/>
              </w:rPr>
              <w:t>FY 2017: Balance as of December 30, 2017</w:t>
            </w:r>
          </w:p>
        </w:tc>
        <w:tc>
          <w:tcPr>
            <w:tcW w:w="34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2,520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Additions to deferral</w:t>
            </w:r>
          </w:p>
        </w:tc>
        <w:tc>
          <w:tcPr>
            <w:tcW w:w="3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1,984</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20" w:type="dxa"/>
            <w:vAlign w:val="bottom"/>
            <w:gridSpan w:val="2"/>
          </w:tcPr>
          <w:p>
            <w:pPr>
              <w:ind w:left="580"/>
              <w:spacing w:after="0"/>
              <w:rPr>
                <w:sz w:val="20"/>
                <w:szCs w:val="20"/>
                <w:color w:val="auto"/>
              </w:rPr>
            </w:pPr>
            <w:r>
              <w:rPr>
                <w:rFonts w:ascii="Arial" w:cs="Arial" w:eastAsia="Arial" w:hAnsi="Arial"/>
                <w:sz w:val="17"/>
                <w:szCs w:val="17"/>
                <w:color w:val="auto"/>
              </w:rPr>
              <w:t>Revenue recognized</w:t>
            </w:r>
          </w:p>
        </w:tc>
        <w:tc>
          <w:tcPr>
            <w:tcW w:w="3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(2,279)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FY 2018: Balance as of December 29, 2018</w:t>
            </w:r>
          </w:p>
        </w:tc>
        <w:tc>
          <w:tcPr>
            <w:tcW w:w="34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0" w:type="dxa"/>
            <w:vAlign w:val="bottom"/>
          </w:tcPr>
          <w:p>
            <w:pPr>
              <w:spacing w:after="0"/>
              <w:rPr>
                <w:sz w:val="18"/>
                <w:szCs w:val="18"/>
                <w:color w:val="auto"/>
              </w:rPr>
            </w:pPr>
          </w:p>
        </w:tc>
        <w:tc>
          <w:tcPr>
            <w:tcW w:w="4040" w:type="dxa"/>
            <w:vAlign w:val="bottom"/>
            <w:vMerge w:val="continue"/>
            <w:shd w:val="clear" w:color="auto" w:fill="CFF0FC"/>
          </w:tcPr>
          <w:p>
            <w:pPr>
              <w:spacing w:after="0"/>
              <w:rPr>
                <w:sz w:val="18"/>
                <w:szCs w:val="18"/>
                <w:color w:val="auto"/>
              </w:rPr>
            </w:pPr>
          </w:p>
        </w:tc>
        <w:tc>
          <w:tcPr>
            <w:tcW w:w="4580" w:type="dxa"/>
            <w:vAlign w:val="bottom"/>
            <w:gridSpan w:val="2"/>
            <w:shd w:val="clear" w:color="auto" w:fill="CFF0FC"/>
          </w:tcPr>
          <w:p>
            <w:pPr>
              <w:jc w:val="right"/>
              <w:ind w:right="10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2,225</w:t>
            </w:r>
          </w:p>
        </w:tc>
        <w:tc>
          <w:tcPr>
            <w:tcW w:w="10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Borders>
              <w:top w:val="single" w:sz="8" w:color="CFF0FC"/>
            </w:tcBorders>
          </w:tcPr>
          <w:p>
            <w:pPr>
              <w:spacing w:after="0" w:line="20" w:lineRule="exact"/>
              <w:rPr>
                <w:sz w:val="1"/>
                <w:szCs w:val="1"/>
                <w:color w:val="auto"/>
              </w:rPr>
            </w:pPr>
          </w:p>
        </w:tc>
        <w:tc>
          <w:tcPr>
            <w:tcW w:w="3420" w:type="dxa"/>
            <w:vAlign w:val="bottom"/>
            <w:tcBorders>
              <w:top w:val="single" w:sz="8" w:color="CFF0FC"/>
              <w:bottom w:val="single" w:sz="8" w:color="CFF0FC"/>
            </w:tcBorders>
            <w:vMerge w:val="restart"/>
          </w:tcPr>
          <w:p>
            <w:pPr>
              <w:jc w:val="right"/>
              <w:ind w:right="2154"/>
              <w:spacing w:after="0"/>
              <w:rPr>
                <w:sz w:val="20"/>
                <w:szCs w:val="20"/>
                <w:color w:val="auto"/>
              </w:rPr>
            </w:pPr>
            <w:r>
              <w:rPr>
                <w:rFonts w:ascii="Arial" w:cs="Arial" w:eastAsia="Arial" w:hAnsi="Arial"/>
                <w:sz w:val="17"/>
                <w:szCs w:val="17"/>
                <w:color w:val="auto"/>
              </w:rPr>
              <w:t>48</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Warranty.</w:t>
      </w:r>
    </w:p>
    <w:p>
      <w:pPr>
        <w:spacing w:after="0" w:line="114" w:lineRule="exact"/>
        <w:rPr>
          <w:sz w:val="20"/>
          <w:szCs w:val="20"/>
          <w:color w:val="auto"/>
        </w:rPr>
      </w:pPr>
    </w:p>
    <w:p>
      <w:pPr>
        <w:ind w:right="40" w:firstLine="555"/>
        <w:spacing w:after="0" w:line="257" w:lineRule="auto"/>
        <w:rPr>
          <w:sz w:val="20"/>
          <w:szCs w:val="20"/>
          <w:color w:val="auto"/>
        </w:rPr>
      </w:pPr>
      <w:r>
        <w:rPr>
          <w:rFonts w:ascii="Arial" w:cs="Arial" w:eastAsia="Arial" w:hAnsi="Arial"/>
          <w:sz w:val="17"/>
          <w:szCs w:val="17"/>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In March 2017, the Company began offering a 5 year warranty on the laser heads for its IQ 532/577 laser consoles. Actual warranty costs incurred have not materially differed from those accrued. The Company’s warranty policy is applicable to products which are considered defective in their performance or fail to meet the product specifications. Additionally, from time to time, specific warranty accruals may be made if unforeseen technical problems arise. If estimates are determined to be greater than the actual amounts necessary, we may reverse a portion of such provisions in future periods. Warranty costs are reflected in the consolidated statements of operations as costs of revenues.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 reconciliation of the changes in our warranty liability for the years ended December 29, 2018 and December 30, 2017 are as follows (in thousands):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219"/>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FY 2016: Balance as of December 31, 2016</w:t>
            </w:r>
          </w:p>
        </w:tc>
        <w:tc>
          <w:tcPr>
            <w:tcW w:w="3400" w:type="dxa"/>
            <w:vAlign w:val="bottom"/>
            <w:gridSpan w:val="2"/>
            <w:shd w:val="clear" w:color="auto" w:fill="CFF0FC"/>
          </w:tcPr>
          <w:p>
            <w:pPr>
              <w:jc w:val="right"/>
              <w:ind w:right="1065"/>
              <w:spacing w:after="0"/>
              <w:rPr>
                <w:sz w:val="20"/>
                <w:szCs w:val="20"/>
                <w:color w:val="auto"/>
              </w:rPr>
            </w:pPr>
            <w:r>
              <w:rPr>
                <w:rFonts w:ascii="Arial" w:cs="Arial" w:eastAsia="Arial" w:hAnsi="Arial"/>
                <w:sz w:val="17"/>
                <w:szCs w:val="17"/>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w:t>
            </w:r>
          </w:p>
        </w:tc>
        <w:tc>
          <w:tcPr>
            <w:tcW w:w="100" w:type="dxa"/>
            <w:vAlign w:val="bottom"/>
            <w:shd w:val="clear" w:color="auto" w:fill="CFF0FC"/>
          </w:tcPr>
          <w:p>
            <w:pPr>
              <w:spacing w:after="0"/>
              <w:rPr>
                <w:sz w:val="19"/>
                <w:szCs w:val="19"/>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7"/>
                <w:szCs w:val="17"/>
                <w:color w:val="auto"/>
              </w:rPr>
              <w:t>Accruals for product warranties</w:t>
            </w:r>
          </w:p>
        </w:tc>
        <w:tc>
          <w:tcPr>
            <w:tcW w:w="2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1,476</w:t>
            </w:r>
          </w:p>
        </w:tc>
        <w:tc>
          <w:tcPr>
            <w:tcW w:w="100" w:type="dxa"/>
            <w:vAlign w:val="bottom"/>
          </w:tcPr>
          <w:p>
            <w:pPr>
              <w:spacing w:after="0"/>
              <w:rPr>
                <w:sz w:val="18"/>
                <w:szCs w:val="18"/>
                <w:color w:val="auto"/>
              </w:rPr>
            </w:pP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Cost of warranty claims</w:t>
            </w:r>
          </w:p>
        </w:tc>
        <w:tc>
          <w:tcPr>
            <w:tcW w:w="2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(344)</w:t>
            </w:r>
          </w:p>
        </w:tc>
      </w:tr>
      <w:tr>
        <w:trPr>
          <w:trHeight w:val="211"/>
        </w:trPr>
        <w:tc>
          <w:tcPr>
            <w:tcW w:w="5200" w:type="dxa"/>
            <w:vAlign w:val="bottom"/>
          </w:tcPr>
          <w:p>
            <w:pPr>
              <w:spacing w:after="0"/>
              <w:rPr>
                <w:sz w:val="20"/>
                <w:szCs w:val="20"/>
                <w:color w:val="auto"/>
              </w:rPr>
            </w:pPr>
            <w:r>
              <w:rPr>
                <w:rFonts w:ascii="Arial" w:cs="Arial" w:eastAsia="Arial" w:hAnsi="Arial"/>
                <w:sz w:val="17"/>
                <w:szCs w:val="17"/>
                <w:color w:val="auto"/>
              </w:rPr>
              <w:t>FY 2017: Balance as of December 30, 2017</w:t>
            </w:r>
          </w:p>
        </w:tc>
        <w:tc>
          <w:tcPr>
            <w:tcW w:w="21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1,735</w:t>
            </w:r>
          </w:p>
        </w:tc>
        <w:tc>
          <w:tcPr>
            <w:tcW w:w="100" w:type="dxa"/>
            <w:vAlign w:val="bottom"/>
          </w:tcPr>
          <w:p>
            <w:pPr>
              <w:spacing w:after="0"/>
              <w:rPr>
                <w:sz w:val="18"/>
                <w:szCs w:val="18"/>
                <w:color w:val="auto"/>
              </w:rPr>
            </w:pP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Accruals for product warranties</w:t>
            </w:r>
          </w:p>
        </w:tc>
        <w:tc>
          <w:tcPr>
            <w:tcW w:w="2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FF0FC"/>
          </w:tcPr>
          <w:p>
            <w:pPr>
              <w:spacing w:after="0"/>
              <w:rPr>
                <w:sz w:val="19"/>
                <w:szCs w:val="19"/>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7"/>
                <w:szCs w:val="17"/>
                <w:color w:val="auto"/>
              </w:rPr>
              <w:t>Cost of warranty claims</w:t>
            </w:r>
          </w:p>
        </w:tc>
        <w:tc>
          <w:tcPr>
            <w:tcW w:w="2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7"/>
                <w:szCs w:val="17"/>
                <w:color w:val="auto"/>
              </w:rPr>
              <w:t>(1,329)</w:t>
            </w:r>
          </w:p>
        </w:tc>
      </w:tr>
      <w:tr>
        <w:trPr>
          <w:trHeight w:val="212"/>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FY 2018: Balance as of December 29, 2018</w:t>
            </w:r>
          </w:p>
        </w:tc>
        <w:tc>
          <w:tcPr>
            <w:tcW w:w="218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ind w:right="10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Shipping and Handling Costs.</w:t>
      </w:r>
    </w:p>
    <w:p>
      <w:pPr>
        <w:spacing w:after="0" w:line="114" w:lineRule="exact"/>
        <w:rPr>
          <w:sz w:val="20"/>
          <w:szCs w:val="20"/>
          <w:color w:val="auto"/>
        </w:rPr>
      </w:pPr>
    </w:p>
    <w:p>
      <w:pPr>
        <w:jc w:val="both"/>
        <w:ind w:right="520" w:firstLine="555"/>
        <w:spacing w:after="0" w:line="279" w:lineRule="auto"/>
        <w:rPr>
          <w:sz w:val="20"/>
          <w:szCs w:val="20"/>
          <w:color w:val="auto"/>
        </w:rPr>
      </w:pPr>
      <w:r>
        <w:rPr>
          <w:rFonts w:ascii="Arial" w:cs="Arial" w:eastAsia="Arial" w:hAnsi="Arial"/>
          <w:sz w:val="17"/>
          <w:szCs w:val="17"/>
          <w:color w:val="auto"/>
        </w:rPr>
        <w:t>Our shipping and handling costs billed to customers are included in revenues and the associated expense is recorded in cost of revenues for all periods presented. Shipping and handling costs billed to customers amounted to $0.3 million for each of the fiscal years 2018 and 2017.</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expenditures are charged to operations as incurred.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Advertising.</w:t>
      </w:r>
    </w:p>
    <w:p>
      <w:pPr>
        <w:spacing w:after="0" w:line="114" w:lineRule="exact"/>
        <w:rPr>
          <w:sz w:val="20"/>
          <w:szCs w:val="20"/>
          <w:color w:val="auto"/>
        </w:rPr>
      </w:pPr>
    </w:p>
    <w:p>
      <w:pPr>
        <w:ind w:right="340" w:firstLine="555"/>
        <w:spacing w:after="0" w:line="279" w:lineRule="auto"/>
        <w:rPr>
          <w:sz w:val="20"/>
          <w:szCs w:val="20"/>
          <w:color w:val="auto"/>
        </w:rPr>
      </w:pPr>
      <w:r>
        <w:rPr>
          <w:rFonts w:ascii="Arial" w:cs="Arial" w:eastAsia="Arial" w:hAnsi="Arial"/>
          <w:sz w:val="17"/>
          <w:szCs w:val="17"/>
          <w:color w:val="auto"/>
        </w:rPr>
        <w:t>Advertising and promotion costs are expensed as they are incurred; such costs were approximately $0.5 million in 2018 and $0.2 million in 2017 and are included in sales and marketing expenses in the accompanying consolidated statements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Income Taxes.</w:t>
      </w:r>
    </w:p>
    <w:p>
      <w:pPr>
        <w:spacing w:after="0" w:line="114" w:lineRule="exact"/>
        <w:rPr>
          <w:sz w:val="20"/>
          <w:szCs w:val="20"/>
          <w:color w:val="auto"/>
        </w:rPr>
      </w:pPr>
    </w:p>
    <w:p>
      <w:pPr>
        <w:ind w:firstLine="555"/>
        <w:spacing w:after="0" w:line="293" w:lineRule="auto"/>
        <w:rPr>
          <w:sz w:val="20"/>
          <w:szCs w:val="20"/>
          <w:color w:val="auto"/>
        </w:rPr>
      </w:pPr>
      <w:r>
        <w:rPr>
          <w:rFonts w:ascii="Arial" w:cs="Arial" w:eastAsia="Arial" w:hAnsi="Arial"/>
          <w:sz w:val="15"/>
          <w:szCs w:val="15"/>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In 2014, we released valuation allowance against most of our deferred tax assets except that we retained a valuation allowance for certain deferred tax assets associated with our California research and development credit (“CA R&amp;D credit”). In 2018, based on the Company's recent history of losses and its forecasted losses, management believes on the more likely than not basis that a full valuation allowance is required. Accordingly, in the fourth quarter of fiscal year 2018, the Company provided a full valuation allowance on its federal and states deferred tax assets.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Accounting for Uncertainty in Income Taxes.</w:t>
      </w:r>
    </w:p>
    <w:p>
      <w:pPr>
        <w:spacing w:after="0" w:line="114" w:lineRule="exact"/>
        <w:rPr>
          <w:sz w:val="20"/>
          <w:szCs w:val="20"/>
          <w:color w:val="auto"/>
        </w:rPr>
      </w:pPr>
    </w:p>
    <w:p>
      <w:pPr>
        <w:ind w:firstLine="555"/>
        <w:spacing w:after="0" w:line="257" w:lineRule="auto"/>
        <w:rPr>
          <w:sz w:val="20"/>
          <w:szCs w:val="20"/>
          <w:color w:val="auto"/>
        </w:rPr>
      </w:pPr>
      <w:r>
        <w:rPr>
          <w:rFonts w:ascii="Arial" w:cs="Arial" w:eastAsia="Arial" w:hAnsi="Arial"/>
          <w:sz w:val="17"/>
          <w:szCs w:val="17"/>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were no accrued interest and penalties during the years ended December 29, 2018 and December 30, 2017.</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Accounting for Stock-Based Compensation.</w:t>
      </w:r>
    </w:p>
    <w:p>
      <w:pPr>
        <w:spacing w:after="0" w:line="114" w:lineRule="exact"/>
        <w:rPr>
          <w:sz w:val="20"/>
          <w:szCs w:val="20"/>
          <w:color w:val="auto"/>
        </w:rPr>
      </w:pPr>
    </w:p>
    <w:p>
      <w:pPr>
        <w:ind w:firstLine="555"/>
        <w:spacing w:after="0" w:line="262" w:lineRule="auto"/>
        <w:rPr>
          <w:sz w:val="20"/>
          <w:szCs w:val="20"/>
          <w:color w:val="auto"/>
        </w:rPr>
      </w:pPr>
      <w:r>
        <w:rPr>
          <w:rFonts w:ascii="Arial" w:cs="Arial" w:eastAsia="Arial" w:hAnsi="Arial"/>
          <w:sz w:val="17"/>
          <w:szCs w:val="17"/>
          <w:color w:val="auto"/>
        </w:rPr>
        <w:t>The Company accounts for stock-based compensation granted to employees and directors, including employees stock option awards, restricted stock and restricted stock units in accordance with ASC 718, “Compensation – Stock Compensation”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75" w:lineRule="exact"/>
        <w:rPr>
          <w:sz w:val="20"/>
          <w:szCs w:val="20"/>
          <w:color w:val="auto"/>
        </w:rPr>
      </w:pPr>
    </w:p>
    <w:p>
      <w:pPr>
        <w:ind w:firstLine="555"/>
        <w:spacing w:after="0" w:line="259" w:lineRule="auto"/>
        <w:rPr>
          <w:sz w:val="20"/>
          <w:szCs w:val="20"/>
          <w:color w:val="auto"/>
        </w:rPr>
      </w:pPr>
      <w:r>
        <w:rPr>
          <w:rFonts w:ascii="Arial" w:cs="Arial" w:eastAsia="Arial" w:hAnsi="Arial"/>
          <w:sz w:val="17"/>
          <w:szCs w:val="17"/>
          <w:color w:val="auto"/>
        </w:rPr>
        <w:t>The Company values options using the Black-Scholes option pricing model. Restricted stock and time-based restricted stock units are valued at the grant date fair value of the underlying common shares. Performance-based restricted stock units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Concentration of Credit Risk and Other Risks and Uncertainties.</w:t>
      </w:r>
    </w:p>
    <w:p>
      <w:pPr>
        <w:spacing w:after="0" w:line="114"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61" w:lineRule="exact"/>
        <w:rPr>
          <w:sz w:val="20"/>
          <w:szCs w:val="20"/>
          <w:color w:val="auto"/>
        </w:rPr>
      </w:pPr>
    </w:p>
    <w:p>
      <w:pPr>
        <w:ind w:right="80" w:firstLine="555"/>
        <w:spacing w:after="0" w:line="259" w:lineRule="auto"/>
        <w:rPr>
          <w:sz w:val="20"/>
          <w:szCs w:val="20"/>
          <w:color w:val="auto"/>
        </w:rPr>
      </w:pPr>
      <w:r>
        <w:rPr>
          <w:rFonts w:ascii="Arial" w:cs="Arial" w:eastAsia="Arial" w:hAnsi="Arial"/>
          <w:sz w:val="17"/>
          <w:szCs w:val="17"/>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years ended December 29, 2018 and December 30, 2017, no single customer accounted for greater than 10% of total revenues. As of December 29, 2018 and December 30, 2017, no customer accounted for more than 10% of accounts receivable balance.</w:t>
      </w:r>
    </w:p>
    <w:p>
      <w:pPr>
        <w:spacing w:after="0" w:line="80" w:lineRule="exact"/>
        <w:rPr>
          <w:sz w:val="20"/>
          <w:szCs w:val="20"/>
          <w:color w:val="auto"/>
        </w:rPr>
      </w:pPr>
    </w:p>
    <w:p>
      <w:pPr>
        <w:ind w:right="100" w:firstLine="555"/>
        <w:spacing w:after="0" w:line="266" w:lineRule="auto"/>
        <w:rPr>
          <w:sz w:val="20"/>
          <w:szCs w:val="20"/>
          <w:color w:val="auto"/>
        </w:rPr>
      </w:pPr>
      <w:r>
        <w:rPr>
          <w:rFonts w:ascii="Arial" w:cs="Arial" w:eastAsia="Arial" w:hAnsi="Arial"/>
          <w:sz w:val="17"/>
          <w:szCs w:val="17"/>
          <w:color w:val="auto"/>
        </w:rPr>
        <w:t>Our products require approvals from the Food and Drug Administration and international regulatory agencies prior to commercialized sales. Our future products may not receive required approvals. If we were denied such approvals, or if such approvals were delayed, it would have a materially adverse impact on our business, results of operations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Reliance on Certain Suppliers.</w:t>
      </w:r>
    </w:p>
    <w:p>
      <w:pPr>
        <w:spacing w:after="0" w:line="114"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Certain components and services used to manufacture and develop our products are presently available from only one or a limited number of suppliers or vendors. The loss of any of these suppliers or vendors would potentially require a significant level of hardware and/or software development efforts to incorporate the products or services into our products.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Net Income per Share.</w:t>
      </w:r>
    </w:p>
    <w:p>
      <w:pPr>
        <w:spacing w:after="0" w:line="114" w:lineRule="exact"/>
        <w:rPr>
          <w:sz w:val="20"/>
          <w:szCs w:val="20"/>
          <w:color w:val="auto"/>
        </w:rPr>
      </w:pPr>
    </w:p>
    <w:p>
      <w:pPr>
        <w:ind w:right="100" w:firstLine="555"/>
        <w:spacing w:after="0" w:line="277" w:lineRule="auto"/>
        <w:rPr>
          <w:sz w:val="20"/>
          <w:szCs w:val="20"/>
          <w:color w:val="auto"/>
        </w:rPr>
      </w:pPr>
      <w:r>
        <w:rPr>
          <w:rFonts w:ascii="Arial" w:cs="Arial" w:eastAsia="Arial" w:hAnsi="Arial"/>
          <w:sz w:val="16"/>
          <w:szCs w:val="16"/>
          <w:color w:val="auto"/>
        </w:rPr>
        <w:t>Basic net income per share is based upon the weighted average number of common shares outstanding during the period. Diluted net income per share is based upon the weighted average number of common shares outstanding and dilutive common stock equivalents outstanding during the period. Common stock equivalents consist of incremental common shares issuable upon the exercise of stock options and release (vesting) of restricted stock units and awards and are calculated under the treasury stock method. Common stock equivalent shares from unexercised stock options and unvested restricted stock units are excluded from the computation for periods in which we incur a net loss or if the exercise price of such options is greater than the average market price of our common stock for the period as their effect would be anti-dilutive. See Note 15 - Computation of Basic and Diluted Net Income Per Common Share.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Reclassifications</w:t>
      </w:r>
    </w:p>
    <w:p>
      <w:pPr>
        <w:spacing w:after="0" w:line="114" w:lineRule="exact"/>
        <w:rPr>
          <w:sz w:val="20"/>
          <w:szCs w:val="20"/>
          <w:color w:val="auto"/>
        </w:rPr>
      </w:pPr>
    </w:p>
    <w:p>
      <w:pPr>
        <w:ind w:right="520" w:firstLine="555"/>
        <w:spacing w:after="0" w:line="279" w:lineRule="auto"/>
        <w:rPr>
          <w:sz w:val="20"/>
          <w:szCs w:val="20"/>
          <w:color w:val="auto"/>
        </w:rPr>
      </w:pPr>
      <w:r>
        <w:rPr>
          <w:rFonts w:ascii="Arial" w:cs="Arial" w:eastAsia="Arial" w:hAnsi="Arial"/>
          <w:sz w:val="17"/>
          <w:szCs w:val="17"/>
          <w:color w:val="auto"/>
        </w:rPr>
        <w:t>Certain reclassifications have been made to the prior year statements included in these consolidated financial statements to conform to the current year presentation. The reclassifications had no impact on previously reported net loss or accumulated deficit.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120" w:lineRule="exact"/>
        <w:rPr>
          <w:sz w:val="20"/>
          <w:szCs w:val="20"/>
          <w:color w:val="auto"/>
        </w:rPr>
      </w:pPr>
    </w:p>
    <w:p>
      <w:pPr>
        <w:ind w:right="240" w:firstLine="555"/>
        <w:spacing w:after="0" w:line="299" w:lineRule="auto"/>
        <w:rPr>
          <w:sz w:val="20"/>
          <w:szCs w:val="20"/>
          <w:color w:val="auto"/>
        </w:rPr>
      </w:pPr>
      <w:r>
        <w:rPr>
          <w:rFonts w:ascii="Arial" w:cs="Arial" w:eastAsia="Arial" w:hAnsi="Arial"/>
          <w:sz w:val="15"/>
          <w:szCs w:val="15"/>
          <w:color w:val="auto"/>
        </w:rPr>
        <w:t>In May 2014, the Financial Accounting Standards Board (“FASB”) issued Accounting Standards Update (“ASU”) 2014-09 Revenue from Contracts with Customers (Topic 606) (“ASC 606”), which, along with amendments issued in 2015, 2016 and 2017, replaces nearly all current U.S. GAAP guidance on this topic with a comprehensive revenue measurement and recognition standard and expanded disclosure requirements. This new guidance provides a five-step analysis in determining when and how revenue is recognized. Under the new guidance, revenue is recognized when a customer obtains control of promised goods or services and is recognized in an amount that reflects the consideration which the entity expects to receive in exchange for those goods or services. In addition, the new guidance requires disclosure of the nature, amount, timing and uncertainty of revenue and cash flows arising from contracts with customers.</w:t>
      </w:r>
    </w:p>
    <w:p>
      <w:pPr>
        <w:spacing w:after="0" w:line="51" w:lineRule="exact"/>
        <w:rPr>
          <w:sz w:val="20"/>
          <w:szCs w:val="20"/>
          <w:color w:val="auto"/>
        </w:rPr>
      </w:pPr>
    </w:p>
    <w:p>
      <w:pPr>
        <w:ind w:right="120" w:firstLine="555"/>
        <w:spacing w:after="0" w:line="257" w:lineRule="auto"/>
        <w:rPr>
          <w:sz w:val="20"/>
          <w:szCs w:val="20"/>
          <w:color w:val="auto"/>
        </w:rPr>
      </w:pPr>
      <w:r>
        <w:rPr>
          <w:rFonts w:ascii="Arial" w:cs="Arial" w:eastAsia="Arial" w:hAnsi="Arial"/>
          <w:sz w:val="17"/>
          <w:szCs w:val="17"/>
          <w:color w:val="auto"/>
        </w:rPr>
        <w:t>As part of our assessment and implementation plan, we evaluated our policies, procedures and internal controls. In preparation for adoption of the standard, the Company has implemented internal controls to enable the preparation of financial information, including the assessment of the impact of the standard. The Company has adopted this guidance using the modified retrospective method in the first quarter of fiscal 2018. Under the modified retrospective method, the new standards apply to all new contracts initiated on or after the effective date, and for contracts which have remaining obligations as of the effective date, an adjustment to the opening balance of retained earnings is required. Based on the results of the procedures taken in adopting this standard, we determined that our accounting for revenues under the then prescribed standard (ASC 605) was not different from the new ASC 606 standard. As such, we did not have any adjustments to our opening balance of our retained earnings.</w:t>
      </w:r>
    </w:p>
    <w:p>
      <w:pPr>
        <w:spacing w:after="0" w:line="82" w:lineRule="exact"/>
        <w:rPr>
          <w:sz w:val="20"/>
          <w:szCs w:val="20"/>
          <w:color w:val="auto"/>
        </w:rPr>
      </w:pPr>
    </w:p>
    <w:p>
      <w:pPr>
        <w:ind w:right="220" w:firstLine="555"/>
        <w:spacing w:after="0" w:line="258"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The amendment gives guidance and reduces diversity in practice with respect to certain types of cash flows. This ASU is effective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adoption of this standard in fiscal year 2018 did not have a material impact on our consolidated financial statements.</w:t>
      </w:r>
    </w:p>
    <w:p>
      <w:pPr>
        <w:spacing w:after="0" w:line="80" w:lineRule="exact"/>
        <w:rPr>
          <w:sz w:val="20"/>
          <w:szCs w:val="20"/>
          <w:color w:val="auto"/>
        </w:rPr>
      </w:pPr>
    </w:p>
    <w:p>
      <w:pPr>
        <w:ind w:right="140" w:firstLine="555"/>
        <w:spacing w:after="0" w:line="279" w:lineRule="auto"/>
        <w:rPr>
          <w:sz w:val="20"/>
          <w:szCs w:val="20"/>
          <w:color w:val="auto"/>
        </w:rPr>
      </w:pPr>
      <w:r>
        <w:rPr>
          <w:rFonts w:ascii="Arial" w:cs="Arial" w:eastAsia="Arial" w:hAnsi="Arial"/>
          <w:sz w:val="16"/>
          <w:szCs w:val="16"/>
          <w:color w:val="auto"/>
        </w:rPr>
        <w:t>In October 2016, the FASB issued ASU 2016-16, to ASC 740 “Income Taxes,” which simplifies the recording of an inter-entity transfer of assets other than inventory. The new guidance requires that a company recognize the income tax consequences of an intra-entity transfer of an asset other than inventory when the transfer occurs. The new guidance becomes effective for annual reporting periods beginning after December 15, 2017 and must be applied using a modified retrospective basis through a cumulative-effect adjustment directly to retained earnings as of the beginning of the adoption period. The adoption of this standard in fiscal year 2018 did not have a material impact on the Company’s consolidated financial statements.</w:t>
      </w:r>
    </w:p>
    <w:p>
      <w:pPr>
        <w:spacing w:after="0" w:line="65" w:lineRule="exact"/>
        <w:rPr>
          <w:sz w:val="20"/>
          <w:szCs w:val="20"/>
          <w:color w:val="auto"/>
        </w:rPr>
      </w:pPr>
    </w:p>
    <w:p>
      <w:pPr>
        <w:ind w:firstLine="555"/>
        <w:spacing w:after="0" w:line="274" w:lineRule="auto"/>
        <w:rPr>
          <w:sz w:val="20"/>
          <w:szCs w:val="20"/>
          <w:color w:val="auto"/>
        </w:rPr>
      </w:pPr>
      <w:r>
        <w:rPr>
          <w:rFonts w:ascii="Arial" w:cs="Arial" w:eastAsia="Arial" w:hAnsi="Arial"/>
          <w:sz w:val="16"/>
          <w:szCs w:val="16"/>
          <w:color w:val="auto"/>
        </w:rPr>
        <w:t>In May 2017, the FASB issued ASU 2017-09, “Compensation – Stock Compensation (Topic 718): Scope of Modification Accounting.” The amendments in ASU 2017-09 include guidance on determining which changes to the terms and conditions of share-based payment awards require an entity to apply modification accounting under Topic 718. These amendments require the entity to account for the effects of a modification unless all of the following conditions are met: the fair value (or calculated value or intrinsic value, if such an alternative measurement method is used) of the modified award is the same as the fair value (or value using an alternative measurement method) of the original award immediately before the original award is modified; the vesting conditions of the modified award are the same as the vesting conditions of the original award immediately before the original award is modified; and the classification of the modified award as an equity instrument or a liability instrument is the same as the classification of the original award immediately before the original award is modified. This guidance is effective for annual reporting periods beginning after December 15, 2017, including interim periods within that reporting period, with early adoption permitted. The adoption of this standard in fiscal year 2018 did not have a material impact on the Company’s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Recent Accounting Standards Not Yet Adopted.</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 February 2016, the FASB issued ASU 2016-02, “Leases,” which, along with subsequent amendments, modified lessee accounting guidance under Topic</w:t>
      </w:r>
    </w:p>
    <w:p>
      <w:pPr>
        <w:spacing w:after="0" w:line="45" w:lineRule="exact"/>
        <w:rPr>
          <w:sz w:val="20"/>
          <w:szCs w:val="20"/>
          <w:color w:val="auto"/>
        </w:rPr>
      </w:pPr>
    </w:p>
    <w:p>
      <w:pPr>
        <w:ind w:right="80" w:firstLine="3"/>
        <w:spacing w:after="0" w:line="271" w:lineRule="auto"/>
        <w:tabs>
          <w:tab w:leader="none" w:pos="3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ASU requires the Company to recognize on the balance sheet the assets and liabilities for the rights and obligations created by leases with terms of more than twelve months. This ASU also requires disclosures enabling the users of financial statements to understand the amount, timing and uncertainty of cash flows arising from leases. This new standard will become effective for annual periods beginning after December 15, 2018 (including interim reporting periods within those periods). Early adoption is permitted as of the beginning of an interim or annual reporting period. The Company will adopt the new standard in the first quarter of its fiscal year 2019 using the optional transition method. The Company will elect not to reassess whether any expired or existing contracts are or contain leases, not to reassess the lease classification for any expired or existing leases, not to reassess initial direct costs for any existing leases and not to separate non-lease components from lease components and instead account for each separate lease component and the non-lease components associated with that lease component as a single lease component for new or modified leases. While we continue to evaluate certain provisions of the standard, based on our current estimates, we expect the adoption of the standard will result in recognition of right-of-use assets and lease liabilities, primarily relating to real estate operating leases, of approximately $4.0 million and $4.5 million, respectively, as of the first day of fiscal year 2019, on the Company’s consolidated balance sheets. No material impact is expected to the Company’s consolidated statements of operations or its consolidated statements of cash flows.</w:t>
      </w:r>
    </w:p>
    <w:p>
      <w:pPr>
        <w:spacing w:after="0" w:line="76" w:lineRule="exact"/>
        <w:rPr>
          <w:sz w:val="20"/>
          <w:szCs w:val="20"/>
          <w:color w:val="auto"/>
        </w:rPr>
      </w:pPr>
    </w:p>
    <w:p>
      <w:pPr>
        <w:ind w:right="20" w:firstLine="555"/>
        <w:spacing w:after="0" w:line="262"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which removes, modifies and adds certain disclosure requirements on fair value measurements. The new guidance is effective for fiscal years, and interim periods within those fiscal years, beginning after December 15, 2019. Early adoption is permitted. The Company is currently evaluating the effect of the adoption of this guidance on its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w:t>
      </w:r>
    </w:p>
    <w:p>
      <w:pPr>
        <w:spacing w:after="0" w:line="120" w:lineRule="exact"/>
        <w:rPr>
          <w:sz w:val="20"/>
          <w:szCs w:val="20"/>
          <w:color w:val="auto"/>
        </w:rPr>
      </w:pPr>
    </w:p>
    <w:p>
      <w:pPr>
        <w:ind w:right="40" w:firstLine="555"/>
        <w:spacing w:after="0" w:line="258"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0" w:lineRule="exact"/>
        <w:rPr>
          <w:sz w:val="20"/>
          <w:szCs w:val="20"/>
          <w:color w:val="auto"/>
        </w:rPr>
      </w:pPr>
    </w:p>
    <w:p>
      <w:pPr>
        <w:ind w:left="1120" w:hanging="563"/>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Level 1: Quoted prices (unadjusted) in active markets that are accessible at the measurement date for assets or liabilities.</w:t>
      </w:r>
    </w:p>
    <w:p>
      <w:pPr>
        <w:spacing w:after="0" w:line="113" w:lineRule="exact"/>
        <w:rPr>
          <w:rFonts w:ascii="Arial" w:cs="Arial" w:eastAsia="Arial" w:hAnsi="Arial"/>
          <w:sz w:val="17"/>
          <w:szCs w:val="17"/>
          <w:color w:val="auto"/>
        </w:rPr>
      </w:pPr>
    </w:p>
    <w:p>
      <w:pPr>
        <w:ind w:left="1120" w:hanging="563"/>
        <w:spacing w:after="0" w:line="259" w:lineRule="auto"/>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9" w:lineRule="exact"/>
        <w:rPr>
          <w:rFonts w:ascii="Arial" w:cs="Arial" w:eastAsia="Arial" w:hAnsi="Arial"/>
          <w:sz w:val="17"/>
          <w:szCs w:val="17"/>
          <w:color w:val="auto"/>
        </w:rPr>
      </w:pPr>
    </w:p>
    <w:p>
      <w:pPr>
        <w:ind w:left="1120" w:right="120" w:hanging="563"/>
        <w:spacing w:after="0" w:line="349" w:lineRule="auto"/>
        <w:tabs>
          <w:tab w:leader="none" w:pos="11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4" w:lineRule="exact"/>
        <w:rPr>
          <w:sz w:val="20"/>
          <w:szCs w:val="20"/>
          <w:color w:val="auto"/>
        </w:rPr>
      </w:pPr>
    </w:p>
    <w:p>
      <w:pPr>
        <w:ind w:right="400" w:firstLine="555"/>
        <w:spacing w:after="0" w:line="279" w:lineRule="auto"/>
        <w:rPr>
          <w:sz w:val="20"/>
          <w:szCs w:val="20"/>
          <w:color w:val="auto"/>
        </w:rPr>
      </w:pPr>
      <w:r>
        <w:rPr>
          <w:rFonts w:ascii="Arial" w:cs="Arial" w:eastAsia="Arial" w:hAnsi="Arial"/>
          <w:sz w:val="17"/>
          <w:szCs w:val="17"/>
          <w:color w:val="auto"/>
        </w:rPr>
        <w:t>In determining fair value, we utilize valuation techniques that maximize the use of observable inputs and minimize the use of unobservable inputs to the extent possible as well as considers counterparty credit risk in our assessment of fair value.</w:t>
      </w:r>
    </w:p>
    <w:p>
      <w:pPr>
        <w:spacing w:after="0" w:line="61"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The carrying amounts of our financial assets and liabilities, including cash and cash equivalents, accounts receivable, accounts payable, and accrued expenses as of December 29, 2018 and December 30, 2017, approximate fair value because of the short maturity of these instruments.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52" w:name="page53"/>
    <w:bookmarkEnd w:id="52"/>
    <w:p>
      <w:pPr>
        <w:ind w:right="280" w:firstLine="555"/>
        <w:spacing w:after="0" w:line="279" w:lineRule="auto"/>
        <w:rPr>
          <w:sz w:val="20"/>
          <w:szCs w:val="20"/>
          <w:color w:val="auto"/>
        </w:rPr>
      </w:pPr>
      <w:r>
        <w:rPr>
          <w:rFonts w:ascii="Arial" w:cs="Arial" w:eastAsia="Arial" w:hAnsi="Arial"/>
          <w:sz w:val="17"/>
          <w:szCs w:val="17"/>
          <w:color w:val="auto"/>
        </w:rPr>
        <w:t>As of December 29, 2018 and December 30, 2017, financial assets and liabilities measured and recognized at fair value on a recurring basis and classified under the appropriate level of the fair value hierarchy as described above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 December 29, 2018</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December 30, 2017</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tcPr>
          <w:p>
            <w:pPr>
              <w:ind w:left="40"/>
              <w:spacing w:after="0" w:line="148" w:lineRule="exact"/>
              <w:rPr>
                <w:sz w:val="20"/>
                <w:szCs w:val="20"/>
                <w:color w:val="auto"/>
              </w:rPr>
            </w:pPr>
            <w:r>
              <w:rPr>
                <w:rFonts w:ascii="Arial" w:cs="Arial" w:eastAsia="Arial" w:hAnsi="Arial"/>
                <w:sz w:val="14"/>
                <w:szCs w:val="14"/>
                <w:b w:val="1"/>
                <w:bCs w:val="1"/>
                <w:color w:val="auto"/>
              </w:rPr>
              <w:t>Fair Value Measurements</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tcPr>
          <w:p>
            <w:pPr>
              <w:ind w:left="60"/>
              <w:spacing w:after="0" w:line="148" w:lineRule="exact"/>
              <w:rPr>
                <w:sz w:val="20"/>
                <w:szCs w:val="20"/>
                <w:color w:val="auto"/>
              </w:rPr>
            </w:pPr>
            <w:r>
              <w:rPr>
                <w:rFonts w:ascii="Arial" w:cs="Arial" w:eastAsia="Arial" w:hAnsi="Arial"/>
                <w:sz w:val="14"/>
                <w:szCs w:val="14"/>
                <w:b w:val="1"/>
                <w:bCs w:val="1"/>
                <w:color w:val="auto"/>
              </w:rPr>
              <w:t>Fair Value Measurements</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8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2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20"/>
              <w:spacing w:after="0" w:line="148"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66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Assets:</w:t>
            </w:r>
          </w:p>
        </w:tc>
        <w:tc>
          <w:tcPr>
            <w:tcW w:w="7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240"/>
              <w:spacing w:after="0"/>
              <w:rPr>
                <w:sz w:val="20"/>
                <w:szCs w:val="20"/>
                <w:color w:val="auto"/>
              </w:rPr>
            </w:pPr>
            <w:r>
              <w:rPr>
                <w:rFonts w:ascii="Arial" w:cs="Arial" w:eastAsia="Arial" w:hAnsi="Arial"/>
                <w:sz w:val="17"/>
                <w:szCs w:val="17"/>
                <w:color w:val="auto"/>
              </w:rPr>
              <w:t>Money market funds</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20,708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500"/>
              <w:spacing w:after="0"/>
              <w:rPr>
                <w:sz w:val="20"/>
                <w:szCs w:val="20"/>
                <w:color w:val="auto"/>
              </w:rPr>
            </w:pPr>
            <w:r>
              <w:rPr>
                <w:rFonts w:ascii="Arial" w:cs="Arial" w:eastAsia="Arial" w:hAnsi="Arial"/>
                <w:sz w:val="17"/>
                <w:szCs w:val="17"/>
                <w:color w:val="auto"/>
                <w:w w:val="93"/>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20,708</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20,950</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20,950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60" w:type="dxa"/>
            <w:vAlign w:val="bottom"/>
            <w:shd w:val="clear" w:color="auto" w:fill="CFF0FC"/>
          </w:tcPr>
          <w:p>
            <w:pPr>
              <w:spacing w:after="0"/>
              <w:rPr>
                <w:sz w:val="20"/>
                <w:szCs w:val="20"/>
                <w:color w:val="auto"/>
              </w:rPr>
            </w:pPr>
            <w:r>
              <w:rPr>
                <w:rFonts w:ascii="Arial" w:cs="Arial" w:eastAsia="Arial" w:hAnsi="Arial"/>
                <w:sz w:val="17"/>
                <w:szCs w:val="17"/>
                <w:color w:val="auto"/>
              </w:rPr>
              <w:t>Liabilities: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240"/>
              <w:spacing w:after="0"/>
              <w:rPr>
                <w:sz w:val="20"/>
                <w:szCs w:val="20"/>
                <w:color w:val="auto"/>
              </w:rPr>
            </w:pPr>
            <w:r>
              <w:rPr>
                <w:rFonts w:ascii="Arial" w:cs="Arial" w:eastAsia="Arial" w:hAnsi="Arial"/>
                <w:sz w:val="17"/>
                <w:szCs w:val="17"/>
                <w:color w:val="auto"/>
              </w:rPr>
              <w:t>Earn-out liability</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500"/>
              <w:spacing w:after="0"/>
              <w:rPr>
                <w:sz w:val="20"/>
                <w:szCs w:val="20"/>
                <w:color w:val="auto"/>
              </w:rPr>
            </w:pPr>
            <w:r>
              <w:rPr>
                <w:rFonts w:ascii="Arial" w:cs="Arial" w:eastAsia="Arial" w:hAnsi="Arial"/>
                <w:sz w:val="17"/>
                <w:szCs w:val="17"/>
                <w:color w:val="auto"/>
                <w:w w:val="93"/>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334</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334</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572</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firstLine="555"/>
        <w:spacing w:after="0" w:line="294" w:lineRule="auto"/>
        <w:rPr>
          <w:sz w:val="20"/>
          <w:szCs w:val="20"/>
          <w:color w:val="auto"/>
        </w:rPr>
      </w:pPr>
      <w:r>
        <w:rPr>
          <w:rFonts w:ascii="Arial" w:cs="Arial" w:eastAsia="Arial" w:hAnsi="Arial"/>
          <w:sz w:val="15"/>
          <w:szCs w:val="15"/>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 The decrease in re-measurement of the contingent earn-out was due to a decrease in expected future revenues to be generated from these acquisitions. The deal was structured with an earn-out component. The earn-out liability is included in accrued expenses and other long-term liabilities in the consolidated balance sheets.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Charges related to fair value adjustments for the earn-out liability were $149 thousand and $260 thousand for the fiscal years 2018 and 2017, respectively.</w:t>
      </w:r>
    </w:p>
    <w:p>
      <w:pPr>
        <w:spacing w:after="0" w:line="137"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The following table presents quantitative information about the inputs and valuation methodologies used for our fair value measurements classified in Level 3 of the fair value hierarchy as of December 29, 2018 and December 30, 2017.</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Fair Value</w:t>
            </w:r>
          </w:p>
        </w:tc>
        <w:tc>
          <w:tcPr>
            <w:tcW w:w="1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Valuation</w:t>
            </w: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Significant</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2"/>
        </w:trPr>
        <w:tc>
          <w:tcPr>
            <w:tcW w:w="32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As of December 29, 2018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8"/>
              </w:rPr>
              <w:t>Unobservable</w:t>
            </w:r>
          </w:p>
        </w:tc>
        <w:tc>
          <w:tcPr>
            <w:tcW w:w="2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4"/>
        </w:trPr>
        <w:tc>
          <w:tcPr>
            <w:tcW w:w="32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4"/>
              </w:rPr>
              <w:t>(in thousands)</w:t>
            </w:r>
          </w:p>
        </w:tc>
        <w:tc>
          <w:tcPr>
            <w:tcW w:w="22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12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20" w:type="dxa"/>
            <w:vAlign w:val="bottom"/>
            <w:tcBorders>
              <w:bottom w:val="single" w:sz="8" w:color="CFF0FC"/>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r>
        <w:trPr>
          <w:trHeight w:val="200"/>
        </w:trPr>
        <w:tc>
          <w:tcPr>
            <w:tcW w:w="3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1"/>
              </w:rPr>
              <w:t>Projected royalties</w:t>
            </w:r>
          </w:p>
        </w:tc>
        <w:tc>
          <w:tcPr>
            <w:tcW w:w="2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Earn-out liability</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3"/>
              </w:rPr>
              <w:t>Discounted cash flow</w:t>
            </w:r>
          </w:p>
        </w:tc>
        <w:tc>
          <w:tcPr>
            <w:tcW w:w="176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0"/>
              </w:rPr>
              <w:t>(in thousands)</w:t>
            </w:r>
          </w:p>
        </w:tc>
        <w:tc>
          <w:tcPr>
            <w:tcW w:w="20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$1,245</w:t>
            </w:r>
          </w:p>
        </w:tc>
        <w:tc>
          <w:tcPr>
            <w:tcW w:w="0" w:type="dxa"/>
            <w:vAlign w:val="bottom"/>
          </w:tcPr>
          <w:p>
            <w:pPr>
              <w:spacing w:after="0"/>
              <w:rPr>
                <w:sz w:val="1"/>
                <w:szCs w:val="1"/>
                <w:color w:val="auto"/>
              </w:rPr>
            </w:pPr>
          </w:p>
        </w:tc>
      </w:tr>
      <w:tr>
        <w:trPr>
          <w:trHeight w:val="200"/>
        </w:trPr>
        <w:tc>
          <w:tcPr>
            <w:tcW w:w="3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Discount rate</w:t>
            </w:r>
          </w:p>
        </w:tc>
        <w:tc>
          <w:tcPr>
            <w:tcW w:w="120" w:type="dxa"/>
            <w:vAlign w:val="bottom"/>
          </w:tcPr>
          <w:p>
            <w:pPr>
              <w:spacing w:after="0"/>
              <w:rPr>
                <w:sz w:val="17"/>
                <w:szCs w:val="17"/>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10.33%</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7"/>
                <w:szCs w:val="17"/>
                <w:color w:val="auto"/>
                <w:w w:val="93"/>
              </w:rPr>
              <w:t>(10.20% - 27.00%)</w:t>
            </w:r>
          </w:p>
        </w:tc>
        <w:tc>
          <w:tcPr>
            <w:tcW w:w="0" w:type="dxa"/>
            <w:vAlign w:val="bottom"/>
          </w:tcPr>
          <w:p>
            <w:pPr>
              <w:spacing w:after="0"/>
              <w:rPr>
                <w:sz w:val="1"/>
                <w:szCs w:val="1"/>
                <w:color w:val="auto"/>
              </w:rPr>
            </w:pPr>
          </w:p>
        </w:tc>
      </w:tr>
      <w:tr>
        <w:trPr>
          <w:trHeight w:val="366"/>
        </w:trPr>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Fair Value</w:t>
            </w:r>
          </w:p>
        </w:tc>
        <w:tc>
          <w:tcPr>
            <w:tcW w:w="1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Valuation</w:t>
            </w: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Significant</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2"/>
        </w:trPr>
        <w:tc>
          <w:tcPr>
            <w:tcW w:w="32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As of December 30, 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8"/>
              </w:rPr>
              <w:t>Unobservable</w:t>
            </w:r>
          </w:p>
        </w:tc>
        <w:tc>
          <w:tcPr>
            <w:tcW w:w="2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4"/>
        </w:trPr>
        <w:tc>
          <w:tcPr>
            <w:tcW w:w="32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4"/>
              </w:rPr>
              <w:t>(in thousands)</w:t>
            </w:r>
          </w:p>
        </w:tc>
        <w:tc>
          <w:tcPr>
            <w:tcW w:w="22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Technique</w:t>
            </w:r>
          </w:p>
        </w:tc>
        <w:tc>
          <w:tcPr>
            <w:tcW w:w="12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20" w:type="dxa"/>
            <w:vAlign w:val="bottom"/>
            <w:tcBorders>
              <w:bottom w:val="single" w:sz="8" w:color="CFF0FC"/>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r>
        <w:trPr>
          <w:trHeight w:val="200"/>
        </w:trPr>
        <w:tc>
          <w:tcPr>
            <w:tcW w:w="3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1"/>
              </w:rPr>
              <w:t>Projected royalties</w:t>
            </w:r>
          </w:p>
        </w:tc>
        <w:tc>
          <w:tcPr>
            <w:tcW w:w="2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Earn-out liability</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572</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3"/>
              </w:rPr>
              <w:t>Discounted cash flow</w:t>
            </w:r>
          </w:p>
        </w:tc>
        <w:tc>
          <w:tcPr>
            <w:tcW w:w="176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0"/>
              </w:rPr>
              <w:t>(in thousands)</w:t>
            </w:r>
          </w:p>
        </w:tc>
        <w:tc>
          <w:tcPr>
            <w:tcW w:w="20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$1,622</w:t>
            </w:r>
          </w:p>
        </w:tc>
        <w:tc>
          <w:tcPr>
            <w:tcW w:w="0" w:type="dxa"/>
            <w:vAlign w:val="bottom"/>
          </w:tcPr>
          <w:p>
            <w:pPr>
              <w:spacing w:after="0"/>
              <w:rPr>
                <w:sz w:val="1"/>
                <w:szCs w:val="1"/>
                <w:color w:val="auto"/>
              </w:rPr>
            </w:pPr>
          </w:p>
        </w:tc>
      </w:tr>
      <w:tr>
        <w:trPr>
          <w:trHeight w:val="200"/>
        </w:trPr>
        <w:tc>
          <w:tcPr>
            <w:tcW w:w="3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Discount rate</w:t>
            </w:r>
          </w:p>
        </w:tc>
        <w:tc>
          <w:tcPr>
            <w:tcW w:w="120" w:type="dxa"/>
            <w:vAlign w:val="bottom"/>
          </w:tcPr>
          <w:p>
            <w:pPr>
              <w:spacing w:after="0"/>
              <w:rPr>
                <w:sz w:val="17"/>
                <w:szCs w:val="17"/>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10.90%</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7"/>
                <w:szCs w:val="17"/>
                <w:color w:val="auto"/>
                <w:w w:val="93"/>
              </w:rPr>
              <w:t>(10.90% - 27.00%)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provides a reconciliation of the beginning and ending balances of the contingent consideration – cash (Level 3 liabilities)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160020</wp:posOffset>
            </wp:positionV>
            <wp:extent cx="4346575" cy="139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6575" cy="13906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53"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Balance as of December 31, 2016</w:t>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Payments against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14605</wp:posOffset>
            </wp:positionV>
            <wp:extent cx="4346575" cy="139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6575" cy="139065"/>
                    </a:xfrm>
                    <a:prstGeom prst="rect">
                      <a:avLst/>
                    </a:prstGeom>
                    <a:noFill/>
                  </pic:spPr>
                </pic:pic>
              </a:graphicData>
            </a:graphic>
          </wp:anchor>
        </w:drawing>
      </w:r>
    </w:p>
    <w:p>
      <w:pPr>
        <w:spacing w:after="0" w:line="4"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Change in fair value of earn-out liability</w:t>
      </w:r>
    </w:p>
    <w:p>
      <w:pPr>
        <w:spacing w:after="0" w:line="60"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Balance as of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14605</wp:posOffset>
            </wp:positionV>
            <wp:extent cx="4346575" cy="139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46575" cy="139065"/>
                    </a:xfrm>
                    <a:prstGeom prst="rect">
                      <a:avLst/>
                    </a:prstGeom>
                    <a:noFill/>
                  </pic:spPr>
                </pic:pic>
              </a:graphicData>
            </a:graphic>
          </wp:anchor>
        </w:drawing>
      </w:r>
    </w:p>
    <w:p>
      <w:pPr>
        <w:spacing w:after="0" w:line="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Payments against earn-out</w:t>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Change in fair value of earn-out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29210</wp:posOffset>
            </wp:positionV>
            <wp:extent cx="4346575" cy="155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46575" cy="155575"/>
                    </a:xfrm>
                    <a:prstGeom prst="rect">
                      <a:avLst/>
                    </a:prstGeom>
                    <a:noFill/>
                  </pic:spPr>
                </pic:pic>
              </a:graphicData>
            </a:graphic>
          </wp:anchor>
        </w:drawing>
      </w:r>
    </w:p>
    <w:p>
      <w:pPr>
        <w:spacing w:after="0" w:line="40"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Balance as of December 29, 2018</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907" w:hanging="907"/>
        <w:spacing w:after="0"/>
        <w:tabs>
          <w:tab w:leader="none" w:pos="9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694</w:t>
      </w:r>
    </w:p>
    <w:p>
      <w:pPr>
        <w:spacing w:after="0" w:line="23" w:lineRule="exact"/>
        <w:rPr>
          <w:rFonts w:ascii="Arial" w:cs="Arial" w:eastAsia="Arial" w:hAnsi="Arial"/>
          <w:sz w:val="17"/>
          <w:szCs w:val="17"/>
          <w:color w:val="auto"/>
        </w:rPr>
      </w:pPr>
    </w:p>
    <w:p>
      <w:pPr>
        <w:ind w:left="867"/>
        <w:spacing w:after="0"/>
        <w:rPr>
          <w:rFonts w:ascii="Arial" w:cs="Arial" w:eastAsia="Arial" w:hAnsi="Arial"/>
          <w:sz w:val="17"/>
          <w:szCs w:val="17"/>
          <w:color w:val="auto"/>
        </w:rPr>
      </w:pPr>
      <w:r>
        <w:rPr>
          <w:rFonts w:ascii="Arial" w:cs="Arial" w:eastAsia="Arial" w:hAnsi="Arial"/>
          <w:sz w:val="16"/>
          <w:szCs w:val="16"/>
          <w:color w:val="auto"/>
        </w:rPr>
        <w:t>(382)</w:t>
      </w:r>
    </w:p>
    <w:p>
      <w:pPr>
        <w:spacing w:after="0" w:line="35" w:lineRule="exact"/>
        <w:rPr>
          <w:rFonts w:ascii="Arial" w:cs="Arial" w:eastAsia="Arial" w:hAnsi="Arial"/>
          <w:sz w:val="17"/>
          <w:szCs w:val="17"/>
          <w:color w:val="auto"/>
        </w:rPr>
      </w:pPr>
    </w:p>
    <w:p>
      <w:pPr>
        <w:ind w:left="907"/>
        <w:spacing w:after="0"/>
        <w:rPr>
          <w:rFonts w:ascii="Arial" w:cs="Arial" w:eastAsia="Arial" w:hAnsi="Arial"/>
          <w:sz w:val="17"/>
          <w:szCs w:val="17"/>
          <w:color w:val="auto"/>
        </w:rPr>
      </w:pPr>
      <w:r>
        <w:rPr>
          <w:rFonts w:ascii="Arial" w:cs="Arial" w:eastAsia="Arial" w:hAnsi="Arial"/>
          <w:sz w:val="17"/>
          <w:szCs w:val="17"/>
          <w:color w:val="auto"/>
        </w:rPr>
        <w:t>260</w:t>
      </w:r>
    </w:p>
    <w:p>
      <w:pPr>
        <w:spacing w:after="0" w:line="36" w:lineRule="exact"/>
        <w:rPr>
          <w:rFonts w:ascii="Arial" w:cs="Arial" w:eastAsia="Arial" w:hAnsi="Arial"/>
          <w:sz w:val="17"/>
          <w:szCs w:val="17"/>
          <w:color w:val="auto"/>
        </w:rPr>
      </w:pPr>
    </w:p>
    <w:p>
      <w:pPr>
        <w:ind w:left="907"/>
        <w:spacing w:after="0"/>
        <w:rPr>
          <w:rFonts w:ascii="Arial" w:cs="Arial" w:eastAsia="Arial" w:hAnsi="Arial"/>
          <w:sz w:val="17"/>
          <w:szCs w:val="17"/>
          <w:color w:val="auto"/>
        </w:rPr>
      </w:pPr>
      <w:r>
        <w:rPr>
          <w:rFonts w:ascii="Arial" w:cs="Arial" w:eastAsia="Arial" w:hAnsi="Arial"/>
          <w:sz w:val="17"/>
          <w:szCs w:val="17"/>
          <w:color w:val="auto"/>
        </w:rPr>
        <w:t>572</w:t>
      </w:r>
    </w:p>
    <w:p>
      <w:pPr>
        <w:spacing w:after="0" w:line="23" w:lineRule="exact"/>
        <w:rPr>
          <w:rFonts w:ascii="Arial" w:cs="Arial" w:eastAsia="Arial" w:hAnsi="Arial"/>
          <w:sz w:val="17"/>
          <w:szCs w:val="17"/>
          <w:color w:val="auto"/>
        </w:rPr>
      </w:pPr>
    </w:p>
    <w:p>
      <w:pPr>
        <w:ind w:left="867"/>
        <w:spacing w:after="0"/>
        <w:rPr>
          <w:rFonts w:ascii="Arial" w:cs="Arial" w:eastAsia="Arial" w:hAnsi="Arial"/>
          <w:sz w:val="17"/>
          <w:szCs w:val="17"/>
          <w:color w:val="auto"/>
        </w:rPr>
      </w:pPr>
      <w:r>
        <w:rPr>
          <w:rFonts w:ascii="Arial" w:cs="Arial" w:eastAsia="Arial" w:hAnsi="Arial"/>
          <w:sz w:val="16"/>
          <w:szCs w:val="16"/>
          <w:color w:val="auto"/>
        </w:rPr>
        <w:t>(387)</w:t>
      </w:r>
    </w:p>
    <w:p>
      <w:pPr>
        <w:spacing w:after="0" w:line="35" w:lineRule="exact"/>
        <w:rPr>
          <w:rFonts w:ascii="Arial" w:cs="Arial" w:eastAsia="Arial" w:hAnsi="Arial"/>
          <w:sz w:val="17"/>
          <w:szCs w:val="17"/>
          <w:color w:val="auto"/>
        </w:rPr>
      </w:pPr>
    </w:p>
    <w:p>
      <w:pPr>
        <w:ind w:left="907"/>
        <w:spacing w:after="0"/>
        <w:rPr>
          <w:rFonts w:ascii="Arial" w:cs="Arial" w:eastAsia="Arial" w:hAnsi="Arial"/>
          <w:sz w:val="17"/>
          <w:szCs w:val="17"/>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-410210</wp:posOffset>
            </wp:positionV>
            <wp:extent cx="7531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7" w:lineRule="exact"/>
        <w:rPr>
          <w:sz w:val="20"/>
          <w:szCs w:val="20"/>
          <w:color w:val="auto"/>
        </w:rPr>
      </w:pPr>
    </w:p>
    <w:p>
      <w:pPr>
        <w:ind w:left="907" w:hanging="907"/>
        <w:spacing w:after="0"/>
        <w:tabs>
          <w:tab w:leader="none" w:pos="907" w:val="left"/>
        </w:tabs>
        <w:numPr>
          <w:ilvl w:val="0"/>
          <w:numId w:val="27"/>
        </w:numPr>
        <w:rPr>
          <w:rFonts w:ascii="Arial" w:cs="Arial" w:eastAsia="Arial" w:hAnsi="Arial"/>
          <w:sz w:val="17"/>
          <w:szCs w:val="17"/>
          <w:color w:val="auto"/>
        </w:rPr>
      </w:pPr>
      <w:r>
        <w:rPr>
          <w:rFonts w:ascii="Arial" w:cs="Arial" w:eastAsia="Arial" w:hAnsi="Arial"/>
          <w:sz w:val="17"/>
          <w:szCs w:val="17"/>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531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53" w:space="720"/>
            <w:col w:w="3547"/>
          </w:cols>
          <w:pgMar w:left="240" w:top="230" w:right="239" w:bottom="1440" w:gutter="0" w:footer="0" w:header="0"/>
          <w:type w:val="continuous"/>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729488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23"/>
        </w:trPr>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4.</w:t>
            </w:r>
          </w:p>
        </w:tc>
        <w:tc>
          <w:tcPr>
            <w:tcW w:w="5200" w:type="dxa"/>
            <w:vAlign w:val="bottom"/>
            <w:gridSpan w:val="2"/>
          </w:tcPr>
          <w:p>
            <w:pPr>
              <w:ind w:left="20"/>
              <w:spacing w:after="0"/>
              <w:rPr>
                <w:sz w:val="20"/>
                <w:szCs w:val="20"/>
                <w:color w:val="auto"/>
              </w:rPr>
            </w:pPr>
            <w:r>
              <w:rPr>
                <w:rFonts w:ascii="Arial" w:cs="Arial" w:eastAsia="Arial" w:hAnsi="Arial"/>
                <w:sz w:val="17"/>
                <w:szCs w:val="17"/>
                <w:b w:val="1"/>
                <w:bCs w:val="1"/>
                <w:color w:val="auto"/>
              </w:rPr>
              <w:t>Inventories</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60" w:type="dxa"/>
            <w:vAlign w:val="bottom"/>
          </w:tcPr>
          <w:p>
            <w:pPr>
              <w:spacing w:after="0"/>
              <w:rPr>
                <w:sz w:val="24"/>
                <w:szCs w:val="24"/>
                <w:color w:val="auto"/>
              </w:rPr>
            </w:pPr>
          </w:p>
        </w:tc>
        <w:tc>
          <w:tcPr>
            <w:tcW w:w="5200" w:type="dxa"/>
            <w:vAlign w:val="bottom"/>
            <w:gridSpan w:val="2"/>
          </w:tcPr>
          <w:p>
            <w:pPr>
              <w:ind w:left="400"/>
              <w:spacing w:after="0"/>
              <w:rPr>
                <w:sz w:val="20"/>
                <w:szCs w:val="20"/>
                <w:color w:val="auto"/>
              </w:rPr>
            </w:pPr>
            <w:r>
              <w:rPr>
                <w:rFonts w:ascii="Arial" w:cs="Arial" w:eastAsia="Arial" w:hAnsi="Arial"/>
                <w:sz w:val="17"/>
                <w:szCs w:val="17"/>
                <w:color w:val="auto"/>
                <w:w w:val="98"/>
              </w:rPr>
              <w:t>The components of our inventories are as follows (in thousands):</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60" w:type="dxa"/>
            <w:vAlign w:val="bottom"/>
          </w:tcPr>
          <w:p>
            <w:pPr>
              <w:jc w:val="right"/>
              <w:ind w:right="243"/>
              <w:spacing w:after="0"/>
              <w:rPr>
                <w:sz w:val="20"/>
                <w:szCs w:val="20"/>
                <w:color w:val="auto"/>
              </w:rPr>
            </w:pPr>
            <w:r>
              <w:rPr>
                <w:rFonts w:ascii="Arial" w:cs="Arial" w:eastAsia="Arial" w:hAnsi="Arial"/>
                <w:sz w:val="14"/>
                <w:szCs w:val="14"/>
                <w:b w:val="1"/>
                <w:bCs w:val="1"/>
                <w:color w:val="auto"/>
              </w:rPr>
              <w:t>FY 2018</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FY 2017</w:t>
            </w: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December 29, 2018</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December 30, 2017</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Raw materials</w:t>
            </w:r>
          </w:p>
        </w:tc>
        <w:tc>
          <w:tcPr>
            <w:tcW w:w="1560" w:type="dxa"/>
            <w:vAlign w:val="bottom"/>
            <w:tcBorders>
              <w:top w:val="single" w:sz="8" w:color="auto"/>
            </w:tcBorders>
            <w:shd w:val="clear" w:color="auto" w:fill="CFF0FC"/>
          </w:tcPr>
          <w:p>
            <w:pPr>
              <w:jc w:val="right"/>
              <w:ind w:right="1383"/>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3"/>
              </w:rPr>
              <w:t>2,675</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4,147</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5200" w:type="dxa"/>
            <w:vAlign w:val="bottom"/>
            <w:gridSpan w:val="2"/>
          </w:tcPr>
          <w:p>
            <w:pPr>
              <w:ind w:left="1560"/>
              <w:spacing w:after="0"/>
              <w:rPr>
                <w:sz w:val="20"/>
                <w:szCs w:val="20"/>
                <w:color w:val="auto"/>
              </w:rPr>
            </w:pPr>
            <w:r>
              <w:rPr>
                <w:rFonts w:ascii="Arial" w:cs="Arial" w:eastAsia="Arial" w:hAnsi="Arial"/>
                <w:sz w:val="17"/>
                <w:szCs w:val="17"/>
                <w:color w:val="auto"/>
              </w:rPr>
              <w:t>Work in process</w:t>
            </w: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1,075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Finished goods</w:t>
            </w:r>
          </w:p>
        </w:tc>
        <w:tc>
          <w:tcPr>
            <w:tcW w:w="15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3"/>
              </w:rPr>
              <w:t>5,044</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5200" w:type="dxa"/>
            <w:vAlign w:val="bottom"/>
            <w:gridSpan w:val="2"/>
          </w:tcPr>
          <w:p>
            <w:pPr>
              <w:ind w:left="1560"/>
              <w:spacing w:after="0"/>
              <w:rPr>
                <w:sz w:val="20"/>
                <w:szCs w:val="20"/>
                <w:color w:val="auto"/>
              </w:rPr>
            </w:pPr>
            <w:r>
              <w:rPr>
                <w:rFonts w:ascii="Arial" w:cs="Arial" w:eastAsia="Arial" w:hAnsi="Arial"/>
                <w:sz w:val="17"/>
                <w:szCs w:val="17"/>
                <w:color w:val="auto"/>
              </w:rPr>
              <w:t>Total inventories</w:t>
            </w:r>
          </w:p>
        </w:tc>
        <w:tc>
          <w:tcPr>
            <w:tcW w:w="1560" w:type="dxa"/>
            <w:vAlign w:val="bottom"/>
            <w:tcBorders>
              <w:bottom w:val="single" w:sz="8" w:color="auto"/>
            </w:tcBorders>
          </w:tcPr>
          <w:p>
            <w:pPr>
              <w:jc w:val="right"/>
              <w:ind w:right="138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8,794</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5.</w:t>
            </w:r>
          </w:p>
        </w:tc>
        <w:tc>
          <w:tcPr>
            <w:tcW w:w="52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60" w:type="dxa"/>
            <w:vAlign w:val="bottom"/>
            <w:vMerge w:val="continue"/>
          </w:tcPr>
          <w:p>
            <w:pPr>
              <w:spacing w:after="0"/>
              <w:rPr>
                <w:sz w:val="24"/>
                <w:szCs w:val="24"/>
                <w:color w:val="auto"/>
              </w:rPr>
            </w:pPr>
          </w:p>
        </w:tc>
        <w:tc>
          <w:tcPr>
            <w:tcW w:w="520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components of our property and equipment are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FY 2018</w:t>
            </w:r>
          </w:p>
        </w:tc>
        <w:tc>
          <w:tcPr>
            <w:tcW w:w="240" w:type="dxa"/>
            <w:vAlign w:val="bottom"/>
          </w:tcPr>
          <w:p>
            <w:pPr>
              <w:spacing w:after="0"/>
              <w:rPr>
                <w:sz w:val="14"/>
                <w:szCs w:val="14"/>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FY 2017</w:t>
            </w:r>
          </w:p>
        </w:tc>
        <w:tc>
          <w:tcPr>
            <w:tcW w:w="0" w:type="dxa"/>
            <w:vAlign w:val="bottom"/>
          </w:tcPr>
          <w:p>
            <w:pPr>
              <w:spacing w:after="0"/>
              <w:rPr>
                <w:sz w:val="1"/>
                <w:szCs w:val="1"/>
                <w:color w:val="auto"/>
              </w:rPr>
            </w:pPr>
          </w:p>
        </w:tc>
      </w:tr>
      <w:tr>
        <w:trPr>
          <w:trHeight w:val="164"/>
        </w:trPr>
        <w:tc>
          <w:tcPr>
            <w:tcW w:w="35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98"/>
              </w:rPr>
              <w:t>December 29, 2018</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98"/>
              </w:rPr>
              <w:t>December 30, 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Equipment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10,502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2,516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w w:val="96"/>
              </w:rPr>
              <w:t>Less: accumulated depreciation and amortization</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(11,798)</w:t>
            </w: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(11,049)</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80" w:type="dxa"/>
            <w:vAlign w:val="bottom"/>
            <w:vMerge w:val="continue"/>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1,220</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expense related to property and equipment was $793 thousand and $842 thousand for the fiscal years 2018 and 2017,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Goodwill</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carrying value of goodwill was $533 thousand as of December 29, 2018 and December 30, 2017, respectively.</w:t>
      </w:r>
    </w:p>
    <w:p>
      <w:pPr>
        <w:spacing w:after="0" w:line="114" w:lineRule="exact"/>
        <w:rPr>
          <w:sz w:val="20"/>
          <w:szCs w:val="20"/>
          <w:color w:val="auto"/>
        </w:rPr>
      </w:pPr>
    </w:p>
    <w:p>
      <w:pPr>
        <w:ind w:right="60" w:firstLine="555"/>
        <w:spacing w:after="0" w:line="266" w:lineRule="auto"/>
        <w:rPr>
          <w:sz w:val="20"/>
          <w:szCs w:val="20"/>
          <w:color w:val="auto"/>
        </w:rPr>
      </w:pPr>
      <w:r>
        <w:rPr>
          <w:rFonts w:ascii="Arial" w:cs="Arial" w:eastAsia="Arial" w:hAnsi="Arial"/>
          <w:sz w:val="17"/>
          <w:szCs w:val="17"/>
          <w:color w:val="auto"/>
        </w:rPr>
        <w:t>Goodwill is tested for impairment at least annually or whenever there is a change in circumstances that indicates the carrying value of these assets may be impaired. The determination of whether any potential impairment of goodwill exists is based upon an impairment test performed in accordance with ASC 350. There was no impairment of goodwill recognized during fiscal years 2018 and 2017.</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Intangible Assets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components of our purchased intangible assets as of December 29, 2018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Useful</w:t>
            </w:r>
          </w:p>
        </w:tc>
        <w:tc>
          <w:tcPr>
            <w:tcW w:w="1080" w:type="dxa"/>
            <w:vAlign w:val="bottom"/>
          </w:tcPr>
          <w:p>
            <w:pPr>
              <w:jc w:val="center"/>
              <w:ind w:left="129"/>
              <w:spacing w:after="0"/>
              <w:rPr>
                <w:sz w:val="20"/>
                <w:szCs w:val="20"/>
                <w:color w:val="auto"/>
              </w:rPr>
            </w:pPr>
            <w:r>
              <w:rPr>
                <w:rFonts w:ascii="Arial" w:cs="Arial" w:eastAsia="Arial" w:hAnsi="Arial"/>
                <w:sz w:val="14"/>
                <w:szCs w:val="14"/>
                <w:b w:val="1"/>
                <w:bCs w:val="1"/>
                <w:color w:val="auto"/>
                <w:w w:val="90"/>
              </w:rPr>
              <w:t>FY 2018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5"/>
              </w:rPr>
              <w:t>Accumulated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83"/>
              <w:spacing w:after="0"/>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Useful Lives</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80" w:type="dxa"/>
            <w:vAlign w:val="bottom"/>
          </w:tcPr>
          <w:p>
            <w:pPr>
              <w:jc w:val="center"/>
              <w:ind w:left="129"/>
              <w:spacing w:after="0" w:line="142" w:lineRule="exact"/>
              <w:rPr>
                <w:sz w:val="20"/>
                <w:szCs w:val="20"/>
                <w:color w:val="auto"/>
              </w:rPr>
            </w:pPr>
            <w:r>
              <w:rPr>
                <w:rFonts w:ascii="Arial" w:cs="Arial" w:eastAsia="Arial" w:hAnsi="Arial"/>
                <w:sz w:val="14"/>
                <w:szCs w:val="14"/>
                <w:b w:val="1"/>
                <w:bCs w:val="1"/>
                <w:color w:val="auto"/>
                <w:w w:val="92"/>
              </w:rPr>
              <w:t>Annual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63"/>
              <w:spacing w:after="0" w:line="142"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3"/>
              <w:spacing w:after="0" w:line="142"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8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Lives</w:t>
            </w:r>
          </w:p>
        </w:tc>
        <w:tc>
          <w:tcPr>
            <w:tcW w:w="1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8"/>
              </w:rPr>
              <w:t>Amortization</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212"/>
        </w:trPr>
        <w:tc>
          <w:tcPr>
            <w:tcW w:w="2180" w:type="dxa"/>
            <w:vAlign w:val="bottom"/>
            <w:shd w:val="clear" w:color="auto" w:fill="CFF0FC"/>
          </w:tcPr>
          <w:p>
            <w:pPr>
              <w:spacing w:after="0"/>
              <w:rPr>
                <w:sz w:val="20"/>
                <w:szCs w:val="20"/>
                <w:color w:val="auto"/>
              </w:rPr>
            </w:pPr>
            <w:r>
              <w:rPr>
                <w:rFonts w:ascii="Arial" w:cs="Arial" w:eastAsia="Arial" w:hAnsi="Arial"/>
                <w:sz w:val="17"/>
                <w:szCs w:val="17"/>
                <w:color w:val="auto"/>
              </w:rPr>
              <w:t>Customer relations</w:t>
            </w:r>
          </w:p>
        </w:tc>
        <w:tc>
          <w:tcPr>
            <w:tcW w:w="15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8"/>
              </w:rPr>
              <w:t>15 Years</w:t>
            </w:r>
          </w:p>
        </w:tc>
        <w:tc>
          <w:tcPr>
            <w:tcW w:w="1080" w:type="dxa"/>
            <w:vAlign w:val="bottom"/>
            <w:shd w:val="clear" w:color="auto" w:fill="CFF0FC"/>
          </w:tcPr>
          <w:p>
            <w:pPr>
              <w:jc w:val="right"/>
              <w:ind w:right="92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16</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7"/>
              </w:rPr>
              <w:t>6.25 Years</w:t>
            </w:r>
          </w:p>
        </w:tc>
        <w:tc>
          <w:tcPr>
            <w:tcW w:w="0" w:type="dxa"/>
            <w:vAlign w:val="bottom"/>
          </w:tcPr>
          <w:p>
            <w:pPr>
              <w:spacing w:after="0"/>
              <w:rPr>
                <w:sz w:val="1"/>
                <w:szCs w:val="1"/>
                <w:color w:val="auto"/>
              </w:rPr>
            </w:pPr>
          </w:p>
        </w:tc>
      </w:tr>
      <w:tr>
        <w:trPr>
          <w:trHeight w:val="218"/>
        </w:trPr>
        <w:tc>
          <w:tcPr>
            <w:tcW w:w="2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Patents</w:t>
            </w:r>
          </w:p>
        </w:tc>
        <w:tc>
          <w:tcPr>
            <w:tcW w:w="158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7"/>
                <w:szCs w:val="17"/>
                <w:color w:val="auto"/>
                <w:w w:val="87"/>
              </w:rPr>
              <w:t>Varies</w:t>
            </w: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46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91"/>
              </w:rPr>
              <w:t>Varies</w:t>
            </w:r>
          </w:p>
        </w:tc>
        <w:tc>
          <w:tcPr>
            <w:tcW w:w="0" w:type="dxa"/>
            <w:vAlign w:val="bottom"/>
          </w:tcPr>
          <w:p>
            <w:pPr>
              <w:spacing w:after="0"/>
              <w:rPr>
                <w:sz w:val="1"/>
                <w:szCs w:val="1"/>
                <w:color w:val="auto"/>
              </w:rPr>
            </w:pPr>
          </w:p>
        </w:tc>
      </w:tr>
      <w:tr>
        <w:trPr>
          <w:trHeight w:val="212"/>
        </w:trPr>
        <w:tc>
          <w:tcPr>
            <w:tcW w:w="2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16</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740</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components of our purchased intangible assets as of December 30, 2017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4"/>
              </w:rPr>
              <w:t>Useful</w:t>
            </w:r>
          </w:p>
        </w:tc>
        <w:tc>
          <w:tcPr>
            <w:tcW w:w="1060" w:type="dxa"/>
            <w:vAlign w:val="bottom"/>
          </w:tcPr>
          <w:p>
            <w:pPr>
              <w:jc w:val="center"/>
              <w:ind w:left="129"/>
              <w:spacing w:after="0"/>
              <w:rPr>
                <w:sz w:val="20"/>
                <w:szCs w:val="20"/>
                <w:color w:val="auto"/>
              </w:rPr>
            </w:pPr>
            <w:r>
              <w:rPr>
                <w:rFonts w:ascii="Arial" w:cs="Arial" w:eastAsia="Arial" w:hAnsi="Arial"/>
                <w:sz w:val="14"/>
                <w:szCs w:val="14"/>
                <w:b w:val="1"/>
                <w:bCs w:val="1"/>
                <w:color w:val="auto"/>
                <w:w w:val="94"/>
              </w:rPr>
              <w:t>FY 2017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060" w:type="dxa"/>
            <w:vAlign w:val="bottom"/>
          </w:tcPr>
          <w:p>
            <w:pPr>
              <w:jc w:val="center"/>
              <w:ind w:right="183"/>
              <w:spacing w:after="0"/>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60" w:type="dxa"/>
            <w:vAlign w:val="bottom"/>
          </w:tcPr>
          <w:p>
            <w:pPr>
              <w:jc w:val="center"/>
              <w:ind w:left="129"/>
              <w:spacing w:after="0" w:line="142" w:lineRule="exact"/>
              <w:rPr>
                <w:sz w:val="20"/>
                <w:szCs w:val="20"/>
                <w:color w:val="auto"/>
              </w:rPr>
            </w:pPr>
            <w:r>
              <w:rPr>
                <w:rFonts w:ascii="Arial" w:cs="Arial" w:eastAsia="Arial" w:hAnsi="Arial"/>
                <w:sz w:val="14"/>
                <w:szCs w:val="14"/>
                <w:b w:val="1"/>
                <w:bCs w:val="1"/>
                <w:color w:val="auto"/>
                <w:w w:val="88"/>
              </w:rPr>
              <w:t>Annual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63"/>
              <w:spacing w:after="0" w:line="142" w:lineRule="exact"/>
              <w:rPr>
                <w:sz w:val="20"/>
                <w:szCs w:val="20"/>
                <w:color w:val="auto"/>
              </w:rPr>
            </w:pPr>
            <w:r>
              <w:rPr>
                <w:rFonts w:ascii="Arial" w:cs="Arial" w:eastAsia="Arial" w:hAnsi="Arial"/>
                <w:sz w:val="14"/>
                <w:szCs w:val="14"/>
                <w:b w:val="1"/>
                <w:bCs w:val="1"/>
                <w:color w:val="auto"/>
                <w:w w:val="93"/>
              </w:rPr>
              <w:t>Carrying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63"/>
              <w:spacing w:after="0" w:line="142"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Lives</w:t>
            </w:r>
          </w:p>
        </w:tc>
        <w:tc>
          <w:tcPr>
            <w:tcW w:w="1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1"/>
              </w:rPr>
              <w:t>Amortization</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212"/>
        </w:trPr>
        <w:tc>
          <w:tcPr>
            <w:tcW w:w="2240" w:type="dxa"/>
            <w:vAlign w:val="bottom"/>
            <w:shd w:val="clear" w:color="auto" w:fill="CFF0FC"/>
          </w:tcPr>
          <w:p>
            <w:pPr>
              <w:spacing w:after="0"/>
              <w:rPr>
                <w:sz w:val="20"/>
                <w:szCs w:val="20"/>
                <w:color w:val="auto"/>
              </w:rPr>
            </w:pPr>
            <w:r>
              <w:rPr>
                <w:rFonts w:ascii="Arial" w:cs="Arial" w:eastAsia="Arial" w:hAnsi="Arial"/>
                <w:sz w:val="17"/>
                <w:szCs w:val="17"/>
                <w:color w:val="auto"/>
              </w:rPr>
              <w:t>Customer relations</w:t>
            </w:r>
          </w:p>
        </w:tc>
        <w:tc>
          <w:tcPr>
            <w:tcW w:w="156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88"/>
              </w:rPr>
              <w:t>15 Years</w:t>
            </w:r>
          </w:p>
        </w:tc>
        <w:tc>
          <w:tcPr>
            <w:tcW w:w="1060" w:type="dxa"/>
            <w:vAlign w:val="bottom"/>
            <w:shd w:val="clear" w:color="auto" w:fill="CFF0FC"/>
          </w:tcPr>
          <w:p>
            <w:pPr>
              <w:jc w:val="right"/>
              <w:ind w:right="90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16</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7.25 Years</w:t>
            </w:r>
          </w:p>
        </w:tc>
        <w:tc>
          <w:tcPr>
            <w:tcW w:w="0" w:type="dxa"/>
            <w:vAlign w:val="bottom"/>
          </w:tcPr>
          <w:p>
            <w:pPr>
              <w:spacing w:after="0"/>
              <w:rPr>
                <w:sz w:val="1"/>
                <w:szCs w:val="1"/>
                <w:color w:val="auto"/>
              </w:rPr>
            </w:pPr>
          </w:p>
        </w:tc>
      </w:tr>
      <w:tr>
        <w:trPr>
          <w:trHeight w:val="218"/>
        </w:trPr>
        <w:tc>
          <w:tcPr>
            <w:tcW w:w="2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Patents</w:t>
            </w:r>
          </w:p>
        </w:tc>
        <w:tc>
          <w:tcPr>
            <w:tcW w:w="156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7"/>
                <w:szCs w:val="17"/>
                <w:color w:val="auto"/>
                <w:w w:val="91"/>
              </w:rPr>
              <w:t>Varies</w:t>
            </w: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46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87"/>
              </w:rPr>
              <w:t>Varies</w:t>
            </w:r>
          </w:p>
        </w:tc>
        <w:tc>
          <w:tcPr>
            <w:tcW w:w="0" w:type="dxa"/>
            <w:vAlign w:val="bottom"/>
          </w:tcPr>
          <w:p>
            <w:pPr>
              <w:spacing w:after="0"/>
              <w:rPr>
                <w:sz w:val="1"/>
                <w:szCs w:val="1"/>
                <w:color w:val="auto"/>
              </w:rPr>
            </w:pPr>
          </w:p>
        </w:tc>
      </w:tr>
      <w:tr>
        <w:trPr>
          <w:trHeight w:val="212"/>
        </w:trPr>
        <w:tc>
          <w:tcPr>
            <w:tcW w:w="2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0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16</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40" w:firstLine="555"/>
        <w:spacing w:after="0" w:line="279" w:lineRule="auto"/>
        <w:rPr>
          <w:sz w:val="20"/>
          <w:szCs w:val="20"/>
          <w:color w:val="auto"/>
        </w:rPr>
      </w:pPr>
      <w:r>
        <w:rPr>
          <w:rFonts w:ascii="Arial" w:cs="Arial" w:eastAsia="Arial" w:hAnsi="Arial"/>
          <w:sz w:val="17"/>
          <w:szCs w:val="17"/>
          <w:color w:val="auto"/>
        </w:rPr>
        <w:t>Aggregate amortization expense for each of the fiscal years 2018 and 2017 was $16 thousand. The amortization of customer relations was charged to sales and marketing expense and the amortization of patents was charged to cost of revenues.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ind w:left="560"/>
        <w:spacing w:after="0"/>
        <w:rPr>
          <w:sz w:val="20"/>
          <w:szCs w:val="20"/>
          <w:color w:val="auto"/>
        </w:rPr>
      </w:pPr>
      <w:r>
        <w:rPr>
          <w:rFonts w:ascii="Arial" w:cs="Arial" w:eastAsia="Arial" w:hAnsi="Arial"/>
          <w:sz w:val="17"/>
          <w:szCs w:val="17"/>
          <w:color w:val="auto"/>
        </w:rPr>
        <w:t>Estimated future amortization expense for purchased intangible assets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Fiscal Year:</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gridSpan w:val="3"/>
          </w:tcPr>
          <w:p>
            <w:pPr>
              <w:jc w:val="right"/>
              <w:ind w:right="3014"/>
              <w:spacing w:after="0"/>
              <w:rPr>
                <w:sz w:val="20"/>
                <w:szCs w:val="20"/>
                <w:color w:val="auto"/>
              </w:rPr>
            </w:pPr>
            <w:r>
              <w:rPr>
                <w:rFonts w:ascii="Arial" w:cs="Arial" w:eastAsia="Arial" w:hAnsi="Arial"/>
                <w:sz w:val="17"/>
                <w:szCs w:val="17"/>
                <w:color w:val="auto"/>
              </w:rPr>
              <w:t>2019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40" w:type="dxa"/>
            <w:vAlign w:val="bottom"/>
            <w:shd w:val="clear" w:color="auto" w:fill="CFF0FC"/>
          </w:tcPr>
          <w:p>
            <w:pPr>
              <w:jc w:val="right"/>
              <w:ind w:right="3014"/>
              <w:spacing w:after="0"/>
              <w:rPr>
                <w:sz w:val="20"/>
                <w:szCs w:val="20"/>
                <w:color w:val="auto"/>
              </w:rPr>
            </w:pPr>
            <w:r>
              <w:rPr>
                <w:rFonts w:ascii="Arial" w:cs="Arial" w:eastAsia="Arial" w:hAnsi="Arial"/>
                <w:sz w:val="17"/>
                <w:szCs w:val="17"/>
                <w:color w:val="auto"/>
                <w:w w:val="84"/>
              </w:rPr>
              <w:t>2020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gridSpan w:val="3"/>
          </w:tcPr>
          <w:p>
            <w:pPr>
              <w:jc w:val="right"/>
              <w:ind w:right="3014"/>
              <w:spacing w:after="0"/>
              <w:rPr>
                <w:sz w:val="20"/>
                <w:szCs w:val="20"/>
                <w:color w:val="auto"/>
              </w:rPr>
            </w:pPr>
            <w:r>
              <w:rPr>
                <w:rFonts w:ascii="Arial" w:cs="Arial" w:eastAsia="Arial" w:hAnsi="Arial"/>
                <w:sz w:val="17"/>
                <w:szCs w:val="17"/>
                <w:color w:val="auto"/>
              </w:rPr>
              <w:t>2021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40" w:type="dxa"/>
            <w:vAlign w:val="bottom"/>
            <w:shd w:val="clear" w:color="auto" w:fill="CFF0FC"/>
          </w:tcPr>
          <w:p>
            <w:pPr>
              <w:jc w:val="right"/>
              <w:ind w:right="3014"/>
              <w:spacing w:after="0"/>
              <w:rPr>
                <w:sz w:val="20"/>
                <w:szCs w:val="20"/>
                <w:color w:val="auto"/>
              </w:rPr>
            </w:pPr>
            <w:r>
              <w:rPr>
                <w:rFonts w:ascii="Arial" w:cs="Arial" w:eastAsia="Arial" w:hAnsi="Arial"/>
                <w:sz w:val="17"/>
                <w:szCs w:val="17"/>
                <w:color w:val="auto"/>
                <w:w w:val="84"/>
              </w:rPr>
              <w:t>2022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gridSpan w:val="3"/>
          </w:tcPr>
          <w:p>
            <w:pPr>
              <w:jc w:val="right"/>
              <w:ind w:right="3014"/>
              <w:spacing w:after="0"/>
              <w:rPr>
                <w:sz w:val="20"/>
                <w:szCs w:val="20"/>
                <w:color w:val="auto"/>
              </w:rPr>
            </w:pPr>
            <w:r>
              <w:rPr>
                <w:rFonts w:ascii="Arial" w:cs="Arial" w:eastAsia="Arial" w:hAnsi="Arial"/>
                <w:sz w:val="17"/>
                <w:szCs w:val="17"/>
                <w:color w:val="auto"/>
              </w:rPr>
              <w:t>2023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Thereafter</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40" w:type="dxa"/>
            <w:vAlign w:val="bottom"/>
          </w:tcPr>
          <w:p>
            <w:pPr>
              <w:jc w:val="right"/>
              <w:ind w:right="2774"/>
              <w:spacing w:after="0"/>
              <w:rPr>
                <w:sz w:val="20"/>
                <w:szCs w:val="20"/>
                <w:color w:val="auto"/>
              </w:rPr>
            </w:pPr>
            <w:r>
              <w:rPr>
                <w:rFonts w:ascii="Arial" w:cs="Arial" w:eastAsia="Arial" w:hAnsi="Arial"/>
                <w:sz w:val="17"/>
                <w:szCs w:val="17"/>
                <w:color w:val="auto"/>
              </w:rPr>
              <w:t>Total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jc w:val="right"/>
              <w:ind w:right="4134"/>
              <w:spacing w:after="0"/>
              <w:rPr>
                <w:sz w:val="20"/>
                <w:szCs w:val="20"/>
                <w:color w:val="auto"/>
              </w:rPr>
            </w:pPr>
            <w:r>
              <w:rPr>
                <w:rFonts w:ascii="Arial" w:cs="Arial" w:eastAsia="Arial" w:hAnsi="Arial"/>
                <w:sz w:val="17"/>
                <w:szCs w:val="17"/>
                <w:b w:val="1"/>
                <w:bCs w:val="1"/>
                <w:color w:val="auto"/>
                <w:w w:val="87"/>
              </w:rPr>
              <w:t>8. Accrued Expenses</w:t>
            </w: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7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5740" w:type="dxa"/>
            <w:vAlign w:val="bottom"/>
            <w:gridSpan w:val="3"/>
          </w:tcPr>
          <w:p>
            <w:pPr>
              <w:jc w:val="right"/>
              <w:ind w:right="194"/>
              <w:spacing w:after="0"/>
              <w:rPr>
                <w:sz w:val="20"/>
                <w:szCs w:val="20"/>
                <w:color w:val="auto"/>
              </w:rPr>
            </w:pPr>
            <w:r>
              <w:rPr>
                <w:rFonts w:ascii="Arial" w:cs="Arial" w:eastAsia="Arial" w:hAnsi="Arial"/>
                <w:sz w:val="17"/>
                <w:szCs w:val="17"/>
                <w:color w:val="auto"/>
              </w:rPr>
              <w:t>The components of our accrued expenses are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FY 2018</w:t>
            </w:r>
          </w:p>
        </w:tc>
        <w:tc>
          <w:tcPr>
            <w:tcW w:w="180" w:type="dxa"/>
            <w:vAlign w:val="bottom"/>
          </w:tcPr>
          <w:p>
            <w:pPr>
              <w:spacing w:after="0"/>
              <w:rPr>
                <w:sz w:val="24"/>
                <w:szCs w:val="24"/>
                <w:color w:val="auto"/>
              </w:rPr>
            </w:pPr>
          </w:p>
        </w:tc>
        <w:tc>
          <w:tcPr>
            <w:tcW w:w="1600" w:type="dxa"/>
            <w:vAlign w:val="bottom"/>
            <w:gridSpan w:val="3"/>
          </w:tcPr>
          <w:p>
            <w:pPr>
              <w:ind w:left="420"/>
              <w:spacing w:after="0"/>
              <w:rPr>
                <w:sz w:val="20"/>
                <w:szCs w:val="20"/>
                <w:color w:val="auto"/>
              </w:rPr>
            </w:pPr>
            <w:r>
              <w:rPr>
                <w:rFonts w:ascii="Arial" w:cs="Arial" w:eastAsia="Arial" w:hAnsi="Arial"/>
                <w:sz w:val="14"/>
                <w:szCs w:val="14"/>
                <w:b w:val="1"/>
                <w:bCs w:val="1"/>
                <w:color w:val="auto"/>
              </w:rPr>
              <w:t>FY 2017</w:t>
            </w:r>
          </w:p>
        </w:tc>
        <w:tc>
          <w:tcPr>
            <w:tcW w:w="0" w:type="dxa"/>
            <w:vAlign w:val="bottom"/>
          </w:tcPr>
          <w:p>
            <w:pPr>
              <w:spacing w:after="0"/>
              <w:rPr>
                <w:sz w:val="1"/>
                <w:szCs w:val="1"/>
                <w:color w:val="auto"/>
              </w:rPr>
            </w:pPr>
          </w:p>
        </w:tc>
      </w:tr>
      <w:tr>
        <w:trPr>
          <w:trHeight w:val="164"/>
        </w:trPr>
        <w:tc>
          <w:tcPr>
            <w:tcW w:w="1720" w:type="dxa"/>
            <w:vAlign w:val="bottom"/>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34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29, 2018</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w w:val="95"/>
              </w:rPr>
              <w:t>December 30, 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Customer deposits</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671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gridSpan w:val="3"/>
          </w:tcPr>
          <w:p>
            <w:pPr>
              <w:ind w:left="1720"/>
              <w:spacing w:after="0"/>
              <w:rPr>
                <w:sz w:val="20"/>
                <w:szCs w:val="20"/>
                <w:color w:val="auto"/>
              </w:rPr>
            </w:pPr>
            <w:r>
              <w:rPr>
                <w:rFonts w:ascii="Arial" w:cs="Arial" w:eastAsia="Arial" w:hAnsi="Arial"/>
                <w:sz w:val="17"/>
                <w:szCs w:val="17"/>
                <w:color w:val="auto"/>
              </w:rPr>
              <w:t>Earn-out – short term</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334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Distributor commission</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gridSpan w:val="3"/>
          </w:tcPr>
          <w:p>
            <w:pPr>
              <w:ind w:left="1720"/>
              <w:spacing w:after="0"/>
              <w:rPr>
                <w:sz w:val="20"/>
                <w:szCs w:val="20"/>
                <w:color w:val="auto"/>
              </w:rPr>
            </w:pPr>
            <w:r>
              <w:rPr>
                <w:rFonts w:ascii="Arial" w:cs="Arial" w:eastAsia="Arial" w:hAnsi="Arial"/>
                <w:sz w:val="17"/>
                <w:szCs w:val="17"/>
                <w:color w:val="auto"/>
              </w:rPr>
              <w:t>Sales and use tax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Royalties payable</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gridSpan w:val="3"/>
          </w:tcPr>
          <w:p>
            <w:pPr>
              <w:ind w:left="1720"/>
              <w:spacing w:after="0"/>
              <w:rPr>
                <w:sz w:val="20"/>
                <w:szCs w:val="20"/>
                <w:color w:val="auto"/>
              </w:rPr>
            </w:pPr>
            <w:r>
              <w:rPr>
                <w:rFonts w:ascii="Arial" w:cs="Arial" w:eastAsia="Arial" w:hAnsi="Arial"/>
                <w:sz w:val="17"/>
                <w:szCs w:val="17"/>
                <w:color w:val="auto"/>
              </w:rPr>
              <w:t>Deferred rent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accrued expenses</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1,226</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875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40" w:type="dxa"/>
            <w:vAlign w:val="bottom"/>
            <w:gridSpan w:val="3"/>
          </w:tcPr>
          <w:p>
            <w:pPr>
              <w:ind w:left="1720"/>
              <w:spacing w:after="0"/>
              <w:rPr>
                <w:sz w:val="20"/>
                <w:szCs w:val="20"/>
                <w:color w:val="auto"/>
              </w:rPr>
            </w:pPr>
            <w:r>
              <w:rPr>
                <w:rFonts w:ascii="Arial" w:cs="Arial" w:eastAsia="Arial" w:hAnsi="Arial"/>
                <w:sz w:val="17"/>
                <w:szCs w:val="17"/>
                <w:color w:val="auto"/>
              </w:rPr>
              <w:t>Total accrued expenses</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2,763</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2,153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Agreements.</w:t>
      </w:r>
    </w:p>
    <w:p>
      <w:pPr>
        <w:spacing w:after="0" w:line="140" w:lineRule="exact"/>
        <w:rPr>
          <w:sz w:val="20"/>
          <w:szCs w:val="20"/>
          <w:color w:val="auto"/>
        </w:rPr>
      </w:pPr>
    </w:p>
    <w:p>
      <w:pPr>
        <w:ind w:right="240" w:firstLine="555"/>
        <w:spacing w:after="0" w:line="349" w:lineRule="auto"/>
        <w:rPr>
          <w:sz w:val="20"/>
          <w:szCs w:val="20"/>
          <w:color w:val="auto"/>
        </w:rPr>
      </w:pPr>
      <w:r>
        <w:rPr>
          <w:rFonts w:ascii="Arial" w:cs="Arial" w:eastAsia="Arial" w:hAnsi="Arial"/>
          <w:sz w:val="15"/>
          <w:szCs w:val="15"/>
          <w:color w:val="auto"/>
        </w:rPr>
        <w:t>We lease our operating facilities in Mountain View, California, under a non-cancelable operating lease through February 28, 2022. There are no remaining options to extend or renew the terms of this lease. Rent expense for fiscal years 2018 and 2017 was approximately $1.2 million and $1.1 million, respectively.</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operating lease commitments consist of facility and office equipment leases. Future minimum lease payments under current operating leases as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29, 2018 are summarized as follows (in thousands):</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64"/>
        </w:trPr>
        <w:tc>
          <w:tcPr>
            <w:tcW w:w="49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w w:val="96"/>
              </w:rPr>
              <w:t>Lease Payments</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00" w:type="dxa"/>
            <w:vAlign w:val="bottom"/>
            <w:gridSpan w:val="2"/>
          </w:tcPr>
          <w:p>
            <w:pPr>
              <w:spacing w:after="0"/>
              <w:rPr>
                <w:sz w:val="20"/>
                <w:szCs w:val="20"/>
                <w:color w:val="auto"/>
              </w:rPr>
            </w:pPr>
            <w:r>
              <w:rPr>
                <w:rFonts w:ascii="Arial" w:cs="Arial" w:eastAsia="Arial" w:hAnsi="Arial"/>
                <w:sz w:val="17"/>
                <w:szCs w:val="17"/>
                <w:color w:val="auto"/>
              </w:rPr>
              <w:t>Total future minimum lease payments</w:t>
            </w: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Manufacture and Supply Agreement.</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payments for manufacture and supply commitments as of December 29, 2018 are summarized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ind w:right="224"/>
              <w:spacing w:after="0"/>
              <w:rPr>
                <w:sz w:val="20"/>
                <w:szCs w:val="20"/>
                <w:color w:val="auto"/>
              </w:rPr>
            </w:pPr>
            <w:r>
              <w:rPr>
                <w:rFonts w:ascii="Arial" w:cs="Arial" w:eastAsia="Arial" w:hAnsi="Arial"/>
                <w:sz w:val="14"/>
                <w:szCs w:val="14"/>
                <w:b w:val="1"/>
                <w:bCs w:val="1"/>
                <w:color w:val="auto"/>
                <w:w w:val="90"/>
              </w:rPr>
              <w:t>Contract</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244"/>
              <w:spacing w:after="0" w:line="142" w:lineRule="exact"/>
              <w:rPr>
                <w:sz w:val="20"/>
                <w:szCs w:val="20"/>
                <w:color w:val="auto"/>
              </w:rPr>
            </w:pPr>
            <w:r>
              <w:rPr>
                <w:rFonts w:ascii="Arial" w:cs="Arial" w:eastAsia="Arial" w:hAnsi="Arial"/>
                <w:sz w:val="14"/>
                <w:szCs w:val="14"/>
                <w:b w:val="1"/>
                <w:bCs w:val="1"/>
                <w:color w:val="auto"/>
                <w:w w:val="93"/>
              </w:rPr>
              <w:t>Manufacturing</w:t>
            </w: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40" w:type="dxa"/>
            <w:vAlign w:val="bottom"/>
            <w:gridSpan w:val="2"/>
            <w:vMerge w:val="restart"/>
          </w:tcPr>
          <w:p>
            <w:pPr>
              <w:jc w:val="right"/>
              <w:ind w:right="4214"/>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244"/>
              <w:spacing w:after="0" w:line="142" w:lineRule="exact"/>
              <w:rPr>
                <w:sz w:val="20"/>
                <w:szCs w:val="20"/>
                <w:color w:val="auto"/>
              </w:rPr>
            </w:pPr>
            <w:r>
              <w:rPr>
                <w:rFonts w:ascii="Arial" w:cs="Arial" w:eastAsia="Arial" w:hAnsi="Arial"/>
                <w:sz w:val="14"/>
                <w:szCs w:val="14"/>
                <w:b w:val="1"/>
                <w:bCs w:val="1"/>
                <w:color w:val="auto"/>
                <w:w w:val="87"/>
              </w:rPr>
              <w:t>and Supply</w:t>
            </w: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ind w:right="224"/>
              <w:spacing w:after="0"/>
              <w:rPr>
                <w:sz w:val="20"/>
                <w:szCs w:val="20"/>
                <w:color w:val="auto"/>
              </w:rPr>
            </w:pPr>
            <w:r>
              <w:rPr>
                <w:rFonts w:ascii="Arial" w:cs="Arial" w:eastAsia="Arial" w:hAnsi="Arial"/>
                <w:sz w:val="14"/>
                <w:szCs w:val="14"/>
                <w:b w:val="1"/>
                <w:bCs w:val="1"/>
                <w:color w:val="auto"/>
                <w:w w:val="89"/>
              </w:rPr>
              <w:t>Commitments</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tcBorders>
              <w:right w:val="single" w:sz="8" w:color="CFF0FC"/>
            </w:tcBorders>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300" w:type="dxa"/>
            <w:vAlign w:val="bottom"/>
          </w:tcPr>
          <w:p>
            <w:pPr>
              <w:spacing w:after="0"/>
              <w:rPr>
                <w:sz w:val="18"/>
                <w:szCs w:val="18"/>
                <w:color w:val="auto"/>
              </w:rPr>
            </w:pPr>
          </w:p>
        </w:tc>
        <w:tc>
          <w:tcPr>
            <w:tcW w:w="4940" w:type="dxa"/>
            <w:vAlign w:val="bottom"/>
            <w:shd w:val="clear" w:color="auto" w:fill="CFF0FC"/>
          </w:tcPr>
          <w:p>
            <w:pPr>
              <w:jc w:val="right"/>
              <w:ind w:right="4514"/>
              <w:spacing w:after="0"/>
              <w:rPr>
                <w:sz w:val="20"/>
                <w:szCs w:val="20"/>
                <w:color w:val="auto"/>
              </w:rPr>
            </w:pPr>
            <w:r>
              <w:rPr>
                <w:rFonts w:ascii="Arial" w:cs="Arial" w:eastAsia="Arial" w:hAnsi="Arial"/>
                <w:sz w:val="17"/>
                <w:szCs w:val="17"/>
                <w:color w:val="auto"/>
                <w:w w:val="84"/>
              </w:rPr>
              <w:t>2019</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7"/>
                <w:szCs w:val="17"/>
                <w:color w:val="auto"/>
              </w:rPr>
              <w:t>9,035</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gridSpan w:val="2"/>
          </w:tcPr>
          <w:p>
            <w:pPr>
              <w:jc w:val="right"/>
              <w:ind w:right="4514"/>
              <w:spacing w:after="0"/>
              <w:rPr>
                <w:sz w:val="20"/>
                <w:szCs w:val="20"/>
                <w:color w:val="auto"/>
              </w:rPr>
            </w:pPr>
            <w:r>
              <w:rPr>
                <w:rFonts w:ascii="Arial" w:cs="Arial" w:eastAsia="Arial" w:hAnsi="Arial"/>
                <w:sz w:val="17"/>
                <w:szCs w:val="17"/>
                <w:color w:val="auto"/>
              </w:rPr>
              <w:t>2020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7"/>
                <w:szCs w:val="17"/>
                <w:color w:val="auto"/>
              </w:rPr>
              <w:t>1,407</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940" w:type="dxa"/>
            <w:vAlign w:val="bottom"/>
            <w:vMerge w:val="restart"/>
            <w:shd w:val="clear" w:color="auto" w:fill="CFF0FC"/>
          </w:tcPr>
          <w:p>
            <w:pPr>
              <w:jc w:val="right"/>
              <w:ind w:right="1094"/>
              <w:spacing w:after="0"/>
              <w:rPr>
                <w:sz w:val="20"/>
                <w:szCs w:val="20"/>
                <w:color w:val="auto"/>
              </w:rPr>
            </w:pPr>
            <w:r>
              <w:rPr>
                <w:rFonts w:ascii="Arial" w:cs="Arial" w:eastAsia="Arial" w:hAnsi="Arial"/>
                <w:sz w:val="17"/>
                <w:szCs w:val="17"/>
                <w:color w:val="auto"/>
                <w:w w:val="91"/>
              </w:rPr>
              <w:t>Total contract manufacturing and supply commitments</w:t>
            </w: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tcBorders>
              <w:right w:val="single" w:sz="8" w:color="CFF0FC"/>
            </w:tcBorders>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300" w:type="dxa"/>
            <w:vAlign w:val="bottom"/>
          </w:tcPr>
          <w:p>
            <w:pPr>
              <w:spacing w:after="0"/>
              <w:rPr>
                <w:sz w:val="18"/>
                <w:szCs w:val="18"/>
                <w:color w:val="auto"/>
              </w:rPr>
            </w:pPr>
          </w:p>
        </w:tc>
        <w:tc>
          <w:tcPr>
            <w:tcW w:w="4940" w:type="dxa"/>
            <w:vAlign w:val="bottom"/>
            <w:vMerge w:val="continue"/>
            <w:shd w:val="clear" w:color="auto" w:fill="CFF0FC"/>
          </w:tcPr>
          <w:p>
            <w:pPr>
              <w:spacing w:after="0"/>
              <w:rPr>
                <w:sz w:val="18"/>
                <w:szCs w:val="18"/>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7"/>
                <w:szCs w:val="17"/>
                <w:color w:val="auto"/>
              </w:rPr>
              <w:t>10,442</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4940" w:type="dxa"/>
            <w:vAlign w:val="bottom"/>
            <w:tcBorders>
              <w:top w:val="single" w:sz="8" w:color="CFF0FC"/>
              <w:bottom w:val="single" w:sz="8" w:color="CFF0FC"/>
            </w:tcBorders>
            <w:vMerge w:val="restart"/>
          </w:tcPr>
          <w:p>
            <w:pPr>
              <w:jc w:val="right"/>
              <w:ind w:right="1354"/>
              <w:spacing w:after="0"/>
              <w:rPr>
                <w:sz w:val="20"/>
                <w:szCs w:val="20"/>
                <w:color w:val="auto"/>
              </w:rPr>
            </w:pPr>
            <w:r>
              <w:rPr>
                <w:rFonts w:ascii="Arial" w:cs="Arial" w:eastAsia="Arial" w:hAnsi="Arial"/>
                <w:sz w:val="17"/>
                <w:szCs w:val="17"/>
                <w:color w:val="auto"/>
              </w:rPr>
              <w:t>55</w:t>
            </w: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300" w:type="dxa"/>
            <w:vAlign w:val="bottom"/>
            <w:vMerge w:val="continue"/>
          </w:tcPr>
          <w:p>
            <w:pPr>
              <w:spacing w:after="0"/>
              <w:rPr>
                <w:sz w:val="24"/>
                <w:szCs w:val="24"/>
                <w:color w:val="auto"/>
              </w:rPr>
            </w:pPr>
          </w:p>
        </w:tc>
        <w:tc>
          <w:tcPr>
            <w:tcW w:w="4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300" w:type="dxa"/>
            <w:vAlign w:val="bottom"/>
            <w:tcBorders>
              <w:bottom w:val="single" w:sz="8" w:color="9A9A9A"/>
            </w:tcBorders>
          </w:tcPr>
          <w:p>
            <w:pPr>
              <w:spacing w:after="0"/>
              <w:rPr>
                <w:sz w:val="9"/>
                <w:szCs w:val="9"/>
                <w:color w:val="auto"/>
              </w:rPr>
            </w:pPr>
          </w:p>
        </w:tc>
        <w:tc>
          <w:tcPr>
            <w:tcW w:w="4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230" w:right="19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color w:val="auto"/>
        </w:rPr>
        <w:t>License Agreements.</w:t>
      </w:r>
    </w:p>
    <w:p>
      <w:pPr>
        <w:spacing w:after="0" w:line="114" w:lineRule="exact"/>
        <w:rPr>
          <w:sz w:val="20"/>
          <w:szCs w:val="20"/>
          <w:color w:val="auto"/>
        </w:rPr>
      </w:pPr>
    </w:p>
    <w:p>
      <w:pPr>
        <w:ind w:right="100" w:firstLine="555"/>
        <w:spacing w:after="0" w:line="349" w:lineRule="auto"/>
        <w:rPr>
          <w:sz w:val="20"/>
          <w:szCs w:val="20"/>
          <w:color w:val="auto"/>
        </w:rPr>
      </w:pPr>
      <w:r>
        <w:rPr>
          <w:rFonts w:ascii="Arial" w:cs="Arial" w:eastAsia="Arial" w:hAnsi="Arial"/>
          <w:sz w:val="15"/>
          <w:szCs w:val="15"/>
          <w:color w:val="auto"/>
        </w:rPr>
        <w:t>We are obligated to pay royalties equivalent to 5% of sales on certain products under certain license agreements with termination dates as early as the end of 2018 and as late as the end of 2021. Royalty expense, charged to cost of revenues, was approximately $0.3 million for each of the fiscal years 2018 and 2017.</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Indemnification Arrangements</w:t>
      </w:r>
      <w:r>
        <w:rPr>
          <w:rFonts w:ascii="Arial" w:cs="Arial" w:eastAsia="Arial" w:hAnsi="Arial"/>
          <w:sz w:val="17"/>
          <w:szCs w:val="17"/>
          <w:color w:val="auto"/>
        </w:rPr>
        <w:t>.</w:t>
      </w:r>
    </w:p>
    <w:p>
      <w:pPr>
        <w:spacing w:after="0" w:line="114" w:lineRule="exact"/>
        <w:rPr>
          <w:sz w:val="20"/>
          <w:szCs w:val="20"/>
          <w:color w:val="auto"/>
        </w:rPr>
      </w:pPr>
    </w:p>
    <w:p>
      <w:pPr>
        <w:ind w:right="20" w:firstLine="555"/>
        <w:spacing w:after="0" w:line="258" w:lineRule="auto"/>
        <w:rPr>
          <w:sz w:val="20"/>
          <w:szCs w:val="20"/>
          <w:color w:val="auto"/>
        </w:rPr>
      </w:pPr>
      <w:r>
        <w:rPr>
          <w:rFonts w:ascii="Arial" w:cs="Arial" w:eastAsia="Arial" w:hAnsi="Arial"/>
          <w:sz w:val="17"/>
          <w:szCs w:val="17"/>
          <w:color w:val="auto"/>
        </w:rPr>
        <w:t>We enter into standard indemnification arrangements in our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80" w:lineRule="exact"/>
        <w:rPr>
          <w:sz w:val="20"/>
          <w:szCs w:val="20"/>
          <w:color w:val="auto"/>
        </w:rPr>
      </w:pPr>
    </w:p>
    <w:p>
      <w:pPr>
        <w:ind w:right="40" w:firstLine="555"/>
        <w:spacing w:after="0" w:line="307" w:lineRule="auto"/>
        <w:rPr>
          <w:sz w:val="20"/>
          <w:szCs w:val="20"/>
          <w:color w:val="auto"/>
        </w:rPr>
      </w:pPr>
      <w:r>
        <w:rPr>
          <w:rFonts w:ascii="Arial" w:cs="Arial" w:eastAsia="Arial" w:hAnsi="Arial"/>
          <w:sz w:val="15"/>
          <w:szCs w:val="15"/>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114" w:lineRule="exact"/>
        <w:rPr>
          <w:sz w:val="20"/>
          <w:szCs w:val="20"/>
          <w:color w:val="auto"/>
        </w:rPr>
      </w:pPr>
    </w:p>
    <w:p>
      <w:pPr>
        <w:ind w:right="80" w:firstLine="555"/>
        <w:spacing w:after="0" w:line="279" w:lineRule="auto"/>
        <w:rPr>
          <w:sz w:val="20"/>
          <w:szCs w:val="20"/>
          <w:color w:val="auto"/>
        </w:rPr>
      </w:pPr>
      <w:r>
        <w:rPr>
          <w:rFonts w:ascii="Arial" w:cs="Arial" w:eastAsia="Arial" w:hAnsi="Arial"/>
          <w:sz w:val="16"/>
          <w:szCs w:val="16"/>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 Quantel has infringed 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w:t>
      </w:r>
    </w:p>
    <w:p>
      <w:pPr>
        <w:spacing w:after="0" w:line="65" w:lineRule="exact"/>
        <w:rPr>
          <w:sz w:val="20"/>
          <w:szCs w:val="20"/>
          <w:color w:val="auto"/>
        </w:rPr>
      </w:pPr>
    </w:p>
    <w:p>
      <w:pPr>
        <w:jc w:val="both"/>
        <w:ind w:right="60" w:firstLine="555"/>
        <w:spacing w:after="0" w:line="262" w:lineRule="auto"/>
        <w:rPr>
          <w:sz w:val="20"/>
          <w:szCs w:val="20"/>
          <w:color w:val="auto"/>
        </w:rPr>
      </w:pPr>
      <w:r>
        <w:rPr>
          <w:rFonts w:ascii="Arial" w:cs="Arial" w:eastAsia="Arial" w:hAnsi="Arial"/>
          <w:sz w:val="17"/>
          <w:szCs w:val="17"/>
          <w:color w:val="auto"/>
        </w:rPr>
        <w:t>In March 2017, OD-OS GmbH noticed an opposition to the Company’s European Patent No. currently EP 1 856 774 at the European Patent Office (“EPO”). On June 8, 2018, Quantel intervened in the Opposition. Oral proceedings on the opposition took place on July 13, 2018. At the conclusion of those proceedings, the EPO’s Opposition Division communicated that it would move to revoke the patent. The formal written decision from the Opposition Division was issued on October 1, 2018. The Company filed its notice of appeal on October 10, 2018.</w:t>
      </w:r>
    </w:p>
    <w:p>
      <w:pPr>
        <w:spacing w:after="0" w:line="75" w:lineRule="exact"/>
        <w:rPr>
          <w:sz w:val="20"/>
          <w:szCs w:val="20"/>
          <w:color w:val="auto"/>
        </w:rPr>
      </w:pPr>
    </w:p>
    <w:p>
      <w:pPr>
        <w:ind w:right="500" w:firstLine="555"/>
        <w:spacing w:after="0" w:line="279" w:lineRule="auto"/>
        <w:rPr>
          <w:sz w:val="20"/>
          <w:szCs w:val="20"/>
          <w:color w:val="auto"/>
        </w:rPr>
      </w:pPr>
      <w:r>
        <w:rPr>
          <w:rFonts w:ascii="Arial" w:cs="Arial" w:eastAsia="Arial" w:hAnsi="Arial"/>
          <w:sz w:val="17"/>
          <w:szCs w:val="17"/>
          <w:color w:val="auto"/>
        </w:rPr>
        <w:t>In late May of 2018, Quantel applied to the Paris District Court in Paris, France for a ruling that its products do not infringe the French Part of Iridex’s European Patent at issue in the opposition, EP 1 856 774.</w:t>
      </w:r>
    </w:p>
    <w:p>
      <w:pPr>
        <w:spacing w:after="0" w:line="61"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On February 12, 2019, we announced the resolution of our dispute with Quantel and dismissed the lawsuit we filed against Quantel in the U.S. District Court for the Northern District of California. Quantel dismissed and ceased its participation in parallel proceedings against us in Europe.</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from time to time, we may be involved in legal proceedings arising in the ordinary course of business.</w:t>
      </w:r>
    </w:p>
    <w:p>
      <w:pPr>
        <w:spacing w:after="0" w:line="114" w:lineRule="exact"/>
        <w:rPr>
          <w:sz w:val="20"/>
          <w:szCs w:val="20"/>
          <w:color w:val="auto"/>
        </w:rPr>
      </w:pPr>
    </w:p>
    <w:p>
      <w:pPr>
        <w:jc w:val="both"/>
        <w:ind w:firstLine="555"/>
        <w:spacing w:after="0" w:line="262" w:lineRule="auto"/>
        <w:rPr>
          <w:sz w:val="20"/>
          <w:szCs w:val="20"/>
          <w:color w:val="auto"/>
        </w:rPr>
      </w:pPr>
      <w:r>
        <w:rPr>
          <w:rFonts w:ascii="Arial" w:cs="Arial" w:eastAsia="Arial" w:hAnsi="Arial"/>
          <w:sz w:val="17"/>
          <w:szCs w:val="17"/>
          <w:color w:val="auto"/>
        </w:rPr>
        <w:t>In general, management believes that claims which are pending or known to be threatened, will not have a material adverse effect on our financial position or results of operations and are adequately covered by our liability insurance. However, it is possible that cash flows or results of operations could be materially affected in any particular period by the unfavorable resolution of one of more of these contingencies or because of the diversion of management’s attention and the incurrence of significant expenses.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Equity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1998 Stock Plan.</w:t>
      </w:r>
    </w:p>
    <w:p>
      <w:pPr>
        <w:spacing w:after="0" w:line="114" w:lineRule="exact"/>
        <w:rPr>
          <w:sz w:val="20"/>
          <w:szCs w:val="20"/>
          <w:color w:val="auto"/>
        </w:rPr>
      </w:pPr>
    </w:p>
    <w:p>
      <w:pPr>
        <w:ind w:right="20" w:firstLine="555"/>
        <w:spacing w:after="0" w:line="259" w:lineRule="auto"/>
        <w:rPr>
          <w:sz w:val="20"/>
          <w:szCs w:val="20"/>
          <w:color w:val="auto"/>
        </w:rPr>
      </w:pPr>
      <w:r>
        <w:rPr>
          <w:rFonts w:ascii="Arial" w:cs="Arial" w:eastAsia="Arial" w:hAnsi="Arial"/>
          <w:sz w:val="17"/>
          <w:szCs w:val="17"/>
          <w:color w:val="auto"/>
        </w:rPr>
        <w:t>The 1998 Stock Plan (the “1998 Plan”), as amended, provides for the granting to employees (including officers and non-employee directors) of incentive stock options and for the granting to employees (including officers and non-employee directors) and consultants of nonstatutory stock options, stock purchase rights (“SPRs”), restricted stock, restricted stock units (“RSUs”), performance shares, performance units and stock appreciation rights. The exercise price of incentive stock options and stock appreciation rights granted under the 1998 Plan must be at least equal to the fair market value of the shares at the time of grant. With respect to any recipient who owns stock possessing more than 10% of the voting power of our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6" w:name="page57"/>
    <w:bookmarkEnd w:id="56"/>
    <w:p>
      <w:pPr>
        <w:spacing w:after="0" w:line="280" w:lineRule="auto"/>
        <w:rPr>
          <w:sz w:val="20"/>
          <w:szCs w:val="20"/>
          <w:color w:val="auto"/>
        </w:rPr>
      </w:pPr>
      <w:r>
        <w:rPr>
          <w:rFonts w:ascii="Arial" w:cs="Arial" w:eastAsia="Arial" w:hAnsi="Arial"/>
          <w:sz w:val="16"/>
          <w:szCs w:val="16"/>
          <w:color w:val="auto"/>
        </w:rPr>
        <w:t>outstanding capital stock, the exercise price of any option or SPR granted must be at least equal to 110% of the fair market value at the time of grant. Options granted under the 1998 Plan are exercisable at such times and under such conditions as determined by the administrator; generally over a four year period. The maximum term of incentive stock options granted to any recipient must not exceed ten years; provided, however, that the maximum term of an incentive stock option granted to any recipient possessing more than 10% of the voting power of our outstanding capital stock must not exceed five years. In the case of SPRs, unless the administrator determines otherwise, we have a repurchase option exercisable upon the voluntary or involuntary termination of the purchaser’s employment with us for any reason (including death or disability). Such repurchase option lapses at a rate determined by the administrator. The purchase price for shares repurchased is the original price paid by the purchaser. The form of consideration for exercising an option or stock purchase right, including the method of payment, is determined by the administrator. The 1998 Plan expired in February 2008.</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2008 Equity Incentive Plan.</w:t>
      </w:r>
    </w:p>
    <w:p>
      <w:pPr>
        <w:spacing w:after="0" w:line="114" w:lineRule="exact"/>
        <w:rPr>
          <w:sz w:val="20"/>
          <w:szCs w:val="20"/>
          <w:color w:val="auto"/>
        </w:rPr>
      </w:pPr>
    </w:p>
    <w:p>
      <w:pPr>
        <w:ind w:firstLine="555"/>
        <w:spacing w:after="0" w:line="277" w:lineRule="auto"/>
        <w:rPr>
          <w:sz w:val="20"/>
          <w:szCs w:val="20"/>
          <w:color w:val="auto"/>
        </w:rPr>
      </w:pPr>
      <w:r>
        <w:rPr>
          <w:rFonts w:ascii="Arial" w:cs="Arial" w:eastAsia="Arial" w:hAnsi="Arial"/>
          <w:sz w:val="16"/>
          <w:szCs w:val="16"/>
          <w:color w:val="auto"/>
        </w:rPr>
        <w:t>On June 11, 2008, the shareholders approved the adoption of the 2008 Equity Incentive Plan, (the “Incentive Plan”). There are no material changes in the Incentive Plan from the 1998 Plan. In 2014, the stockholders approved an amendment to the Incentive Plan for purposes of complying with Section 162(m) of the Internal Revenue Code of 1986, as amended, to increase the share reserve under the Incentive Plan, and to make certain other amendments to the terms of the Incentive Plan. The maximum aggregate number of shares that may be awarded and sold under the Incentive Plan is 2,850,000 shares plus any shares subject to stock options or similar awards granted under the 1998 Plan that expire or otherwise terminate without having been exercised in full and shares issued pursuant to awards granted under the 1998 Plan that are forfeited to us on or after February 23, 2008, which was the date the 1998 Plan expired.</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represents the shares activity and the total number of shares available for grant under the Incentive Plan:</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Shares</w:t>
            </w:r>
          </w:p>
        </w:tc>
      </w:tr>
      <w:tr>
        <w:trPr>
          <w:trHeight w:val="142"/>
        </w:trPr>
        <w:tc>
          <w:tcPr>
            <w:tcW w:w="7900" w:type="dxa"/>
            <w:vAlign w:val="bottom"/>
          </w:tcPr>
          <w:p>
            <w:pPr>
              <w:spacing w:after="0"/>
              <w:rPr>
                <w:sz w:val="12"/>
                <w:szCs w:val="12"/>
                <w:color w:val="auto"/>
              </w:rPr>
            </w:pPr>
          </w:p>
        </w:tc>
        <w:tc>
          <w:tcPr>
            <w:tcW w:w="12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7"/>
              </w:rPr>
              <w:t>Available</w:t>
            </w:r>
          </w:p>
        </w:tc>
      </w:tr>
      <w:tr>
        <w:trPr>
          <w:trHeight w:val="164"/>
        </w:trPr>
        <w:tc>
          <w:tcPr>
            <w:tcW w:w="790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for Grant</w:t>
            </w:r>
          </w:p>
        </w:tc>
      </w:tr>
      <w:tr>
        <w:trPr>
          <w:trHeight w:val="212"/>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Balances as of December 31, 2016</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162,155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8"/>
        </w:trPr>
        <w:tc>
          <w:tcPr>
            <w:tcW w:w="7900" w:type="dxa"/>
            <w:vAlign w:val="bottom"/>
          </w:tcPr>
          <w:p>
            <w:pPr>
              <w:spacing w:after="0"/>
              <w:rPr>
                <w:sz w:val="20"/>
                <w:szCs w:val="20"/>
                <w:color w:val="auto"/>
              </w:rPr>
            </w:pPr>
            <w:r>
              <w:rPr>
                <w:rFonts w:ascii="Arial" w:cs="Arial" w:eastAsia="Arial" w:hAnsi="Arial"/>
                <w:sz w:val="17"/>
                <w:szCs w:val="17"/>
                <w:color w:val="auto"/>
              </w:rPr>
              <w:t>Additional shares reserved</w:t>
            </w:r>
          </w:p>
        </w:tc>
        <w:tc>
          <w:tcPr>
            <w:tcW w:w="1120" w:type="dxa"/>
            <w:vAlign w:val="bottom"/>
          </w:tcPr>
          <w:p>
            <w:pPr>
              <w:jc w:val="right"/>
              <w:spacing w:after="0"/>
              <w:rPr>
                <w:sz w:val="20"/>
                <w:szCs w:val="20"/>
                <w:color w:val="auto"/>
              </w:rPr>
            </w:pPr>
            <w:r>
              <w:rPr>
                <w:rFonts w:ascii="Arial" w:cs="Arial" w:eastAsia="Arial" w:hAnsi="Arial"/>
                <w:sz w:val="17"/>
                <w:szCs w:val="17"/>
                <w:color w:val="auto"/>
              </w:rPr>
              <w:t>650,000</w:t>
            </w:r>
          </w:p>
        </w:tc>
        <w:tc>
          <w:tcPr>
            <w:tcW w:w="100" w:type="dxa"/>
            <w:vAlign w:val="bottom"/>
          </w:tcPr>
          <w:p>
            <w:pPr>
              <w:spacing w:after="0"/>
              <w:rPr>
                <w:sz w:val="18"/>
                <w:szCs w:val="18"/>
                <w:color w:val="auto"/>
              </w:rPr>
            </w:pPr>
          </w:p>
        </w:tc>
      </w:tr>
      <w:tr>
        <w:trPr>
          <w:trHeight w:val="220"/>
        </w:trPr>
        <w:tc>
          <w:tcPr>
            <w:tcW w:w="7900" w:type="dxa"/>
            <w:vAlign w:val="bottom"/>
            <w:shd w:val="clear" w:color="auto" w:fill="CFF0FC"/>
          </w:tcPr>
          <w:p>
            <w:pPr>
              <w:spacing w:after="0"/>
              <w:rPr>
                <w:sz w:val="20"/>
                <w:szCs w:val="20"/>
                <w:color w:val="auto"/>
              </w:rPr>
            </w:pPr>
            <w:r>
              <w:rPr>
                <w:rFonts w:ascii="Arial" w:cs="Arial" w:eastAsia="Arial" w:hAnsi="Arial"/>
                <w:sz w:val="17"/>
                <w:szCs w:val="17"/>
                <w:color w:val="auto"/>
              </w:rPr>
              <w:t>Options granted</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(524,400)</w:t>
            </w:r>
          </w:p>
        </w:tc>
      </w:tr>
      <w:tr>
        <w:trPr>
          <w:trHeight w:val="218"/>
        </w:trPr>
        <w:tc>
          <w:tcPr>
            <w:tcW w:w="7900" w:type="dxa"/>
            <w:vAlign w:val="bottom"/>
          </w:tcPr>
          <w:p>
            <w:pPr>
              <w:spacing w:after="0"/>
              <w:rPr>
                <w:sz w:val="20"/>
                <w:szCs w:val="20"/>
                <w:color w:val="auto"/>
              </w:rPr>
            </w:pPr>
            <w:r>
              <w:rPr>
                <w:rFonts w:ascii="Arial" w:cs="Arial" w:eastAsia="Arial" w:hAnsi="Arial"/>
                <w:sz w:val="17"/>
                <w:szCs w:val="17"/>
                <w:color w:val="auto"/>
              </w:rPr>
              <w:t>Restricted stock granted</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(212,538)</w:t>
            </w:r>
          </w:p>
        </w:tc>
      </w:tr>
      <w:tr>
        <w:trPr>
          <w:trHeight w:val="220"/>
        </w:trPr>
        <w:tc>
          <w:tcPr>
            <w:tcW w:w="7900" w:type="dxa"/>
            <w:vAlign w:val="bottom"/>
            <w:shd w:val="clear" w:color="auto" w:fill="CFF0FC"/>
          </w:tcPr>
          <w:p>
            <w:pPr>
              <w:spacing w:after="0"/>
              <w:rPr>
                <w:sz w:val="20"/>
                <w:szCs w:val="20"/>
                <w:color w:val="auto"/>
              </w:rPr>
            </w:pPr>
            <w:r>
              <w:rPr>
                <w:rFonts w:ascii="Arial" w:cs="Arial" w:eastAsia="Arial" w:hAnsi="Arial"/>
                <w:sz w:val="17"/>
                <w:szCs w:val="17"/>
                <w:color w:val="auto"/>
              </w:rPr>
              <w:t>Options cancelled</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73,694</w:t>
            </w:r>
          </w:p>
        </w:tc>
        <w:tc>
          <w:tcPr>
            <w:tcW w:w="100" w:type="dxa"/>
            <w:vAlign w:val="bottom"/>
            <w:shd w:val="clear" w:color="auto" w:fill="CFF0FC"/>
          </w:tcPr>
          <w:p>
            <w:pPr>
              <w:spacing w:after="0"/>
              <w:rPr>
                <w:sz w:val="19"/>
                <w:szCs w:val="19"/>
                <w:color w:val="auto"/>
              </w:rPr>
            </w:pPr>
          </w:p>
        </w:tc>
      </w:tr>
      <w:tr>
        <w:trPr>
          <w:trHeight w:val="218"/>
        </w:trPr>
        <w:tc>
          <w:tcPr>
            <w:tcW w:w="7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Awards 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48,059</w:t>
            </w:r>
          </w:p>
        </w:tc>
        <w:tc>
          <w:tcPr>
            <w:tcW w:w="100" w:type="dxa"/>
            <w:vAlign w:val="bottom"/>
            <w:tcBorders>
              <w:bottom w:val="single" w:sz="8" w:color="CFF0FC"/>
            </w:tcBorders>
          </w:tcPr>
          <w:p>
            <w:pPr>
              <w:spacing w:after="0"/>
              <w:rPr>
                <w:sz w:val="18"/>
                <w:szCs w:val="18"/>
                <w:color w:val="auto"/>
              </w:rPr>
            </w:pPr>
          </w:p>
        </w:tc>
      </w:tr>
      <w:tr>
        <w:trPr>
          <w:trHeight w:val="213"/>
        </w:trPr>
        <w:tc>
          <w:tcPr>
            <w:tcW w:w="7900" w:type="dxa"/>
            <w:vAlign w:val="bottom"/>
            <w:shd w:val="clear" w:color="auto" w:fill="CFF0FC"/>
          </w:tcPr>
          <w:p>
            <w:pPr>
              <w:spacing w:after="0"/>
              <w:rPr>
                <w:sz w:val="20"/>
                <w:szCs w:val="20"/>
                <w:color w:val="auto"/>
              </w:rPr>
            </w:pPr>
            <w:r>
              <w:rPr>
                <w:rFonts w:ascii="Arial" w:cs="Arial" w:eastAsia="Arial" w:hAnsi="Arial"/>
                <w:sz w:val="17"/>
                <w:szCs w:val="17"/>
                <w:color w:val="auto"/>
              </w:rPr>
              <w:t>Balances as of December 30, 2017</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196,970</w:t>
            </w:r>
          </w:p>
        </w:tc>
        <w:tc>
          <w:tcPr>
            <w:tcW w:w="100" w:type="dxa"/>
            <w:vAlign w:val="bottom"/>
            <w:shd w:val="clear" w:color="auto" w:fill="CFF0FC"/>
          </w:tcPr>
          <w:p>
            <w:pPr>
              <w:spacing w:after="0"/>
              <w:rPr>
                <w:sz w:val="18"/>
                <w:szCs w:val="18"/>
                <w:color w:val="auto"/>
              </w:rPr>
            </w:pPr>
          </w:p>
        </w:tc>
      </w:tr>
      <w:tr>
        <w:trPr>
          <w:trHeight w:val="218"/>
        </w:trPr>
        <w:tc>
          <w:tcPr>
            <w:tcW w:w="7900" w:type="dxa"/>
            <w:vAlign w:val="bottom"/>
          </w:tcPr>
          <w:p>
            <w:pPr>
              <w:spacing w:after="0"/>
              <w:rPr>
                <w:sz w:val="20"/>
                <w:szCs w:val="20"/>
                <w:color w:val="auto"/>
              </w:rPr>
            </w:pPr>
            <w:r>
              <w:rPr>
                <w:rFonts w:ascii="Arial" w:cs="Arial" w:eastAsia="Arial" w:hAnsi="Arial"/>
                <w:sz w:val="17"/>
                <w:szCs w:val="17"/>
                <w:color w:val="auto"/>
              </w:rPr>
              <w:t>Additional shares reserved</w:t>
            </w:r>
          </w:p>
        </w:tc>
        <w:tc>
          <w:tcPr>
            <w:tcW w:w="1120" w:type="dxa"/>
            <w:vAlign w:val="bottom"/>
          </w:tcPr>
          <w:p>
            <w:pPr>
              <w:jc w:val="right"/>
              <w:spacing w:after="0"/>
              <w:rPr>
                <w:sz w:val="20"/>
                <w:szCs w:val="20"/>
                <w:color w:val="auto"/>
              </w:rPr>
            </w:pPr>
            <w:r>
              <w:rPr>
                <w:rFonts w:ascii="Arial" w:cs="Arial" w:eastAsia="Arial" w:hAnsi="Arial"/>
                <w:sz w:val="17"/>
                <w:szCs w:val="17"/>
                <w:color w:val="auto"/>
              </w:rPr>
              <w:t>1,000,000</w:t>
            </w:r>
          </w:p>
        </w:tc>
        <w:tc>
          <w:tcPr>
            <w:tcW w:w="100" w:type="dxa"/>
            <w:vAlign w:val="bottom"/>
          </w:tcPr>
          <w:p>
            <w:pPr>
              <w:spacing w:after="0"/>
              <w:rPr>
                <w:sz w:val="18"/>
                <w:szCs w:val="18"/>
                <w:color w:val="auto"/>
              </w:rPr>
            </w:pPr>
          </w:p>
        </w:tc>
      </w:tr>
      <w:tr>
        <w:trPr>
          <w:trHeight w:val="220"/>
        </w:trPr>
        <w:tc>
          <w:tcPr>
            <w:tcW w:w="7900" w:type="dxa"/>
            <w:vAlign w:val="bottom"/>
            <w:shd w:val="clear" w:color="auto" w:fill="CFF0FC"/>
          </w:tcPr>
          <w:p>
            <w:pPr>
              <w:spacing w:after="0"/>
              <w:rPr>
                <w:sz w:val="20"/>
                <w:szCs w:val="20"/>
                <w:color w:val="auto"/>
              </w:rPr>
            </w:pPr>
            <w:r>
              <w:rPr>
                <w:rFonts w:ascii="Arial" w:cs="Arial" w:eastAsia="Arial" w:hAnsi="Arial"/>
                <w:sz w:val="17"/>
                <w:szCs w:val="17"/>
                <w:color w:val="auto"/>
              </w:rPr>
              <w:t>Options granted</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(178,435)</w:t>
            </w:r>
          </w:p>
        </w:tc>
      </w:tr>
      <w:tr>
        <w:trPr>
          <w:trHeight w:val="218"/>
        </w:trPr>
        <w:tc>
          <w:tcPr>
            <w:tcW w:w="7900" w:type="dxa"/>
            <w:vAlign w:val="bottom"/>
          </w:tcPr>
          <w:p>
            <w:pPr>
              <w:spacing w:after="0"/>
              <w:rPr>
                <w:sz w:val="20"/>
                <w:szCs w:val="20"/>
                <w:color w:val="auto"/>
              </w:rPr>
            </w:pPr>
            <w:r>
              <w:rPr>
                <w:rFonts w:ascii="Arial" w:cs="Arial" w:eastAsia="Arial" w:hAnsi="Arial"/>
                <w:sz w:val="17"/>
                <w:szCs w:val="17"/>
                <w:color w:val="auto"/>
              </w:rPr>
              <w:t>Restricted stock granted</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(628,125)</w:t>
            </w:r>
          </w:p>
        </w:tc>
      </w:tr>
      <w:tr>
        <w:trPr>
          <w:trHeight w:val="220"/>
        </w:trPr>
        <w:tc>
          <w:tcPr>
            <w:tcW w:w="7900" w:type="dxa"/>
            <w:vAlign w:val="bottom"/>
            <w:shd w:val="clear" w:color="auto" w:fill="CFF0FC"/>
          </w:tcPr>
          <w:p>
            <w:pPr>
              <w:spacing w:after="0"/>
              <w:rPr>
                <w:sz w:val="20"/>
                <w:szCs w:val="20"/>
                <w:color w:val="auto"/>
              </w:rPr>
            </w:pPr>
            <w:r>
              <w:rPr>
                <w:rFonts w:ascii="Arial" w:cs="Arial" w:eastAsia="Arial" w:hAnsi="Arial"/>
                <w:sz w:val="17"/>
                <w:szCs w:val="17"/>
                <w:color w:val="auto"/>
              </w:rPr>
              <w:t>Options cancelled</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166,798</w:t>
            </w:r>
          </w:p>
        </w:tc>
        <w:tc>
          <w:tcPr>
            <w:tcW w:w="100" w:type="dxa"/>
            <w:vAlign w:val="bottom"/>
            <w:shd w:val="clear" w:color="auto" w:fill="CFF0FC"/>
          </w:tcPr>
          <w:p>
            <w:pPr>
              <w:spacing w:after="0"/>
              <w:rPr>
                <w:sz w:val="19"/>
                <w:szCs w:val="19"/>
                <w:color w:val="auto"/>
              </w:rPr>
            </w:pPr>
          </w:p>
        </w:tc>
      </w:tr>
      <w:tr>
        <w:trPr>
          <w:trHeight w:val="218"/>
        </w:trPr>
        <w:tc>
          <w:tcPr>
            <w:tcW w:w="7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Awards 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143,754</w:t>
            </w:r>
          </w:p>
        </w:tc>
        <w:tc>
          <w:tcPr>
            <w:tcW w:w="100" w:type="dxa"/>
            <w:vAlign w:val="bottom"/>
            <w:tcBorders>
              <w:bottom w:val="single" w:sz="8" w:color="CFF0FC"/>
            </w:tcBorders>
          </w:tcPr>
          <w:p>
            <w:pPr>
              <w:spacing w:after="0"/>
              <w:rPr>
                <w:sz w:val="18"/>
                <w:szCs w:val="18"/>
                <w:color w:val="auto"/>
              </w:rPr>
            </w:pPr>
          </w:p>
        </w:tc>
      </w:tr>
      <w:tr>
        <w:trPr>
          <w:trHeight w:val="212"/>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Balances as of December 29, 2018</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700,962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7" w:lineRule="exact"/>
        <w:rPr>
          <w:sz w:val="20"/>
          <w:szCs w:val="20"/>
          <w:color w:val="auto"/>
        </w:rPr>
      </w:pPr>
    </w:p>
    <w:p>
      <w:pPr>
        <w:ind w:left="560" w:right="120"/>
        <w:spacing w:after="0" w:line="227" w:lineRule="auto"/>
        <w:rPr>
          <w:sz w:val="20"/>
          <w:szCs w:val="20"/>
          <w:color w:val="auto"/>
        </w:rPr>
      </w:pPr>
      <w:r>
        <w:rPr>
          <w:rFonts w:ascii="Arial" w:cs="Arial" w:eastAsia="Arial" w:hAnsi="Arial"/>
          <w:sz w:val="14"/>
          <w:szCs w:val="14"/>
          <w:color w:val="auto"/>
        </w:rPr>
        <w:t>Awards (RSU, PSU, RSA) with a per share or unit purchase price lower than 100% of the fair market value of the Company's common stock on the date of grant under the 2008 Equity Incentive Plan, as amended, are counted against shares authorized under the plan as one and one-half shares of common stock for each share. When cancelled, these shares are added back to the Plan as one and one-half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-285750</wp:posOffset>
            </wp:positionV>
            <wp:extent cx="712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58" w:lineRule="exact"/>
        <w:rPr>
          <w:sz w:val="20"/>
          <w:szCs w:val="20"/>
          <w:color w:val="auto"/>
        </w:rPr>
      </w:pPr>
    </w:p>
    <w:p>
      <w:pPr>
        <w:ind w:right="660" w:firstLine="555"/>
        <w:spacing w:after="0" w:line="279" w:lineRule="auto"/>
        <w:rPr>
          <w:sz w:val="20"/>
          <w:szCs w:val="20"/>
          <w:color w:val="auto"/>
        </w:rPr>
      </w:pPr>
      <w:r>
        <w:rPr>
          <w:rFonts w:ascii="Arial" w:cs="Arial" w:eastAsia="Arial" w:hAnsi="Arial"/>
          <w:sz w:val="17"/>
          <w:szCs w:val="17"/>
          <w:color w:val="auto"/>
        </w:rPr>
        <w:t>The following table shows stock-based compensation expenses by functional area in the consolidated statements of operations for 2018 and 2017(in thousands):</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FY 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FY 2017</w:t>
            </w:r>
          </w:p>
        </w:tc>
      </w:tr>
      <w:tr>
        <w:trPr>
          <w:trHeight w:val="155"/>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Year Ended</w:t>
            </w:r>
          </w:p>
        </w:tc>
      </w:tr>
      <w:tr>
        <w:trPr>
          <w:trHeight w:val="164"/>
        </w:trPr>
        <w:tc>
          <w:tcPr>
            <w:tcW w:w="624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29, 2018</w:t>
            </w:r>
          </w:p>
        </w:tc>
        <w:tc>
          <w:tcPr>
            <w:tcW w:w="24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30, 2017</w:t>
            </w:r>
          </w:p>
        </w:tc>
        <w:tc>
          <w:tcPr>
            <w:tcW w:w="100" w:type="dxa"/>
            <w:vAlign w:val="bottom"/>
            <w:tcBorders>
              <w:bottom w:val="single" w:sz="8" w:color="CFF0FC"/>
            </w:tcBorders>
          </w:tcPr>
          <w:p>
            <w:pPr>
              <w:spacing w:after="0"/>
              <w:rPr>
                <w:sz w:val="14"/>
                <w:szCs w:val="14"/>
                <w:color w:val="auto"/>
              </w:rPr>
            </w:pPr>
          </w:p>
        </w:tc>
      </w:tr>
      <w:tr>
        <w:trPr>
          <w:trHeight w:val="212"/>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42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FF0FC"/>
          </w:tcPr>
          <w:p>
            <w:pPr>
              <w:spacing w:after="0"/>
              <w:rPr>
                <w:sz w:val="18"/>
                <w:szCs w:val="18"/>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8"/>
                <w:szCs w:val="18"/>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FF0FC"/>
          </w:tcPr>
          <w:p>
            <w:pPr>
              <w:spacing w:after="0"/>
              <w:rPr>
                <w:sz w:val="19"/>
                <w:szCs w:val="19"/>
                <w:color w:val="auto"/>
              </w:rPr>
            </w:pPr>
          </w:p>
        </w:tc>
      </w:tr>
      <w:tr>
        <w:trPr>
          <w:trHeight w:val="218"/>
        </w:trPr>
        <w:tc>
          <w:tcPr>
            <w:tcW w:w="6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w:t>
            </w:r>
          </w:p>
        </w:tc>
        <w:tc>
          <w:tcPr>
            <w:tcW w:w="100" w:type="dxa"/>
            <w:vAlign w:val="bottom"/>
            <w:tcBorders>
              <w:bottom w:val="single" w:sz="8" w:color="CFF0FC"/>
            </w:tcBorders>
          </w:tcPr>
          <w:p>
            <w:pPr>
              <w:spacing w:after="0"/>
              <w:rPr>
                <w:sz w:val="18"/>
                <w:szCs w:val="18"/>
                <w:color w:val="auto"/>
              </w:rPr>
            </w:pPr>
          </w:p>
        </w:tc>
      </w:tr>
      <w:tr>
        <w:trPr>
          <w:trHeight w:val="212"/>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Total stock-based compensation expense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1,803</w:t>
            </w:r>
          </w:p>
        </w:tc>
        <w:tc>
          <w:tcPr>
            <w:tcW w:w="42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1,922</w:t>
            </w:r>
          </w:p>
        </w:tc>
        <w:tc>
          <w:tcPr>
            <w:tcW w:w="100" w:type="dxa"/>
            <w:vAlign w:val="bottom"/>
            <w:shd w:val="clear" w:color="auto" w:fill="CFF0FC"/>
          </w:tcPr>
          <w:p>
            <w:pPr>
              <w:spacing w:after="0"/>
              <w:rPr>
                <w:sz w:val="18"/>
                <w:szCs w:val="18"/>
                <w:color w:val="auto"/>
              </w:rPr>
            </w:pP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Stock-based compensation expense capitalized to inventory was immaterial for 2018 and 2017.</w:t>
      </w: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57" w:name="page58"/>
    <w:bookmarkEnd w:id="57"/>
    <w:p>
      <w:pPr>
        <w:ind w:right="340" w:firstLine="555"/>
        <w:spacing w:after="0" w:line="279" w:lineRule="auto"/>
        <w:rPr>
          <w:sz w:val="20"/>
          <w:szCs w:val="20"/>
          <w:color w:val="auto"/>
        </w:rPr>
      </w:pPr>
      <w:r>
        <w:rPr>
          <w:rFonts w:ascii="Arial" w:cs="Arial" w:eastAsia="Arial" w:hAnsi="Arial"/>
          <w:sz w:val="17"/>
          <w:szCs w:val="17"/>
          <w:color w:val="auto"/>
        </w:rPr>
        <w:t>As of December 29, 2018, there was $4.8 million of total unrecognized compensation cost related to non-vested share-based compensation arrangements under the Incentive Plan. The cost is expected to be recognized over a weighted average period of 2.38 years.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Stock Options</w:t>
      </w:r>
    </w:p>
    <w:p>
      <w:pPr>
        <w:spacing w:after="0" w:line="120" w:lineRule="exact"/>
        <w:rPr>
          <w:sz w:val="20"/>
          <w:szCs w:val="20"/>
          <w:color w:val="auto"/>
        </w:rPr>
      </w:pPr>
    </w:p>
    <w:p>
      <w:pPr>
        <w:ind w:right="240" w:firstLine="555"/>
        <w:spacing w:after="0" w:line="279" w:lineRule="auto"/>
        <w:rPr>
          <w:sz w:val="20"/>
          <w:szCs w:val="20"/>
          <w:color w:val="auto"/>
        </w:rPr>
      </w:pPr>
      <w:r>
        <w:rPr>
          <w:rFonts w:ascii="Arial" w:cs="Arial" w:eastAsia="Arial" w:hAnsi="Arial"/>
          <w:sz w:val="17"/>
          <w:szCs w:val="17"/>
          <w:color w:val="auto"/>
        </w:rPr>
        <w:t>The following table summarizes information regarding activity in our stock option plans during the fiscal years ended 2018 and 2017 (in thousands except share and per share data):</w:t>
      </w:r>
    </w:p>
    <w:p>
      <w:pPr>
        <w:spacing w:after="0" w:line="232" w:lineRule="exact"/>
        <w:rPr>
          <w:sz w:val="20"/>
          <w:szCs w:val="20"/>
          <w:color w:val="auto"/>
        </w:rPr>
      </w:pPr>
    </w:p>
    <w:tbl>
      <w:tblPr>
        <w:tblLayout w:type="fixed"/>
        <w:tblInd w:w="1160" w:type="dxa"/>
        <w:tblCellMar>
          <w:top w:w="0" w:type="dxa"/>
          <w:left w:w="0" w:type="dxa"/>
          <w:bottom w:w="0" w:type="dxa"/>
          <w:right w:w="0" w:type="dxa"/>
        </w:tblCellMar>
      </w:tblPr>
      <w:tr>
        <w:trPr>
          <w:trHeight w:val="164"/>
        </w:trPr>
        <w:tc>
          <w:tcPr>
            <w:tcW w:w="6240" w:type="dxa"/>
            <w:vAlign w:val="bottom"/>
          </w:tcPr>
          <w:p>
            <w:pPr>
              <w:spacing w:after="0"/>
              <w:rPr>
                <w:sz w:val="14"/>
                <w:szCs w:val="14"/>
                <w:color w:val="auto"/>
              </w:rPr>
            </w:pPr>
          </w:p>
        </w:tc>
        <w:tc>
          <w:tcPr>
            <w:tcW w:w="2880" w:type="dxa"/>
            <w:vAlign w:val="bottom"/>
            <w:gridSpan w:val="5"/>
          </w:tcPr>
          <w:p>
            <w:pPr>
              <w:ind w:left="760"/>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25"/>
        </w:trPr>
        <w:tc>
          <w:tcPr>
            <w:tcW w:w="624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59"/>
              <w:spacing w:after="0" w:line="125"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5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4"/>
        </w:trPr>
        <w:tc>
          <w:tcPr>
            <w:tcW w:w="624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2"/>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Balances as of December 31,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470,985</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Options granted</w:t>
            </w:r>
          </w:p>
        </w:tc>
        <w:tc>
          <w:tcPr>
            <w:tcW w:w="1260" w:type="dxa"/>
            <w:vAlign w:val="bottom"/>
          </w:tcPr>
          <w:p>
            <w:pPr>
              <w:jc w:val="right"/>
              <w:spacing w:after="0"/>
              <w:rPr>
                <w:sz w:val="20"/>
                <w:szCs w:val="20"/>
                <w:color w:val="auto"/>
              </w:rPr>
            </w:pPr>
            <w:r>
              <w:rPr>
                <w:rFonts w:ascii="Arial" w:cs="Arial" w:eastAsia="Arial" w:hAnsi="Arial"/>
                <w:sz w:val="17"/>
                <w:szCs w:val="17"/>
                <w:color w:val="auto"/>
              </w:rPr>
              <w:t>524,400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Options exercised</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(64,380)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Options cancelled or forfeited</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(73,694)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Balances as of December 30,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857,311</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9.49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Options granted</w:t>
            </w:r>
          </w:p>
        </w:tc>
        <w:tc>
          <w:tcPr>
            <w:tcW w:w="1260" w:type="dxa"/>
            <w:vAlign w:val="bottom"/>
          </w:tcPr>
          <w:p>
            <w:pPr>
              <w:jc w:val="right"/>
              <w:spacing w:after="0"/>
              <w:rPr>
                <w:sz w:val="20"/>
                <w:szCs w:val="20"/>
                <w:color w:val="auto"/>
              </w:rPr>
            </w:pPr>
            <w:r>
              <w:rPr>
                <w:rFonts w:ascii="Arial" w:cs="Arial" w:eastAsia="Arial" w:hAnsi="Arial"/>
                <w:sz w:val="17"/>
                <w:szCs w:val="17"/>
                <w:color w:val="auto"/>
              </w:rPr>
              <w:t>178,435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Options exercised</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(24,050)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Options cancelled or forfeited</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(166,798)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Balances as of December 29,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844,898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information with respect to stock options outstanding and exercisable as of December 29,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Options Outstanding</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Options Vested and Exercisable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8"/>
              </w:rPr>
              <w:t>Weighted</w:t>
            </w:r>
          </w:p>
        </w:tc>
        <w:tc>
          <w:tcPr>
            <w:tcW w:w="1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Remaining</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86"/>
              </w:rPr>
              <w:t>Average</w:t>
            </w:r>
          </w:p>
        </w:tc>
        <w:tc>
          <w:tcPr>
            <w:tcW w:w="1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2"/>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83"/>
              </w:rPr>
              <w:t>Exercise</w:t>
            </w:r>
          </w:p>
        </w:tc>
        <w:tc>
          <w:tcPr>
            <w:tcW w:w="1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4"/>
        </w:trPr>
        <w:tc>
          <w:tcPr>
            <w:tcW w:w="2540" w:type="dxa"/>
            <w:vAlign w:val="bottom"/>
            <w:tcBorders>
              <w:bottom w:val="single" w:sz="8" w:color="CFF0FC"/>
            </w:tcBorders>
            <w:gridSpan w:val="2"/>
            <w:vMerge w:val="continue"/>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8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Life (years)</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$3.49 - $5.69</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99,341</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4.77</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5.03</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37,966</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gridSpan w:val="2"/>
          </w:tcPr>
          <w:p>
            <w:pPr>
              <w:spacing w:after="0"/>
              <w:rPr>
                <w:sz w:val="20"/>
                <w:szCs w:val="20"/>
                <w:color w:val="auto"/>
              </w:rPr>
            </w:pPr>
            <w:r>
              <w:rPr>
                <w:rFonts w:ascii="Arial" w:cs="Arial" w:eastAsia="Arial" w:hAnsi="Arial"/>
                <w:sz w:val="17"/>
                <w:szCs w:val="17"/>
                <w:color w:val="auto"/>
              </w:rPr>
              <w:t>$5.81 - $6.00</w:t>
            </w:r>
          </w:p>
        </w:tc>
        <w:tc>
          <w:tcPr>
            <w:tcW w:w="1520" w:type="dxa"/>
            <w:vAlign w:val="bottom"/>
          </w:tcPr>
          <w:p>
            <w:pPr>
              <w:jc w:val="right"/>
              <w:spacing w:after="0"/>
              <w:rPr>
                <w:sz w:val="20"/>
                <w:szCs w:val="20"/>
                <w:color w:val="auto"/>
              </w:rPr>
            </w:pPr>
            <w:r>
              <w:rPr>
                <w:rFonts w:ascii="Arial" w:cs="Arial" w:eastAsia="Arial" w:hAnsi="Arial"/>
                <w:sz w:val="17"/>
                <w:szCs w:val="17"/>
                <w:color w:val="auto"/>
              </w:rPr>
              <w:t>89,926</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5.28</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5.93</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25,390</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$6.30 - $8.47</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85,912</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3.85</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50,582</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20"/>
                <w:szCs w:val="20"/>
                <w:color w:val="auto"/>
              </w:rPr>
            </w:pPr>
            <w:r>
              <w:rPr>
                <w:rFonts w:ascii="Arial" w:cs="Arial" w:eastAsia="Arial" w:hAnsi="Arial"/>
                <w:sz w:val="17"/>
                <w:szCs w:val="17"/>
                <w:color w:val="auto"/>
                <w:w w:val="93"/>
              </w:rPr>
              <w:t>$8.58</w:t>
            </w:r>
          </w:p>
        </w:tc>
        <w:tc>
          <w:tcPr>
            <w:tcW w:w="2120" w:type="dxa"/>
            <w:vAlign w:val="bottom"/>
          </w:tcPr>
          <w:p>
            <w:pPr>
              <w:ind w:left="20"/>
              <w:spacing w:after="0"/>
              <w:rPr>
                <w:sz w:val="20"/>
                <w:szCs w:val="20"/>
                <w:color w:val="auto"/>
              </w:rPr>
            </w:pPr>
            <w:r>
              <w:rPr>
                <w:rFonts w:ascii="Arial" w:cs="Arial" w:eastAsia="Arial" w:hAnsi="Arial"/>
                <w:sz w:val="17"/>
                <w:szCs w:val="17"/>
                <w:color w:val="auto"/>
              </w:rPr>
              <w:t>- $9.05</w:t>
            </w:r>
          </w:p>
        </w:tc>
        <w:tc>
          <w:tcPr>
            <w:tcW w:w="1520" w:type="dxa"/>
            <w:vAlign w:val="bottom"/>
          </w:tcPr>
          <w:p>
            <w:pPr>
              <w:jc w:val="right"/>
              <w:spacing w:after="0"/>
              <w:rPr>
                <w:sz w:val="20"/>
                <w:szCs w:val="20"/>
                <w:color w:val="auto"/>
              </w:rPr>
            </w:pPr>
            <w:r>
              <w:rPr>
                <w:rFonts w:ascii="Arial" w:cs="Arial" w:eastAsia="Arial" w:hAnsi="Arial"/>
                <w:sz w:val="17"/>
                <w:szCs w:val="17"/>
                <w:color w:val="auto"/>
              </w:rPr>
              <w:t>85,874</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4.11</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8.83</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55,959</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0" w:type="dxa"/>
            <w:vAlign w:val="bottom"/>
            <w:shd w:val="clear" w:color="auto" w:fill="CFF0FC"/>
          </w:tcPr>
          <w:p>
            <w:pPr>
              <w:spacing w:after="0"/>
              <w:rPr>
                <w:sz w:val="20"/>
                <w:szCs w:val="20"/>
                <w:color w:val="auto"/>
              </w:rPr>
            </w:pPr>
            <w:r>
              <w:rPr>
                <w:rFonts w:ascii="Arial" w:cs="Arial" w:eastAsia="Arial" w:hAnsi="Arial"/>
                <w:sz w:val="17"/>
                <w:szCs w:val="17"/>
                <w:color w:val="auto"/>
                <w:w w:val="93"/>
              </w:rPr>
              <w:t>$9.34</w:t>
            </w:r>
          </w:p>
        </w:tc>
        <w:tc>
          <w:tcPr>
            <w:tcW w:w="2120" w:type="dxa"/>
            <w:vAlign w:val="bottom"/>
            <w:shd w:val="clear" w:color="auto" w:fill="CFF0FC"/>
          </w:tcPr>
          <w:p>
            <w:pPr>
              <w:ind w:left="20"/>
              <w:spacing w:after="0"/>
              <w:rPr>
                <w:sz w:val="20"/>
                <w:szCs w:val="20"/>
                <w:color w:val="auto"/>
              </w:rPr>
            </w:pPr>
            <w:r>
              <w:rPr>
                <w:rFonts w:ascii="Arial" w:cs="Arial" w:eastAsia="Arial" w:hAnsi="Arial"/>
                <w:sz w:val="17"/>
                <w:szCs w:val="17"/>
                <w:color w:val="auto"/>
              </w:rPr>
              <w:t>- $9.40</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11,875</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9.36</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11,875</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20"/>
                <w:szCs w:val="20"/>
                <w:color w:val="auto"/>
              </w:rPr>
            </w:pPr>
            <w:r>
              <w:rPr>
                <w:rFonts w:ascii="Arial" w:cs="Arial" w:eastAsia="Arial" w:hAnsi="Arial"/>
                <w:sz w:val="17"/>
                <w:szCs w:val="17"/>
                <w:color w:val="auto"/>
                <w:w w:val="93"/>
              </w:rPr>
              <w:t>$9.54</w:t>
            </w:r>
          </w:p>
        </w:tc>
        <w:tc>
          <w:tcPr>
            <w:tcW w:w="2120" w:type="dxa"/>
            <w:vAlign w:val="bottom"/>
          </w:tcPr>
          <w:p>
            <w:pPr>
              <w:ind w:left="20"/>
              <w:spacing w:after="0"/>
              <w:rPr>
                <w:sz w:val="20"/>
                <w:szCs w:val="20"/>
                <w:color w:val="auto"/>
              </w:rPr>
            </w:pPr>
            <w:r>
              <w:rPr>
                <w:rFonts w:ascii="Arial" w:cs="Arial" w:eastAsia="Arial" w:hAnsi="Arial"/>
                <w:sz w:val="17"/>
                <w:szCs w:val="17"/>
                <w:color w:val="auto"/>
              </w:rPr>
              <w:t>- $9.54</w:t>
            </w:r>
          </w:p>
        </w:tc>
        <w:tc>
          <w:tcPr>
            <w:tcW w:w="1520" w:type="dxa"/>
            <w:vAlign w:val="bottom"/>
          </w:tcPr>
          <w:p>
            <w:pPr>
              <w:jc w:val="right"/>
              <w:spacing w:after="0"/>
              <w:rPr>
                <w:sz w:val="20"/>
                <w:szCs w:val="20"/>
                <w:color w:val="auto"/>
              </w:rPr>
            </w:pPr>
            <w:r>
              <w:rPr>
                <w:rFonts w:ascii="Arial" w:cs="Arial" w:eastAsia="Arial" w:hAnsi="Arial"/>
                <w:sz w:val="17"/>
                <w:szCs w:val="17"/>
                <w:color w:val="auto"/>
              </w:rPr>
              <w:t>324,854</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5.08</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9.54</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135,188</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$10.14 - $11.16</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83,853</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3.81</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10.80</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65,004</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40" w:type="dxa"/>
            <w:vAlign w:val="bottom"/>
            <w:gridSpan w:val="2"/>
          </w:tcPr>
          <w:p>
            <w:pPr>
              <w:spacing w:after="0"/>
              <w:rPr>
                <w:sz w:val="20"/>
                <w:szCs w:val="20"/>
                <w:color w:val="auto"/>
              </w:rPr>
            </w:pPr>
            <w:r>
              <w:rPr>
                <w:rFonts w:ascii="Arial" w:cs="Arial" w:eastAsia="Arial" w:hAnsi="Arial"/>
                <w:sz w:val="17"/>
                <w:szCs w:val="17"/>
                <w:color w:val="auto"/>
              </w:rPr>
              <w:t>$12.85 - $12.85</w:t>
            </w:r>
          </w:p>
        </w:tc>
        <w:tc>
          <w:tcPr>
            <w:tcW w:w="1520" w:type="dxa"/>
            <w:vAlign w:val="bottom"/>
          </w:tcPr>
          <w:p>
            <w:pPr>
              <w:jc w:val="right"/>
              <w:spacing w:after="0"/>
              <w:rPr>
                <w:sz w:val="20"/>
                <w:szCs w:val="20"/>
                <w:color w:val="auto"/>
              </w:rPr>
            </w:pPr>
            <w:r>
              <w:rPr>
                <w:rFonts w:ascii="Arial" w:cs="Arial" w:eastAsia="Arial" w:hAnsi="Arial"/>
                <w:sz w:val="17"/>
                <w:szCs w:val="17"/>
                <w:color w:val="auto"/>
              </w:rPr>
              <w:t>15,394</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4.70</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12.85</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8,520</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$14.61 - $14.61</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25,000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5.19</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14.61</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10,939</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$16.29 - $16.29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22,869</w:t>
            </w:r>
          </w:p>
        </w:tc>
        <w:tc>
          <w:tcPr>
            <w:tcW w:w="1800" w:type="dxa"/>
            <w:vAlign w:val="bottom"/>
            <w:tcBorders>
              <w:bottom w:val="single" w:sz="8" w:color="CFF0FC"/>
            </w:tcBorders>
            <w:gridSpan w:val="2"/>
          </w:tcPr>
          <w:p>
            <w:pPr>
              <w:jc w:val="right"/>
              <w:spacing w:after="0"/>
              <w:rPr>
                <w:sz w:val="20"/>
                <w:szCs w:val="20"/>
                <w:color w:val="auto"/>
              </w:rPr>
            </w:pPr>
            <w:r>
              <w:rPr>
                <w:rFonts w:ascii="Arial" w:cs="Arial" w:eastAsia="Arial" w:hAnsi="Arial"/>
                <w:sz w:val="17"/>
                <w:szCs w:val="17"/>
                <w:color w:val="auto"/>
              </w:rPr>
              <w:t>3.18</w:t>
            </w:r>
          </w:p>
        </w:tc>
        <w:tc>
          <w:tcPr>
            <w:tcW w:w="56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16.29</w:t>
            </w:r>
          </w:p>
        </w:tc>
        <w:tc>
          <w:tcPr>
            <w:tcW w:w="26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16,893</w:t>
            </w:r>
          </w:p>
        </w:tc>
        <w:tc>
          <w:tcPr>
            <w:tcW w:w="56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16.29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w w:val="93"/>
              </w:rPr>
              <w:t>$3.49</w:t>
            </w:r>
          </w:p>
        </w:tc>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 $16.29</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844,898</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4.61</w:t>
            </w:r>
          </w:p>
        </w:tc>
        <w:tc>
          <w:tcPr>
            <w:tcW w:w="5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8.84</w:t>
            </w: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418,316</w:t>
            </w:r>
          </w:p>
        </w:tc>
        <w:tc>
          <w:tcPr>
            <w:tcW w:w="5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540" w:firstLine="555"/>
        <w:spacing w:after="0" w:line="279" w:lineRule="auto"/>
        <w:rPr>
          <w:sz w:val="20"/>
          <w:szCs w:val="20"/>
          <w:color w:val="auto"/>
        </w:rPr>
      </w:pPr>
      <w:r>
        <w:rPr>
          <w:rFonts w:ascii="Arial" w:cs="Arial" w:eastAsia="Arial" w:hAnsi="Arial"/>
          <w:sz w:val="17"/>
          <w:szCs w:val="17"/>
          <w:color w:val="auto"/>
        </w:rPr>
        <w:t>The determination of the fair value of options granted is computed using the Black-Scholes option pricing model with the following weighted average assumptions:</w:t>
      </w:r>
    </w:p>
    <w:p>
      <w:pPr>
        <w:spacing w:after="0" w:line="232" w:lineRule="exact"/>
        <w:rPr>
          <w:sz w:val="20"/>
          <w:szCs w:val="20"/>
          <w:color w:val="auto"/>
        </w:rPr>
      </w:pPr>
    </w:p>
    <w:tbl>
      <w:tblPr>
        <w:tblLayout w:type="fixed"/>
        <w:tblInd w:w="1160" w:type="dxa"/>
        <w:tblCellMar>
          <w:top w:w="0" w:type="dxa"/>
          <w:left w:w="0" w:type="dxa"/>
          <w:bottom w:w="0" w:type="dxa"/>
          <w:right w:w="0" w:type="dxa"/>
        </w:tblCellMar>
      </w:tblPr>
      <w:tr>
        <w:trPr>
          <w:trHeight w:val="164"/>
        </w:trPr>
        <w:tc>
          <w:tcPr>
            <w:tcW w:w="6140" w:type="dxa"/>
            <w:vAlign w:val="bottom"/>
          </w:tcPr>
          <w:p>
            <w:pPr>
              <w:spacing w:after="0"/>
              <w:rPr>
                <w:sz w:val="14"/>
                <w:szCs w:val="14"/>
                <w:color w:val="auto"/>
              </w:rPr>
            </w:pPr>
          </w:p>
        </w:tc>
        <w:tc>
          <w:tcPr>
            <w:tcW w:w="29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Employee Stock Option Plan</w:t>
            </w:r>
          </w:p>
        </w:tc>
      </w:tr>
      <w:tr>
        <w:trPr>
          <w:trHeight w:val="148"/>
        </w:trPr>
        <w:tc>
          <w:tcPr>
            <w:tcW w:w="6140" w:type="dxa"/>
            <w:vAlign w:val="bottom"/>
            <w:tcBorders>
              <w:bottom w:val="single" w:sz="8" w:color="CFF0FC"/>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20"/>
              <w:spacing w:after="0" w:line="148" w:lineRule="exact"/>
              <w:rPr>
                <w:sz w:val="20"/>
                <w:szCs w:val="20"/>
                <w:color w:val="auto"/>
              </w:rPr>
            </w:pPr>
            <w:r>
              <w:rPr>
                <w:rFonts w:ascii="Arial" w:cs="Arial" w:eastAsia="Arial" w:hAnsi="Arial"/>
                <w:sz w:val="14"/>
                <w:szCs w:val="14"/>
                <w:b w:val="1"/>
                <w:bCs w:val="1"/>
                <w:color w:val="auto"/>
              </w:rPr>
              <w:t>FY 2018</w:t>
            </w:r>
          </w:p>
        </w:tc>
        <w:tc>
          <w:tcPr>
            <w:tcW w:w="300" w:type="dxa"/>
            <w:vAlign w:val="bottom"/>
            <w:tcBorders>
              <w:top w:val="single" w:sz="8" w:color="auto"/>
              <w:bottom w:val="single" w:sz="8" w:color="CFF0FC"/>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98"/>
              <w:spacing w:after="0" w:line="148" w:lineRule="exact"/>
              <w:rPr>
                <w:sz w:val="20"/>
                <w:szCs w:val="20"/>
                <w:color w:val="auto"/>
              </w:rPr>
            </w:pPr>
            <w:r>
              <w:rPr>
                <w:rFonts w:ascii="Arial" w:cs="Arial" w:eastAsia="Arial" w:hAnsi="Arial"/>
                <w:sz w:val="14"/>
                <w:szCs w:val="14"/>
                <w:b w:val="1"/>
                <w:bCs w:val="1"/>
                <w:color w:val="auto"/>
              </w:rPr>
              <w:t>FY 2017</w:t>
            </w:r>
          </w:p>
        </w:tc>
        <w:tc>
          <w:tcPr>
            <w:tcW w:w="180" w:type="dxa"/>
            <w:vAlign w:val="bottom"/>
            <w:tcBorders>
              <w:bottom w:val="single" w:sz="8" w:color="CFF0FC"/>
            </w:tcBorders>
          </w:tcPr>
          <w:p>
            <w:pPr>
              <w:spacing w:after="0"/>
              <w:rPr>
                <w:sz w:val="12"/>
                <w:szCs w:val="12"/>
                <w:color w:val="auto"/>
              </w:rPr>
            </w:pPr>
          </w:p>
        </w:tc>
      </w:tr>
      <w:tr>
        <w:trPr>
          <w:trHeight w:val="212"/>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Average risk free interest rate</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2.69%</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1.83%</w:t>
            </w:r>
          </w:p>
        </w:tc>
      </w:tr>
      <w:tr>
        <w:trPr>
          <w:trHeight w:val="218"/>
        </w:trPr>
        <w:tc>
          <w:tcPr>
            <w:tcW w:w="6140" w:type="dxa"/>
            <w:vAlign w:val="bottom"/>
          </w:tcPr>
          <w:p>
            <w:pPr>
              <w:spacing w:after="0"/>
              <w:rPr>
                <w:sz w:val="20"/>
                <w:szCs w:val="20"/>
                <w:color w:val="auto"/>
              </w:rPr>
            </w:pPr>
            <w:r>
              <w:rPr>
                <w:rFonts w:ascii="Arial" w:cs="Arial" w:eastAsia="Arial" w:hAnsi="Arial"/>
                <w:sz w:val="17"/>
                <w:szCs w:val="17"/>
                <w:color w:val="auto"/>
              </w:rPr>
              <w:t>Expected life (in years)</w:t>
            </w:r>
          </w:p>
        </w:tc>
        <w:tc>
          <w:tcPr>
            <w:tcW w:w="1560" w:type="dxa"/>
            <w:vAlign w:val="bottom"/>
            <w:gridSpan w:val="2"/>
          </w:tcPr>
          <w:p>
            <w:pPr>
              <w:jc w:val="right"/>
              <w:ind w:right="320"/>
              <w:spacing w:after="0"/>
              <w:rPr>
                <w:sz w:val="20"/>
                <w:szCs w:val="20"/>
                <w:color w:val="auto"/>
              </w:rPr>
            </w:pPr>
            <w:r>
              <w:rPr>
                <w:rFonts w:ascii="Arial" w:cs="Arial" w:eastAsia="Arial" w:hAnsi="Arial"/>
                <w:sz w:val="17"/>
                <w:szCs w:val="17"/>
                <w:color w:val="auto"/>
              </w:rPr>
              <w:t>4.55 years</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4.55 years</w:t>
            </w:r>
          </w:p>
        </w:tc>
      </w:tr>
      <w:tr>
        <w:trPr>
          <w:trHeight w:val="220"/>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Dividend yield</w:t>
            </w: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r>
      <w:tr>
        <w:trPr>
          <w:trHeight w:val="218"/>
        </w:trPr>
        <w:tc>
          <w:tcPr>
            <w:tcW w:w="6140" w:type="dxa"/>
            <w:vAlign w:val="bottom"/>
          </w:tcPr>
          <w:p>
            <w:pPr>
              <w:spacing w:after="0"/>
              <w:rPr>
                <w:sz w:val="20"/>
                <w:szCs w:val="20"/>
                <w:color w:val="auto"/>
              </w:rPr>
            </w:pPr>
            <w:r>
              <w:rPr>
                <w:rFonts w:ascii="Arial" w:cs="Arial" w:eastAsia="Arial" w:hAnsi="Arial"/>
                <w:sz w:val="17"/>
                <w:szCs w:val="17"/>
                <w:color w:val="auto"/>
              </w:rPr>
              <w:t>Average volatility</w:t>
            </w: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40.9%</w:t>
            </w:r>
          </w:p>
        </w:tc>
        <w:tc>
          <w:tcPr>
            <w:tcW w:w="1420" w:type="dxa"/>
            <w:vAlign w:val="bottom"/>
            <w:gridSpan w:val="2"/>
          </w:tcPr>
          <w:p>
            <w:pPr>
              <w:jc w:val="right"/>
              <w:ind w:right="20"/>
              <w:spacing w:after="0"/>
              <w:rPr>
                <w:sz w:val="20"/>
                <w:szCs w:val="20"/>
                <w:color w:val="auto"/>
              </w:rPr>
            </w:pPr>
            <w:r>
              <w:rPr>
                <w:rFonts w:ascii="Arial" w:cs="Arial" w:eastAsia="Arial" w:hAnsi="Arial"/>
                <w:sz w:val="17"/>
                <w:szCs w:val="17"/>
                <w:color w:val="auto"/>
              </w:rPr>
              <w:t>41.8%</w:t>
            </w:r>
          </w:p>
        </w:tc>
      </w:tr>
    </w:tbl>
    <w:p>
      <w:pPr>
        <w:spacing w:after="0" w:line="195" w:lineRule="exact"/>
        <w:rPr>
          <w:sz w:val="20"/>
          <w:szCs w:val="20"/>
          <w:color w:val="auto"/>
        </w:rPr>
      </w:pPr>
    </w:p>
    <w:p>
      <w:pPr>
        <w:ind w:right="360" w:firstLine="555"/>
        <w:spacing w:after="0" w:line="279" w:lineRule="auto"/>
        <w:rPr>
          <w:sz w:val="20"/>
          <w:szCs w:val="20"/>
          <w:color w:val="auto"/>
        </w:rPr>
      </w:pPr>
      <w:r>
        <w:rPr>
          <w:rFonts w:ascii="Arial" w:cs="Arial" w:eastAsia="Arial" w:hAnsi="Arial"/>
          <w:sz w:val="17"/>
          <w:szCs w:val="17"/>
          <w:color w:val="auto"/>
        </w:rPr>
        <w:t>The weighted average grant date fair value of options granted as calculated using the Black-Scholes option pricing was $2.27 and $3.68 per share for the fiscal years 2018 and 2017, respectively.</w:t>
      </w:r>
    </w:p>
    <w:p>
      <w:pPr>
        <w:spacing w:after="0" w:line="61" w:lineRule="exact"/>
        <w:rPr>
          <w:sz w:val="20"/>
          <w:szCs w:val="20"/>
          <w:color w:val="auto"/>
        </w:rPr>
      </w:pPr>
    </w:p>
    <w:p>
      <w:pPr>
        <w:ind w:right="440" w:firstLine="555"/>
        <w:spacing w:after="0" w:line="279" w:lineRule="auto"/>
        <w:rPr>
          <w:sz w:val="20"/>
          <w:szCs w:val="20"/>
          <w:color w:val="auto"/>
        </w:rPr>
      </w:pPr>
      <w:r>
        <w:rPr>
          <w:rFonts w:ascii="Arial" w:cs="Arial" w:eastAsia="Arial" w:hAnsi="Arial"/>
          <w:sz w:val="17"/>
          <w:szCs w:val="17"/>
          <w:color w:val="auto"/>
        </w:rPr>
        <w:t>Option pricing models require the input of various subjective assumptions, including the option’s expected life and the price volatility of the underlying stock. The expected stock price volatility is based on analysis of our stock price history over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58" w:name="page59"/>
    <w:bookmarkEnd w:id="58"/>
    <w:p>
      <w:pPr>
        <w:spacing w:after="0" w:line="279" w:lineRule="auto"/>
        <w:rPr>
          <w:sz w:val="20"/>
          <w:szCs w:val="20"/>
          <w:color w:val="auto"/>
        </w:rPr>
      </w:pPr>
      <w:r>
        <w:rPr>
          <w:rFonts w:ascii="Arial" w:cs="Arial" w:eastAsia="Arial" w:hAnsi="Arial"/>
          <w:sz w:val="16"/>
          <w:szCs w:val="16"/>
          <w:color w:val="auto"/>
        </w:rPr>
        <w:t>a period commensurate with the expected term of the options, trading volume of our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the contractual term, the vesting period and the expected remaining term of the outstanding options. The risk-free interest rate is based on the U.S. Treasury interest rates whose term is consistent with the expected life of the stock options. No dividend yield is included as we have not issued any dividends and does not anticipate issuing any dividends in the future.</w:t>
      </w:r>
    </w:p>
    <w:p>
      <w:pPr>
        <w:spacing w:after="0" w:line="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Information regarding stock options outstanding, exercisable and expected to vest as of December 29, 2018 is summarized below:</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left="231"/>
              <w:spacing w:after="0"/>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left="231"/>
              <w:spacing w:after="0" w:line="142"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44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100" w:type="dxa"/>
            <w:vAlign w:val="bottom"/>
          </w:tcPr>
          <w:p>
            <w:pPr>
              <w:jc w:val="center"/>
              <w:ind w:left="231"/>
              <w:spacing w:after="0" w:line="142" w:lineRule="exact"/>
              <w:rPr>
                <w:sz w:val="20"/>
                <w:szCs w:val="20"/>
                <w:color w:val="auto"/>
              </w:rPr>
            </w:pPr>
            <w:r>
              <w:rPr>
                <w:rFonts w:ascii="Arial" w:cs="Arial" w:eastAsia="Arial" w:hAnsi="Arial"/>
                <w:sz w:val="14"/>
                <w:szCs w:val="14"/>
                <w:b w:val="1"/>
                <w:bCs w:val="1"/>
                <w:color w:val="auto"/>
                <w:w w:val="89"/>
              </w:rPr>
              <w:t>Remaining</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100" w:type="dxa"/>
            <w:vAlign w:val="bottom"/>
          </w:tcPr>
          <w:p>
            <w:pPr>
              <w:jc w:val="center"/>
              <w:ind w:left="251"/>
              <w:spacing w:after="0" w:line="155" w:lineRule="exact"/>
              <w:rPr>
                <w:sz w:val="20"/>
                <w:szCs w:val="20"/>
                <w:color w:val="auto"/>
              </w:rPr>
            </w:pPr>
            <w:r>
              <w:rPr>
                <w:rFonts w:ascii="Arial" w:cs="Arial" w:eastAsia="Arial" w:hAnsi="Arial"/>
                <w:sz w:val="14"/>
                <w:szCs w:val="14"/>
                <w:b w:val="1"/>
                <w:bCs w:val="1"/>
                <w:color w:val="auto"/>
                <w:w w:val="89"/>
              </w:rPr>
              <w:t>Contractual</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4"/>
        </w:trPr>
        <w:tc>
          <w:tcPr>
            <w:tcW w:w="358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ind w:left="231"/>
              <w:spacing w:after="0"/>
              <w:rPr>
                <w:sz w:val="20"/>
                <w:szCs w:val="20"/>
                <w:color w:val="auto"/>
              </w:rPr>
            </w:pPr>
            <w:r>
              <w:rPr>
                <w:rFonts w:ascii="Arial" w:cs="Arial" w:eastAsia="Arial" w:hAnsi="Arial"/>
                <w:sz w:val="14"/>
                <w:szCs w:val="14"/>
                <w:b w:val="1"/>
                <w:bCs w:val="1"/>
                <w:color w:val="auto"/>
                <w:w w:val="90"/>
              </w:rPr>
              <w:t>Life (years)</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Options outstanding</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844,898</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8.84</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0"/>
              </w:rPr>
              <w:t>4.61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Options vested and expected to vest</w:t>
            </w:r>
          </w:p>
        </w:tc>
        <w:tc>
          <w:tcPr>
            <w:tcW w:w="1440" w:type="dxa"/>
            <w:vAlign w:val="bottom"/>
          </w:tcPr>
          <w:p>
            <w:pPr>
              <w:jc w:val="right"/>
              <w:spacing w:after="0"/>
              <w:rPr>
                <w:sz w:val="20"/>
                <w:szCs w:val="20"/>
                <w:color w:val="auto"/>
              </w:rPr>
            </w:pPr>
            <w:r>
              <w:rPr>
                <w:rFonts w:ascii="Arial" w:cs="Arial" w:eastAsia="Arial" w:hAnsi="Arial"/>
                <w:sz w:val="17"/>
                <w:szCs w:val="17"/>
                <w:color w:val="auto"/>
              </w:rPr>
              <w:t>797,921</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8.87</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0"/>
              </w:rPr>
              <w:t>4.53</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Options exercisable</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418,316</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9.12</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0"/>
              </w:rPr>
              <w:t>3.38</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60" w:firstLine="555"/>
        <w:spacing w:after="0" w:line="283"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our closing stock price on the last trading day of fiscal 2018 and the exercise price, multiplied by the number of in-the-money options) that would have been received by the option holders had all option holders exercised their options on December 29, 2018. This amount is subject to change due to changes to the fair market value of our common stock. The total intrinsic value of options exercised for fiscal years 2018 and 2017 was approximately $0.1 million and $0.3 million,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Awards/Restricted Stock Units</w:t>
      </w:r>
    </w:p>
    <w:p>
      <w:pPr>
        <w:spacing w:after="0" w:line="120" w:lineRule="exact"/>
        <w:rPr>
          <w:sz w:val="20"/>
          <w:szCs w:val="20"/>
          <w:color w:val="auto"/>
        </w:rPr>
      </w:pPr>
    </w:p>
    <w:p>
      <w:pPr>
        <w:ind w:right="100" w:firstLine="555"/>
        <w:spacing w:after="0" w:line="262" w:lineRule="auto"/>
        <w:rPr>
          <w:sz w:val="20"/>
          <w:szCs w:val="20"/>
          <w:color w:val="auto"/>
        </w:rPr>
      </w:pPr>
      <w:r>
        <w:rPr>
          <w:rFonts w:ascii="Arial" w:cs="Arial" w:eastAsia="Arial" w:hAnsi="Arial"/>
          <w:sz w:val="17"/>
          <w:szCs w:val="17"/>
          <w:color w:val="auto"/>
        </w:rPr>
        <w:t>Effective for the 2018 fiscal year and thereafter, each non-employee member of the Board of Directors received an annual equity award of either restricted stock or RSU, at the election of such Board member, in each case equal to $40 thousand worth of our common stock (determined at the fair market value of the shares at the time such award is granted) under our Incentive Plan. Each equity award or RSU vests in full on the one-year anniversary of the date of grant provided that the non-employee member continues to serve on the Board through such date.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Restricted Stock Units and Awards</w:t>
      </w:r>
    </w:p>
    <w:p>
      <w:pPr>
        <w:spacing w:after="0" w:line="120" w:lineRule="exact"/>
        <w:rPr>
          <w:sz w:val="20"/>
          <w:szCs w:val="20"/>
          <w:color w:val="auto"/>
        </w:rPr>
      </w:pPr>
    </w:p>
    <w:p>
      <w:pPr>
        <w:ind w:right="320" w:firstLine="555"/>
        <w:spacing w:after="0" w:line="279" w:lineRule="auto"/>
        <w:rPr>
          <w:sz w:val="20"/>
          <w:szCs w:val="20"/>
          <w:color w:val="auto"/>
        </w:rPr>
      </w:pPr>
      <w:r>
        <w:rPr>
          <w:rFonts w:ascii="Arial" w:cs="Arial" w:eastAsia="Arial" w:hAnsi="Arial"/>
          <w:sz w:val="17"/>
          <w:szCs w:val="17"/>
          <w:color w:val="auto"/>
        </w:rPr>
        <w:t>We recognize the estimated compensation expense of restricted stock units and awards, net of estimated forfeitures, over the vesting term. The estimated compensation expense is based on the fair value of our common stock on the date of grant.</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Information regarding the restricted stock units outstanding, vested and expected to vest as of December 29, 2018 is summarized below:</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left="251"/>
              <w:spacing w:after="0"/>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251"/>
              <w:spacing w:after="0" w:line="142"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6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 of</w:t>
            </w:r>
          </w:p>
        </w:tc>
        <w:tc>
          <w:tcPr>
            <w:tcW w:w="1080" w:type="dxa"/>
            <w:vAlign w:val="bottom"/>
          </w:tcPr>
          <w:p>
            <w:pPr>
              <w:jc w:val="center"/>
              <w:ind w:left="251"/>
              <w:spacing w:after="0" w:line="142" w:lineRule="exact"/>
              <w:rPr>
                <w:sz w:val="20"/>
                <w:szCs w:val="20"/>
                <w:color w:val="auto"/>
              </w:rPr>
            </w:pPr>
            <w:r>
              <w:rPr>
                <w:rFonts w:ascii="Arial" w:cs="Arial" w:eastAsia="Arial" w:hAnsi="Arial"/>
                <w:sz w:val="14"/>
                <w:szCs w:val="14"/>
                <w:b w:val="1"/>
                <w:bCs w:val="1"/>
                <w:color w:val="auto"/>
                <w:w w:val="89"/>
              </w:rPr>
              <w:t>Remaining</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80" w:type="dxa"/>
            <w:vAlign w:val="bottom"/>
          </w:tcPr>
          <w:p>
            <w:pPr>
              <w:jc w:val="center"/>
              <w:ind w:left="251"/>
              <w:spacing w:after="0" w:line="142" w:lineRule="exact"/>
              <w:rPr>
                <w:sz w:val="20"/>
                <w:szCs w:val="20"/>
                <w:color w:val="auto"/>
              </w:rPr>
            </w:pPr>
            <w:r>
              <w:rPr>
                <w:rFonts w:ascii="Arial" w:cs="Arial" w:eastAsia="Arial" w:hAnsi="Arial"/>
                <w:sz w:val="14"/>
                <w:szCs w:val="14"/>
                <w:b w:val="1"/>
                <w:bCs w:val="1"/>
                <w:color w:val="auto"/>
                <w:w w:val="92"/>
              </w:rPr>
              <w:t>Contractual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4"/>
        </w:trPr>
        <w:tc>
          <w:tcPr>
            <w:tcW w:w="426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ind w:left="251"/>
              <w:spacing w:after="0"/>
              <w:rPr>
                <w:sz w:val="20"/>
                <w:szCs w:val="20"/>
                <w:color w:val="auto"/>
              </w:rPr>
            </w:pPr>
            <w:r>
              <w:rPr>
                <w:rFonts w:ascii="Arial" w:cs="Arial" w:eastAsia="Arial" w:hAnsi="Arial"/>
                <w:sz w:val="14"/>
                <w:szCs w:val="14"/>
                <w:b w:val="1"/>
                <w:bCs w:val="1"/>
                <w:color w:val="auto"/>
                <w:w w:val="90"/>
              </w:rPr>
              <w:t>Life (years)</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5"/>
              </w:rPr>
              <w:t>Value (thousands)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units outstanding</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597,121</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0"/>
              </w:rPr>
              <w:t>1.44</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60" w:type="dxa"/>
            <w:vAlign w:val="bottom"/>
          </w:tcPr>
          <w:p>
            <w:pPr>
              <w:spacing w:after="0"/>
              <w:rPr>
                <w:sz w:val="20"/>
                <w:szCs w:val="20"/>
                <w:color w:val="auto"/>
              </w:rPr>
            </w:pPr>
            <w:r>
              <w:rPr>
                <w:rFonts w:ascii="Arial" w:cs="Arial" w:eastAsia="Arial" w:hAnsi="Arial"/>
                <w:sz w:val="17"/>
                <w:szCs w:val="17"/>
                <w:color w:val="auto"/>
              </w:rPr>
              <w:t>Restricted stock units vested and expected to vest</w:t>
            </w:r>
          </w:p>
        </w:tc>
        <w:tc>
          <w:tcPr>
            <w:tcW w:w="1420" w:type="dxa"/>
            <w:vAlign w:val="bottom"/>
          </w:tcPr>
          <w:p>
            <w:pPr>
              <w:jc w:val="right"/>
              <w:spacing w:after="0"/>
              <w:rPr>
                <w:sz w:val="20"/>
                <w:szCs w:val="20"/>
                <w:color w:val="auto"/>
              </w:rPr>
            </w:pPr>
            <w:r>
              <w:rPr>
                <w:rFonts w:ascii="Arial" w:cs="Arial" w:eastAsia="Arial" w:hAnsi="Arial"/>
                <w:sz w:val="17"/>
                <w:szCs w:val="17"/>
                <w:color w:val="auto"/>
              </w:rPr>
              <w:t>492,239</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0"/>
              </w:rPr>
              <w:t>1.33</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440" w:firstLine="555"/>
        <w:spacing w:after="0" w:line="279" w:lineRule="auto"/>
        <w:rPr>
          <w:sz w:val="20"/>
          <w:szCs w:val="20"/>
          <w:color w:val="auto"/>
        </w:rPr>
      </w:pPr>
      <w:r>
        <w:rPr>
          <w:rFonts w:ascii="Arial" w:cs="Arial" w:eastAsia="Arial" w:hAnsi="Arial"/>
          <w:sz w:val="17"/>
          <w:szCs w:val="17"/>
          <w:color w:val="auto"/>
        </w:rPr>
        <w:t>The intrinsic value of the restricted stock units is calculated based on the closing price of our shares as quoted on the Nasdaq Global Market on the last trading day of the fiscal year, December 28, 2018, of $4.45.</w:t>
      </w:r>
    </w:p>
    <w:p>
      <w:pPr>
        <w:spacing w:after="0" w:line="61" w:lineRule="exact"/>
        <w:rPr>
          <w:sz w:val="20"/>
          <w:szCs w:val="20"/>
          <w:color w:val="auto"/>
        </w:rPr>
      </w:pPr>
    </w:p>
    <w:p>
      <w:pPr>
        <w:ind w:right="40" w:firstLine="555"/>
        <w:spacing w:after="0" w:line="257" w:lineRule="auto"/>
        <w:rPr>
          <w:sz w:val="20"/>
          <w:szCs w:val="20"/>
          <w:color w:val="auto"/>
        </w:rPr>
      </w:pPr>
      <w:r>
        <w:rPr>
          <w:rFonts w:ascii="Arial" w:cs="Arial" w:eastAsia="Arial" w:hAnsi="Arial"/>
          <w:sz w:val="17"/>
          <w:szCs w:val="17"/>
          <w:color w:val="auto"/>
        </w:rPr>
        <w:t>The majority of the restricted stock units that were released in fiscal year 2018 were net-share settled such that we withheld shares with value equivalent to the employees’ minimum statutory obligation for the applicable income and other employment taxes, and remitted the cash to the appropriate taxing authorities. The total shares withheld were based on the value of the restricted stock units on their release date as determined by our closing stock price. These net-share settlements had the effect of share repurchases as they reduced and retired the number of shares that would have otherwise been issued as a result of the release and did not represent an expense to us. For the fiscal year ended December 29, 2018, 86,941 shares of restricted stock units were released with an intrinsic value of approximately $0.6 million. We withheld 26,181 shares to satisfy approximately $194 thousand of employees’ minimum tax obligation on the released restricted stock units.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59" w:name="page60"/>
    <w:bookmarkEnd w:id="59"/>
    <w:p>
      <w:pPr>
        <w:ind w:left="560"/>
        <w:spacing w:after="0"/>
        <w:rPr>
          <w:sz w:val="20"/>
          <w:szCs w:val="20"/>
          <w:color w:val="auto"/>
        </w:rPr>
      </w:pPr>
      <w:r>
        <w:rPr>
          <w:rFonts w:ascii="Arial" w:cs="Arial" w:eastAsia="Arial" w:hAnsi="Arial"/>
          <w:sz w:val="17"/>
          <w:szCs w:val="17"/>
          <w:color w:val="auto"/>
        </w:rPr>
        <w:t>Information regarding the RSU activity during the years ended December 29, 2018 and December 30, 2017 is summarized below:</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5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64"/>
        </w:trPr>
        <w:tc>
          <w:tcPr>
            <w:tcW w:w="624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2"/>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as of December 31,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335,805</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Restricted stock units granted</w:t>
            </w:r>
          </w:p>
        </w:tc>
        <w:tc>
          <w:tcPr>
            <w:tcW w:w="1260" w:type="dxa"/>
            <w:vAlign w:val="bottom"/>
          </w:tcPr>
          <w:p>
            <w:pPr>
              <w:jc w:val="right"/>
              <w:spacing w:after="0"/>
              <w:rPr>
                <w:sz w:val="20"/>
                <w:szCs w:val="20"/>
                <w:color w:val="auto"/>
              </w:rPr>
            </w:pPr>
            <w:r>
              <w:rPr>
                <w:rFonts w:ascii="Arial" w:cs="Arial" w:eastAsia="Arial" w:hAnsi="Arial"/>
                <w:sz w:val="17"/>
                <w:szCs w:val="17"/>
                <w:color w:val="auto"/>
              </w:rPr>
              <w:t>137,391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units released</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(80,009)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Restricted stock units forfeited</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(32,039)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as of December 30,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361,148</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10.42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Restricted stock units granted</w:t>
            </w:r>
          </w:p>
        </w:tc>
        <w:tc>
          <w:tcPr>
            <w:tcW w:w="1260" w:type="dxa"/>
            <w:vAlign w:val="bottom"/>
          </w:tcPr>
          <w:p>
            <w:pPr>
              <w:jc w:val="right"/>
              <w:spacing w:after="0"/>
              <w:rPr>
                <w:sz w:val="20"/>
                <w:szCs w:val="20"/>
                <w:color w:val="auto"/>
              </w:rPr>
            </w:pPr>
            <w:r>
              <w:rPr>
                <w:rFonts w:ascii="Arial" w:cs="Arial" w:eastAsia="Arial" w:hAnsi="Arial"/>
                <w:sz w:val="17"/>
                <w:szCs w:val="17"/>
                <w:color w:val="auto"/>
              </w:rPr>
              <w:t>418,750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units released</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(86,941)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Restricted stock units forfeited</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(95,836)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as of December 29,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597,121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9.08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20" w:firstLine="555"/>
        <w:spacing w:after="0" w:line="266" w:lineRule="auto"/>
        <w:rPr>
          <w:sz w:val="20"/>
          <w:szCs w:val="20"/>
          <w:color w:val="auto"/>
        </w:rPr>
      </w:pPr>
      <w:r>
        <w:rPr>
          <w:rFonts w:ascii="Arial" w:cs="Arial" w:eastAsia="Arial" w:hAnsi="Arial"/>
          <w:sz w:val="17"/>
          <w:szCs w:val="17"/>
          <w:color w:val="auto"/>
        </w:rPr>
        <w:t>During the year ended December 29, 2018, the Company awarded 418,750 restricted stock units at a weighted average grant date fair value of $7.79 per share. Of this amount, 238,200 stock units represent performance-based shares that are subject to service, performance or market vesting conditions with a weighted average grant date fair value of $7.89 per share.</w:t>
      </w:r>
    </w:p>
    <w:p>
      <w:pPr>
        <w:spacing w:after="0" w:line="72" w:lineRule="exact"/>
        <w:rPr>
          <w:sz w:val="20"/>
          <w:szCs w:val="20"/>
          <w:color w:val="auto"/>
        </w:rPr>
      </w:pPr>
    </w:p>
    <w:p>
      <w:pPr>
        <w:ind w:right="200" w:firstLine="555"/>
        <w:spacing w:after="0" w:line="312" w:lineRule="auto"/>
        <w:rPr>
          <w:sz w:val="20"/>
          <w:szCs w:val="20"/>
          <w:color w:val="auto"/>
        </w:rPr>
      </w:pPr>
      <w:r>
        <w:rPr>
          <w:rFonts w:ascii="Arial" w:cs="Arial" w:eastAsia="Arial" w:hAnsi="Arial"/>
          <w:sz w:val="16"/>
          <w:szCs w:val="16"/>
          <w:color w:val="auto"/>
        </w:rPr>
        <w:t>RSUs granted with market conditions are valued using a Monte Carlo simulation model and compensation expense is recognized ratably during the service period even if the market condition is not satisfied. To the extent that the market condition is not met, the RSUs will not vest and will be cancelled.</w:t>
      </w:r>
    </w:p>
    <w:p>
      <w:pPr>
        <w:spacing w:after="0" w:line="37"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RSUs granted with performance conditions are valued at the grant date fair value of the underlying common shares. The Company makes a determination regarding the probability of the performance criteria being achieved and compensation expense is recognized ratably over the requisite service period, if it is expected that the performance criteria will be met.</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Information regarding the restricted stock awards activity during the year ended December 29, 2018 and December 30, 2017 is summarized below:</w:t>
      </w:r>
    </w:p>
    <w:p>
      <w:pPr>
        <w:spacing w:after="0" w:line="21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5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64"/>
        </w:trPr>
        <w:tc>
          <w:tcPr>
            <w:tcW w:w="624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2"/>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as of December 31,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1,289</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Restricted stock awards granted</w:t>
            </w:r>
          </w:p>
        </w:tc>
        <w:tc>
          <w:tcPr>
            <w:tcW w:w="1260" w:type="dxa"/>
            <w:vAlign w:val="bottom"/>
          </w:tcPr>
          <w:p>
            <w:pPr>
              <w:jc w:val="right"/>
              <w:spacing w:after="0"/>
              <w:rPr>
                <w:sz w:val="20"/>
                <w:szCs w:val="20"/>
                <w:color w:val="auto"/>
              </w:rPr>
            </w:pPr>
            <w:r>
              <w:rPr>
                <w:rFonts w:ascii="Arial" w:cs="Arial" w:eastAsia="Arial" w:hAnsi="Arial"/>
                <w:sz w:val="17"/>
                <w:szCs w:val="17"/>
                <w:color w:val="auto"/>
              </w:rPr>
              <w:t>4,301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awards released</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(1,289)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7"/>
                <w:szCs w:val="17"/>
                <w:color w:val="auto"/>
              </w:rPr>
              <w:t>Outstanding as of December 30, 2017</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4,301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awards granted</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Restricted stock awards released</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(4,301)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as of December 29,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w:t>
      </w:r>
    </w:p>
    <w:p>
      <w:pPr>
        <w:spacing w:after="0" w:line="120" w:lineRule="exact"/>
        <w:rPr>
          <w:sz w:val="20"/>
          <w:szCs w:val="20"/>
          <w:color w:val="auto"/>
        </w:rPr>
      </w:pPr>
    </w:p>
    <w:p>
      <w:pPr>
        <w:ind w:right="60" w:firstLine="555"/>
        <w:spacing w:after="0" w:line="262" w:lineRule="auto"/>
        <w:rPr>
          <w:sz w:val="20"/>
          <w:szCs w:val="20"/>
          <w:color w:val="auto"/>
        </w:rPr>
      </w:pPr>
      <w:r>
        <w:rPr>
          <w:rFonts w:ascii="Arial" w:cs="Arial" w:eastAsia="Arial" w:hAnsi="Arial"/>
          <w:sz w:val="17"/>
          <w:szCs w:val="17"/>
          <w:color w:val="auto"/>
        </w:rPr>
        <w:t>We have a plan known as the Iridex Corporation Profit Sharing/401(k) Plan to provide retirement benefits through the deferred salary deductions for substantially all U.S. employees. Employees may contribute up to 15% of their annual compensation to the plan, limited to a maximum amount set by the Internal Revenue Service. The plan also provides for Company contributions at the discretion of the Board of Directors. In 2018 and 2017, total matching contributions made by the Company were $233 thousand and $248 thousand,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12. Income Taxes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Loss from operations before provision for (benefit from) income taxes was comprised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FY 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FY 2017</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260"/>
              <w:spacing w:after="0" w:line="155" w:lineRule="exact"/>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88"/>
              </w:rPr>
              <w:t>Year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3840" w:type="dxa"/>
            <w:vAlign w:val="bottom"/>
            <w:tcBorders>
              <w:bottom w:val="single" w:sz="8" w:color="CFF0FC"/>
            </w:tcBorders>
          </w:tcPr>
          <w:p>
            <w:pPr>
              <w:spacing w:after="0"/>
              <w:rPr>
                <w:sz w:val="14"/>
                <w:szCs w:val="14"/>
                <w:color w:val="auto"/>
              </w:rPr>
            </w:pPr>
          </w:p>
        </w:tc>
        <w:tc>
          <w:tcPr>
            <w:tcW w:w="22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29, 2018</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December 30, 2017</w:t>
            </w:r>
          </w:p>
        </w:tc>
        <w:tc>
          <w:tcPr>
            <w:tcW w:w="100" w:type="dxa"/>
            <w:vAlign w:val="bottom"/>
            <w:tcBorders>
              <w:bottom w:val="single" w:sz="8" w:color="CFF0FC"/>
            </w:tcBorders>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25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(12,671)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(12,800)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0" w:type="dxa"/>
            <w:vAlign w:val="bottom"/>
            <w:gridSpan w:val="2"/>
          </w:tcPr>
          <w:p>
            <w:pPr>
              <w:ind w:left="1160"/>
              <w:spacing w:after="0"/>
              <w:rPr>
                <w:sz w:val="20"/>
                <w:szCs w:val="20"/>
                <w:color w:val="auto"/>
              </w:rPr>
            </w:pPr>
            <w:r>
              <w:rPr>
                <w:rFonts w:ascii="Arial" w:cs="Arial" w:eastAsia="Arial" w:hAnsi="Arial"/>
                <w:sz w:val="17"/>
                <w:szCs w:val="17"/>
                <w:color w:val="auto"/>
              </w:rPr>
              <w:t>Foreign</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(195)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22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60" w:type="dxa"/>
            <w:vAlign w:val="bottom"/>
          </w:tcPr>
          <w:p>
            <w:pPr>
              <w:spacing w:after="0"/>
              <w:rPr>
                <w:sz w:val="18"/>
                <w:szCs w:val="18"/>
                <w:color w:val="auto"/>
              </w:rPr>
            </w:pPr>
          </w:p>
        </w:tc>
        <w:tc>
          <w:tcPr>
            <w:tcW w:w="3840" w:type="dxa"/>
            <w:vAlign w:val="bottom"/>
            <w:vMerge w:val="continue"/>
            <w:shd w:val="clear" w:color="auto" w:fill="CFF0FC"/>
          </w:tcPr>
          <w:p>
            <w:pPr>
              <w:spacing w:after="0"/>
              <w:rPr>
                <w:sz w:val="18"/>
                <w:szCs w:val="18"/>
                <w:color w:val="auto"/>
              </w:rPr>
            </w:pPr>
          </w:p>
        </w:tc>
        <w:tc>
          <w:tcPr>
            <w:tcW w:w="2400" w:type="dxa"/>
            <w:vAlign w:val="bottom"/>
            <w:gridSpan w:val="2"/>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(12,776)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(12,995)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gridSpan w:val="2"/>
            <w:vMerge w:val="restart"/>
          </w:tcPr>
          <w:p>
            <w:pPr>
              <w:ind w:left="560"/>
              <w:spacing w:after="0"/>
              <w:rPr>
                <w:sz w:val="20"/>
                <w:szCs w:val="20"/>
                <w:color w:val="auto"/>
              </w:rPr>
            </w:pPr>
            <w:r>
              <w:rPr>
                <w:rFonts w:ascii="Arial" w:cs="Arial" w:eastAsia="Arial" w:hAnsi="Arial"/>
                <w:sz w:val="17"/>
                <w:szCs w:val="17"/>
                <w:color w:val="auto"/>
              </w:rPr>
              <w:t>The provision for (benefit from) income taxes includes:</w:t>
            </w: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000" w:type="dxa"/>
            <w:vAlign w:val="bottom"/>
            <w:gridSpan w:val="2"/>
            <w:vMerge w:val="continue"/>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FY 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FY 2017</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260"/>
              <w:spacing w:after="0" w:line="155" w:lineRule="exact"/>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88"/>
              </w:rPr>
              <w:t>Year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December 29, 2018</w:t>
            </w:r>
          </w:p>
        </w:tc>
        <w:tc>
          <w:tcPr>
            <w:tcW w:w="120" w:type="dxa"/>
            <w:vAlign w:val="bottom"/>
          </w:tcPr>
          <w:p>
            <w:pPr>
              <w:spacing w:after="0"/>
              <w:rPr>
                <w:sz w:val="14"/>
                <w:szCs w:val="14"/>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December 30, 2017</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Current:</w:t>
            </w:r>
          </w:p>
        </w:tc>
        <w:tc>
          <w:tcPr>
            <w:tcW w:w="2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Arial" w:cs="Arial" w:eastAsia="Arial" w:hAnsi="Arial"/>
                <w:sz w:val="17"/>
                <w:szCs w:val="17"/>
                <w:color w:val="auto"/>
              </w:rPr>
              <w:t>Federal</w:t>
            </w:r>
          </w:p>
        </w:tc>
        <w:tc>
          <w:tcPr>
            <w:tcW w:w="25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(90)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State</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Foreign</w:t>
            </w:r>
          </w:p>
        </w:tc>
        <w:tc>
          <w:tcPr>
            <w:tcW w:w="22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4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(74)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1160"/>
              <w:spacing w:after="0"/>
              <w:rPr>
                <w:sz w:val="20"/>
                <w:szCs w:val="20"/>
                <w:color w:val="auto"/>
              </w:rPr>
            </w:pPr>
            <w:r>
              <w:rPr>
                <w:rFonts w:ascii="Arial" w:cs="Arial" w:eastAsia="Arial" w:hAnsi="Arial"/>
                <w:sz w:val="17"/>
                <w:szCs w:val="17"/>
                <w:color w:val="auto"/>
              </w:rPr>
              <w:t>Deferred:</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Federal</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(55)</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State</w:t>
            </w:r>
          </w:p>
        </w:tc>
        <w:tc>
          <w:tcPr>
            <w:tcW w:w="220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4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(54)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1160"/>
              <w:spacing w:after="0"/>
              <w:rPr>
                <w:sz w:val="20"/>
                <w:szCs w:val="20"/>
                <w:color w:val="auto"/>
              </w:rPr>
            </w:pPr>
            <w:r>
              <w:rPr>
                <w:rFonts w:ascii="Arial" w:cs="Arial" w:eastAsia="Arial" w:hAnsi="Arial"/>
                <w:sz w:val="17"/>
                <w:szCs w:val="17"/>
                <w:color w:val="auto"/>
              </w:rPr>
              <w:t>Provision for (benefit from) income taxes</w:t>
            </w: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00" w:type="dxa"/>
            <w:vAlign w:val="bottom"/>
            <w:gridSpan w:val="2"/>
            <w:vMerge w:val="continue"/>
          </w:tcPr>
          <w:p>
            <w:pPr>
              <w:spacing w:after="0"/>
              <w:rPr>
                <w:sz w:val="18"/>
                <w:szCs w:val="18"/>
                <w:color w:val="auto"/>
              </w:rPr>
            </w:pPr>
          </w:p>
        </w:tc>
        <w:tc>
          <w:tcPr>
            <w:tcW w:w="240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(128)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800" w:type="dxa"/>
            <w:vAlign w:val="bottom"/>
            <w:gridSpan w:val="8"/>
          </w:tcPr>
          <w:p>
            <w:pPr>
              <w:ind w:left="560"/>
              <w:spacing w:after="0"/>
              <w:rPr>
                <w:sz w:val="20"/>
                <w:szCs w:val="20"/>
                <w:color w:val="auto"/>
              </w:rPr>
            </w:pPr>
            <w:r>
              <w:rPr>
                <w:rFonts w:ascii="Arial" w:cs="Arial" w:eastAsia="Arial" w:hAnsi="Arial"/>
                <w:sz w:val="17"/>
                <w:szCs w:val="17"/>
                <w:color w:val="auto"/>
              </w:rPr>
              <w:t>Our effective tax rate differs from the statutory federal income tax rate as shown in the following schedule: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4"/>
              </w:rPr>
              <w:t>FY 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FY 2017</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4"/>
          </w:tcPr>
          <w:p>
            <w:pPr>
              <w:jc w:val="center"/>
              <w:ind w:right="580"/>
              <w:spacing w:after="0" w:line="155" w:lineRule="exact"/>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460"/>
              <w:spacing w:after="0" w:line="155" w:lineRule="exact"/>
              <w:rPr>
                <w:sz w:val="20"/>
                <w:szCs w:val="20"/>
                <w:color w:val="auto"/>
              </w:rPr>
            </w:pPr>
            <w:r>
              <w:rPr>
                <w:rFonts w:ascii="Arial" w:cs="Arial" w:eastAsia="Arial" w:hAnsi="Arial"/>
                <w:sz w:val="14"/>
                <w:szCs w:val="14"/>
                <w:b w:val="1"/>
                <w:bCs w:val="1"/>
                <w:color w:val="auto"/>
                <w:w w:val="90"/>
              </w:rPr>
              <w:t>Year Ended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3840" w:type="dxa"/>
            <w:vAlign w:val="bottom"/>
            <w:tcBorders>
              <w:bottom w:val="single" w:sz="8" w:color="CFF0FC"/>
            </w:tcBorders>
          </w:tcPr>
          <w:p>
            <w:pPr>
              <w:spacing w:after="0"/>
              <w:rPr>
                <w:sz w:val="14"/>
                <w:szCs w:val="14"/>
                <w:color w:val="auto"/>
              </w:rPr>
            </w:pPr>
          </w:p>
        </w:tc>
        <w:tc>
          <w:tcPr>
            <w:tcW w:w="220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29, 2018</w:t>
            </w:r>
          </w:p>
        </w:tc>
        <w:tc>
          <w:tcPr>
            <w:tcW w:w="360" w:type="dxa"/>
            <w:vAlign w:val="bottom"/>
            <w:tcBorders>
              <w:bottom w:val="single" w:sz="8" w:color="CFF0FC"/>
            </w:tcBorders>
            <w:gridSpan w:val="2"/>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30, 2017</w:t>
            </w:r>
          </w:p>
        </w:tc>
        <w:tc>
          <w:tcPr>
            <w:tcW w:w="220" w:type="dxa"/>
            <w:vAlign w:val="bottom"/>
            <w:tcBorders>
              <w:bottom w:val="single" w:sz="8" w:color="CFF0FC"/>
            </w:tcBorders>
            <w:gridSpan w:val="2"/>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Income tax provision at statutory rate</w:t>
            </w:r>
          </w:p>
        </w:tc>
        <w:tc>
          <w:tcPr>
            <w:tcW w:w="2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34.0%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0" w:type="dxa"/>
            <w:vAlign w:val="bottom"/>
            <w:gridSpan w:val="2"/>
          </w:tcPr>
          <w:p>
            <w:pPr>
              <w:ind w:left="1160"/>
              <w:spacing w:after="0"/>
              <w:rPr>
                <w:sz w:val="20"/>
                <w:szCs w:val="20"/>
                <w:color w:val="auto"/>
              </w:rPr>
            </w:pPr>
            <w:r>
              <w:rPr>
                <w:rFonts w:ascii="Arial" w:cs="Arial" w:eastAsia="Arial" w:hAnsi="Arial"/>
                <w:sz w:val="17"/>
                <w:szCs w:val="17"/>
                <w:color w:val="auto"/>
              </w:rPr>
              <w:t>State income taxes, net of federal benefit</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7"/>
                <w:szCs w:val="17"/>
                <w:color w:val="auto"/>
              </w:rPr>
              <w:t>2.4%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Permanent differences</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(0.0)%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gridSpan w:val="2"/>
          </w:tcPr>
          <w:p>
            <w:pPr>
              <w:ind w:left="1160"/>
              <w:spacing w:after="0"/>
              <w:rPr>
                <w:sz w:val="20"/>
                <w:szCs w:val="20"/>
                <w:color w:val="auto"/>
              </w:rPr>
            </w:pPr>
            <w:r>
              <w:rPr>
                <w:rFonts w:ascii="Arial" w:cs="Arial" w:eastAsia="Arial" w:hAnsi="Arial"/>
                <w:sz w:val="17"/>
                <w:szCs w:val="17"/>
                <w:color w:val="auto"/>
              </w:rPr>
              <w:t>Research and development credits</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7"/>
                <w:szCs w:val="17"/>
                <w:color w:val="auto"/>
              </w:rPr>
              <w:t>0.6%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Change in valuation allowance</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(32.5)%</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gridSpan w:val="2"/>
          </w:tcPr>
          <w:p>
            <w:pPr>
              <w:ind w:left="1160"/>
              <w:spacing w:after="0"/>
              <w:rPr>
                <w:sz w:val="20"/>
                <w:szCs w:val="20"/>
                <w:color w:val="auto"/>
              </w:rPr>
            </w:pPr>
            <w:r>
              <w:rPr>
                <w:rFonts w:ascii="Arial" w:cs="Arial" w:eastAsia="Arial" w:hAnsi="Arial"/>
                <w:sz w:val="17"/>
                <w:szCs w:val="17"/>
                <w:color w:val="auto"/>
              </w:rPr>
              <w:t>Foreign rate differential</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(0.5)%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(3.0)%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1160"/>
              <w:spacing w:after="0"/>
              <w:rPr>
                <w:sz w:val="20"/>
                <w:szCs w:val="20"/>
                <w:color w:val="auto"/>
              </w:rPr>
            </w:pPr>
            <w:r>
              <w:rPr>
                <w:rFonts w:ascii="Arial" w:cs="Arial" w:eastAsia="Arial" w:hAnsi="Arial"/>
                <w:sz w:val="17"/>
                <w:szCs w:val="17"/>
                <w:color w:val="auto"/>
              </w:rPr>
              <w:t>Effective tax rate</w:t>
            </w:r>
          </w:p>
        </w:tc>
        <w:tc>
          <w:tcPr>
            <w:tcW w:w="2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7"/>
                <w:szCs w:val="17"/>
                <w:color w:val="auto"/>
              </w:rPr>
              <w:t>1.0%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0" w:type="dxa"/>
            <w:vAlign w:val="bottom"/>
            <w:vMerge w:val="restart"/>
          </w:tcPr>
          <w:p>
            <w:pPr>
              <w:jc w:val="right"/>
              <w:ind w:right="1314"/>
              <w:spacing w:after="0"/>
              <w:rPr>
                <w:sz w:val="20"/>
                <w:szCs w:val="20"/>
                <w:color w:val="auto"/>
              </w:rPr>
            </w:pPr>
            <w:r>
              <w:rPr>
                <w:rFonts w:ascii="Arial" w:cs="Arial" w:eastAsia="Arial" w:hAnsi="Arial"/>
                <w:sz w:val="17"/>
                <w:szCs w:val="17"/>
                <w:color w:val="auto"/>
              </w:rPr>
              <w:t>61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6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224" w:right="199" w:bottom="1440" w:gutter="0" w:footer="0" w:header="0"/>
        </w:sectPr>
      </w:pPr>
    </w:p>
    <w:bookmarkStart w:id="61" w:name="page62"/>
    <w:bookmarkEnd w:id="61"/>
    <w:p>
      <w:pPr>
        <w:ind w:right="720" w:firstLine="555"/>
        <w:spacing w:after="0" w:line="279" w:lineRule="auto"/>
        <w:rPr>
          <w:sz w:val="20"/>
          <w:szCs w:val="20"/>
          <w:color w:val="auto"/>
        </w:rPr>
      </w:pPr>
      <w:r>
        <w:rPr>
          <w:rFonts w:ascii="Arial" w:cs="Arial" w:eastAsia="Arial" w:hAnsi="Arial"/>
          <w:sz w:val="17"/>
          <w:szCs w:val="17"/>
          <w:color w:val="auto"/>
        </w:rPr>
        <w:t>The tax effect of temporary differences and carryforwards that give rise to significant portions of the net deferred tax assets are presented below (in thousands):</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FY 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FY 2017</w:t>
            </w:r>
          </w:p>
        </w:tc>
        <w:tc>
          <w:tcPr>
            <w:tcW w:w="0" w:type="dxa"/>
            <w:vAlign w:val="bottom"/>
          </w:tcPr>
          <w:p>
            <w:pPr>
              <w:spacing w:after="0"/>
              <w:rPr>
                <w:sz w:val="1"/>
                <w:szCs w:val="1"/>
                <w:color w:val="auto"/>
              </w:rPr>
            </w:pPr>
          </w:p>
        </w:tc>
      </w:tr>
      <w:tr>
        <w:trPr>
          <w:trHeight w:val="155"/>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4"/>
        </w:trPr>
        <w:tc>
          <w:tcPr>
            <w:tcW w:w="624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29, 2018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30, 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Net operating losses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8,195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Research and development credits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Accruals and reserves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Intangible assets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Stock compensation</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tax credits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Net deferred tax asset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Valuation allowance</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(15,485)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(12,320)</w:t>
            </w:r>
          </w:p>
        </w:tc>
        <w:tc>
          <w:tcPr>
            <w:tcW w:w="0" w:type="dxa"/>
            <w:vAlign w:val="bottom"/>
          </w:tcPr>
          <w:p>
            <w:pPr>
              <w:spacing w:after="0"/>
              <w:rPr>
                <w:sz w:val="1"/>
                <w:szCs w:val="1"/>
                <w:color w:val="auto"/>
              </w:rPr>
            </w:pPr>
          </w:p>
        </w:tc>
      </w:tr>
      <w:tr>
        <w:trPr>
          <w:trHeight w:val="20"/>
        </w:trPr>
        <w:tc>
          <w:tcPr>
            <w:tcW w:w="62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deferred tax liabilities</w:t>
            </w: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2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w:t>
            </w: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60" w:firstLine="555"/>
        <w:spacing w:after="0" w:line="258" w:lineRule="auto"/>
        <w:rPr>
          <w:sz w:val="20"/>
          <w:szCs w:val="20"/>
          <w:color w:val="auto"/>
        </w:rPr>
      </w:pPr>
      <w:r>
        <w:rPr>
          <w:rFonts w:ascii="Arial" w:cs="Arial" w:eastAsia="Arial" w:hAnsi="Arial"/>
          <w:sz w:val="17"/>
          <w:szCs w:val="17"/>
          <w:color w:val="auto"/>
        </w:rPr>
        <w:t>Our accounting for deferred taxes involves the evaluation of a number of factors concerning the realizability of our deferred tax assets. Assessing the realizability of deferred tax assets is dependent upon several factors, including the likelihood and amount, if any, of future taxable income in relevant jurisdictions during the periods in which those temporary differences become deductible. Our management forecasts taxable income by considering all available positive and negative evidence including our history of operating income or losses and our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80" w:lineRule="exact"/>
        <w:rPr>
          <w:sz w:val="20"/>
          <w:szCs w:val="20"/>
          <w:color w:val="auto"/>
        </w:rPr>
      </w:pPr>
    </w:p>
    <w:p>
      <w:pPr>
        <w:jc w:val="both"/>
        <w:ind w:right="60" w:firstLine="555"/>
        <w:spacing w:after="0" w:line="262" w:lineRule="auto"/>
        <w:rPr>
          <w:sz w:val="20"/>
          <w:szCs w:val="20"/>
          <w:color w:val="auto"/>
        </w:rPr>
      </w:pPr>
      <w:r>
        <w:rPr>
          <w:rFonts w:ascii="Arial" w:cs="Arial" w:eastAsia="Arial" w:hAnsi="Arial"/>
          <w:sz w:val="17"/>
          <w:szCs w:val="17"/>
          <w:color w:val="auto"/>
        </w:rPr>
        <w:t>As of December 29, 2018, based on the Company's recent history of losses and its forecasted losses, management believes on the more likely than not basis that a full valuation allowance is required. Accordingly, in the fourth quarter of fiscal year 2018, the Company provided a full valuation allowance on its federal and state deferred tax assets. As of December 29, 2018, the Company had federal and state net operating loss (“NOL”) carry forwards of $32.3 million and $21.1 million respectively. The federal NOL will begin to expire in 2033 and the state NOL will begin to expire in 2021.</w:t>
      </w:r>
    </w:p>
    <w:p>
      <w:pPr>
        <w:spacing w:after="0" w:line="75" w:lineRule="exact"/>
        <w:rPr>
          <w:sz w:val="20"/>
          <w:szCs w:val="20"/>
          <w:color w:val="auto"/>
        </w:rPr>
      </w:pPr>
    </w:p>
    <w:p>
      <w:pPr>
        <w:jc w:val="both"/>
        <w:ind w:firstLine="555"/>
        <w:spacing w:after="0" w:line="266" w:lineRule="auto"/>
        <w:rPr>
          <w:sz w:val="20"/>
          <w:szCs w:val="20"/>
          <w:color w:val="auto"/>
        </w:rPr>
      </w:pPr>
      <w:r>
        <w:rPr>
          <w:rFonts w:ascii="Arial" w:cs="Arial" w:eastAsia="Arial" w:hAnsi="Arial"/>
          <w:sz w:val="17"/>
          <w:szCs w:val="17"/>
          <w:color w:val="auto"/>
        </w:rPr>
        <w:t>The Company has federal and state research credit carry forwards of approximately $1.9 million and $2.7 million, respectively, available to and development credits are subject to IRC sections 382 and 383. In the event of a change in ownership as defined by these code sections, the usage of the above mentioned NOL’s and credits may be limited.</w:t>
      </w:r>
    </w:p>
    <w:p>
      <w:pPr>
        <w:spacing w:after="0" w:line="72" w:lineRule="exact"/>
        <w:rPr>
          <w:sz w:val="20"/>
          <w:szCs w:val="20"/>
          <w:color w:val="auto"/>
        </w:rPr>
      </w:pPr>
    </w:p>
    <w:p>
      <w:pPr>
        <w:ind w:right="220" w:firstLine="555"/>
        <w:spacing w:after="0" w:line="283"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60" w:lineRule="exact"/>
        <w:rPr>
          <w:sz w:val="20"/>
          <w:szCs w:val="20"/>
          <w:color w:val="auto"/>
        </w:rPr>
      </w:pPr>
    </w:p>
    <w:p>
      <w:pPr>
        <w:ind w:right="20" w:firstLine="555"/>
        <w:spacing w:after="0" w:line="283" w:lineRule="auto"/>
        <w:rPr>
          <w:sz w:val="20"/>
          <w:szCs w:val="20"/>
          <w:color w:val="auto"/>
        </w:rPr>
      </w:pPr>
      <w:r>
        <w:rPr>
          <w:rFonts w:ascii="Arial" w:cs="Arial" w:eastAsia="Arial" w:hAnsi="Arial"/>
          <w:sz w:val="16"/>
          <w:szCs w:val="16"/>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Company’s net operating loss carryovers and valuation allowance, there is no impact to its consolidated financial statements as a result of the accounting for the tax effects of the Tax Act.</w:t>
      </w:r>
    </w:p>
    <w:p>
      <w:pPr>
        <w:spacing w:after="0" w:line="60" w:lineRule="exact"/>
        <w:rPr>
          <w:sz w:val="20"/>
          <w:szCs w:val="20"/>
          <w:color w:val="auto"/>
        </w:rPr>
      </w:pPr>
    </w:p>
    <w:p>
      <w:pPr>
        <w:ind w:firstLine="555"/>
        <w:spacing w:after="0" w:line="257" w:lineRule="auto"/>
        <w:rPr>
          <w:sz w:val="20"/>
          <w:szCs w:val="20"/>
          <w:color w:val="auto"/>
        </w:rPr>
      </w:pPr>
      <w:r>
        <w:rPr>
          <w:rFonts w:ascii="Arial" w:cs="Arial" w:eastAsia="Arial" w:hAnsi="Arial"/>
          <w:sz w:val="17"/>
          <w:szCs w:val="17"/>
          <w:color w:val="auto"/>
        </w:rPr>
        <w:t>The Company accounts for uncertain tax positions in accordance with ASC 740, Income Taxes.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our accounting policy, we recognize accrued interests and penalties related to unrecognized tax benefits as a component of income tax expense. There is no accrued interest and penalty during the year ended December 29, 2018.</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2" w:name="page63"/>
    <w:bookmarkEnd w:id="62"/>
    <w:p>
      <w:pPr>
        <w:ind w:left="56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7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FY 2018</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FY 2017</w:t>
            </w:r>
          </w:p>
        </w:tc>
      </w:tr>
      <w:tr>
        <w:trPr>
          <w:trHeight w:val="155"/>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0"/>
              </w:rPr>
              <w:t>Year Ended</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Year Ended</w:t>
            </w:r>
          </w:p>
        </w:tc>
      </w:tr>
      <w:tr>
        <w:trPr>
          <w:trHeight w:val="164"/>
        </w:trPr>
        <w:tc>
          <w:tcPr>
            <w:tcW w:w="6240" w:type="dxa"/>
            <w:vAlign w:val="bottom"/>
          </w:tcPr>
          <w:p>
            <w:pPr>
              <w:spacing w:after="0"/>
              <w:rPr>
                <w:sz w:val="14"/>
                <w:szCs w:val="14"/>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December 29, 2018</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December 30, 2017</w:t>
            </w:r>
          </w:p>
        </w:tc>
      </w:tr>
      <w:tr>
        <w:trPr>
          <w:trHeight w:val="212"/>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the beginning of the year</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1,105</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8"/>
        </w:trPr>
        <w:tc>
          <w:tcPr>
            <w:tcW w:w="6240" w:type="dxa"/>
            <w:vAlign w:val="bottom"/>
          </w:tcPr>
          <w:p>
            <w:pPr>
              <w:spacing w:after="0"/>
              <w:rPr>
                <w:sz w:val="20"/>
                <w:szCs w:val="20"/>
                <w:color w:val="auto"/>
              </w:rPr>
            </w:pPr>
            <w:r>
              <w:rPr>
                <w:rFonts w:ascii="Arial" w:cs="Arial" w:eastAsia="Arial" w:hAnsi="Arial"/>
                <w:sz w:val="17"/>
                <w:szCs w:val="17"/>
                <w:color w:val="auto"/>
              </w:rPr>
              <w:t>Additions based upon tax positions related to the current year</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Additions based upon tax positions related to the prior year</w:t>
            </w: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7"/>
                <w:szCs w:val="17"/>
                <w:color w:val="auto"/>
              </w:rPr>
              <w:t>Balance at the end of the year</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1,105</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555"/>
        <w:spacing w:after="0" w:line="282" w:lineRule="auto"/>
        <w:rPr>
          <w:sz w:val="20"/>
          <w:szCs w:val="20"/>
          <w:color w:val="auto"/>
        </w:rPr>
      </w:pPr>
      <w:r>
        <w:rPr>
          <w:rFonts w:ascii="Arial" w:cs="Arial" w:eastAsia="Arial" w:hAnsi="Arial"/>
          <w:sz w:val="17"/>
          <w:szCs w:val="17"/>
          <w:color w:val="auto"/>
        </w:rPr>
        <w:t>If the ending balance of $1.2 million of unrecognized tax benefits at December 29, 2018 were recognized, $0 of the recognition would affect the income tax rate. The Company does not anticipate any material change in our unrecognized tax benefits over the next twelve months. The unrecognized tax benefits may change during the next year for items that arise in the ordinary course of business.</w:t>
      </w:r>
    </w:p>
    <w:p>
      <w:pPr>
        <w:spacing w:after="0" w:line="59" w:lineRule="exact"/>
        <w:rPr>
          <w:sz w:val="20"/>
          <w:szCs w:val="20"/>
          <w:color w:val="auto"/>
        </w:rPr>
      </w:pPr>
    </w:p>
    <w:p>
      <w:pPr>
        <w:ind w:right="820" w:firstLine="555"/>
        <w:spacing w:after="0" w:line="279" w:lineRule="auto"/>
        <w:rPr>
          <w:sz w:val="20"/>
          <w:szCs w:val="20"/>
          <w:color w:val="auto"/>
        </w:rPr>
      </w:pPr>
      <w:r>
        <w:rPr>
          <w:rFonts w:ascii="Arial" w:cs="Arial" w:eastAsia="Arial" w:hAnsi="Arial"/>
          <w:sz w:val="17"/>
          <w:szCs w:val="17"/>
          <w:color w:val="auto"/>
        </w:rPr>
        <w:t>The Company files U.S. federal and state returns. The tax years 2011 to 2017 remain open in several jurisdictions, none of which have individual significance.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Loan and Security Agreement</w:t>
      </w:r>
    </w:p>
    <w:p>
      <w:pPr>
        <w:spacing w:after="0" w:line="120" w:lineRule="exact"/>
        <w:rPr>
          <w:sz w:val="20"/>
          <w:szCs w:val="20"/>
          <w:color w:val="auto"/>
        </w:rPr>
      </w:pPr>
    </w:p>
    <w:p>
      <w:pPr>
        <w:ind w:right="60" w:firstLine="555"/>
        <w:spacing w:after="0" w:line="258" w:lineRule="auto"/>
        <w:rPr>
          <w:sz w:val="20"/>
          <w:szCs w:val="20"/>
          <w:color w:val="auto"/>
        </w:rPr>
      </w:pPr>
      <w:r>
        <w:rPr>
          <w:rFonts w:ascii="Arial" w:cs="Arial" w:eastAsia="Arial" w:hAnsi="Arial"/>
          <w:sz w:val="17"/>
          <w:szCs w:val="17"/>
          <w:color w:val="auto"/>
        </w:rPr>
        <w:t>In November 2016, the Company entered into a Loan and Security Agreement (“Loan Agreement”) with Silicon Valley Bank providing for a $15.0 million secured revolving loan facility (“Revolving Loan Facility”), with availability subject to an accounts receivable borrowing base formula. Borrowings under the Revolving Loan Facility accrue interest at a per annum rate equal to the Wall Street Journal Prime Rate as in effect from time to time, plus 1.5%. The Loan Agreement does not include any financial covenants. The Company may borrow, repay and reborrow funds under the Revolving Loan Facility until November 2, 2019, at which time the Revolving Loan Facility matures and all outstanding amounts must be repaid. As of December 29, 2018 and December 30, 2017, there were no amounts outstanding.</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Business Segments and Geographical Information</w:t>
      </w:r>
    </w:p>
    <w:p>
      <w:pPr>
        <w:spacing w:after="0" w:line="120" w:lineRule="exact"/>
        <w:rPr>
          <w:sz w:val="20"/>
          <w:szCs w:val="20"/>
          <w:color w:val="auto"/>
        </w:rPr>
      </w:pPr>
    </w:p>
    <w:p>
      <w:pPr>
        <w:ind w:right="240" w:firstLine="555"/>
        <w:spacing w:after="0" w:line="279" w:lineRule="auto"/>
        <w:rPr>
          <w:sz w:val="20"/>
          <w:szCs w:val="20"/>
          <w:color w:val="auto"/>
        </w:rPr>
      </w:pPr>
      <w:r>
        <w:rPr>
          <w:rFonts w:ascii="Arial" w:cs="Arial" w:eastAsia="Arial" w:hAnsi="Arial"/>
          <w:sz w:val="17"/>
          <w:szCs w:val="17"/>
          <w:color w:val="auto"/>
        </w:rPr>
        <w:t>We operate in one segment, ophthalmology. We develop, manufacture and market medical devices. Our revenues arise from the sale of consoles, delivery devices, consumables, service and support activities.</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Revenue information shown by product is as follows (in thousands):</w:t>
      </w:r>
    </w:p>
    <w:p>
      <w:pPr>
        <w:spacing w:after="0" w:line="297" w:lineRule="exact"/>
        <w:rPr>
          <w:sz w:val="20"/>
          <w:szCs w:val="20"/>
          <w:color w:val="auto"/>
        </w:rPr>
      </w:pPr>
    </w:p>
    <w:tbl>
      <w:tblPr>
        <w:tblLayout w:type="fixed"/>
        <w:tblInd w:w="1160" w:type="dxa"/>
        <w:tblCellMar>
          <w:top w:w="0" w:type="dxa"/>
          <w:left w:w="0" w:type="dxa"/>
          <w:bottom w:w="0" w:type="dxa"/>
          <w:right w:w="0" w:type="dxa"/>
        </w:tblCellMar>
      </w:tblPr>
      <w:tr>
        <w:trPr>
          <w:trHeight w:val="178"/>
        </w:trPr>
        <w:tc>
          <w:tcPr>
            <w:tcW w:w="4160" w:type="dxa"/>
            <w:vAlign w:val="bottom"/>
          </w:tcPr>
          <w:p>
            <w:pPr>
              <w:spacing w:after="0"/>
              <w:rPr>
                <w:sz w:val="15"/>
                <w:szCs w:val="15"/>
                <w:color w:val="auto"/>
              </w:rPr>
            </w:pPr>
          </w:p>
        </w:tc>
        <w:tc>
          <w:tcPr>
            <w:tcW w:w="1720" w:type="dxa"/>
            <w:vAlign w:val="bottom"/>
          </w:tcPr>
          <w:p>
            <w:pPr>
              <w:jc w:val="center"/>
              <w:ind w:left="449"/>
              <w:spacing w:after="0"/>
              <w:rPr>
                <w:sz w:val="20"/>
                <w:szCs w:val="20"/>
                <w:color w:val="auto"/>
              </w:rPr>
            </w:pPr>
            <w:r>
              <w:rPr>
                <w:rFonts w:ascii="Arial" w:cs="Arial" w:eastAsia="Arial" w:hAnsi="Arial"/>
                <w:sz w:val="14"/>
                <w:szCs w:val="14"/>
                <w:b w:val="1"/>
                <w:bCs w:val="1"/>
                <w:color w:val="auto"/>
                <w:w w:val="90"/>
              </w:rPr>
              <w:t>FY 2018</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FY 2017</w:t>
            </w:r>
          </w:p>
        </w:tc>
      </w:tr>
      <w:tr>
        <w:trPr>
          <w:trHeight w:val="208"/>
        </w:trPr>
        <w:tc>
          <w:tcPr>
            <w:tcW w:w="4160" w:type="dxa"/>
            <w:vAlign w:val="bottom"/>
          </w:tcPr>
          <w:p>
            <w:pPr>
              <w:spacing w:after="0"/>
              <w:rPr>
                <w:sz w:val="18"/>
                <w:szCs w:val="18"/>
                <w:color w:val="auto"/>
              </w:rPr>
            </w:pPr>
          </w:p>
        </w:tc>
        <w:tc>
          <w:tcPr>
            <w:tcW w:w="1720" w:type="dxa"/>
            <w:vAlign w:val="bottom"/>
          </w:tcPr>
          <w:p>
            <w:pPr>
              <w:jc w:val="center"/>
              <w:ind w:left="449"/>
              <w:spacing w:after="0"/>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Year Ended</w:t>
            </w:r>
          </w:p>
        </w:tc>
      </w:tr>
      <w:tr>
        <w:trPr>
          <w:trHeight w:val="164"/>
        </w:trPr>
        <w:tc>
          <w:tcPr>
            <w:tcW w:w="4160" w:type="dxa"/>
            <w:vAlign w:val="bottom"/>
          </w:tcPr>
          <w:p>
            <w:pPr>
              <w:spacing w:after="0"/>
              <w:rPr>
                <w:sz w:val="14"/>
                <w:szCs w:val="14"/>
                <w:color w:val="auto"/>
              </w:rPr>
            </w:pPr>
          </w:p>
        </w:tc>
        <w:tc>
          <w:tcPr>
            <w:tcW w:w="1720" w:type="dxa"/>
            <w:vAlign w:val="bottom"/>
          </w:tcPr>
          <w:p>
            <w:pPr>
              <w:jc w:val="center"/>
              <w:ind w:left="449"/>
              <w:spacing w:after="0"/>
              <w:rPr>
                <w:sz w:val="20"/>
                <w:szCs w:val="20"/>
                <w:color w:val="auto"/>
              </w:rPr>
            </w:pPr>
            <w:r>
              <w:rPr>
                <w:rFonts w:ascii="Arial" w:cs="Arial" w:eastAsia="Arial" w:hAnsi="Arial"/>
                <w:sz w:val="14"/>
                <w:szCs w:val="14"/>
                <w:b w:val="1"/>
                <w:bCs w:val="1"/>
                <w:color w:val="auto"/>
                <w:w w:val="88"/>
              </w:rPr>
              <w:t>December 29, 2018</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December 30, 2017</w:t>
            </w:r>
          </w:p>
        </w:tc>
      </w:tr>
      <w:tr>
        <w:trPr>
          <w:trHeight w:val="212"/>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Systems</w:t>
            </w:r>
          </w:p>
        </w:tc>
        <w:tc>
          <w:tcPr>
            <w:tcW w:w="1720" w:type="dxa"/>
            <w:vAlign w:val="bottom"/>
            <w:tcBorders>
              <w:top w:val="single" w:sz="8" w:color="auto"/>
            </w:tcBorders>
            <w:shd w:val="clear" w:color="auto" w:fill="CFF0FC"/>
          </w:tcPr>
          <w:p>
            <w:pPr>
              <w:jc w:val="right"/>
              <w:ind w:right="156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20,009</w:t>
            </w:r>
          </w:p>
        </w:tc>
        <w:tc>
          <w:tcPr>
            <w:tcW w:w="3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19,703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8"/>
        </w:trPr>
        <w:tc>
          <w:tcPr>
            <w:tcW w:w="41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Recurring revenues(1)</w:t>
            </w:r>
          </w:p>
        </w:tc>
        <w:tc>
          <w:tcPr>
            <w:tcW w:w="1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22,591</w:t>
            </w:r>
          </w:p>
        </w:tc>
        <w:tc>
          <w:tcPr>
            <w:tcW w:w="3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21,890</w:t>
            </w:r>
          </w:p>
        </w:tc>
        <w:tc>
          <w:tcPr>
            <w:tcW w:w="100" w:type="dxa"/>
            <w:vAlign w:val="bottom"/>
            <w:tcBorders>
              <w:bottom w:val="single" w:sz="8" w:color="CFF0FC"/>
            </w:tcBorders>
          </w:tcPr>
          <w:p>
            <w:pPr>
              <w:spacing w:after="0"/>
              <w:rPr>
                <w:sz w:val="18"/>
                <w:szCs w:val="18"/>
                <w:color w:val="auto"/>
              </w:rPr>
            </w:pPr>
          </w:p>
        </w:tc>
      </w:tr>
      <w:tr>
        <w:trPr>
          <w:trHeight w:val="212"/>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revenues</w:t>
            </w:r>
          </w:p>
        </w:tc>
        <w:tc>
          <w:tcPr>
            <w:tcW w:w="1720" w:type="dxa"/>
            <w:vAlign w:val="bottom"/>
            <w:tcBorders>
              <w:bottom w:val="single" w:sz="8" w:color="auto"/>
            </w:tcBorders>
            <w:shd w:val="clear" w:color="auto" w:fill="CFF0FC"/>
          </w:tcPr>
          <w:p>
            <w:pPr>
              <w:jc w:val="right"/>
              <w:ind w:right="1569"/>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42,600</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41,593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1160" w:right="1220" w:hanging="10"/>
        <w:spacing w:after="0" w:line="301" w:lineRule="auto"/>
        <w:tabs>
          <w:tab w:leader="none" w:pos="1379"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 service contract revenues of $1,318 and $1,160 recognized during fiscal years 2018 and 2017, respectively. Service contract revenues are recognized ratably over the service contract period.</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Revenue information shown by geographic region is as follows (in thousands):</w:t>
      </w:r>
    </w:p>
    <w:p>
      <w:pPr>
        <w:spacing w:after="0" w:line="27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40" w:type="dxa"/>
            <w:vAlign w:val="bottom"/>
          </w:tcPr>
          <w:p>
            <w:pPr>
              <w:jc w:val="center"/>
              <w:ind w:left="471"/>
              <w:spacing w:after="0"/>
              <w:rPr>
                <w:sz w:val="20"/>
                <w:szCs w:val="20"/>
                <w:color w:val="auto"/>
              </w:rPr>
            </w:pPr>
            <w:r>
              <w:rPr>
                <w:rFonts w:ascii="Arial" w:cs="Arial" w:eastAsia="Arial" w:hAnsi="Arial"/>
                <w:sz w:val="14"/>
                <w:szCs w:val="14"/>
                <w:b w:val="1"/>
                <w:bCs w:val="1"/>
                <w:color w:val="auto"/>
                <w:w w:val="90"/>
              </w:rPr>
              <w:t>FY 2018</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FY 2017</w:t>
            </w:r>
          </w:p>
        </w:tc>
      </w:tr>
      <w:tr>
        <w:trPr>
          <w:trHeight w:val="155"/>
        </w:trPr>
        <w:tc>
          <w:tcPr>
            <w:tcW w:w="3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40" w:type="dxa"/>
            <w:vAlign w:val="bottom"/>
          </w:tcPr>
          <w:p>
            <w:pPr>
              <w:jc w:val="center"/>
              <w:ind w:left="471"/>
              <w:spacing w:after="0" w:line="155" w:lineRule="exact"/>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8"/>
              </w:rPr>
              <w:t>Year Ended</w:t>
            </w:r>
          </w:p>
        </w:tc>
      </w:tr>
      <w:tr>
        <w:trPr>
          <w:trHeight w:val="164"/>
        </w:trPr>
        <w:tc>
          <w:tcPr>
            <w:tcW w:w="306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740" w:type="dxa"/>
            <w:vAlign w:val="bottom"/>
            <w:tcBorders>
              <w:bottom w:val="single" w:sz="8" w:color="auto"/>
            </w:tcBorders>
          </w:tcPr>
          <w:p>
            <w:pPr>
              <w:jc w:val="center"/>
              <w:ind w:left="471"/>
              <w:spacing w:after="0"/>
              <w:rPr>
                <w:sz w:val="20"/>
                <w:szCs w:val="20"/>
                <w:color w:val="auto"/>
              </w:rPr>
            </w:pPr>
            <w:r>
              <w:rPr>
                <w:rFonts w:ascii="Arial" w:cs="Arial" w:eastAsia="Arial" w:hAnsi="Arial"/>
                <w:sz w:val="14"/>
                <w:szCs w:val="14"/>
                <w:b w:val="1"/>
                <w:bCs w:val="1"/>
                <w:color w:val="auto"/>
                <w:w w:val="88"/>
              </w:rPr>
              <w:t>December 29, 2018</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88"/>
              </w:rPr>
              <w:t>December 30, 2017</w:t>
            </w:r>
          </w:p>
        </w:tc>
        <w:tc>
          <w:tcPr>
            <w:tcW w:w="100" w:type="dxa"/>
            <w:vAlign w:val="bottom"/>
            <w:tcBorders>
              <w:bottom w:val="single" w:sz="8" w:color="CFF0FC"/>
            </w:tcBorders>
          </w:tcPr>
          <w:p>
            <w:pPr>
              <w:spacing w:after="0"/>
              <w:rPr>
                <w:sz w:val="14"/>
                <w:szCs w:val="14"/>
                <w:color w:val="auto"/>
              </w:rPr>
            </w:pPr>
          </w:p>
        </w:tc>
      </w:tr>
      <w:tr>
        <w:trPr>
          <w:trHeight w:val="212"/>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2780" w:type="dxa"/>
            <w:vAlign w:val="bottom"/>
            <w:gridSpan w:val="2"/>
            <w:shd w:val="clear" w:color="auto" w:fill="CFF0FC"/>
          </w:tcPr>
          <w:p>
            <w:pPr>
              <w:jc w:val="right"/>
              <w:ind w:right="1591"/>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22,097</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23,017</w:t>
            </w:r>
          </w:p>
        </w:tc>
        <w:tc>
          <w:tcPr>
            <w:tcW w:w="100" w:type="dxa"/>
            <w:vAlign w:val="bottom"/>
            <w:shd w:val="clear" w:color="auto" w:fill="CFF0FC"/>
          </w:tcPr>
          <w:p>
            <w:pPr>
              <w:spacing w:after="0"/>
              <w:rPr>
                <w:sz w:val="18"/>
                <w:szCs w:val="18"/>
                <w:color w:val="auto"/>
              </w:rPr>
            </w:pPr>
          </w:p>
        </w:tc>
      </w:tr>
      <w:tr>
        <w:trPr>
          <w:trHeight w:val="218"/>
        </w:trPr>
        <w:tc>
          <w:tcPr>
            <w:tcW w:w="3060" w:type="dxa"/>
            <w:vAlign w:val="bottom"/>
          </w:tcPr>
          <w:p>
            <w:pPr>
              <w:spacing w:after="0"/>
              <w:rPr>
                <w:sz w:val="20"/>
                <w:szCs w:val="20"/>
                <w:color w:val="auto"/>
              </w:rPr>
            </w:pPr>
            <w:r>
              <w:rPr>
                <w:rFonts w:ascii="Arial" w:cs="Arial" w:eastAsia="Arial" w:hAnsi="Arial"/>
                <w:sz w:val="17"/>
                <w:szCs w:val="17"/>
                <w:color w:val="auto"/>
              </w:rPr>
              <w:t>Europe</w:t>
            </w:r>
          </w:p>
        </w:tc>
        <w:tc>
          <w:tcPr>
            <w:tcW w:w="1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8,097</w:t>
            </w:r>
          </w:p>
        </w:tc>
        <w:tc>
          <w:tcPr>
            <w:tcW w:w="100" w:type="dxa"/>
            <w:vAlign w:val="bottom"/>
          </w:tcPr>
          <w:p>
            <w:pPr>
              <w:spacing w:after="0"/>
              <w:rPr>
                <w:sz w:val="18"/>
                <w:szCs w:val="18"/>
                <w:color w:val="auto"/>
              </w:rPr>
            </w:pPr>
          </w:p>
        </w:tc>
      </w:tr>
      <w:tr>
        <w:trPr>
          <w:trHeight w:val="220"/>
        </w:trPr>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Americas, excluding the U.S.</w:t>
            </w:r>
          </w:p>
        </w:tc>
        <w:tc>
          <w:tcPr>
            <w:tcW w:w="10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2,590</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2,319</w:t>
            </w:r>
          </w:p>
        </w:tc>
        <w:tc>
          <w:tcPr>
            <w:tcW w:w="100" w:type="dxa"/>
            <w:vAlign w:val="bottom"/>
            <w:shd w:val="clear" w:color="auto" w:fill="CFF0FC"/>
          </w:tcPr>
          <w:p>
            <w:pPr>
              <w:spacing w:after="0"/>
              <w:rPr>
                <w:sz w:val="19"/>
                <w:szCs w:val="19"/>
                <w:color w:val="auto"/>
              </w:rPr>
            </w:pPr>
          </w:p>
        </w:tc>
      </w:tr>
      <w:tr>
        <w:trPr>
          <w:trHeight w:val="218"/>
        </w:trPr>
        <w:tc>
          <w:tcPr>
            <w:tcW w:w="30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Asia/Pacific Rim</w:t>
            </w:r>
          </w:p>
        </w:tc>
        <w:tc>
          <w:tcPr>
            <w:tcW w:w="1040" w:type="dxa"/>
            <w:vAlign w:val="bottom"/>
            <w:tcBorders>
              <w:bottom w:val="single" w:sz="8" w:color="CFF0FC"/>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8,171</w:t>
            </w:r>
          </w:p>
        </w:tc>
        <w:tc>
          <w:tcPr>
            <w:tcW w:w="3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8,160</w:t>
            </w:r>
          </w:p>
        </w:tc>
        <w:tc>
          <w:tcPr>
            <w:tcW w:w="100" w:type="dxa"/>
            <w:vAlign w:val="bottom"/>
            <w:tcBorders>
              <w:bottom w:val="single" w:sz="8" w:color="CFF0FC"/>
            </w:tcBorders>
          </w:tcPr>
          <w:p>
            <w:pPr>
              <w:spacing w:after="0"/>
              <w:rPr>
                <w:sz w:val="18"/>
                <w:szCs w:val="18"/>
                <w:color w:val="auto"/>
              </w:rPr>
            </w:pPr>
          </w:p>
        </w:tc>
      </w:tr>
      <w:tr>
        <w:trPr>
          <w:trHeight w:val="212"/>
        </w:trPr>
        <w:tc>
          <w:tcPr>
            <w:tcW w:w="3060" w:type="dxa"/>
            <w:vAlign w:val="bottom"/>
            <w:shd w:val="clear" w:color="auto" w:fill="CFF0FC"/>
          </w:tcPr>
          <w:p>
            <w:pPr>
              <w:spacing w:after="0"/>
              <w:rPr>
                <w:sz w:val="18"/>
                <w:szCs w:val="18"/>
                <w:color w:val="auto"/>
              </w:rPr>
            </w:pPr>
          </w:p>
        </w:tc>
        <w:tc>
          <w:tcPr>
            <w:tcW w:w="2780" w:type="dxa"/>
            <w:vAlign w:val="bottom"/>
            <w:gridSpan w:val="2"/>
            <w:shd w:val="clear" w:color="auto" w:fill="CFF0FC"/>
          </w:tcPr>
          <w:p>
            <w:pPr>
              <w:jc w:val="right"/>
              <w:ind w:right="1591"/>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42,600</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41,593</w:t>
            </w:r>
          </w:p>
        </w:tc>
        <w:tc>
          <w:tcPr>
            <w:tcW w:w="100" w:type="dxa"/>
            <w:vAlign w:val="bottom"/>
            <w:shd w:val="clear" w:color="auto" w:fill="CFF0FC"/>
          </w:tcPr>
          <w:p>
            <w:pPr>
              <w:spacing w:after="0"/>
              <w:rPr>
                <w:sz w:val="18"/>
                <w:szCs w:val="18"/>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4"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Revenues are attributed to countries based on location of end customers. For fiscal years 2018 and 2017 no individual country accounted for more than 10% of our sales, except for the United States, which accounted for 51.9% and 55.3% of revenues in 2018 and 2017, respectively.</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15. Computation of Basic and Diluted Net Loss Per Common Share</w:t>
      </w:r>
    </w:p>
    <w:p>
      <w:pPr>
        <w:spacing w:after="0" w:line="120"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A reconciliation of the numerator and denominator of basic and diluted net income per common share is provided as follows (in thousands, except per share amounts):</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FY 2018</w:t>
            </w:r>
          </w:p>
        </w:tc>
        <w:tc>
          <w:tcPr>
            <w:tcW w:w="340" w:type="dxa"/>
            <w:vAlign w:val="bottom"/>
          </w:tcPr>
          <w:p>
            <w:pPr>
              <w:spacing w:after="0"/>
              <w:rPr>
                <w:sz w:val="14"/>
                <w:szCs w:val="14"/>
                <w:color w:val="auto"/>
              </w:rPr>
            </w:pPr>
          </w:p>
        </w:tc>
        <w:tc>
          <w:tcPr>
            <w:tcW w:w="2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FY 2017</w:t>
            </w: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gridSpan w:val="2"/>
          </w:tcPr>
          <w:p>
            <w:pPr>
              <w:jc w:val="center"/>
              <w:ind w:right="680"/>
              <w:spacing w:after="0" w:line="155" w:lineRule="exact"/>
              <w:rPr>
                <w:sz w:val="20"/>
                <w:szCs w:val="20"/>
                <w:color w:val="auto"/>
              </w:rPr>
            </w:pPr>
            <w:r>
              <w:rPr>
                <w:rFonts w:ascii="Arial" w:cs="Arial" w:eastAsia="Arial" w:hAnsi="Arial"/>
                <w:sz w:val="14"/>
                <w:szCs w:val="14"/>
                <w:b w:val="1"/>
                <w:bCs w:val="1"/>
                <w:color w:val="auto"/>
                <w:w w:val="88"/>
              </w:rPr>
              <w:t>Year Ended</w:t>
            </w:r>
          </w:p>
        </w:tc>
        <w:tc>
          <w:tcPr>
            <w:tcW w:w="340" w:type="dxa"/>
            <w:vAlign w:val="bottom"/>
          </w:tcPr>
          <w:p>
            <w:pPr>
              <w:spacing w:after="0"/>
              <w:rPr>
                <w:sz w:val="13"/>
                <w:szCs w:val="13"/>
                <w:color w:val="auto"/>
              </w:rPr>
            </w:pPr>
          </w:p>
        </w:tc>
        <w:tc>
          <w:tcPr>
            <w:tcW w:w="206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December 29, 2018</w:t>
            </w:r>
          </w:p>
        </w:tc>
        <w:tc>
          <w:tcPr>
            <w:tcW w:w="340" w:type="dxa"/>
            <w:vAlign w:val="bottom"/>
          </w:tcPr>
          <w:p>
            <w:pPr>
              <w:spacing w:after="0"/>
              <w:rPr>
                <w:sz w:val="14"/>
                <w:szCs w:val="14"/>
                <w:color w:val="auto"/>
              </w:rPr>
            </w:pPr>
          </w:p>
        </w:tc>
        <w:tc>
          <w:tcPr>
            <w:tcW w:w="2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December 30, 2017</w:t>
            </w:r>
          </w:p>
        </w:tc>
        <w:tc>
          <w:tcPr>
            <w:tcW w:w="0" w:type="dxa"/>
            <w:vAlign w:val="bottom"/>
          </w:tcPr>
          <w:p>
            <w:pPr>
              <w:spacing w:after="0"/>
              <w:rPr>
                <w:sz w:val="1"/>
                <w:szCs w:val="1"/>
                <w:color w:val="auto"/>
              </w:rPr>
            </w:pPr>
          </w:p>
        </w:tc>
      </w:tr>
      <w:tr>
        <w:trPr>
          <w:trHeight w:val="212"/>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Numerator:</w:t>
            </w: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960" w:type="dxa"/>
            <w:vAlign w:val="bottom"/>
          </w:tcPr>
          <w:p>
            <w:pPr>
              <w:ind w:left="460"/>
              <w:spacing w:after="0"/>
              <w:rPr>
                <w:sz w:val="20"/>
                <w:szCs w:val="20"/>
                <w:color w:val="auto"/>
              </w:rPr>
            </w:pPr>
            <w:r>
              <w:rPr>
                <w:rFonts w:ascii="Arial" w:cs="Arial" w:eastAsia="Arial" w:hAnsi="Arial"/>
                <w:sz w:val="17"/>
                <w:szCs w:val="17"/>
                <w:color w:val="auto"/>
              </w:rPr>
              <w:t>Net loss</w:t>
            </w:r>
          </w:p>
        </w:tc>
        <w:tc>
          <w:tcPr>
            <w:tcW w:w="48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280"/>
              <w:spacing w:after="0"/>
              <w:rPr>
                <w:sz w:val="20"/>
                <w:szCs w:val="20"/>
                <w:color w:val="auto"/>
              </w:rPr>
            </w:pPr>
            <w:r>
              <w:rPr>
                <w:rFonts w:ascii="Arial" w:cs="Arial" w:eastAsia="Arial" w:hAnsi="Arial"/>
                <w:sz w:val="17"/>
                <w:szCs w:val="17"/>
                <w:color w:val="auto"/>
              </w:rPr>
              <w:t>(12,813)</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40"/>
              <w:spacing w:after="0"/>
              <w:rPr>
                <w:sz w:val="20"/>
                <w:szCs w:val="20"/>
                <w:color w:val="auto"/>
              </w:rPr>
            </w:pPr>
            <w:r>
              <w:rPr>
                <w:rFonts w:ascii="Arial" w:cs="Arial" w:eastAsia="Arial" w:hAnsi="Arial"/>
                <w:sz w:val="17"/>
                <w:szCs w:val="17"/>
                <w:color w:val="auto"/>
              </w:rPr>
              <w:t>(12,867)</w:t>
            </w:r>
          </w:p>
        </w:tc>
        <w:tc>
          <w:tcPr>
            <w:tcW w:w="0" w:type="dxa"/>
            <w:vAlign w:val="bottom"/>
          </w:tcPr>
          <w:p>
            <w:pPr>
              <w:spacing w:after="0"/>
              <w:rPr>
                <w:sz w:val="1"/>
                <w:szCs w:val="1"/>
                <w:color w:val="auto"/>
              </w:rPr>
            </w:pPr>
          </w:p>
        </w:tc>
      </w:tr>
      <w:tr>
        <w:trPr>
          <w:trHeight w:val="199"/>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Denominator:</w:t>
            </w:r>
          </w:p>
        </w:tc>
        <w:tc>
          <w:tcPr>
            <w:tcW w:w="1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9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60" w:type="dxa"/>
            <w:vAlign w:val="bottom"/>
          </w:tcPr>
          <w:p>
            <w:pPr>
              <w:ind w:left="220"/>
              <w:spacing w:after="0"/>
              <w:rPr>
                <w:sz w:val="20"/>
                <w:szCs w:val="20"/>
                <w:color w:val="auto"/>
              </w:rPr>
            </w:pPr>
            <w:r>
              <w:rPr>
                <w:rFonts w:ascii="Arial" w:cs="Arial" w:eastAsia="Arial" w:hAnsi="Arial"/>
                <w:sz w:val="17"/>
                <w:szCs w:val="17"/>
                <w:color w:val="auto"/>
                <w:w w:val="97"/>
              </w:rPr>
              <w:t>Weighted average shares of common stock (basic)</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12,199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11,555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60" w:type="dxa"/>
            <w:vAlign w:val="bottom"/>
          </w:tcPr>
          <w:p>
            <w:pPr>
              <w:ind w:left="220"/>
              <w:spacing w:after="0"/>
              <w:rPr>
                <w:sz w:val="20"/>
                <w:szCs w:val="20"/>
                <w:color w:val="auto"/>
              </w:rPr>
            </w:pPr>
            <w:r>
              <w:rPr>
                <w:rFonts w:ascii="Arial" w:cs="Arial" w:eastAsia="Arial" w:hAnsi="Arial"/>
                <w:sz w:val="17"/>
                <w:szCs w:val="17"/>
                <w:color w:val="auto"/>
                <w:w w:val="94"/>
              </w:rPr>
              <w:t>Weighted average shares of common stock (diluted)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12,199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11,555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Per share data:</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60" w:type="dxa"/>
            <w:vAlign w:val="bottom"/>
          </w:tcPr>
          <w:p>
            <w:pPr>
              <w:ind w:left="460"/>
              <w:spacing w:after="0"/>
              <w:rPr>
                <w:sz w:val="20"/>
                <w:szCs w:val="20"/>
                <w:color w:val="auto"/>
              </w:rPr>
            </w:pPr>
            <w:r>
              <w:rPr>
                <w:rFonts w:ascii="Arial" w:cs="Arial" w:eastAsia="Arial" w:hAnsi="Arial"/>
                <w:sz w:val="17"/>
                <w:szCs w:val="17"/>
                <w:color w:val="auto"/>
              </w:rPr>
              <w:t>Basic net (loss) income per share</w:t>
            </w:r>
          </w:p>
        </w:tc>
        <w:tc>
          <w:tcPr>
            <w:tcW w:w="140" w:type="dxa"/>
            <w:vAlign w:val="bottom"/>
          </w:tcPr>
          <w:p>
            <w:pPr>
              <w:spacing w:after="0"/>
              <w:rPr>
                <w:sz w:val="20"/>
                <w:szCs w:val="20"/>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280"/>
              <w:spacing w:after="0"/>
              <w:rPr>
                <w:sz w:val="20"/>
                <w:szCs w:val="20"/>
                <w:color w:val="auto"/>
              </w:rPr>
            </w:pPr>
            <w:r>
              <w:rPr>
                <w:rFonts w:ascii="Arial" w:cs="Arial" w:eastAsia="Arial" w:hAnsi="Arial"/>
                <w:sz w:val="17"/>
                <w:szCs w:val="17"/>
                <w:color w:val="auto"/>
              </w:rPr>
              <w:t>(1.05)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4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vMerge w:val="restart"/>
            <w:shd w:val="clear" w:color="auto" w:fill="CFF0FC"/>
          </w:tcPr>
          <w:p>
            <w:pPr>
              <w:ind w:left="460"/>
              <w:spacing w:after="0"/>
              <w:rPr>
                <w:sz w:val="20"/>
                <w:szCs w:val="20"/>
                <w:color w:val="auto"/>
              </w:rPr>
            </w:pPr>
            <w:r>
              <w:rPr>
                <w:rFonts w:ascii="Arial" w:cs="Arial" w:eastAsia="Arial" w:hAnsi="Arial"/>
                <w:sz w:val="17"/>
                <w:szCs w:val="17"/>
                <w:color w:val="auto"/>
              </w:rPr>
              <w:t>Diluted net (loss) income per share</w:t>
            </w: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6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(1.05)</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580" w:firstLine="555"/>
        <w:spacing w:after="0" w:line="349" w:lineRule="auto"/>
        <w:rPr>
          <w:sz w:val="20"/>
          <w:szCs w:val="20"/>
          <w:color w:val="auto"/>
        </w:rPr>
      </w:pPr>
      <w:r>
        <w:rPr>
          <w:rFonts w:ascii="Arial" w:cs="Arial" w:eastAsia="Arial" w:hAnsi="Arial"/>
          <w:sz w:val="15"/>
          <w:szCs w:val="15"/>
          <w:color w:val="auto"/>
        </w:rPr>
        <w:t>As of December 29, 2018 and December 30, 2017, stock options, restricted stock units and restricted stock awards of 1,196,352 and 837,269 shares, respectively, were excluded from the computation of diluted weighted average shares outstanding because to do so would have been anti-dilutive.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120"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The Company has evaluated subsequent events and has concluded that no subsequent events that require disclosure in the financial statements have occurred since the fiscal year ended December 29, 2018.</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 applicable.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14" w:lineRule="exact"/>
        <w:rPr>
          <w:sz w:val="20"/>
          <w:szCs w:val="20"/>
          <w:color w:val="auto"/>
        </w:rPr>
      </w:pPr>
    </w:p>
    <w:p>
      <w:pPr>
        <w:ind w:right="20" w:firstLine="555"/>
        <w:spacing w:after="0" w:line="257" w:lineRule="auto"/>
        <w:rPr>
          <w:sz w:val="20"/>
          <w:szCs w:val="20"/>
          <w:color w:val="auto"/>
        </w:rPr>
      </w:pPr>
      <w:r>
        <w:rPr>
          <w:rFonts w:ascii="Arial" w:cs="Arial" w:eastAsia="Arial" w:hAnsi="Arial"/>
          <w:sz w:val="17"/>
          <w:szCs w:val="17"/>
          <w:color w:val="auto"/>
        </w:rPr>
        <w:t>Our management, with the participation of our Principal Executive and Financial Officer and Principal Accounting Officer, evaluated the effectiveness of our disclosure controls and procedures pursuant to Rule 13a-15 under the Exchange Act.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2" w:lineRule="exact"/>
        <w:rPr>
          <w:sz w:val="20"/>
          <w:szCs w:val="20"/>
          <w:color w:val="auto"/>
        </w:rPr>
      </w:pPr>
    </w:p>
    <w:p>
      <w:pPr>
        <w:ind w:right="120" w:firstLine="555"/>
        <w:spacing w:after="0" w:line="279" w:lineRule="auto"/>
        <w:rPr>
          <w:sz w:val="20"/>
          <w:szCs w:val="20"/>
          <w:color w:val="auto"/>
        </w:rPr>
      </w:pPr>
      <w:r>
        <w:rPr>
          <w:rFonts w:ascii="Arial" w:cs="Arial" w:eastAsia="Arial" w:hAnsi="Arial"/>
          <w:sz w:val="16"/>
          <w:szCs w:val="16"/>
          <w:color w:val="auto"/>
        </w:rPr>
        <w:t>Based on management’s evaluation, our Principal Executive and Financial Officer and Principal Accounting Officer concluded that, as of December 29, 2018,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and Financial Officer and Principal Accounting Officer, as appropriate, to allow timely decisions regarding required disclosure.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Management’s Report on Internal Control over Financial Reporting.</w:t>
      </w:r>
    </w:p>
    <w:p>
      <w:pPr>
        <w:spacing w:after="0" w:line="114" w:lineRule="exact"/>
        <w:rPr>
          <w:sz w:val="20"/>
          <w:szCs w:val="20"/>
          <w:color w:val="auto"/>
        </w:rPr>
      </w:pPr>
    </w:p>
    <w:p>
      <w:pPr>
        <w:ind w:right="100" w:firstLine="555"/>
        <w:spacing w:after="0" w:line="257"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the company’s financial reporting. There are inherent limitations in the effectiveness of any internal control, including the possibility of human error and the circumvention or overriding of controls. Accordingly, even any effective internal control can provide only reasonable assurance with respect to financial statement preparation. Further, because of changes in conditions, the effectiveness of any internal control may vary over time. Our management assessed the effectiveness of the company’s internal control over financial reporting as of December 29, 2018. In making this assessment, we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Based on our assessment using those criteria, our management concluded that, as of December 29, 2018, our internal control over financial reporting is effective.</w:t>
      </w:r>
    </w:p>
    <w:p>
      <w:pPr>
        <w:spacing w:after="0" w:line="82"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public accounting firm regarding internal control over financial reporting. Management’s report is not subject to attestation by our independent registered public accounting firm.</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14" w:lineRule="exact"/>
        <w:rPr>
          <w:sz w:val="20"/>
          <w:szCs w:val="20"/>
          <w:color w:val="auto"/>
        </w:rPr>
      </w:pPr>
    </w:p>
    <w:p>
      <w:pPr>
        <w:ind w:right="80" w:firstLine="555"/>
        <w:spacing w:after="0" w:line="349" w:lineRule="auto"/>
        <w:rPr>
          <w:sz w:val="20"/>
          <w:szCs w:val="20"/>
          <w:color w:val="auto"/>
        </w:rPr>
      </w:pPr>
      <w:r>
        <w:rPr>
          <w:rFonts w:ascii="Arial" w:cs="Arial" w:eastAsia="Arial" w:hAnsi="Arial"/>
          <w:sz w:val="15"/>
          <w:szCs w:val="15"/>
          <w:color w:val="auto"/>
        </w:rPr>
        <w:t>There were no changes in our internal control over financial reporting that occurred during the fourth quarter of fiscal year 2018 that has materially affected, or is reasonably likely to materially affect, our internal control over financial reporting, as defined in Rule 13a-15(f) and 15(d)-15(f) under the Exchange Act.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Inherent Limitations on Effectiveness of Controls</w:t>
      </w:r>
    </w:p>
    <w:p>
      <w:pPr>
        <w:spacing w:after="0" w:line="114" w:lineRule="exact"/>
        <w:rPr>
          <w:sz w:val="20"/>
          <w:szCs w:val="20"/>
          <w:color w:val="auto"/>
        </w:rPr>
      </w:pPr>
    </w:p>
    <w:p>
      <w:pPr>
        <w:ind w:firstLine="555"/>
        <w:spacing w:after="0" w:line="292" w:lineRule="auto"/>
        <w:rPr>
          <w:sz w:val="20"/>
          <w:szCs w:val="20"/>
          <w:color w:val="auto"/>
        </w:rPr>
      </w:pPr>
      <w:r>
        <w:rPr>
          <w:rFonts w:ascii="Arial" w:cs="Arial" w:eastAsia="Arial" w:hAnsi="Arial"/>
          <w:sz w:val="15"/>
          <w:szCs w:val="15"/>
          <w:color w:val="auto"/>
        </w:rPr>
        <w:t>Our management, including our Principal Executive and Financial Officer and Principal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23" w:lineRule="exact"/>
        <w:rPr>
          <w:sz w:val="20"/>
          <w:szCs w:val="20"/>
          <w:color w:val="auto"/>
        </w:rPr>
      </w:pPr>
    </w:p>
    <w:p>
      <w:pPr>
        <w:jc w:val="both"/>
        <w:ind w:right="40" w:firstLine="555"/>
        <w:spacing w:after="0" w:line="266" w:lineRule="auto"/>
        <w:rPr>
          <w:sz w:val="20"/>
          <w:szCs w:val="20"/>
          <w:color w:val="auto"/>
        </w:rPr>
      </w:pPr>
      <w:r>
        <w:rPr>
          <w:rFonts w:ascii="Arial" w:cs="Arial" w:eastAsia="Arial" w:hAnsi="Arial"/>
          <w:sz w:val="17"/>
          <w:szCs w:val="17"/>
          <w:color w:val="auto"/>
        </w:rPr>
        <w:t>Certain information required by Part III has been omitted from this Form 10-K. This information is instead incorporated herein by reference to our definitive Proxy Statement, which we will file within 120 days after the end of our fiscal year pursuant to Regulation 14A in time for our Annual Meeting of Stockholders to be held in 2019.</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0" w:lineRule="exact"/>
        <w:rPr>
          <w:sz w:val="20"/>
          <w:szCs w:val="20"/>
          <w:color w:val="auto"/>
        </w:rPr>
      </w:pPr>
    </w:p>
    <w:p>
      <w:pPr>
        <w:ind w:firstLine="555"/>
        <w:spacing w:after="0" w:line="259" w:lineRule="auto"/>
        <w:rPr>
          <w:sz w:val="20"/>
          <w:szCs w:val="20"/>
          <w:color w:val="auto"/>
        </w:rPr>
      </w:pPr>
      <w:r>
        <w:rPr>
          <w:rFonts w:ascii="Arial" w:cs="Arial" w:eastAsia="Arial" w:hAnsi="Arial"/>
          <w:sz w:val="17"/>
          <w:szCs w:val="17"/>
          <w:color w:val="auto"/>
        </w:rPr>
        <w:t>Information regarding our directors is incorporated herein by reference to “Proposal One - Election of Directors - Nominees” in our Proxy Statement. The information concerning our current executive officers is incorporated herein by reference to “Executive Officers” in our Proxy Statement. Information regarding delinquent filers is incorporated by reference to “Section 16(a) Beneficial Ownership Reporting Compliance” in our Proxy Statement. Information regarding our code of business conduct and ethics is incorporated herein by reference to “Corporate Governance Matters - Code of Business Conduct and Ethics” in our Proxy Statement.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information required by this item is incorporated herein by reference to “Executive Compensation” in our Proxy Statement.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20" w:lineRule="exact"/>
        <w:rPr>
          <w:sz w:val="20"/>
          <w:szCs w:val="20"/>
          <w:color w:val="auto"/>
        </w:rPr>
      </w:pPr>
    </w:p>
    <w:p>
      <w:pPr>
        <w:ind w:right="340" w:firstLine="555"/>
        <w:spacing w:after="0" w:line="279" w:lineRule="auto"/>
        <w:rPr>
          <w:sz w:val="20"/>
          <w:szCs w:val="20"/>
          <w:color w:val="auto"/>
        </w:rPr>
      </w:pPr>
      <w:r>
        <w:rPr>
          <w:rFonts w:ascii="Arial" w:cs="Arial" w:eastAsia="Arial" w:hAnsi="Arial"/>
          <w:sz w:val="17"/>
          <w:szCs w:val="17"/>
          <w:color w:val="auto"/>
        </w:rPr>
        <w:t>The information required by this Item is incorporated herein by reference to “Security Ownership of Certain Beneficial Owners and Management” in our Proxy Statement.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required by this Item is incorporated herein by reference to “Certain Relationships and Related Transactions” in our Proxy Statement.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20" w:lineRule="exact"/>
        <w:rPr>
          <w:sz w:val="20"/>
          <w:szCs w:val="20"/>
          <w:color w:val="auto"/>
        </w:rPr>
      </w:pPr>
    </w:p>
    <w:p>
      <w:pPr>
        <w:ind w:right="400" w:firstLine="555"/>
        <w:spacing w:after="0" w:line="279" w:lineRule="auto"/>
        <w:rPr>
          <w:sz w:val="20"/>
          <w:szCs w:val="20"/>
          <w:color w:val="auto"/>
        </w:rPr>
      </w:pPr>
      <w:r>
        <w:rPr>
          <w:rFonts w:ascii="Arial" w:cs="Arial" w:eastAsia="Arial" w:hAnsi="Arial"/>
          <w:sz w:val="17"/>
          <w:szCs w:val="17"/>
          <w:color w:val="auto"/>
        </w:rPr>
        <w:t>The information required by this item is incorporated herein by reference to “Proposal Two - Ratification of the Appointment of Independent Registered Public Accounting Firm” in our Proxy Statement.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700" w:type="dxa"/>
            <w:vAlign w:val="bottom"/>
            <w:gridSpan w:val="6"/>
          </w:tcPr>
          <w:p>
            <w:pPr>
              <w:ind w:left="1320"/>
              <w:spacing w:after="0"/>
              <w:rPr>
                <w:sz w:val="20"/>
                <w:szCs w:val="20"/>
                <w:color w:val="auto"/>
              </w:rPr>
            </w:pPr>
            <w:r>
              <w:rPr>
                <w:rFonts w:ascii="Arial" w:cs="Arial" w:eastAsia="Arial" w:hAnsi="Arial"/>
                <w:sz w:val="17"/>
                <w:szCs w:val="17"/>
                <w:b w:val="1"/>
                <w:bCs w:val="1"/>
                <w:color w:val="auto"/>
              </w:rPr>
              <w:t>PART IV</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10740" w:type="dxa"/>
            <w:vAlign w:val="bottom"/>
            <w:gridSpan w:val="9"/>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40" w:type="dxa"/>
            <w:vAlign w:val="bottom"/>
          </w:tcPr>
          <w:p>
            <w:pPr>
              <w:ind w:left="560"/>
              <w:spacing w:after="0"/>
              <w:rPr>
                <w:sz w:val="20"/>
                <w:szCs w:val="20"/>
                <w:color w:val="auto"/>
              </w:rPr>
            </w:pPr>
            <w:r>
              <w:rPr>
                <w:rFonts w:ascii="Arial" w:cs="Arial" w:eastAsia="Arial" w:hAnsi="Arial"/>
                <w:sz w:val="17"/>
                <w:szCs w:val="17"/>
                <w:color w:val="auto"/>
              </w:rPr>
              <w:t>(a)</w:t>
            </w:r>
          </w:p>
        </w:tc>
        <w:tc>
          <w:tcPr>
            <w:tcW w:w="9800" w:type="dxa"/>
            <w:vAlign w:val="bottom"/>
            <w:gridSpan w:val="8"/>
          </w:tcPr>
          <w:p>
            <w:pPr>
              <w:ind w:left="180"/>
              <w:spacing w:after="0"/>
              <w:rPr>
                <w:sz w:val="20"/>
                <w:szCs w:val="20"/>
                <w:color w:val="auto"/>
              </w:rPr>
            </w:pPr>
            <w:r>
              <w:rPr>
                <w:rFonts w:ascii="Arial" w:cs="Arial" w:eastAsia="Arial" w:hAnsi="Arial"/>
                <w:sz w:val="17"/>
                <w:szCs w:val="17"/>
                <w:color w:val="auto"/>
              </w:rPr>
              <w:t>The following documents are filed in Part II of this Annual Report on Form 10-K:</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9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Page in</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Form 10-K</w:t>
            </w:r>
          </w:p>
        </w:tc>
        <w:tc>
          <w:tcPr>
            <w:tcW w:w="0" w:type="dxa"/>
            <w:vAlign w:val="bottom"/>
          </w:tcPr>
          <w:p>
            <w:pPr>
              <w:spacing w:after="0"/>
              <w:rPr>
                <w:sz w:val="1"/>
                <w:szCs w:val="1"/>
                <w:color w:val="auto"/>
              </w:rPr>
            </w:pPr>
          </w:p>
        </w:tc>
      </w:tr>
      <w:tr>
        <w:trPr>
          <w:trHeight w:val="177"/>
        </w:trPr>
        <w:tc>
          <w:tcPr>
            <w:tcW w:w="10740" w:type="dxa"/>
            <w:vAlign w:val="bottom"/>
            <w:gridSpan w:val="9"/>
            <w:vMerge w:val="restart"/>
          </w:tcPr>
          <w:p>
            <w:pPr>
              <w:spacing w:after="0"/>
              <w:rPr>
                <w:sz w:val="20"/>
                <w:szCs w:val="20"/>
                <w:color w:val="auto"/>
              </w:rPr>
            </w:pPr>
            <w:r>
              <w:rPr>
                <w:rFonts w:ascii="Arial" w:cs="Arial" w:eastAsia="Arial" w:hAnsi="Arial"/>
                <w:sz w:val="17"/>
                <w:szCs w:val="17"/>
                <w:b w:val="1"/>
                <w:bCs w:val="1"/>
                <w:color w:val="auto"/>
              </w:rPr>
              <w:t>1</w:t>
            </w:r>
            <w:r>
              <w:rPr>
                <w:rFonts w:ascii="Arial" w:cs="Arial" w:eastAsia="Arial" w:hAnsi="Arial"/>
                <w:sz w:val="17"/>
                <w:szCs w:val="17"/>
                <w:color w:val="auto"/>
              </w:rPr>
              <w:t>.</w:t>
            </w:r>
            <w:r>
              <w:rPr>
                <w:rFonts w:ascii="Arial" w:cs="Arial" w:eastAsia="Arial" w:hAnsi="Arial"/>
                <w:sz w:val="17"/>
                <w:szCs w:val="17"/>
                <w:b w:val="1"/>
                <w:bCs w:val="1"/>
                <w:color w:val="auto"/>
              </w:rPr>
              <w:t xml:space="preserve"> Index to Financial Statements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Report</w:t>
            </w:r>
          </w:p>
        </w:tc>
        <w:tc>
          <w:tcPr>
            <w:tcW w:w="0" w:type="dxa"/>
            <w:vAlign w:val="bottom"/>
          </w:tcPr>
          <w:p>
            <w:pPr>
              <w:spacing w:after="0"/>
              <w:rPr>
                <w:sz w:val="1"/>
                <w:szCs w:val="1"/>
                <w:color w:val="auto"/>
              </w:rPr>
            </w:pPr>
          </w:p>
        </w:tc>
      </w:tr>
      <w:tr>
        <w:trPr>
          <w:trHeight w:val="187"/>
        </w:trPr>
        <w:tc>
          <w:tcPr>
            <w:tcW w:w="10740" w:type="dxa"/>
            <w:vAlign w:val="bottom"/>
            <w:gridSpan w:val="9"/>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40" w:type="dxa"/>
            <w:vAlign w:val="bottom"/>
            <w:tcBorders>
              <w:bottom w:val="single" w:sz="8" w:color="0000EE"/>
            </w:tcBorders>
            <w:gridSpan w:val="3"/>
          </w:tcPr>
          <w:p>
            <w:pPr>
              <w:spacing w:after="0" w:line="180" w:lineRule="exact"/>
              <w:rPr>
                <w:rFonts w:ascii="Arial" w:cs="Arial" w:eastAsia="Arial" w:hAnsi="Arial"/>
                <w:sz w:val="17"/>
                <w:szCs w:val="17"/>
                <w:color w:val="0000EE"/>
                <w:w w:val="92"/>
              </w:rPr>
            </w:pPr>
            <w:hyperlink w:anchor="page39">
              <w:r>
                <w:rPr>
                  <w:rFonts w:ascii="Arial" w:cs="Arial" w:eastAsia="Arial" w:hAnsi="Arial"/>
                  <w:sz w:val="17"/>
                  <w:szCs w:val="17"/>
                  <w:color w:val="0000EE"/>
                  <w:w w:val="92"/>
                </w:rPr>
                <w:t>Report of Independent Registered Public Accounting Firm</w:t>
              </w:r>
            </w:hyperlink>
          </w:p>
        </w:tc>
        <w:tc>
          <w:tcPr>
            <w:tcW w:w="6700" w:type="dxa"/>
            <w:vAlign w:val="bottom"/>
            <w:gridSpan w:val="6"/>
          </w:tcPr>
          <w:p>
            <w:pPr>
              <w:spacing w:after="0"/>
              <w:rPr>
                <w:sz w:val="15"/>
                <w:szCs w:val="15"/>
                <w:color w:val="auto"/>
              </w:rPr>
            </w:pPr>
          </w:p>
        </w:tc>
        <w:tc>
          <w:tcPr>
            <w:tcW w:w="680" w:type="dxa"/>
            <w:vAlign w:val="bottom"/>
          </w:tcPr>
          <w:p>
            <w:pPr>
              <w:jc w:val="center"/>
              <w:spacing w:after="0" w:line="180" w:lineRule="exact"/>
              <w:rPr>
                <w:sz w:val="20"/>
                <w:szCs w:val="20"/>
                <w:color w:val="auto"/>
              </w:rPr>
            </w:pPr>
            <w:r>
              <w:rPr>
                <w:rFonts w:ascii="Arial" w:cs="Arial" w:eastAsia="Arial" w:hAnsi="Arial"/>
                <w:sz w:val="17"/>
                <w:szCs w:val="17"/>
                <w:color w:val="auto"/>
                <w:w w:val="84"/>
              </w:rPr>
              <w:t>39</w:t>
            </w:r>
          </w:p>
        </w:tc>
        <w:tc>
          <w:tcPr>
            <w:tcW w:w="0" w:type="dxa"/>
            <w:vAlign w:val="bottom"/>
          </w:tcPr>
          <w:p>
            <w:pPr>
              <w:spacing w:after="0"/>
              <w:rPr>
                <w:sz w:val="1"/>
                <w:szCs w:val="1"/>
                <w:color w:val="auto"/>
              </w:rPr>
            </w:pPr>
          </w:p>
        </w:tc>
      </w:tr>
      <w:tr>
        <w:trPr>
          <w:trHeight w:val="186"/>
        </w:trPr>
        <w:tc>
          <w:tcPr>
            <w:tcW w:w="10740" w:type="dxa"/>
            <w:vAlign w:val="bottom"/>
            <w:gridSpan w:val="9"/>
          </w:tcPr>
          <w:p>
            <w:pPr>
              <w:spacing w:after="0" w:line="186" w:lineRule="exact"/>
              <w:rPr>
                <w:rFonts w:ascii="Arial" w:cs="Arial" w:eastAsia="Arial" w:hAnsi="Arial"/>
                <w:sz w:val="17"/>
                <w:szCs w:val="17"/>
                <w:color w:val="0000EE"/>
              </w:rPr>
            </w:pPr>
            <w:hyperlink w:anchor="page40">
              <w:r>
                <w:rPr>
                  <w:rFonts w:ascii="Arial" w:cs="Arial" w:eastAsia="Arial" w:hAnsi="Arial"/>
                  <w:sz w:val="17"/>
                  <w:szCs w:val="17"/>
                  <w:color w:val="0000EE"/>
                </w:rPr>
                <w:t>Consolidated Balance Sheets as of December 29, 2018 and December 30, 2017</w:t>
              </w:r>
            </w:hyperlink>
          </w:p>
        </w:tc>
        <w:tc>
          <w:tcPr>
            <w:tcW w:w="680" w:type="dxa"/>
            <w:vAlign w:val="bottom"/>
          </w:tcPr>
          <w:p>
            <w:pPr>
              <w:jc w:val="center"/>
              <w:spacing w:after="0" w:line="186" w:lineRule="exact"/>
              <w:rPr>
                <w:sz w:val="20"/>
                <w:szCs w:val="20"/>
                <w:color w:val="auto"/>
              </w:rPr>
            </w:pPr>
            <w:r>
              <w:rPr>
                <w:rFonts w:ascii="Arial" w:cs="Arial" w:eastAsia="Arial" w:hAnsi="Arial"/>
                <w:sz w:val="17"/>
                <w:szCs w:val="17"/>
                <w:color w:val="auto"/>
                <w:w w:val="84"/>
              </w:rPr>
              <w:t>40</w:t>
            </w:r>
          </w:p>
        </w:tc>
        <w:tc>
          <w:tcPr>
            <w:tcW w:w="0" w:type="dxa"/>
            <w:vAlign w:val="bottom"/>
          </w:tcPr>
          <w:p>
            <w:pPr>
              <w:spacing w:after="0"/>
              <w:rPr>
                <w:sz w:val="1"/>
                <w:szCs w:val="1"/>
                <w:color w:val="auto"/>
              </w:rPr>
            </w:pPr>
          </w:p>
        </w:tc>
      </w:tr>
      <w:tr>
        <w:trPr>
          <w:trHeight w:val="20"/>
        </w:trPr>
        <w:tc>
          <w:tcPr>
            <w:tcW w:w="300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740" w:type="dxa"/>
            <w:vAlign w:val="bottom"/>
            <w:gridSpan w:val="9"/>
          </w:tcPr>
          <w:p>
            <w:pPr>
              <w:spacing w:after="0" w:line="186" w:lineRule="exact"/>
              <w:rPr>
                <w:rFonts w:ascii="Arial" w:cs="Arial" w:eastAsia="Arial" w:hAnsi="Arial"/>
                <w:sz w:val="17"/>
                <w:szCs w:val="17"/>
                <w:color w:val="0000EE"/>
              </w:rPr>
            </w:pPr>
            <w:hyperlink w:anchor="page41">
              <w:r>
                <w:rPr>
                  <w:rFonts w:ascii="Arial" w:cs="Arial" w:eastAsia="Arial" w:hAnsi="Arial"/>
                  <w:sz w:val="17"/>
                  <w:szCs w:val="17"/>
                  <w:color w:val="0000EE"/>
                </w:rPr>
                <w:t>Consolidated Statements of Operations for the years ended December 29, 2018 and December 30, 2017</w:t>
              </w:r>
            </w:hyperlink>
          </w:p>
        </w:tc>
        <w:tc>
          <w:tcPr>
            <w:tcW w:w="680" w:type="dxa"/>
            <w:vAlign w:val="bottom"/>
          </w:tcPr>
          <w:p>
            <w:pPr>
              <w:jc w:val="center"/>
              <w:spacing w:after="0" w:line="186" w:lineRule="exact"/>
              <w:rPr>
                <w:sz w:val="20"/>
                <w:szCs w:val="20"/>
                <w:color w:val="auto"/>
              </w:rPr>
            </w:pPr>
            <w:r>
              <w:rPr>
                <w:rFonts w:ascii="Arial" w:cs="Arial" w:eastAsia="Arial" w:hAnsi="Arial"/>
                <w:sz w:val="17"/>
                <w:szCs w:val="17"/>
                <w:color w:val="auto"/>
                <w:w w:val="84"/>
              </w:rPr>
              <w:t>41</w:t>
            </w:r>
          </w:p>
        </w:tc>
        <w:tc>
          <w:tcPr>
            <w:tcW w:w="0" w:type="dxa"/>
            <w:vAlign w:val="bottom"/>
          </w:tcPr>
          <w:p>
            <w:pPr>
              <w:spacing w:after="0"/>
              <w:rPr>
                <w:sz w:val="1"/>
                <w:szCs w:val="1"/>
                <w:color w:val="auto"/>
              </w:rPr>
            </w:pPr>
          </w:p>
        </w:tc>
      </w:tr>
      <w:tr>
        <w:trPr>
          <w:trHeight w:val="20"/>
        </w:trPr>
        <w:tc>
          <w:tcPr>
            <w:tcW w:w="3000" w:type="dxa"/>
            <w:vAlign w:val="bottom"/>
            <w:gridSpan w:val="2"/>
            <w:shd w:val="clear" w:color="auto" w:fill="0000EE"/>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20" w:type="dxa"/>
            <w:vAlign w:val="bottom"/>
            <w:tcBorders>
              <w:bottom w:val="single" w:sz="8" w:color="0000EE"/>
            </w:tcBorders>
            <w:gridSpan w:val="8"/>
          </w:tcPr>
          <w:p>
            <w:pPr>
              <w:spacing w:after="0" w:line="186" w:lineRule="exact"/>
              <w:rPr>
                <w:rFonts w:ascii="Arial" w:cs="Arial" w:eastAsia="Arial" w:hAnsi="Arial"/>
                <w:sz w:val="17"/>
                <w:szCs w:val="17"/>
                <w:color w:val="0000EE"/>
                <w:w w:val="90"/>
              </w:rPr>
            </w:pPr>
            <w:hyperlink w:anchor="page42">
              <w:r>
                <w:rPr>
                  <w:rFonts w:ascii="Arial" w:cs="Arial" w:eastAsia="Arial" w:hAnsi="Arial"/>
                  <w:sz w:val="17"/>
                  <w:szCs w:val="17"/>
                  <w:color w:val="0000EE"/>
                  <w:w w:val="90"/>
                </w:rPr>
                <w:t>Consolidated Statements of Comprehensive Loss for the years ended December 29, 2018 and December 30, 2017</w:t>
              </w:r>
            </w:hyperlink>
          </w:p>
        </w:tc>
        <w:tc>
          <w:tcPr>
            <w:tcW w:w="2920" w:type="dxa"/>
            <w:vAlign w:val="bottom"/>
          </w:tcPr>
          <w:p>
            <w:pPr>
              <w:spacing w:after="0"/>
              <w:rPr>
                <w:sz w:val="16"/>
                <w:szCs w:val="16"/>
                <w:color w:val="auto"/>
              </w:rPr>
            </w:pPr>
          </w:p>
        </w:tc>
        <w:tc>
          <w:tcPr>
            <w:tcW w:w="680" w:type="dxa"/>
            <w:vAlign w:val="bottom"/>
          </w:tcPr>
          <w:p>
            <w:pPr>
              <w:jc w:val="center"/>
              <w:spacing w:after="0" w:line="186" w:lineRule="exact"/>
              <w:rPr>
                <w:sz w:val="20"/>
                <w:szCs w:val="20"/>
                <w:color w:val="auto"/>
              </w:rPr>
            </w:pPr>
            <w:r>
              <w:rPr>
                <w:rFonts w:ascii="Arial" w:cs="Arial" w:eastAsia="Arial" w:hAnsi="Arial"/>
                <w:sz w:val="17"/>
                <w:szCs w:val="17"/>
                <w:color w:val="auto"/>
                <w:w w:val="84"/>
              </w:rPr>
              <w:t>42</w:t>
            </w:r>
          </w:p>
        </w:tc>
        <w:tc>
          <w:tcPr>
            <w:tcW w:w="0" w:type="dxa"/>
            <w:vAlign w:val="bottom"/>
          </w:tcPr>
          <w:p>
            <w:pPr>
              <w:spacing w:after="0"/>
              <w:rPr>
                <w:sz w:val="1"/>
                <w:szCs w:val="1"/>
                <w:color w:val="auto"/>
              </w:rPr>
            </w:pPr>
          </w:p>
        </w:tc>
      </w:tr>
      <w:tr>
        <w:trPr>
          <w:trHeight w:val="186"/>
        </w:trPr>
        <w:tc>
          <w:tcPr>
            <w:tcW w:w="10740" w:type="dxa"/>
            <w:vAlign w:val="bottom"/>
            <w:gridSpan w:val="9"/>
          </w:tcPr>
          <w:p>
            <w:pPr>
              <w:spacing w:after="0" w:line="186" w:lineRule="exact"/>
              <w:rPr>
                <w:rFonts w:ascii="Arial" w:cs="Arial" w:eastAsia="Arial" w:hAnsi="Arial"/>
                <w:sz w:val="17"/>
                <w:szCs w:val="17"/>
                <w:color w:val="0000EE"/>
              </w:rPr>
            </w:pPr>
            <w:hyperlink w:anchor="page43">
              <w:r>
                <w:rPr>
                  <w:rFonts w:ascii="Arial" w:cs="Arial" w:eastAsia="Arial" w:hAnsi="Arial"/>
                  <w:sz w:val="17"/>
                  <w:szCs w:val="17"/>
                  <w:color w:val="0000EE"/>
                </w:rPr>
                <w:t>Consolidated Statements of Stockholders’Equity for the years ended December 29, 2018 and December 30, 2017</w:t>
              </w:r>
            </w:hyperlink>
          </w:p>
        </w:tc>
        <w:tc>
          <w:tcPr>
            <w:tcW w:w="680" w:type="dxa"/>
            <w:vAlign w:val="bottom"/>
          </w:tcPr>
          <w:p>
            <w:pPr>
              <w:jc w:val="center"/>
              <w:spacing w:after="0" w:line="186" w:lineRule="exact"/>
              <w:rPr>
                <w:sz w:val="20"/>
                <w:szCs w:val="20"/>
                <w:color w:val="auto"/>
              </w:rPr>
            </w:pPr>
            <w:r>
              <w:rPr>
                <w:rFonts w:ascii="Arial" w:cs="Arial" w:eastAsia="Arial" w:hAnsi="Arial"/>
                <w:sz w:val="17"/>
                <w:szCs w:val="17"/>
                <w:color w:val="auto"/>
                <w:w w:val="84"/>
              </w:rPr>
              <w:t>43</w:t>
            </w:r>
          </w:p>
        </w:tc>
        <w:tc>
          <w:tcPr>
            <w:tcW w:w="0" w:type="dxa"/>
            <w:vAlign w:val="bottom"/>
          </w:tcPr>
          <w:p>
            <w:pPr>
              <w:spacing w:after="0"/>
              <w:rPr>
                <w:sz w:val="1"/>
                <w:szCs w:val="1"/>
                <w:color w:val="auto"/>
              </w:rPr>
            </w:pPr>
          </w:p>
        </w:tc>
      </w:tr>
      <w:tr>
        <w:trPr>
          <w:trHeight w:val="186"/>
        </w:trPr>
        <w:tc>
          <w:tcPr>
            <w:tcW w:w="7180" w:type="dxa"/>
            <w:vAlign w:val="bottom"/>
            <w:tcBorders>
              <w:top w:val="single" w:sz="8" w:color="0000EE"/>
              <w:bottom w:val="single" w:sz="8" w:color="0000EE"/>
            </w:tcBorders>
            <w:gridSpan w:val="6"/>
          </w:tcPr>
          <w:p>
            <w:pPr>
              <w:spacing w:after="0" w:line="186" w:lineRule="exact"/>
              <w:rPr>
                <w:rFonts w:ascii="Arial" w:cs="Arial" w:eastAsia="Arial" w:hAnsi="Arial"/>
                <w:sz w:val="17"/>
                <w:szCs w:val="17"/>
                <w:color w:val="0000EE"/>
                <w:w w:val="90"/>
              </w:rPr>
            </w:pPr>
            <w:hyperlink w:anchor="page44">
              <w:r>
                <w:rPr>
                  <w:rFonts w:ascii="Arial" w:cs="Arial" w:eastAsia="Arial" w:hAnsi="Arial"/>
                  <w:sz w:val="17"/>
                  <w:szCs w:val="17"/>
                  <w:color w:val="0000EE"/>
                  <w:w w:val="90"/>
                </w:rPr>
                <w:t>Consolidated Statements of Cash Flows for the years ended December 29, 2018 and December 30, 2017</w:t>
              </w:r>
            </w:hyperlink>
          </w:p>
        </w:tc>
        <w:tc>
          <w:tcPr>
            <w:tcW w:w="600" w:type="dxa"/>
            <w:vAlign w:val="bottom"/>
            <w:tcBorders>
              <w:top w:val="single" w:sz="8" w:color="0000EE"/>
            </w:tcBorders>
          </w:tcPr>
          <w:p>
            <w:pPr>
              <w:spacing w:after="0"/>
              <w:rPr>
                <w:sz w:val="16"/>
                <w:szCs w:val="16"/>
                <w:color w:val="auto"/>
              </w:rPr>
            </w:pPr>
          </w:p>
        </w:tc>
        <w:tc>
          <w:tcPr>
            <w:tcW w:w="2960" w:type="dxa"/>
            <w:vAlign w:val="bottom"/>
            <w:gridSpan w:val="2"/>
          </w:tcPr>
          <w:p>
            <w:pPr>
              <w:spacing w:after="0"/>
              <w:rPr>
                <w:sz w:val="16"/>
                <w:szCs w:val="16"/>
                <w:color w:val="auto"/>
              </w:rPr>
            </w:pPr>
          </w:p>
        </w:tc>
        <w:tc>
          <w:tcPr>
            <w:tcW w:w="680" w:type="dxa"/>
            <w:vAlign w:val="bottom"/>
          </w:tcPr>
          <w:p>
            <w:pPr>
              <w:jc w:val="center"/>
              <w:spacing w:after="0" w:line="186" w:lineRule="exact"/>
              <w:rPr>
                <w:sz w:val="20"/>
                <w:szCs w:val="20"/>
                <w:color w:val="auto"/>
              </w:rPr>
            </w:pPr>
            <w:r>
              <w:rPr>
                <w:rFonts w:ascii="Arial" w:cs="Arial" w:eastAsia="Arial" w:hAnsi="Arial"/>
                <w:sz w:val="17"/>
                <w:szCs w:val="17"/>
                <w:color w:val="auto"/>
                <w:w w:val="84"/>
              </w:rPr>
              <w:t>44</w:t>
            </w:r>
          </w:p>
        </w:tc>
        <w:tc>
          <w:tcPr>
            <w:tcW w:w="0" w:type="dxa"/>
            <w:vAlign w:val="bottom"/>
          </w:tcPr>
          <w:p>
            <w:pPr>
              <w:spacing w:after="0"/>
              <w:rPr>
                <w:sz w:val="1"/>
                <w:szCs w:val="1"/>
                <w:color w:val="auto"/>
              </w:rPr>
            </w:pPr>
          </w:p>
        </w:tc>
      </w:tr>
      <w:tr>
        <w:trPr>
          <w:trHeight w:val="186"/>
        </w:trPr>
        <w:tc>
          <w:tcPr>
            <w:tcW w:w="10740" w:type="dxa"/>
            <w:vAlign w:val="bottom"/>
            <w:gridSpan w:val="9"/>
          </w:tcPr>
          <w:p>
            <w:pPr>
              <w:spacing w:after="0" w:line="186" w:lineRule="exact"/>
              <w:rPr>
                <w:rFonts w:ascii="Arial" w:cs="Arial" w:eastAsia="Arial" w:hAnsi="Arial"/>
                <w:sz w:val="17"/>
                <w:szCs w:val="17"/>
                <w:color w:val="0000EE"/>
              </w:rPr>
            </w:pPr>
            <w:hyperlink w:anchor="page45">
              <w:r>
                <w:rPr>
                  <w:rFonts w:ascii="Arial" w:cs="Arial" w:eastAsia="Arial" w:hAnsi="Arial"/>
                  <w:sz w:val="17"/>
                  <w:szCs w:val="17"/>
                  <w:color w:val="0000EE"/>
                </w:rPr>
                <w:t>Notes to Consolidated Financial Statements</w:t>
              </w:r>
            </w:hyperlink>
          </w:p>
        </w:tc>
        <w:tc>
          <w:tcPr>
            <w:tcW w:w="680" w:type="dxa"/>
            <w:vAlign w:val="bottom"/>
          </w:tcPr>
          <w:p>
            <w:pPr>
              <w:jc w:val="center"/>
              <w:spacing w:after="0" w:line="186" w:lineRule="exact"/>
              <w:rPr>
                <w:sz w:val="20"/>
                <w:szCs w:val="20"/>
                <w:color w:val="auto"/>
              </w:rPr>
            </w:pPr>
            <w:r>
              <w:rPr>
                <w:rFonts w:ascii="Arial" w:cs="Arial" w:eastAsia="Arial" w:hAnsi="Arial"/>
                <w:sz w:val="17"/>
                <w:szCs w:val="17"/>
                <w:color w:val="auto"/>
                <w:w w:val="84"/>
              </w:rPr>
              <w:t>45</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color w:val="auto"/>
        </w:rPr>
        <w:t>.</w:t>
      </w:r>
      <w:r>
        <w:rPr>
          <w:rFonts w:ascii="Arial" w:cs="Arial" w:eastAsia="Arial" w:hAnsi="Arial"/>
          <w:sz w:val="17"/>
          <w:szCs w:val="17"/>
          <w:b w:val="1"/>
          <w:bCs w:val="1"/>
          <w:color w:val="auto"/>
        </w:rPr>
        <w:t xml:space="preserve"> Financial Statement Schedule</w:t>
      </w:r>
    </w:p>
    <w:p>
      <w:pPr>
        <w:spacing w:after="0" w:line="120" w:lineRule="exact"/>
        <w:rPr>
          <w:sz w:val="20"/>
          <w:szCs w:val="20"/>
          <w:color w:val="auto"/>
        </w:rPr>
      </w:pPr>
    </w:p>
    <w:p>
      <w:pPr>
        <w:ind w:right="620" w:firstLine="555"/>
        <w:spacing w:after="0" w:line="279" w:lineRule="auto"/>
        <w:rPr>
          <w:sz w:val="20"/>
          <w:szCs w:val="20"/>
          <w:color w:val="auto"/>
        </w:rPr>
      </w:pPr>
      <w:r>
        <w:rPr>
          <w:rFonts w:ascii="Arial" w:cs="Arial" w:eastAsia="Arial" w:hAnsi="Arial"/>
          <w:sz w:val="17"/>
          <w:szCs w:val="17"/>
          <w:color w:val="auto"/>
        </w:rPr>
        <w:t>Schedules have been omitted because they are either not required, not applicable, or the required information is included in the consolidated financial statements or notes thereto.</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w:t>
      </w:r>
      <w:r>
        <w:rPr>
          <w:rFonts w:ascii="Arial" w:cs="Arial" w:eastAsia="Arial" w:hAnsi="Arial"/>
          <w:sz w:val="17"/>
          <w:szCs w:val="17"/>
          <w:color w:val="auto"/>
        </w:rPr>
        <w:t>.</w:t>
      </w:r>
      <w:r>
        <w:rPr>
          <w:rFonts w:ascii="Arial" w:cs="Arial" w:eastAsia="Arial" w:hAnsi="Arial"/>
          <w:sz w:val="17"/>
          <w:szCs w:val="17"/>
          <w:b w:val="1"/>
          <w:bCs w:val="1"/>
          <w:color w:val="auto"/>
        </w:rPr>
        <w:t xml:space="preserve">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80" w:type="dxa"/>
            <w:vAlign w:val="bottom"/>
            <w:gridSpan w:val="13"/>
          </w:tcPr>
          <w:p>
            <w:pPr>
              <w:jc w:val="center"/>
              <w:ind w:right="5120"/>
              <w:spacing w:after="0"/>
              <w:rPr>
                <w:sz w:val="20"/>
                <w:szCs w:val="20"/>
                <w:color w:val="auto"/>
              </w:rPr>
            </w:pPr>
            <w:r>
              <w:rPr>
                <w:rFonts w:ascii="Arial" w:cs="Arial" w:eastAsia="Arial" w:hAnsi="Arial"/>
                <w:sz w:val="17"/>
                <w:szCs w:val="17"/>
                <w:b w:val="1"/>
                <w:bCs w:val="1"/>
                <w:color w:val="auto"/>
                <w:w w:val="94"/>
              </w:rPr>
              <w:t>Exhibit Index</w:t>
            </w:r>
          </w:p>
        </w:tc>
        <w:tc>
          <w:tcPr>
            <w:tcW w:w="40" w:type="dxa"/>
            <w:vAlign w:val="bottom"/>
          </w:tcPr>
          <w:p>
            <w:pPr>
              <w:spacing w:after="0"/>
              <w:rPr>
                <w:sz w:val="19"/>
                <w:szCs w:val="19"/>
                <w:color w:val="auto"/>
              </w:rPr>
            </w:pPr>
          </w:p>
        </w:tc>
      </w:tr>
      <w:tr>
        <w:trPr>
          <w:trHeight w:val="350"/>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Exhibits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auto"/>
            </w:tcBorders>
            <w:gridSpan w:val="19"/>
          </w:tcPr>
          <w:p>
            <w:pPr>
              <w:spacing w:after="0"/>
              <w:rPr>
                <w:sz w:val="20"/>
                <w:szCs w:val="20"/>
                <w:color w:val="auto"/>
              </w:rPr>
            </w:pPr>
            <w:r>
              <w:rPr>
                <w:rFonts w:ascii="Arial" w:cs="Arial" w:eastAsia="Arial" w:hAnsi="Arial"/>
                <w:sz w:val="14"/>
                <w:szCs w:val="14"/>
                <w:b w:val="1"/>
                <w:bCs w:val="1"/>
                <w:color w:val="auto"/>
              </w:rPr>
              <w:t>Exhibit Title</w:t>
            </w:r>
          </w:p>
        </w:tc>
        <w:tc>
          <w:tcPr>
            <w:tcW w:w="40" w:type="dxa"/>
            <w:vAlign w:val="bottom"/>
          </w:tcPr>
          <w:p>
            <w:pPr>
              <w:spacing w:after="0"/>
              <w:rPr>
                <w:sz w:val="24"/>
                <w:szCs w:val="24"/>
                <w:color w:val="auto"/>
              </w:rPr>
            </w:pPr>
          </w:p>
        </w:tc>
      </w:tr>
      <w:tr>
        <w:trPr>
          <w:trHeight w:val="160"/>
        </w:trPr>
        <w:tc>
          <w:tcPr>
            <w:tcW w:w="1340" w:type="dxa"/>
            <w:vAlign w:val="bottom"/>
          </w:tcPr>
          <w:p>
            <w:pPr>
              <w:jc w:val="center"/>
              <w:spacing w:after="0" w:line="161" w:lineRule="exact"/>
              <w:rPr>
                <w:sz w:val="20"/>
                <w:szCs w:val="20"/>
                <w:color w:val="auto"/>
              </w:rPr>
            </w:pPr>
            <w:r>
              <w:rPr>
                <w:rFonts w:ascii="Arial" w:cs="Arial" w:eastAsia="Arial" w:hAnsi="Arial"/>
                <w:sz w:val="17"/>
                <w:szCs w:val="17"/>
                <w:color w:val="auto"/>
                <w:w w:val="92"/>
              </w:rPr>
              <w:t>2.1(13)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gridSpan w:val="19"/>
          </w:tcPr>
          <w:p>
            <w:pPr>
              <w:spacing w:after="0" w:line="161" w:lineRule="exact"/>
              <w:rPr>
                <w:rFonts w:ascii="Arial" w:cs="Arial" w:eastAsia="Arial" w:hAnsi="Arial"/>
                <w:sz w:val="17"/>
                <w:szCs w:val="17"/>
                <w:color w:val="0000EE"/>
                <w:w w:val="91"/>
              </w:rPr>
            </w:pPr>
            <w:hyperlink r:id="rId102">
              <w:r>
                <w:rPr>
                  <w:rFonts w:ascii="Arial" w:cs="Arial" w:eastAsia="Arial" w:hAnsi="Arial"/>
                  <w:sz w:val="17"/>
                  <w:szCs w:val="17"/>
                  <w:color w:val="0000EE"/>
                  <w:w w:val="91"/>
                </w:rPr>
                <w:t>Asset Purchase Agreement by and among Cutera, Inc., Registrant, and U.S. Bank, National Association, as Escrow Agent, dated December 30,</w:t>
              </w:r>
            </w:hyperlink>
          </w:p>
        </w:tc>
        <w:tc>
          <w:tcPr>
            <w:tcW w:w="40" w:type="dxa"/>
            <w:vAlign w:val="bottom"/>
          </w:tcPr>
          <w:p>
            <w:pPr>
              <w:spacing w:after="0"/>
              <w:rPr>
                <w:sz w:val="13"/>
                <w:szCs w:val="13"/>
                <w:color w:val="auto"/>
              </w:rPr>
            </w:pPr>
          </w:p>
        </w:tc>
      </w:tr>
      <w:tr>
        <w:trPr>
          <w:trHeight w:val="186"/>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0000EE"/>
              <w:bottom w:val="single" w:sz="8" w:color="0000EE"/>
            </w:tcBorders>
            <w:gridSpan w:val="2"/>
          </w:tcPr>
          <w:p>
            <w:pPr>
              <w:spacing w:after="0" w:line="186" w:lineRule="exact"/>
              <w:rPr>
                <w:rFonts w:ascii="Arial" w:cs="Arial" w:eastAsia="Arial" w:hAnsi="Arial"/>
                <w:sz w:val="17"/>
                <w:szCs w:val="17"/>
                <w:color w:val="0000EE"/>
                <w:w w:val="84"/>
              </w:rPr>
            </w:pPr>
            <w:hyperlink r:id="rId102">
              <w:r>
                <w:rPr>
                  <w:rFonts w:ascii="Arial" w:cs="Arial" w:eastAsia="Arial" w:hAnsi="Arial"/>
                  <w:sz w:val="17"/>
                  <w:szCs w:val="17"/>
                  <w:color w:val="0000EE"/>
                  <w:w w:val="84"/>
                </w:rPr>
                <w:t>2011.</w:t>
              </w:r>
            </w:hyperlink>
          </w:p>
        </w:tc>
        <w:tc>
          <w:tcPr>
            <w:tcW w:w="194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39"/>
        </w:trPr>
        <w:tc>
          <w:tcPr>
            <w:tcW w:w="1340" w:type="dxa"/>
            <w:vAlign w:val="bottom"/>
          </w:tcPr>
          <w:p>
            <w:pPr>
              <w:jc w:val="center"/>
              <w:spacing w:after="0"/>
              <w:rPr>
                <w:sz w:val="20"/>
                <w:szCs w:val="20"/>
                <w:color w:val="auto"/>
              </w:rPr>
            </w:pPr>
            <w:r>
              <w:rPr>
                <w:rFonts w:ascii="Arial" w:cs="Arial" w:eastAsia="Arial" w:hAnsi="Arial"/>
                <w:sz w:val="17"/>
                <w:szCs w:val="17"/>
                <w:color w:val="auto"/>
                <w:w w:val="91"/>
              </w:rPr>
              <w:t>3.1(1) (P)</w:t>
            </w:r>
          </w:p>
        </w:tc>
        <w:tc>
          <w:tcPr>
            <w:tcW w:w="140" w:type="dxa"/>
            <w:vAlign w:val="bottom"/>
          </w:tcPr>
          <w:p>
            <w:pPr>
              <w:spacing w:after="0"/>
              <w:rPr>
                <w:sz w:val="24"/>
                <w:szCs w:val="24"/>
                <w:color w:val="auto"/>
              </w:rPr>
            </w:pPr>
          </w:p>
        </w:tc>
        <w:tc>
          <w:tcPr>
            <w:tcW w:w="9940" w:type="dxa"/>
            <w:vAlign w:val="bottom"/>
            <w:gridSpan w:val="20"/>
          </w:tcPr>
          <w:p>
            <w:pPr>
              <w:spacing w:after="0"/>
              <w:rPr>
                <w:sz w:val="20"/>
                <w:szCs w:val="20"/>
                <w:color w:val="auto"/>
              </w:rPr>
            </w:pPr>
            <w:r>
              <w:rPr>
                <w:rFonts w:ascii="Arial" w:cs="Arial" w:eastAsia="Arial" w:hAnsi="Arial"/>
                <w:sz w:val="17"/>
                <w:szCs w:val="17"/>
                <w:color w:val="auto"/>
              </w:rPr>
              <w:t>Amended and Restated Certificate of Incorporation of Registrant.</w:t>
            </w:r>
          </w:p>
        </w:tc>
        <w:tc>
          <w:tcPr>
            <w:tcW w:w="40" w:type="dxa"/>
            <w:vAlign w:val="bottom"/>
          </w:tcPr>
          <w:p>
            <w:pPr>
              <w:spacing w:after="0"/>
              <w:rPr>
                <w:sz w:val="24"/>
                <w:szCs w:val="24"/>
                <w:color w:val="auto"/>
              </w:rPr>
            </w:pPr>
          </w:p>
        </w:tc>
      </w:tr>
      <w:tr>
        <w:trPr>
          <w:trHeight w:val="285"/>
        </w:trPr>
        <w:tc>
          <w:tcPr>
            <w:tcW w:w="134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40" w:type="dxa"/>
            <w:vAlign w:val="bottom"/>
          </w:tcPr>
          <w:p>
            <w:pPr>
              <w:spacing w:after="0"/>
              <w:rPr>
                <w:sz w:val="24"/>
                <w:szCs w:val="24"/>
                <w:color w:val="auto"/>
              </w:rPr>
            </w:pPr>
          </w:p>
        </w:tc>
        <w:tc>
          <w:tcPr>
            <w:tcW w:w="314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71">
              <w:r>
                <w:rPr>
                  <w:rFonts w:ascii="Arial" w:cs="Arial" w:eastAsia="Arial" w:hAnsi="Arial"/>
                  <w:sz w:val="17"/>
                  <w:szCs w:val="17"/>
                  <w:color w:val="0000EE"/>
                  <w:w w:val="90"/>
                </w:rPr>
                <w:t>Amended and Restated Bylaws of Registrant.</w:t>
              </w:r>
            </w:hyperlink>
          </w:p>
        </w:tc>
        <w:tc>
          <w:tcPr>
            <w:tcW w:w="6800" w:type="dxa"/>
            <w:vAlign w:val="bottom"/>
            <w:gridSpan w:val="16"/>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4"/>
              </w:rPr>
              <w:t>4.1(3)</w:t>
            </w:r>
          </w:p>
        </w:tc>
        <w:tc>
          <w:tcPr>
            <w:tcW w:w="140" w:type="dxa"/>
            <w:vAlign w:val="bottom"/>
          </w:tcPr>
          <w:p>
            <w:pPr>
              <w:spacing w:after="0"/>
              <w:rPr>
                <w:sz w:val="24"/>
                <w:szCs w:val="24"/>
                <w:color w:val="auto"/>
              </w:rPr>
            </w:pPr>
          </w:p>
        </w:tc>
        <w:tc>
          <w:tcPr>
            <w:tcW w:w="5440" w:type="dxa"/>
            <w:vAlign w:val="bottom"/>
            <w:tcBorders>
              <w:bottom w:val="single" w:sz="8" w:color="0000EE"/>
            </w:tcBorders>
            <w:gridSpan w:val="12"/>
          </w:tcPr>
          <w:p>
            <w:pPr>
              <w:spacing w:after="0"/>
              <w:rPr>
                <w:rFonts w:ascii="Arial" w:cs="Arial" w:eastAsia="Arial" w:hAnsi="Arial"/>
                <w:sz w:val="17"/>
                <w:szCs w:val="17"/>
                <w:color w:val="0000EE"/>
                <w:w w:val="91"/>
              </w:rPr>
            </w:pPr>
            <w:hyperlink r:id="rId103">
              <w:r>
                <w:rPr>
                  <w:rFonts w:ascii="Arial" w:cs="Arial" w:eastAsia="Arial" w:hAnsi="Arial"/>
                  <w:sz w:val="17"/>
                  <w:szCs w:val="17"/>
                  <w:color w:val="0000EE"/>
                  <w:w w:val="91"/>
                </w:rPr>
                <w:t>Certificate of Designation, Preferences and Rights of Series A Preferred Stock.</w:t>
              </w:r>
            </w:hyperlink>
          </w:p>
        </w:tc>
        <w:tc>
          <w:tcPr>
            <w:tcW w:w="450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4"/>
              </w:rPr>
              <w:t>4.2(3)</w:t>
            </w:r>
          </w:p>
        </w:tc>
        <w:tc>
          <w:tcPr>
            <w:tcW w:w="14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7"/>
                <w:szCs w:val="17"/>
                <w:color w:val="0000EE"/>
                <w:w w:val="97"/>
              </w:rPr>
            </w:pPr>
            <w:hyperlink r:id="rId104">
              <w:r>
                <w:rPr>
                  <w:rFonts w:ascii="Arial" w:cs="Arial" w:eastAsia="Arial" w:hAnsi="Arial"/>
                  <w:sz w:val="17"/>
                  <w:szCs w:val="17"/>
                  <w:color w:val="0000EE"/>
                  <w:w w:val="97"/>
                </w:rPr>
                <w:t>Investor Rights Agreement, dated as of August 31, 2007, by and among the Registrant, BlueLine Capital Partners, LP; BlueLine Capital</w:t>
              </w:r>
            </w:hyperlink>
          </w:p>
        </w:tc>
        <w:tc>
          <w:tcPr>
            <w:tcW w:w="40" w:type="dxa"/>
            <w:vAlign w:val="bottom"/>
          </w:tcPr>
          <w:p>
            <w:pPr>
              <w:spacing w:after="0"/>
              <w:rPr>
                <w:sz w:val="24"/>
                <w:szCs w:val="24"/>
                <w:color w:val="auto"/>
              </w:rPr>
            </w:pPr>
          </w:p>
        </w:tc>
      </w:tr>
      <w:tr>
        <w:trPr>
          <w:trHeight w:val="186"/>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60" w:type="dxa"/>
            <w:vAlign w:val="bottom"/>
            <w:tcBorders>
              <w:top w:val="single" w:sz="8" w:color="0000EE"/>
              <w:bottom w:val="single" w:sz="8" w:color="0000EE"/>
            </w:tcBorders>
            <w:gridSpan w:val="7"/>
          </w:tcPr>
          <w:p>
            <w:pPr>
              <w:spacing w:after="0" w:line="186" w:lineRule="exact"/>
              <w:rPr>
                <w:rFonts w:ascii="Arial" w:cs="Arial" w:eastAsia="Arial" w:hAnsi="Arial"/>
                <w:sz w:val="17"/>
                <w:szCs w:val="17"/>
                <w:color w:val="0000EE"/>
                <w:w w:val="92"/>
              </w:rPr>
            </w:pPr>
            <w:hyperlink r:id="rId104">
              <w:r>
                <w:rPr>
                  <w:rFonts w:ascii="Arial" w:cs="Arial" w:eastAsia="Arial" w:hAnsi="Arial"/>
                  <w:sz w:val="17"/>
                  <w:szCs w:val="17"/>
                  <w:color w:val="0000EE"/>
                  <w:w w:val="92"/>
                </w:rPr>
                <w:t>Partners III, LP and BlueLine Capital Partners II, LP.</w:t>
              </w:r>
            </w:hyperlink>
          </w:p>
        </w:tc>
        <w:tc>
          <w:tcPr>
            <w:tcW w:w="5700" w:type="dxa"/>
            <w:vAlign w:val="bottom"/>
            <w:tcBorders>
              <w:top w:val="single" w:sz="8" w:color="0000EE"/>
            </w:tcBorders>
            <w:gridSpan w:val="11"/>
          </w:tcPr>
          <w:p>
            <w:pPr>
              <w:spacing w:after="0"/>
              <w:rPr>
                <w:sz w:val="16"/>
                <w:szCs w:val="16"/>
                <w:color w:val="auto"/>
              </w:rPr>
            </w:pP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4"/>
              </w:rPr>
              <w:t>4.3(4)</w:t>
            </w:r>
          </w:p>
        </w:tc>
        <w:tc>
          <w:tcPr>
            <w:tcW w:w="14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7"/>
                <w:szCs w:val="17"/>
                <w:color w:val="0000EE"/>
              </w:rPr>
            </w:pPr>
            <w:hyperlink r:id="rId105">
              <w:r>
                <w:rPr>
                  <w:rFonts w:ascii="Arial" w:cs="Arial" w:eastAsia="Arial" w:hAnsi="Arial"/>
                  <w:sz w:val="17"/>
                  <w:szCs w:val="17"/>
                  <w:color w:val="0000EE"/>
                </w:rPr>
                <w:t>Amendment No. 1 to Investor Rights Agreement, dated as of March 31, 2009.</w:t>
              </w:r>
            </w:hyperlink>
          </w:p>
        </w:tc>
        <w:tc>
          <w:tcPr>
            <w:tcW w:w="4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2"/>
              </w:rPr>
              <w:t>4.4(21)</w:t>
            </w:r>
          </w:p>
        </w:tc>
        <w:tc>
          <w:tcPr>
            <w:tcW w:w="14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7"/>
                <w:szCs w:val="17"/>
                <w:color w:val="0000EE"/>
              </w:rPr>
            </w:pPr>
            <w:hyperlink r:id="rId106">
              <w:r>
                <w:rPr>
                  <w:rFonts w:ascii="Arial" w:cs="Arial" w:eastAsia="Arial" w:hAnsi="Arial"/>
                  <w:sz w:val="17"/>
                  <w:szCs w:val="17"/>
                  <w:color w:val="0000EE"/>
                </w:rPr>
                <w:t>Form of senior indenture, to be entered into between the Registrant and the trustee designated therein.</w:t>
              </w:r>
            </w:hyperlink>
          </w:p>
        </w:tc>
        <w:tc>
          <w:tcPr>
            <w:tcW w:w="40" w:type="dxa"/>
            <w:vAlign w:val="bottom"/>
          </w:tcPr>
          <w:p>
            <w:pPr>
              <w:spacing w:after="0"/>
              <w:rPr>
                <w:sz w:val="24"/>
                <w:szCs w:val="24"/>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2"/>
              </w:rPr>
              <w:t>4.5(21)</w:t>
            </w:r>
          </w:p>
        </w:tc>
        <w:tc>
          <w:tcPr>
            <w:tcW w:w="140" w:type="dxa"/>
            <w:vAlign w:val="bottom"/>
          </w:tcPr>
          <w:p>
            <w:pPr>
              <w:spacing w:after="0"/>
              <w:rPr>
                <w:sz w:val="24"/>
                <w:szCs w:val="24"/>
                <w:color w:val="auto"/>
              </w:rPr>
            </w:pPr>
          </w:p>
        </w:tc>
        <w:tc>
          <w:tcPr>
            <w:tcW w:w="5020" w:type="dxa"/>
            <w:vAlign w:val="bottom"/>
            <w:tcBorders>
              <w:top w:val="single" w:sz="8" w:color="0000EE"/>
              <w:bottom w:val="single" w:sz="8" w:color="0000EE"/>
            </w:tcBorders>
            <w:gridSpan w:val="10"/>
          </w:tcPr>
          <w:p>
            <w:pPr>
              <w:spacing w:after="0"/>
              <w:rPr>
                <w:rFonts w:ascii="Arial" w:cs="Arial" w:eastAsia="Arial" w:hAnsi="Arial"/>
                <w:sz w:val="17"/>
                <w:szCs w:val="17"/>
                <w:color w:val="0000EE"/>
                <w:w w:val="91"/>
              </w:rPr>
            </w:pPr>
            <w:hyperlink r:id="rId107">
              <w:r>
                <w:rPr>
                  <w:rFonts w:ascii="Arial" w:cs="Arial" w:eastAsia="Arial" w:hAnsi="Arial"/>
                  <w:sz w:val="17"/>
                  <w:szCs w:val="17"/>
                  <w:color w:val="0000EE"/>
                  <w:w w:val="91"/>
                </w:rPr>
                <w:t>Form of senior note with respect to each particular series of senior notes.</w:t>
              </w:r>
            </w:hyperlink>
          </w:p>
        </w:tc>
        <w:tc>
          <w:tcPr>
            <w:tcW w:w="1980" w:type="dxa"/>
            <w:vAlign w:val="bottom"/>
            <w:tcBorders>
              <w:top w:val="single" w:sz="8" w:color="0000EE"/>
            </w:tcBorders>
            <w:gridSpan w:val="5"/>
          </w:tcPr>
          <w:p>
            <w:pPr>
              <w:spacing w:after="0"/>
              <w:rPr>
                <w:sz w:val="24"/>
                <w:szCs w:val="24"/>
                <w:color w:val="auto"/>
              </w:rPr>
            </w:pPr>
          </w:p>
        </w:tc>
        <w:tc>
          <w:tcPr>
            <w:tcW w:w="294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2"/>
              </w:rPr>
              <w:t>4.6(21)</w:t>
            </w:r>
          </w:p>
        </w:tc>
        <w:tc>
          <w:tcPr>
            <w:tcW w:w="14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7"/>
                <w:szCs w:val="17"/>
                <w:color w:val="0000EE"/>
              </w:rPr>
            </w:pPr>
            <w:hyperlink r:id="rId107">
              <w:r>
                <w:rPr>
                  <w:rFonts w:ascii="Arial" w:cs="Arial" w:eastAsia="Arial" w:hAnsi="Arial"/>
                  <w:sz w:val="17"/>
                  <w:szCs w:val="17"/>
                  <w:color w:val="0000EE"/>
                </w:rPr>
                <w:t>Form of subordinated indenture to be entered into between the Registrant and the trustee designated therein.</w:t>
              </w:r>
            </w:hyperlink>
          </w:p>
        </w:tc>
        <w:tc>
          <w:tcPr>
            <w:tcW w:w="40" w:type="dxa"/>
            <w:vAlign w:val="bottom"/>
          </w:tcPr>
          <w:p>
            <w:pPr>
              <w:spacing w:after="0"/>
              <w:rPr>
                <w:sz w:val="24"/>
                <w:szCs w:val="24"/>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2"/>
              </w:rPr>
              <w:t>4.7(21)</w:t>
            </w:r>
          </w:p>
        </w:tc>
        <w:tc>
          <w:tcPr>
            <w:tcW w:w="140" w:type="dxa"/>
            <w:vAlign w:val="bottom"/>
          </w:tcPr>
          <w:p>
            <w:pPr>
              <w:spacing w:after="0"/>
              <w:rPr>
                <w:sz w:val="24"/>
                <w:szCs w:val="24"/>
                <w:color w:val="auto"/>
              </w:rPr>
            </w:pPr>
          </w:p>
        </w:tc>
        <w:tc>
          <w:tcPr>
            <w:tcW w:w="7420" w:type="dxa"/>
            <w:vAlign w:val="bottom"/>
            <w:tcBorders>
              <w:top w:val="single" w:sz="8" w:color="0000EE"/>
            </w:tcBorders>
            <w:gridSpan w:val="16"/>
          </w:tcPr>
          <w:p>
            <w:pPr>
              <w:spacing w:after="0"/>
              <w:rPr>
                <w:rFonts w:ascii="Arial" w:cs="Arial" w:eastAsia="Arial" w:hAnsi="Arial"/>
                <w:sz w:val="17"/>
                <w:szCs w:val="17"/>
                <w:color w:val="0000EE"/>
              </w:rPr>
            </w:pPr>
            <w:hyperlink r:id="rId107">
              <w:r>
                <w:rPr>
                  <w:rFonts w:ascii="Arial" w:cs="Arial" w:eastAsia="Arial" w:hAnsi="Arial"/>
                  <w:sz w:val="17"/>
                  <w:szCs w:val="17"/>
                  <w:color w:val="0000EE"/>
                </w:rPr>
                <w:t>Form of subordinated note with respect to each particular series of subordinated notes.</w:t>
              </w:r>
            </w:hyperlink>
          </w:p>
        </w:tc>
        <w:tc>
          <w:tcPr>
            <w:tcW w:w="252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2"/>
              </w:rPr>
              <w:t>4.8(21)</w:t>
            </w:r>
          </w:p>
        </w:tc>
        <w:tc>
          <w:tcPr>
            <w:tcW w:w="14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1"/>
              </w:rPr>
            </w:pPr>
            <w:hyperlink r:id="rId107">
              <w:r>
                <w:rPr>
                  <w:rFonts w:ascii="Arial" w:cs="Arial" w:eastAsia="Arial" w:hAnsi="Arial"/>
                  <w:sz w:val="17"/>
                  <w:szCs w:val="17"/>
                  <w:color w:val="0000EE"/>
                  <w:w w:val="91"/>
                </w:rPr>
                <w:t>Form of warrant with respect to each warrant.</w:t>
              </w:r>
            </w:hyperlink>
          </w:p>
        </w:tc>
        <w:tc>
          <w:tcPr>
            <w:tcW w:w="2780" w:type="dxa"/>
            <w:vAlign w:val="bottom"/>
            <w:tcBorders>
              <w:top w:val="single" w:sz="8" w:color="0000EE"/>
            </w:tcBorders>
            <w:gridSpan w:val="9"/>
          </w:tcPr>
          <w:p>
            <w:pPr>
              <w:spacing w:after="0"/>
              <w:rPr>
                <w:sz w:val="24"/>
                <w:szCs w:val="24"/>
                <w:color w:val="auto"/>
              </w:rPr>
            </w:pPr>
          </w:p>
        </w:tc>
        <w:tc>
          <w:tcPr>
            <w:tcW w:w="40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2"/>
              </w:rPr>
              <w:t>4.9(21)</w:t>
            </w:r>
          </w:p>
        </w:tc>
        <w:tc>
          <w:tcPr>
            <w:tcW w:w="14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7"/>
                <w:szCs w:val="17"/>
                <w:color w:val="0000EE"/>
              </w:rPr>
            </w:pPr>
            <w:hyperlink r:id="rId107">
              <w:r>
                <w:rPr>
                  <w:rFonts w:ascii="Arial" w:cs="Arial" w:eastAsia="Arial" w:hAnsi="Arial"/>
                  <w:sz w:val="17"/>
                  <w:szCs w:val="17"/>
                  <w:color w:val="0000EE"/>
                </w:rPr>
                <w:t>Certificate of designation, preferences and rights with respect to any preferred stock.</w:t>
              </w:r>
            </w:hyperlink>
          </w:p>
        </w:tc>
        <w:tc>
          <w:tcPr>
            <w:tcW w:w="40" w:type="dxa"/>
            <w:vAlign w:val="bottom"/>
          </w:tcPr>
          <w:p>
            <w:pPr>
              <w:spacing w:after="0"/>
              <w:rPr>
                <w:sz w:val="24"/>
                <w:szCs w:val="24"/>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1"/>
              </w:rPr>
              <w:t>4.10(21)</w:t>
            </w:r>
          </w:p>
        </w:tc>
        <w:tc>
          <w:tcPr>
            <w:tcW w:w="140" w:type="dxa"/>
            <w:vAlign w:val="bottom"/>
          </w:tcPr>
          <w:p>
            <w:pPr>
              <w:spacing w:after="0"/>
              <w:rPr>
                <w:sz w:val="24"/>
                <w:szCs w:val="24"/>
                <w:color w:val="auto"/>
              </w:rPr>
            </w:pPr>
          </w:p>
        </w:tc>
        <w:tc>
          <w:tcPr>
            <w:tcW w:w="5820" w:type="dxa"/>
            <w:vAlign w:val="bottom"/>
            <w:tcBorders>
              <w:top w:val="single" w:sz="8" w:color="0000EE"/>
            </w:tcBorders>
            <w:gridSpan w:val="13"/>
          </w:tcPr>
          <w:p>
            <w:pPr>
              <w:spacing w:after="0"/>
              <w:rPr>
                <w:rFonts w:ascii="Arial" w:cs="Arial" w:eastAsia="Arial" w:hAnsi="Arial"/>
                <w:sz w:val="17"/>
                <w:szCs w:val="17"/>
                <w:color w:val="0000EE"/>
              </w:rPr>
            </w:pPr>
            <w:hyperlink r:id="rId107">
              <w:r>
                <w:rPr>
                  <w:rFonts w:ascii="Arial" w:cs="Arial" w:eastAsia="Arial" w:hAnsi="Arial"/>
                  <w:sz w:val="17"/>
                  <w:szCs w:val="17"/>
                  <w:color w:val="0000EE"/>
                </w:rPr>
                <w:t>Form of Depositary Agreement with respect to the depositary shares.</w:t>
              </w:r>
            </w:hyperlink>
          </w:p>
        </w:tc>
        <w:tc>
          <w:tcPr>
            <w:tcW w:w="412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1"/>
              </w:rPr>
              <w:t>4.11(21)</w:t>
            </w:r>
          </w:p>
        </w:tc>
        <w:tc>
          <w:tcPr>
            <w:tcW w:w="140" w:type="dxa"/>
            <w:vAlign w:val="bottom"/>
          </w:tcPr>
          <w:p>
            <w:pPr>
              <w:spacing w:after="0"/>
              <w:rPr>
                <w:sz w:val="24"/>
                <w:szCs w:val="24"/>
                <w:color w:val="auto"/>
              </w:rPr>
            </w:pPr>
          </w:p>
        </w:tc>
        <w:tc>
          <w:tcPr>
            <w:tcW w:w="4740" w:type="dxa"/>
            <w:vAlign w:val="bottom"/>
            <w:tcBorders>
              <w:top w:val="single" w:sz="8" w:color="0000EE"/>
            </w:tcBorders>
            <w:gridSpan w:val="9"/>
          </w:tcPr>
          <w:p>
            <w:pPr>
              <w:spacing w:after="0"/>
              <w:rPr>
                <w:rFonts w:ascii="Arial" w:cs="Arial" w:eastAsia="Arial" w:hAnsi="Arial"/>
                <w:sz w:val="17"/>
                <w:szCs w:val="17"/>
                <w:color w:val="0000EE"/>
              </w:rPr>
            </w:pPr>
            <w:hyperlink r:id="rId107">
              <w:r>
                <w:rPr>
                  <w:rFonts w:ascii="Arial" w:cs="Arial" w:eastAsia="Arial" w:hAnsi="Arial"/>
                  <w:sz w:val="17"/>
                  <w:szCs w:val="17"/>
                  <w:color w:val="0000EE"/>
                </w:rPr>
                <w:t>Form of Subscription Agreement.</w:t>
              </w:r>
            </w:hyperlink>
          </w:p>
        </w:tc>
        <w:tc>
          <w:tcPr>
            <w:tcW w:w="520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1"/>
              </w:rPr>
              <w:t>4.12(21)</w:t>
            </w:r>
          </w:p>
        </w:tc>
        <w:tc>
          <w:tcPr>
            <w:tcW w:w="14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7"/>
                <w:szCs w:val="17"/>
                <w:color w:val="0000EE"/>
              </w:rPr>
            </w:pPr>
            <w:hyperlink r:id="rId107">
              <w:r>
                <w:rPr>
                  <w:rFonts w:ascii="Arial" w:cs="Arial" w:eastAsia="Arial" w:hAnsi="Arial"/>
                  <w:sz w:val="17"/>
                  <w:szCs w:val="17"/>
                  <w:color w:val="0000EE"/>
                </w:rPr>
                <w:t>Form of Unit with respect to any contractual units.</w:t>
              </w:r>
            </w:hyperlink>
          </w:p>
        </w:tc>
        <w:tc>
          <w:tcPr>
            <w:tcW w:w="40" w:type="dxa"/>
            <w:vAlign w:val="bottom"/>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gridSpan w:val="6"/>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1"/>
              </w:rPr>
              <w:t>10.1(18)</w:t>
            </w:r>
          </w:p>
        </w:tc>
        <w:tc>
          <w:tcPr>
            <w:tcW w:w="140" w:type="dxa"/>
            <w:vAlign w:val="bottom"/>
          </w:tcPr>
          <w:p>
            <w:pPr>
              <w:spacing w:after="0"/>
              <w:rPr>
                <w:sz w:val="24"/>
                <w:szCs w:val="24"/>
                <w:color w:val="auto"/>
              </w:rPr>
            </w:pPr>
          </w:p>
        </w:tc>
        <w:tc>
          <w:tcPr>
            <w:tcW w:w="8720" w:type="dxa"/>
            <w:vAlign w:val="bottom"/>
            <w:tcBorders>
              <w:bottom w:val="single" w:sz="8" w:color="0000EE"/>
            </w:tcBorders>
            <w:gridSpan w:val="17"/>
          </w:tcPr>
          <w:p>
            <w:pPr>
              <w:spacing w:after="0"/>
              <w:rPr>
                <w:rFonts w:ascii="Arial" w:cs="Arial" w:eastAsia="Arial" w:hAnsi="Arial"/>
                <w:sz w:val="17"/>
                <w:szCs w:val="17"/>
                <w:color w:val="0000EE"/>
                <w:w w:val="90"/>
              </w:rPr>
            </w:pPr>
            <w:hyperlink r:id="rId108">
              <w:r>
                <w:rPr>
                  <w:rFonts w:ascii="Arial" w:cs="Arial" w:eastAsia="Arial" w:hAnsi="Arial"/>
                  <w:sz w:val="17"/>
                  <w:szCs w:val="17"/>
                  <w:color w:val="0000EE"/>
                  <w:w w:val="90"/>
                </w:rPr>
                <w:t>Fourth Amendment to Lease Agreement dated February 9, 2016 by and between Zappettini Investment Co. and the Registrant.</w:t>
              </w:r>
            </w:hyperlink>
          </w:p>
        </w:tc>
        <w:tc>
          <w:tcPr>
            <w:tcW w:w="12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40" w:type="dxa"/>
            <w:vAlign w:val="bottom"/>
          </w:tcPr>
          <w:p>
            <w:pPr>
              <w:jc w:val="center"/>
              <w:spacing w:after="0"/>
              <w:rPr>
                <w:sz w:val="20"/>
                <w:szCs w:val="20"/>
                <w:color w:val="auto"/>
              </w:rPr>
            </w:pPr>
            <w:r>
              <w:rPr>
                <w:rFonts w:ascii="Arial" w:cs="Arial" w:eastAsia="Arial" w:hAnsi="Arial"/>
                <w:sz w:val="17"/>
                <w:szCs w:val="17"/>
                <w:color w:val="auto"/>
                <w:w w:val="91"/>
              </w:rPr>
              <w:t>10.2(20)</w:t>
            </w:r>
          </w:p>
        </w:tc>
        <w:tc>
          <w:tcPr>
            <w:tcW w:w="14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7"/>
                <w:szCs w:val="17"/>
                <w:color w:val="0000EE"/>
              </w:rPr>
            </w:pPr>
            <w:hyperlink r:id="rId109">
              <w:r>
                <w:rPr>
                  <w:rFonts w:ascii="Arial" w:cs="Arial" w:eastAsia="Arial" w:hAnsi="Arial"/>
                  <w:sz w:val="17"/>
                  <w:szCs w:val="17"/>
                  <w:color w:val="0000EE"/>
                </w:rPr>
                <w:t>Form of Indemnification Agreement with directors and officers.</w:t>
              </w:r>
            </w:hyperlink>
          </w:p>
        </w:tc>
        <w:tc>
          <w:tcPr>
            <w:tcW w:w="40" w:type="dxa"/>
            <w:vAlign w:val="bottom"/>
          </w:tcPr>
          <w:p>
            <w:pPr>
              <w:spacing w:after="0"/>
              <w:rPr>
                <w:sz w:val="24"/>
                <w:szCs w:val="24"/>
                <w:color w:val="auto"/>
              </w:rPr>
            </w:pPr>
          </w:p>
        </w:tc>
      </w:tr>
      <w:tr>
        <w:trPr>
          <w:trHeight w:val="546"/>
        </w:trPr>
        <w:tc>
          <w:tcPr>
            <w:tcW w:w="13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380" w:type="dxa"/>
            <w:vAlign w:val="bottom"/>
            <w:tcBorders>
              <w:top w:val="single" w:sz="8" w:color="0000EE"/>
            </w:tcBorders>
            <w:gridSpan w:val="7"/>
          </w:tcPr>
          <w:p>
            <w:pPr>
              <w:jc w:val="right"/>
              <w:spacing w:after="0"/>
              <w:rPr>
                <w:sz w:val="20"/>
                <w:szCs w:val="20"/>
                <w:color w:val="auto"/>
              </w:rPr>
            </w:pPr>
            <w:r>
              <w:rPr>
                <w:rFonts w:ascii="Arial" w:cs="Arial" w:eastAsia="Arial" w:hAnsi="Arial"/>
                <w:sz w:val="17"/>
                <w:szCs w:val="17"/>
                <w:color w:val="auto"/>
              </w:rPr>
              <w:t>67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1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4"/>
        </w:trPr>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Exhibits</w:t>
            </w:r>
          </w:p>
        </w:tc>
        <w:tc>
          <w:tcPr>
            <w:tcW w:w="9940" w:type="dxa"/>
            <w:vAlign w:val="bottom"/>
            <w:gridSpan w:val="28"/>
          </w:tcPr>
          <w:p>
            <w:pPr>
              <w:spacing w:after="0"/>
              <w:rPr>
                <w:sz w:val="20"/>
                <w:szCs w:val="20"/>
                <w:color w:val="auto"/>
              </w:rPr>
            </w:pPr>
            <w:r>
              <w:rPr>
                <w:rFonts w:ascii="Arial" w:cs="Arial" w:eastAsia="Arial" w:hAnsi="Arial"/>
                <w:sz w:val="14"/>
                <w:szCs w:val="14"/>
                <w:b w:val="1"/>
                <w:bCs w:val="1"/>
                <w:color w:val="auto"/>
              </w:rPr>
              <w:t>Exhibit Title</w:t>
            </w:r>
          </w:p>
        </w:tc>
        <w:tc>
          <w:tcPr>
            <w:tcW w:w="40" w:type="dxa"/>
            <w:vAlign w:val="bottom"/>
          </w:tcPr>
          <w:p>
            <w:pPr>
              <w:spacing w:after="0"/>
              <w:rPr>
                <w:sz w:val="14"/>
                <w:szCs w:val="14"/>
                <w:color w:val="auto"/>
              </w:rPr>
            </w:pPr>
          </w:p>
        </w:tc>
      </w:tr>
      <w:tr>
        <w:trPr>
          <w:trHeight w:val="160"/>
        </w:trPr>
        <w:tc>
          <w:tcPr>
            <w:tcW w:w="13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7"/>
                <w:szCs w:val="17"/>
                <w:color w:val="auto"/>
                <w:w w:val="92"/>
              </w:rPr>
              <w:t>10.3(5)</w:t>
            </w:r>
          </w:p>
        </w:tc>
        <w:tc>
          <w:tcPr>
            <w:tcW w:w="160" w:type="dxa"/>
            <w:vAlign w:val="bottom"/>
          </w:tcPr>
          <w:p>
            <w:pPr>
              <w:spacing w:after="0"/>
              <w:rPr>
                <w:sz w:val="13"/>
                <w:szCs w:val="13"/>
                <w:color w:val="auto"/>
              </w:rPr>
            </w:pPr>
          </w:p>
        </w:tc>
        <w:tc>
          <w:tcPr>
            <w:tcW w:w="9780" w:type="dxa"/>
            <w:vAlign w:val="bottom"/>
            <w:tcBorders>
              <w:top w:val="single" w:sz="8" w:color="auto"/>
              <w:bottom w:val="single" w:sz="8" w:color="0000EE"/>
            </w:tcBorders>
            <w:gridSpan w:val="27"/>
          </w:tcPr>
          <w:p>
            <w:pPr>
              <w:spacing w:after="0" w:line="161" w:lineRule="exact"/>
              <w:rPr>
                <w:rFonts w:ascii="Arial" w:cs="Arial" w:eastAsia="Arial" w:hAnsi="Arial"/>
                <w:sz w:val="17"/>
                <w:szCs w:val="17"/>
                <w:color w:val="0000EE"/>
                <w:w w:val="90"/>
              </w:rPr>
            </w:pPr>
            <w:hyperlink r:id="rId112">
              <w:r>
                <w:rPr>
                  <w:rFonts w:ascii="Arial" w:cs="Arial" w:eastAsia="Arial" w:hAnsi="Arial"/>
                  <w:sz w:val="17"/>
                  <w:szCs w:val="17"/>
                  <w:color w:val="0000EE"/>
                  <w:w w:val="90"/>
                </w:rPr>
                <w:t>Lease Agreement dated December 6, 1996 by and between Zappettini Investment Co. and the Registrant, as amended pursuant to Amendment</w:t>
              </w:r>
            </w:hyperlink>
          </w:p>
        </w:tc>
        <w:tc>
          <w:tcPr>
            <w:tcW w:w="1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86"/>
        </w:trPr>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80" w:type="dxa"/>
            <w:vAlign w:val="bottom"/>
            <w:tcBorders>
              <w:bottom w:val="single" w:sz="8" w:color="0000EE"/>
            </w:tcBorders>
            <w:gridSpan w:val="13"/>
          </w:tcPr>
          <w:p>
            <w:pPr>
              <w:spacing w:after="0" w:line="186" w:lineRule="exact"/>
              <w:rPr>
                <w:rFonts w:ascii="Arial" w:cs="Arial" w:eastAsia="Arial" w:hAnsi="Arial"/>
                <w:sz w:val="17"/>
                <w:szCs w:val="17"/>
                <w:color w:val="0000EE"/>
                <w:w w:val="90"/>
              </w:rPr>
            </w:pPr>
            <w:hyperlink r:id="rId112">
              <w:r>
                <w:rPr>
                  <w:rFonts w:ascii="Arial" w:cs="Arial" w:eastAsia="Arial" w:hAnsi="Arial"/>
                  <w:sz w:val="17"/>
                  <w:szCs w:val="17"/>
                  <w:color w:val="0000EE"/>
                  <w:w w:val="90"/>
                </w:rPr>
                <w:t>No. 1 dated September 15, 2003 and Amendment No. 2 dated December 22, 2008.</w:t>
              </w:r>
            </w:hyperlink>
          </w:p>
        </w:tc>
        <w:tc>
          <w:tcPr>
            <w:tcW w:w="4260" w:type="dxa"/>
            <w:vAlign w:val="bottom"/>
            <w:gridSpan w:val="15"/>
          </w:tcPr>
          <w:p>
            <w:pPr>
              <w:spacing w:after="0"/>
              <w:rPr>
                <w:sz w:val="16"/>
                <w:szCs w:val="16"/>
                <w:color w:val="auto"/>
              </w:rPr>
            </w:pPr>
          </w:p>
        </w:tc>
        <w:tc>
          <w:tcPr>
            <w:tcW w:w="40" w:type="dxa"/>
            <w:vAlign w:val="bottom"/>
          </w:tcPr>
          <w:p>
            <w:pPr>
              <w:spacing w:after="0"/>
              <w:rPr>
                <w:sz w:val="16"/>
                <w:szCs w:val="16"/>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2"/>
              </w:rPr>
              <w:t>10.3.1(14)</w:t>
            </w:r>
          </w:p>
        </w:tc>
        <w:tc>
          <w:tcPr>
            <w:tcW w:w="160" w:type="dxa"/>
            <w:vAlign w:val="bottom"/>
          </w:tcPr>
          <w:p>
            <w:pPr>
              <w:spacing w:after="0"/>
              <w:rPr>
                <w:sz w:val="24"/>
                <w:szCs w:val="24"/>
                <w:color w:val="auto"/>
              </w:rPr>
            </w:pPr>
          </w:p>
        </w:tc>
        <w:tc>
          <w:tcPr>
            <w:tcW w:w="9940" w:type="dxa"/>
            <w:vAlign w:val="bottom"/>
            <w:gridSpan w:val="28"/>
          </w:tcPr>
          <w:p>
            <w:pPr>
              <w:spacing w:after="0"/>
              <w:rPr>
                <w:rFonts w:ascii="Arial" w:cs="Arial" w:eastAsia="Arial" w:hAnsi="Arial"/>
                <w:sz w:val="17"/>
                <w:szCs w:val="17"/>
                <w:color w:val="0000EE"/>
              </w:rPr>
            </w:pPr>
            <w:hyperlink r:id="rId113">
              <w:r>
                <w:rPr>
                  <w:rFonts w:ascii="Arial" w:cs="Arial" w:eastAsia="Arial" w:hAnsi="Arial"/>
                  <w:sz w:val="17"/>
                  <w:szCs w:val="17"/>
                  <w:color w:val="0000EE"/>
                </w:rPr>
                <w:t>Third Amendment to Lease Agreement dated August 4, 2014 by and between Zappettini Investment Co. and the Registrant.</w:t>
              </w:r>
            </w:hyperlink>
          </w:p>
        </w:tc>
        <w:tc>
          <w:tcPr>
            <w:tcW w:w="4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2"/>
              </w:rPr>
              <w:t>10.3.2(23)</w:t>
            </w:r>
          </w:p>
        </w:tc>
        <w:tc>
          <w:tcPr>
            <w:tcW w:w="160" w:type="dxa"/>
            <w:vAlign w:val="bottom"/>
          </w:tcPr>
          <w:p>
            <w:pPr>
              <w:spacing w:after="0"/>
              <w:rPr>
                <w:sz w:val="24"/>
                <w:szCs w:val="24"/>
                <w:color w:val="auto"/>
              </w:rPr>
            </w:pPr>
          </w:p>
        </w:tc>
        <w:tc>
          <w:tcPr>
            <w:tcW w:w="9940" w:type="dxa"/>
            <w:vAlign w:val="bottom"/>
            <w:gridSpan w:val="28"/>
          </w:tcPr>
          <w:p>
            <w:pPr>
              <w:spacing w:after="0"/>
              <w:rPr>
                <w:rFonts w:ascii="Arial" w:cs="Arial" w:eastAsia="Arial" w:hAnsi="Arial"/>
                <w:sz w:val="17"/>
                <w:szCs w:val="17"/>
                <w:color w:val="0000EE"/>
              </w:rPr>
            </w:pPr>
            <w:hyperlink r:id="rId108">
              <w:r>
                <w:rPr>
                  <w:rFonts w:ascii="Arial" w:cs="Arial" w:eastAsia="Arial" w:hAnsi="Arial"/>
                  <w:sz w:val="17"/>
                  <w:szCs w:val="17"/>
                  <w:color w:val="0000EE"/>
                </w:rPr>
                <w:t>Fourth Amendment to Lease Agreement dated January 31, 2016 by and between ZIC 12112 Terra Bella LLC and the Registrant.</w:t>
              </w:r>
            </w:hyperlink>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2"/>
              </w:rPr>
              <w:t>10.3.3(24)</w:t>
            </w:r>
          </w:p>
        </w:tc>
        <w:tc>
          <w:tcPr>
            <w:tcW w:w="160" w:type="dxa"/>
            <w:vAlign w:val="bottom"/>
          </w:tcPr>
          <w:p>
            <w:pPr>
              <w:spacing w:after="0"/>
              <w:rPr>
                <w:sz w:val="24"/>
                <w:szCs w:val="24"/>
                <w:color w:val="auto"/>
              </w:rPr>
            </w:pPr>
          </w:p>
        </w:tc>
        <w:tc>
          <w:tcPr>
            <w:tcW w:w="8820" w:type="dxa"/>
            <w:vAlign w:val="bottom"/>
            <w:tcBorders>
              <w:top w:val="single" w:sz="8" w:color="0000EE"/>
            </w:tcBorders>
            <w:gridSpan w:val="21"/>
          </w:tcPr>
          <w:p>
            <w:pPr>
              <w:spacing w:after="0"/>
              <w:rPr>
                <w:rFonts w:ascii="Arial" w:cs="Arial" w:eastAsia="Arial" w:hAnsi="Arial"/>
                <w:sz w:val="17"/>
                <w:szCs w:val="17"/>
                <w:color w:val="0000EE"/>
              </w:rPr>
            </w:pPr>
            <w:hyperlink r:id="rId114">
              <w:r>
                <w:rPr>
                  <w:rFonts w:ascii="Arial" w:cs="Arial" w:eastAsia="Arial" w:hAnsi="Arial"/>
                  <w:sz w:val="17"/>
                  <w:szCs w:val="17"/>
                  <w:color w:val="0000EE"/>
                </w:rPr>
                <w:t>Triple Net Lease dated April 26, 2017 by and between ZIC 12112 Terra Bella LLC and the Registrant.</w:t>
              </w:r>
            </w:hyperlink>
          </w:p>
        </w:tc>
        <w:tc>
          <w:tcPr>
            <w:tcW w:w="112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9"/>
              </w:rPr>
              <w:t>10.6(8)*</w:t>
            </w:r>
          </w:p>
        </w:tc>
        <w:tc>
          <w:tcPr>
            <w:tcW w:w="160" w:type="dxa"/>
            <w:vAlign w:val="bottom"/>
          </w:tcPr>
          <w:p>
            <w:pPr>
              <w:spacing w:after="0"/>
              <w:rPr>
                <w:sz w:val="24"/>
                <w:szCs w:val="24"/>
                <w:color w:val="auto"/>
              </w:rPr>
            </w:pPr>
          </w:p>
        </w:tc>
        <w:tc>
          <w:tcPr>
            <w:tcW w:w="7020" w:type="dxa"/>
            <w:vAlign w:val="bottom"/>
            <w:tcBorders>
              <w:top w:val="single" w:sz="8" w:color="0000EE"/>
            </w:tcBorders>
            <w:gridSpan w:val="14"/>
          </w:tcPr>
          <w:p>
            <w:pPr>
              <w:spacing w:after="0"/>
              <w:rPr>
                <w:rFonts w:ascii="Arial" w:cs="Arial" w:eastAsia="Arial" w:hAnsi="Arial"/>
                <w:sz w:val="17"/>
                <w:szCs w:val="17"/>
                <w:color w:val="0000EE"/>
              </w:rPr>
            </w:pPr>
            <w:hyperlink r:id="rId115">
              <w:r>
                <w:rPr>
                  <w:rFonts w:ascii="Arial" w:cs="Arial" w:eastAsia="Arial" w:hAnsi="Arial"/>
                  <w:sz w:val="17"/>
                  <w:szCs w:val="17"/>
                  <w:color w:val="0000EE"/>
                </w:rPr>
                <w:t>2005 Employee Stock Purchase Plan.</w:t>
              </w:r>
            </w:hyperlink>
          </w:p>
        </w:tc>
        <w:tc>
          <w:tcPr>
            <w:tcW w:w="2920" w:type="dxa"/>
            <w:vAlign w:val="bottom"/>
            <w:gridSpan w:val="14"/>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9"/>
              </w:rPr>
              <w:t>10.7(9)*</w:t>
            </w:r>
          </w:p>
        </w:tc>
        <w:tc>
          <w:tcPr>
            <w:tcW w:w="160" w:type="dxa"/>
            <w:vAlign w:val="bottom"/>
          </w:tcPr>
          <w:p>
            <w:pPr>
              <w:spacing w:after="0"/>
              <w:rPr>
                <w:sz w:val="24"/>
                <w:szCs w:val="24"/>
                <w:color w:val="auto"/>
              </w:rPr>
            </w:pPr>
          </w:p>
        </w:tc>
        <w:tc>
          <w:tcPr>
            <w:tcW w:w="192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2"/>
              </w:rPr>
            </w:pPr>
            <w:hyperlink r:id="rId116">
              <w:r>
                <w:rPr>
                  <w:rFonts w:ascii="Arial" w:cs="Arial" w:eastAsia="Arial" w:hAnsi="Arial"/>
                  <w:sz w:val="17"/>
                  <w:szCs w:val="17"/>
                  <w:color w:val="0000EE"/>
                  <w:w w:val="92"/>
                </w:rPr>
                <w:t>2008 Equity Incentive Plan.</w:t>
              </w:r>
            </w:hyperlink>
          </w:p>
        </w:tc>
        <w:tc>
          <w:tcPr>
            <w:tcW w:w="640" w:type="dxa"/>
            <w:vAlign w:val="bottom"/>
            <w:tcBorders>
              <w:top w:val="single" w:sz="8" w:color="0000EE"/>
            </w:tcBorders>
            <w:gridSpan w:val="2"/>
          </w:tcPr>
          <w:p>
            <w:pPr>
              <w:spacing w:after="0"/>
              <w:rPr>
                <w:sz w:val="24"/>
                <w:szCs w:val="24"/>
                <w:color w:val="auto"/>
              </w:rPr>
            </w:pPr>
          </w:p>
        </w:tc>
        <w:tc>
          <w:tcPr>
            <w:tcW w:w="7380" w:type="dxa"/>
            <w:vAlign w:val="bottom"/>
            <w:gridSpan w:val="24"/>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7"/>
              </w:rPr>
              <w:t>10.8(10)*</w:t>
            </w:r>
          </w:p>
        </w:tc>
        <w:tc>
          <w:tcPr>
            <w:tcW w:w="160" w:type="dxa"/>
            <w:vAlign w:val="bottom"/>
          </w:tcPr>
          <w:p>
            <w:pPr>
              <w:spacing w:after="0"/>
              <w:rPr>
                <w:sz w:val="24"/>
                <w:szCs w:val="24"/>
                <w:color w:val="auto"/>
              </w:rPr>
            </w:pPr>
          </w:p>
        </w:tc>
        <w:tc>
          <w:tcPr>
            <w:tcW w:w="3840" w:type="dxa"/>
            <w:vAlign w:val="bottom"/>
            <w:tcBorders>
              <w:bottom w:val="single" w:sz="8" w:color="0000EE"/>
            </w:tcBorders>
            <w:gridSpan w:val="8"/>
          </w:tcPr>
          <w:p>
            <w:pPr>
              <w:spacing w:after="0"/>
              <w:rPr>
                <w:rFonts w:ascii="Arial" w:cs="Arial" w:eastAsia="Arial" w:hAnsi="Arial"/>
                <w:sz w:val="17"/>
                <w:szCs w:val="17"/>
                <w:color w:val="0000EE"/>
                <w:w w:val="92"/>
              </w:rPr>
            </w:pPr>
            <w:hyperlink r:id="rId117">
              <w:r>
                <w:rPr>
                  <w:rFonts w:ascii="Arial" w:cs="Arial" w:eastAsia="Arial" w:hAnsi="Arial"/>
                  <w:sz w:val="17"/>
                  <w:szCs w:val="17"/>
                  <w:color w:val="0000EE"/>
                  <w:w w:val="92"/>
                </w:rPr>
                <w:t>Form of 2008 Equity Incentive Plan Option Agreement.</w:t>
              </w:r>
            </w:hyperlink>
          </w:p>
        </w:tc>
        <w:tc>
          <w:tcPr>
            <w:tcW w:w="6100" w:type="dxa"/>
            <w:vAlign w:val="bottom"/>
            <w:gridSpan w:val="20"/>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7"/>
              </w:rPr>
              <w:t>10.9(11)*</w:t>
            </w:r>
          </w:p>
        </w:tc>
        <w:tc>
          <w:tcPr>
            <w:tcW w:w="160" w:type="dxa"/>
            <w:vAlign w:val="bottom"/>
          </w:tcPr>
          <w:p>
            <w:pPr>
              <w:spacing w:after="0"/>
              <w:rPr>
                <w:sz w:val="24"/>
                <w:szCs w:val="24"/>
                <w:color w:val="auto"/>
              </w:rPr>
            </w:pPr>
          </w:p>
        </w:tc>
        <w:tc>
          <w:tcPr>
            <w:tcW w:w="9940" w:type="dxa"/>
            <w:vAlign w:val="bottom"/>
            <w:gridSpan w:val="28"/>
          </w:tcPr>
          <w:p>
            <w:pPr>
              <w:spacing w:after="0"/>
              <w:rPr>
                <w:rFonts w:ascii="Arial" w:cs="Arial" w:eastAsia="Arial" w:hAnsi="Arial"/>
                <w:sz w:val="17"/>
                <w:szCs w:val="17"/>
                <w:color w:val="0000EE"/>
              </w:rPr>
            </w:pPr>
            <w:hyperlink r:id="rId118">
              <w:r>
                <w:rPr>
                  <w:rFonts w:ascii="Arial" w:cs="Arial" w:eastAsia="Arial" w:hAnsi="Arial"/>
                  <w:sz w:val="17"/>
                  <w:szCs w:val="17"/>
                  <w:color w:val="0000EE"/>
                </w:rPr>
                <w:t>Form of Stand-alone stock option agreement.</w:t>
              </w:r>
            </w:hyperlink>
          </w:p>
        </w:tc>
        <w:tc>
          <w:tcPr>
            <w:tcW w:w="4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4"/>
              </w:rPr>
              <w:t>10.10(3)</w:t>
            </w:r>
          </w:p>
        </w:tc>
        <w:tc>
          <w:tcPr>
            <w:tcW w:w="160" w:type="dxa"/>
            <w:vAlign w:val="bottom"/>
          </w:tcPr>
          <w:p>
            <w:pPr>
              <w:spacing w:after="0"/>
              <w:rPr>
                <w:sz w:val="24"/>
                <w:szCs w:val="24"/>
                <w:color w:val="auto"/>
              </w:rPr>
            </w:pPr>
          </w:p>
        </w:tc>
        <w:tc>
          <w:tcPr>
            <w:tcW w:w="9340" w:type="dxa"/>
            <w:vAlign w:val="bottom"/>
            <w:tcBorders>
              <w:bottom w:val="single" w:sz="8" w:color="0000EE"/>
            </w:tcBorders>
            <w:gridSpan w:val="24"/>
          </w:tcPr>
          <w:p>
            <w:pPr>
              <w:spacing w:after="0"/>
              <w:rPr>
                <w:rFonts w:ascii="Arial" w:cs="Arial" w:eastAsia="Arial" w:hAnsi="Arial"/>
                <w:sz w:val="17"/>
                <w:szCs w:val="17"/>
                <w:color w:val="0000EE"/>
                <w:w w:val="91"/>
              </w:rPr>
            </w:pPr>
            <w:hyperlink r:id="rId119">
              <w:r>
                <w:rPr>
                  <w:rFonts w:ascii="Arial" w:cs="Arial" w:eastAsia="Arial" w:hAnsi="Arial"/>
                  <w:sz w:val="17"/>
                  <w:szCs w:val="17"/>
                  <w:color w:val="0000EE"/>
                  <w:w w:val="91"/>
                </w:rPr>
                <w:t>Securities Purchase Agreement, dated August 31, 2007, by and among BlueLine Capital Partners, LP, BlueLine Capital Partners III, LP,</w:t>
              </w:r>
            </w:hyperlink>
          </w:p>
        </w:tc>
        <w:tc>
          <w:tcPr>
            <w:tcW w:w="6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tcBorders>
              <w:bottom w:val="single" w:sz="8" w:color="0000EE"/>
            </w:tcBorders>
            <w:gridSpan w:val="7"/>
          </w:tcPr>
          <w:p>
            <w:pPr>
              <w:spacing w:after="0" w:line="186" w:lineRule="exact"/>
              <w:rPr>
                <w:rFonts w:ascii="Arial" w:cs="Arial" w:eastAsia="Arial" w:hAnsi="Arial"/>
                <w:sz w:val="17"/>
                <w:szCs w:val="17"/>
                <w:color w:val="0000EE"/>
                <w:w w:val="91"/>
              </w:rPr>
            </w:pPr>
            <w:hyperlink r:id="rId119">
              <w:r>
                <w:rPr>
                  <w:rFonts w:ascii="Arial" w:cs="Arial" w:eastAsia="Arial" w:hAnsi="Arial"/>
                  <w:sz w:val="17"/>
                  <w:szCs w:val="17"/>
                  <w:color w:val="0000EE"/>
                  <w:w w:val="91"/>
                </w:rPr>
                <w:t>BlueLine Capital Partners II, LP and the Registrant.</w:t>
              </w:r>
            </w:hyperlink>
          </w:p>
        </w:tc>
        <w:tc>
          <w:tcPr>
            <w:tcW w:w="6380" w:type="dxa"/>
            <w:vAlign w:val="bottom"/>
            <w:gridSpan w:val="21"/>
          </w:tcPr>
          <w:p>
            <w:pPr>
              <w:spacing w:after="0"/>
              <w:rPr>
                <w:sz w:val="16"/>
                <w:szCs w:val="16"/>
                <w:color w:val="auto"/>
              </w:rPr>
            </w:pPr>
          </w:p>
        </w:tc>
        <w:tc>
          <w:tcPr>
            <w:tcW w:w="40" w:type="dxa"/>
            <w:vAlign w:val="bottom"/>
          </w:tcPr>
          <w:p>
            <w:pPr>
              <w:spacing w:after="0"/>
              <w:rPr>
                <w:sz w:val="16"/>
                <w:szCs w:val="16"/>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5"/>
              </w:rPr>
              <w:t>10.11(12)*</w:t>
            </w:r>
          </w:p>
        </w:tc>
        <w:tc>
          <w:tcPr>
            <w:tcW w:w="160" w:type="dxa"/>
            <w:vAlign w:val="bottom"/>
          </w:tcPr>
          <w:p>
            <w:pPr>
              <w:spacing w:after="0"/>
              <w:rPr>
                <w:sz w:val="24"/>
                <w:szCs w:val="24"/>
                <w:color w:val="auto"/>
              </w:rPr>
            </w:pPr>
          </w:p>
        </w:tc>
        <w:tc>
          <w:tcPr>
            <w:tcW w:w="9940" w:type="dxa"/>
            <w:vAlign w:val="bottom"/>
            <w:gridSpan w:val="28"/>
          </w:tcPr>
          <w:p>
            <w:pPr>
              <w:spacing w:after="0"/>
              <w:rPr>
                <w:rFonts w:ascii="Arial" w:cs="Arial" w:eastAsia="Arial" w:hAnsi="Arial"/>
                <w:sz w:val="17"/>
                <w:szCs w:val="17"/>
                <w:color w:val="0000EE"/>
              </w:rPr>
            </w:pPr>
            <w:hyperlink r:id="rId120">
              <w:r>
                <w:rPr>
                  <w:rFonts w:ascii="Arial" w:cs="Arial" w:eastAsia="Arial" w:hAnsi="Arial"/>
                  <w:sz w:val="17"/>
                  <w:szCs w:val="17"/>
                  <w:color w:val="0000EE"/>
                </w:rPr>
                <w:t>Form of 2008 Equity Incentive Plan Restricted Stock Award Agreement.</w:t>
              </w:r>
            </w:hyperlink>
          </w:p>
        </w:tc>
        <w:tc>
          <w:tcPr>
            <w:tcW w:w="4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66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5"/>
              </w:rPr>
              <w:t>10.12(12)*</w:t>
            </w:r>
          </w:p>
        </w:tc>
        <w:tc>
          <w:tcPr>
            <w:tcW w:w="160" w:type="dxa"/>
            <w:vAlign w:val="bottom"/>
          </w:tcPr>
          <w:p>
            <w:pPr>
              <w:spacing w:after="0"/>
              <w:rPr>
                <w:sz w:val="24"/>
                <w:szCs w:val="24"/>
                <w:color w:val="auto"/>
              </w:rPr>
            </w:pPr>
          </w:p>
        </w:tc>
        <w:tc>
          <w:tcPr>
            <w:tcW w:w="5340" w:type="dxa"/>
            <w:vAlign w:val="bottom"/>
            <w:tcBorders>
              <w:bottom w:val="single" w:sz="8" w:color="0000EE"/>
            </w:tcBorders>
            <w:gridSpan w:val="10"/>
          </w:tcPr>
          <w:p>
            <w:pPr>
              <w:spacing w:after="0"/>
              <w:rPr>
                <w:rFonts w:ascii="Arial" w:cs="Arial" w:eastAsia="Arial" w:hAnsi="Arial"/>
                <w:sz w:val="17"/>
                <w:szCs w:val="17"/>
                <w:color w:val="0000EE"/>
                <w:w w:val="92"/>
              </w:rPr>
            </w:pPr>
            <w:hyperlink r:id="rId121">
              <w:r>
                <w:rPr>
                  <w:rFonts w:ascii="Arial" w:cs="Arial" w:eastAsia="Arial" w:hAnsi="Arial"/>
                  <w:sz w:val="17"/>
                  <w:szCs w:val="17"/>
                  <w:color w:val="0000EE"/>
                  <w:w w:val="92"/>
                </w:rPr>
                <w:t>Form of 2008 Equity Incentive Plan Restricted Stock Unit Award Agreement.</w:t>
              </w:r>
            </w:hyperlink>
          </w:p>
        </w:tc>
        <w:tc>
          <w:tcPr>
            <w:tcW w:w="4600" w:type="dxa"/>
            <w:vAlign w:val="bottom"/>
            <w:gridSpan w:val="18"/>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5"/>
              </w:rPr>
              <w:t>10.13(13)*</w:t>
            </w:r>
          </w:p>
        </w:tc>
        <w:tc>
          <w:tcPr>
            <w:tcW w:w="160" w:type="dxa"/>
            <w:vAlign w:val="bottom"/>
          </w:tcPr>
          <w:p>
            <w:pPr>
              <w:spacing w:after="0"/>
              <w:rPr>
                <w:sz w:val="24"/>
                <w:szCs w:val="24"/>
                <w:color w:val="auto"/>
              </w:rPr>
            </w:pPr>
          </w:p>
        </w:tc>
        <w:tc>
          <w:tcPr>
            <w:tcW w:w="9240" w:type="dxa"/>
            <w:vAlign w:val="bottom"/>
            <w:tcBorders>
              <w:bottom w:val="single" w:sz="8" w:color="0000EE"/>
            </w:tcBorders>
            <w:gridSpan w:val="23"/>
          </w:tcPr>
          <w:p>
            <w:pPr>
              <w:spacing w:after="0"/>
              <w:rPr>
                <w:rFonts w:ascii="Arial" w:cs="Arial" w:eastAsia="Arial" w:hAnsi="Arial"/>
                <w:sz w:val="17"/>
                <w:szCs w:val="17"/>
                <w:color w:val="0000EE"/>
                <w:w w:val="92"/>
              </w:rPr>
            </w:pPr>
            <w:hyperlink r:id="rId102">
              <w:r>
                <w:rPr>
                  <w:rFonts w:ascii="Arial" w:cs="Arial" w:eastAsia="Arial" w:hAnsi="Arial"/>
                  <w:sz w:val="17"/>
                  <w:szCs w:val="17"/>
                  <w:color w:val="0000EE"/>
                  <w:w w:val="92"/>
                </w:rPr>
                <w:t>Restricted Stock Unit Award Agreement granted to William M. Moore under the Company’s 2008 Equity Incentive Plan, as amended.</w:t>
              </w:r>
            </w:hyperlink>
          </w:p>
        </w:tc>
        <w:tc>
          <w:tcPr>
            <w:tcW w:w="70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5"/>
              </w:rPr>
              <w:t>10.14(16)*</w:t>
            </w:r>
          </w:p>
        </w:tc>
        <w:tc>
          <w:tcPr>
            <w:tcW w:w="160" w:type="dxa"/>
            <w:vAlign w:val="bottom"/>
          </w:tcPr>
          <w:p>
            <w:pPr>
              <w:spacing w:after="0"/>
              <w:rPr>
                <w:sz w:val="24"/>
                <w:szCs w:val="24"/>
                <w:color w:val="auto"/>
              </w:rPr>
            </w:pPr>
          </w:p>
        </w:tc>
        <w:tc>
          <w:tcPr>
            <w:tcW w:w="9220" w:type="dxa"/>
            <w:vAlign w:val="bottom"/>
            <w:tcBorders>
              <w:bottom w:val="single" w:sz="8" w:color="0000EE"/>
            </w:tcBorders>
            <w:gridSpan w:val="22"/>
          </w:tcPr>
          <w:p>
            <w:pPr>
              <w:spacing w:after="0"/>
              <w:rPr>
                <w:rFonts w:ascii="Arial" w:cs="Arial" w:eastAsia="Arial" w:hAnsi="Arial"/>
                <w:sz w:val="17"/>
                <w:szCs w:val="17"/>
                <w:color w:val="0000EE"/>
                <w:w w:val="92"/>
              </w:rPr>
            </w:pPr>
            <w:hyperlink r:id="rId122">
              <w:r>
                <w:rPr>
                  <w:rFonts w:ascii="Arial" w:cs="Arial" w:eastAsia="Arial" w:hAnsi="Arial"/>
                  <w:sz w:val="17"/>
                  <w:szCs w:val="17"/>
                  <w:color w:val="0000EE"/>
                  <w:w w:val="92"/>
                </w:rPr>
                <w:t>Restricted Stock Unit Award Agreement granted to William M. Moore under the Company’s 2008 Equity Incentive Plan, as amended.</w:t>
              </w:r>
            </w:hyperlink>
          </w:p>
        </w:tc>
        <w:tc>
          <w:tcPr>
            <w:tcW w:w="72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5"/>
              </w:rPr>
              <w:t>10.15(17)*</w:t>
            </w:r>
          </w:p>
        </w:tc>
        <w:tc>
          <w:tcPr>
            <w:tcW w:w="16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Arial" w:cs="Arial" w:eastAsia="Arial" w:hAnsi="Arial"/>
                <w:sz w:val="17"/>
                <w:szCs w:val="17"/>
                <w:color w:val="0000EE"/>
                <w:w w:val="91"/>
              </w:rPr>
            </w:pPr>
            <w:hyperlink r:id="rId123">
              <w:r>
                <w:rPr>
                  <w:rFonts w:ascii="Arial" w:cs="Arial" w:eastAsia="Arial" w:hAnsi="Arial"/>
                  <w:sz w:val="17"/>
                  <w:szCs w:val="17"/>
                  <w:color w:val="0000EE"/>
                  <w:w w:val="91"/>
                </w:rPr>
                <w:t>Change in Control Severance Agreement dated March 30, 2015, between the Registrant and William M. Moore.</w:t>
              </w:r>
            </w:hyperlink>
          </w:p>
        </w:tc>
        <w:tc>
          <w:tcPr>
            <w:tcW w:w="222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5"/>
              </w:rPr>
              <w:t>10.16(19)*</w:t>
            </w:r>
          </w:p>
        </w:tc>
        <w:tc>
          <w:tcPr>
            <w:tcW w:w="160" w:type="dxa"/>
            <w:vAlign w:val="bottom"/>
          </w:tcPr>
          <w:p>
            <w:pPr>
              <w:spacing w:after="0"/>
              <w:rPr>
                <w:sz w:val="24"/>
                <w:szCs w:val="24"/>
                <w:color w:val="auto"/>
              </w:rPr>
            </w:pPr>
          </w:p>
        </w:tc>
        <w:tc>
          <w:tcPr>
            <w:tcW w:w="9940" w:type="dxa"/>
            <w:vAlign w:val="bottom"/>
            <w:gridSpan w:val="28"/>
          </w:tcPr>
          <w:p>
            <w:pPr>
              <w:spacing w:after="0"/>
              <w:rPr>
                <w:rFonts w:ascii="Arial" w:cs="Arial" w:eastAsia="Arial" w:hAnsi="Arial"/>
                <w:sz w:val="17"/>
                <w:szCs w:val="17"/>
                <w:color w:val="0000EE"/>
              </w:rPr>
            </w:pPr>
            <w:hyperlink r:id="rId124">
              <w:r>
                <w:rPr>
                  <w:rFonts w:ascii="Arial" w:cs="Arial" w:eastAsia="Arial" w:hAnsi="Arial"/>
                  <w:sz w:val="17"/>
                  <w:szCs w:val="17"/>
                  <w:color w:val="0000EE"/>
                </w:rPr>
                <w:t>Change in Control Severance Agreement dated as of December 6, 2017 by and between the Company and George Marcellino</w:t>
              </w:r>
            </w:hyperlink>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5"/>
              </w:rPr>
              <w:t>10.17(20)*</w:t>
            </w:r>
          </w:p>
        </w:tc>
        <w:tc>
          <w:tcPr>
            <w:tcW w:w="160" w:type="dxa"/>
            <w:vAlign w:val="bottom"/>
          </w:tcPr>
          <w:p>
            <w:pPr>
              <w:spacing w:after="0"/>
              <w:rPr>
                <w:sz w:val="24"/>
                <w:szCs w:val="24"/>
                <w:color w:val="auto"/>
              </w:rPr>
            </w:pPr>
          </w:p>
        </w:tc>
        <w:tc>
          <w:tcPr>
            <w:tcW w:w="5580" w:type="dxa"/>
            <w:vAlign w:val="bottom"/>
            <w:tcBorders>
              <w:top w:val="single" w:sz="8" w:color="0000EE"/>
              <w:bottom w:val="single" w:sz="8" w:color="0000EE"/>
            </w:tcBorders>
            <w:gridSpan w:val="12"/>
          </w:tcPr>
          <w:p>
            <w:pPr>
              <w:spacing w:after="0"/>
              <w:rPr>
                <w:rFonts w:ascii="Arial" w:cs="Arial" w:eastAsia="Arial" w:hAnsi="Arial"/>
                <w:sz w:val="17"/>
                <w:szCs w:val="17"/>
                <w:color w:val="0000EE"/>
                <w:w w:val="92"/>
              </w:rPr>
            </w:pPr>
            <w:hyperlink r:id="rId109">
              <w:r>
                <w:rPr>
                  <w:rFonts w:ascii="Arial" w:cs="Arial" w:eastAsia="Arial" w:hAnsi="Arial"/>
                  <w:sz w:val="17"/>
                  <w:szCs w:val="17"/>
                  <w:color w:val="0000EE"/>
                  <w:w w:val="92"/>
                </w:rPr>
                <w:t>Offer Letter between the Company and Mr. Mokari effective as of May 13, 2016.</w:t>
              </w:r>
            </w:hyperlink>
          </w:p>
        </w:tc>
        <w:tc>
          <w:tcPr>
            <w:tcW w:w="3040" w:type="dxa"/>
            <w:vAlign w:val="bottom"/>
            <w:tcBorders>
              <w:top w:val="single" w:sz="8" w:color="0000EE"/>
            </w:tcBorders>
            <w:gridSpan w:val="8"/>
          </w:tcPr>
          <w:p>
            <w:pPr>
              <w:spacing w:after="0"/>
              <w:rPr>
                <w:sz w:val="24"/>
                <w:szCs w:val="24"/>
                <w:color w:val="auto"/>
              </w:rPr>
            </w:pPr>
          </w:p>
        </w:tc>
        <w:tc>
          <w:tcPr>
            <w:tcW w:w="132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5"/>
              </w:rPr>
              <w:t>10.18(20)*</w:t>
            </w:r>
          </w:p>
        </w:tc>
        <w:tc>
          <w:tcPr>
            <w:tcW w:w="160" w:type="dxa"/>
            <w:vAlign w:val="bottom"/>
          </w:tcPr>
          <w:p>
            <w:pPr>
              <w:spacing w:after="0"/>
              <w:rPr>
                <w:sz w:val="24"/>
                <w:szCs w:val="24"/>
                <w:color w:val="auto"/>
              </w:rPr>
            </w:pPr>
          </w:p>
        </w:tc>
        <w:tc>
          <w:tcPr>
            <w:tcW w:w="9940" w:type="dxa"/>
            <w:vAlign w:val="bottom"/>
            <w:gridSpan w:val="28"/>
          </w:tcPr>
          <w:p>
            <w:pPr>
              <w:spacing w:after="0"/>
              <w:rPr>
                <w:rFonts w:ascii="Arial" w:cs="Arial" w:eastAsia="Arial" w:hAnsi="Arial"/>
                <w:sz w:val="17"/>
                <w:szCs w:val="17"/>
                <w:color w:val="0000EE"/>
              </w:rPr>
            </w:pPr>
            <w:hyperlink r:id="rId125">
              <w:r>
                <w:rPr>
                  <w:rFonts w:ascii="Arial" w:cs="Arial" w:eastAsia="Arial" w:hAnsi="Arial"/>
                  <w:sz w:val="17"/>
                  <w:szCs w:val="17"/>
                  <w:color w:val="0000EE"/>
                </w:rPr>
                <w:t>Change in Control Severance Agreement, between the Company and Mr. Mokari</w:t>
              </w:r>
            </w:hyperlink>
          </w:p>
        </w:tc>
        <w:tc>
          <w:tcPr>
            <w:tcW w:w="4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66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8"/>
        </w:trPr>
        <w:tc>
          <w:tcPr>
            <w:tcW w:w="1320" w:type="dxa"/>
            <w:vAlign w:val="bottom"/>
          </w:tcPr>
          <w:p>
            <w:pPr>
              <w:jc w:val="center"/>
              <w:spacing w:after="0"/>
              <w:rPr>
                <w:sz w:val="20"/>
                <w:szCs w:val="20"/>
                <w:color w:val="auto"/>
              </w:rPr>
            </w:pPr>
            <w:r>
              <w:rPr>
                <w:rFonts w:ascii="Arial" w:cs="Arial" w:eastAsia="Arial" w:hAnsi="Arial"/>
                <w:sz w:val="17"/>
                <w:szCs w:val="17"/>
                <w:color w:val="auto"/>
                <w:w w:val="93"/>
              </w:rPr>
              <w:t>10.19(22)</w:t>
            </w:r>
          </w:p>
        </w:tc>
        <w:tc>
          <w:tcPr>
            <w:tcW w:w="160" w:type="dxa"/>
            <w:vAlign w:val="bottom"/>
          </w:tcPr>
          <w:p>
            <w:pPr>
              <w:spacing w:after="0"/>
              <w:rPr>
                <w:sz w:val="24"/>
                <w:szCs w:val="24"/>
                <w:color w:val="auto"/>
              </w:rPr>
            </w:pPr>
          </w:p>
        </w:tc>
        <w:tc>
          <w:tcPr>
            <w:tcW w:w="9940" w:type="dxa"/>
            <w:vAlign w:val="bottom"/>
            <w:gridSpan w:val="28"/>
          </w:tcPr>
          <w:p>
            <w:pPr>
              <w:spacing w:after="0"/>
              <w:rPr>
                <w:rFonts w:ascii="Arial" w:cs="Arial" w:eastAsia="Arial" w:hAnsi="Arial"/>
                <w:sz w:val="17"/>
                <w:szCs w:val="17"/>
                <w:color w:val="0000EE"/>
              </w:rPr>
            </w:pPr>
            <w:hyperlink r:id="rId126">
              <w:r>
                <w:rPr>
                  <w:rFonts w:ascii="Arial" w:cs="Arial" w:eastAsia="Arial" w:hAnsi="Arial"/>
                  <w:sz w:val="17"/>
                  <w:szCs w:val="17"/>
                  <w:color w:val="0000EE"/>
                </w:rPr>
                <w:t>Loan and Security Agreement, dated as of November 2, 2016, between IRIDEX Corporation and Silicon Valley Bank.</w:t>
              </w:r>
            </w:hyperlink>
          </w:p>
        </w:tc>
        <w:tc>
          <w:tcPr>
            <w:tcW w:w="40" w:type="dxa"/>
            <w:vAlign w:val="bottom"/>
          </w:tcPr>
          <w:p>
            <w:pPr>
              <w:spacing w:after="0"/>
              <w:rPr>
                <w:sz w:val="24"/>
                <w:szCs w:val="24"/>
                <w:color w:val="auto"/>
              </w:rPr>
            </w:pPr>
          </w:p>
        </w:tc>
      </w:tr>
      <w:tr>
        <w:trPr>
          <w:trHeight w:val="339"/>
        </w:trPr>
        <w:tc>
          <w:tcPr>
            <w:tcW w:w="1480" w:type="dxa"/>
            <w:vAlign w:val="bottom"/>
            <w:gridSpan w:val="2"/>
          </w:tcPr>
          <w:p>
            <w:pPr>
              <w:jc w:val="center"/>
              <w:ind w:right="160"/>
              <w:spacing w:after="0"/>
              <w:rPr>
                <w:sz w:val="20"/>
                <w:szCs w:val="20"/>
                <w:color w:val="auto"/>
              </w:rPr>
            </w:pPr>
            <w:r>
              <w:rPr>
                <w:rFonts w:ascii="Arial" w:cs="Arial" w:eastAsia="Arial" w:hAnsi="Arial"/>
                <w:sz w:val="17"/>
                <w:szCs w:val="17"/>
                <w:color w:val="auto"/>
                <w:w w:val="92"/>
              </w:rPr>
              <w:t>21.1 (1) (P)</w:t>
            </w:r>
          </w:p>
        </w:tc>
        <w:tc>
          <w:tcPr>
            <w:tcW w:w="8120" w:type="dxa"/>
            <w:vAlign w:val="bottom"/>
            <w:tcBorders>
              <w:top w:val="single" w:sz="8" w:color="0000EE"/>
            </w:tcBorders>
            <w:gridSpan w:val="18"/>
          </w:tcPr>
          <w:p>
            <w:pPr>
              <w:spacing w:after="0"/>
              <w:rPr>
                <w:sz w:val="20"/>
                <w:szCs w:val="20"/>
                <w:color w:val="auto"/>
              </w:rPr>
            </w:pPr>
            <w:r>
              <w:rPr>
                <w:rFonts w:ascii="Arial" w:cs="Arial" w:eastAsia="Arial" w:hAnsi="Arial"/>
                <w:sz w:val="17"/>
                <w:szCs w:val="17"/>
                <w:color w:val="auto"/>
              </w:rPr>
              <w:t>Subsidiaries of Registrant</w:t>
            </w:r>
          </w:p>
        </w:tc>
        <w:tc>
          <w:tcPr>
            <w:tcW w:w="182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1320" w:type="dxa"/>
            <w:vAlign w:val="bottom"/>
          </w:tcPr>
          <w:p>
            <w:pPr>
              <w:jc w:val="center"/>
              <w:spacing w:after="0"/>
              <w:rPr>
                <w:sz w:val="20"/>
                <w:szCs w:val="20"/>
                <w:color w:val="auto"/>
              </w:rPr>
            </w:pPr>
            <w:r>
              <w:rPr>
                <w:rFonts w:ascii="Arial" w:cs="Arial" w:eastAsia="Arial" w:hAnsi="Arial"/>
                <w:sz w:val="17"/>
                <w:szCs w:val="17"/>
                <w:color w:val="auto"/>
                <w:w w:val="90"/>
              </w:rPr>
              <w:t>23.1</w:t>
            </w:r>
          </w:p>
        </w:tc>
        <w:tc>
          <w:tcPr>
            <w:tcW w:w="160" w:type="dxa"/>
            <w:vAlign w:val="bottom"/>
          </w:tcPr>
          <w:p>
            <w:pPr>
              <w:spacing w:after="0"/>
              <w:rPr>
                <w:sz w:val="24"/>
                <w:szCs w:val="24"/>
                <w:color w:val="auto"/>
              </w:rPr>
            </w:pPr>
          </w:p>
        </w:tc>
        <w:tc>
          <w:tcPr>
            <w:tcW w:w="4980" w:type="dxa"/>
            <w:vAlign w:val="bottom"/>
            <w:tcBorders>
              <w:bottom w:val="single" w:sz="8" w:color="0000EE"/>
            </w:tcBorders>
            <w:gridSpan w:val="9"/>
          </w:tcPr>
          <w:p>
            <w:pPr>
              <w:spacing w:after="0"/>
              <w:rPr>
                <w:rFonts w:ascii="Arial" w:cs="Arial" w:eastAsia="Arial" w:hAnsi="Arial"/>
                <w:sz w:val="17"/>
                <w:szCs w:val="17"/>
                <w:color w:val="0000EE"/>
                <w:w w:val="92"/>
              </w:rPr>
            </w:pPr>
            <w:hyperlink w:anchor="page98">
              <w:r>
                <w:rPr>
                  <w:rFonts w:ascii="Arial" w:cs="Arial" w:eastAsia="Arial" w:hAnsi="Arial"/>
                  <w:sz w:val="17"/>
                  <w:szCs w:val="17"/>
                  <w:color w:val="0000EE"/>
                  <w:w w:val="92"/>
                </w:rPr>
                <w:t>Consent of BPM LLP, Independent Registered Public Accounting Firm.</w:t>
              </w:r>
            </w:hyperlink>
          </w:p>
        </w:tc>
        <w:tc>
          <w:tcPr>
            <w:tcW w:w="4960" w:type="dxa"/>
            <w:vAlign w:val="bottom"/>
            <w:gridSpan w:val="19"/>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0"/>
              </w:rPr>
              <w:t>24.1</w:t>
            </w:r>
          </w:p>
        </w:tc>
        <w:tc>
          <w:tcPr>
            <w:tcW w:w="160" w:type="dxa"/>
            <w:vAlign w:val="bottom"/>
          </w:tcPr>
          <w:p>
            <w:pPr>
              <w:spacing w:after="0"/>
              <w:rPr>
                <w:sz w:val="24"/>
                <w:szCs w:val="24"/>
                <w:color w:val="auto"/>
              </w:rPr>
            </w:pPr>
          </w:p>
        </w:tc>
        <w:tc>
          <w:tcPr>
            <w:tcW w:w="3320" w:type="dxa"/>
            <w:vAlign w:val="bottom"/>
            <w:tcBorders>
              <w:bottom w:val="single" w:sz="8" w:color="0000EE"/>
            </w:tcBorders>
            <w:gridSpan w:val="6"/>
          </w:tcPr>
          <w:p>
            <w:pPr>
              <w:spacing w:after="0"/>
              <w:rPr>
                <w:rFonts w:ascii="Arial" w:cs="Arial" w:eastAsia="Arial" w:hAnsi="Arial"/>
                <w:sz w:val="17"/>
                <w:szCs w:val="17"/>
                <w:color w:val="0000EE"/>
                <w:w w:val="91"/>
              </w:rPr>
            </w:pPr>
            <w:hyperlink w:anchor="page70">
              <w:r>
                <w:rPr>
                  <w:rFonts w:ascii="Arial" w:cs="Arial" w:eastAsia="Arial" w:hAnsi="Arial"/>
                  <w:sz w:val="17"/>
                  <w:szCs w:val="17"/>
                  <w:color w:val="0000EE"/>
                  <w:w w:val="91"/>
                </w:rPr>
                <w:t>Power of Attorney (included on signature page).</w:t>
              </w:r>
            </w:hyperlink>
          </w:p>
        </w:tc>
        <w:tc>
          <w:tcPr>
            <w:tcW w:w="6620" w:type="dxa"/>
            <w:vAlign w:val="bottom"/>
            <w:gridSpan w:val="22"/>
          </w:tcPr>
          <w:p>
            <w:pPr>
              <w:spacing w:after="0"/>
              <w:rPr>
                <w:sz w:val="24"/>
                <w:szCs w:val="24"/>
                <w:color w:val="auto"/>
              </w:rPr>
            </w:pPr>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0"/>
              </w:rPr>
              <w:t>31.1</w:t>
            </w:r>
          </w:p>
        </w:tc>
        <w:tc>
          <w:tcPr>
            <w:tcW w:w="160" w:type="dxa"/>
            <w:vAlign w:val="bottom"/>
          </w:tcPr>
          <w:p>
            <w:pPr>
              <w:spacing w:after="0"/>
              <w:rPr>
                <w:sz w:val="24"/>
                <w:szCs w:val="24"/>
                <w:color w:val="auto"/>
              </w:rPr>
            </w:pPr>
          </w:p>
        </w:tc>
        <w:tc>
          <w:tcPr>
            <w:tcW w:w="9940" w:type="dxa"/>
            <w:vAlign w:val="bottom"/>
            <w:gridSpan w:val="28"/>
          </w:tcPr>
          <w:p>
            <w:pPr>
              <w:spacing w:after="0"/>
              <w:rPr>
                <w:rFonts w:ascii="Arial" w:cs="Arial" w:eastAsia="Arial" w:hAnsi="Arial"/>
                <w:sz w:val="17"/>
                <w:szCs w:val="17"/>
                <w:color w:val="0000EE"/>
              </w:rPr>
            </w:pPr>
            <w:hyperlink w:anchor="page99">
              <w:r>
                <w:rPr>
                  <w:rFonts w:ascii="Arial" w:cs="Arial" w:eastAsia="Arial" w:hAnsi="Arial"/>
                  <w:sz w:val="17"/>
                  <w:szCs w:val="17"/>
                  <w:color w:val="0000EE"/>
                </w:rPr>
                <w:t>Certification of Principal Executive and Financial Officer pursuant to Section 302 of the Sarbanes-Oxley Act of 2002.</w:t>
              </w:r>
            </w:hyperlink>
          </w:p>
        </w:tc>
        <w:tc>
          <w:tcPr>
            <w:tcW w:w="40" w:type="dxa"/>
            <w:vAlign w:val="bottom"/>
          </w:tcPr>
          <w:p>
            <w:pPr>
              <w:spacing w:after="0"/>
              <w:rPr>
                <w:sz w:val="24"/>
                <w:szCs w:val="24"/>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0"/>
              </w:rPr>
              <w:t>31.2</w:t>
            </w:r>
          </w:p>
        </w:tc>
        <w:tc>
          <w:tcPr>
            <w:tcW w:w="160" w:type="dxa"/>
            <w:vAlign w:val="bottom"/>
          </w:tcPr>
          <w:p>
            <w:pPr>
              <w:spacing w:after="0"/>
              <w:rPr>
                <w:sz w:val="24"/>
                <w:szCs w:val="24"/>
                <w:color w:val="auto"/>
              </w:rPr>
            </w:pPr>
          </w:p>
        </w:tc>
        <w:tc>
          <w:tcPr>
            <w:tcW w:w="8100" w:type="dxa"/>
            <w:vAlign w:val="bottom"/>
            <w:tcBorders>
              <w:top w:val="single" w:sz="8" w:color="0000EE"/>
            </w:tcBorders>
            <w:gridSpan w:val="17"/>
          </w:tcPr>
          <w:p>
            <w:pPr>
              <w:spacing w:after="0"/>
              <w:rPr>
                <w:rFonts w:ascii="Arial" w:cs="Arial" w:eastAsia="Arial" w:hAnsi="Arial"/>
                <w:sz w:val="17"/>
                <w:szCs w:val="17"/>
                <w:color w:val="0000EE"/>
              </w:rPr>
            </w:pPr>
            <w:hyperlink w:anchor="page100">
              <w:r>
                <w:rPr>
                  <w:rFonts w:ascii="Arial" w:cs="Arial" w:eastAsia="Arial" w:hAnsi="Arial"/>
                  <w:sz w:val="17"/>
                  <w:szCs w:val="17"/>
                  <w:color w:val="0000EE"/>
                </w:rPr>
                <w:t>Certification of Principal Accounting Officer pursuant to Section 302 of the Sarbanes-Oxley Act of 2002.</w:t>
              </w:r>
            </w:hyperlink>
          </w:p>
        </w:tc>
        <w:tc>
          <w:tcPr>
            <w:tcW w:w="184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240" w:type="dxa"/>
            <w:vAlign w:val="bottom"/>
            <w:gridSpan w:val="12"/>
            <w:shd w:val="clear" w:color="auto" w:fill="0000EE"/>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0"/>
              </w:rPr>
              <w:t>32.1</w:t>
            </w:r>
          </w:p>
        </w:tc>
        <w:tc>
          <w:tcPr>
            <w:tcW w:w="160" w:type="dxa"/>
            <w:vAlign w:val="bottom"/>
          </w:tcPr>
          <w:p>
            <w:pPr>
              <w:spacing w:after="0"/>
              <w:rPr>
                <w:sz w:val="24"/>
                <w:szCs w:val="24"/>
                <w:color w:val="auto"/>
              </w:rPr>
            </w:pPr>
          </w:p>
        </w:tc>
        <w:tc>
          <w:tcPr>
            <w:tcW w:w="9940" w:type="dxa"/>
            <w:vAlign w:val="bottom"/>
            <w:gridSpan w:val="28"/>
          </w:tcPr>
          <w:p>
            <w:pPr>
              <w:spacing w:after="0"/>
              <w:rPr>
                <w:rFonts w:ascii="Arial" w:cs="Arial" w:eastAsia="Arial" w:hAnsi="Arial"/>
                <w:sz w:val="17"/>
                <w:szCs w:val="17"/>
                <w:color w:val="0000EE"/>
                <w:w w:val="97"/>
              </w:rPr>
            </w:pPr>
            <w:hyperlink w:anchor="page101">
              <w:r>
                <w:rPr>
                  <w:rFonts w:ascii="Arial" w:cs="Arial" w:eastAsia="Arial" w:hAnsi="Arial"/>
                  <w:sz w:val="17"/>
                  <w:szCs w:val="17"/>
                  <w:color w:val="0000EE"/>
                  <w:w w:val="97"/>
                </w:rPr>
                <w:t>Certification of Principal Executive and Financial Officer pursuant to 18 U.S.C. Section 1350, as Adopted Pursuant to Section 906 of the</w:t>
              </w:r>
            </w:hyperlink>
          </w:p>
        </w:tc>
        <w:tc>
          <w:tcPr>
            <w:tcW w:w="40" w:type="dxa"/>
            <w:vAlign w:val="bottom"/>
          </w:tcPr>
          <w:p>
            <w:pPr>
              <w:spacing w:after="0"/>
              <w:rPr>
                <w:sz w:val="24"/>
                <w:szCs w:val="24"/>
                <w:color w:val="auto"/>
              </w:rPr>
            </w:pPr>
          </w:p>
        </w:tc>
      </w:tr>
      <w:tr>
        <w:trPr>
          <w:trHeight w:val="186"/>
        </w:trPr>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Borders>
              <w:top w:val="single" w:sz="8" w:color="0000EE"/>
              <w:bottom w:val="single" w:sz="8" w:color="0000EE"/>
            </w:tcBorders>
            <w:gridSpan w:val="3"/>
          </w:tcPr>
          <w:p>
            <w:pPr>
              <w:spacing w:after="0" w:line="186" w:lineRule="exact"/>
              <w:rPr>
                <w:rFonts w:ascii="Arial" w:cs="Arial" w:eastAsia="Arial" w:hAnsi="Arial"/>
                <w:sz w:val="17"/>
                <w:szCs w:val="17"/>
                <w:color w:val="0000EE"/>
                <w:w w:val="91"/>
              </w:rPr>
            </w:pPr>
            <w:hyperlink w:anchor="page101">
              <w:r>
                <w:rPr>
                  <w:rFonts w:ascii="Arial" w:cs="Arial" w:eastAsia="Arial" w:hAnsi="Arial"/>
                  <w:sz w:val="17"/>
                  <w:szCs w:val="17"/>
                  <w:color w:val="0000EE"/>
                  <w:w w:val="91"/>
                </w:rPr>
                <w:t>Sarbanes-Oxley Act of 2002.</w:t>
              </w:r>
            </w:hyperlink>
          </w:p>
        </w:tc>
        <w:tc>
          <w:tcPr>
            <w:tcW w:w="7400" w:type="dxa"/>
            <w:vAlign w:val="bottom"/>
            <w:tcBorders>
              <w:top w:val="single" w:sz="8" w:color="0000EE"/>
            </w:tcBorders>
            <w:gridSpan w:val="22"/>
          </w:tcPr>
          <w:p>
            <w:pPr>
              <w:spacing w:after="0"/>
              <w:rPr>
                <w:sz w:val="16"/>
                <w:szCs w:val="16"/>
                <w:color w:val="auto"/>
              </w:rPr>
            </w:pPr>
          </w:p>
        </w:tc>
        <w:tc>
          <w:tcPr>
            <w:tcW w:w="5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r>
      <w:tr>
        <w:trPr>
          <w:trHeight w:val="302"/>
        </w:trPr>
        <w:tc>
          <w:tcPr>
            <w:tcW w:w="1320" w:type="dxa"/>
            <w:vAlign w:val="bottom"/>
          </w:tcPr>
          <w:p>
            <w:pPr>
              <w:jc w:val="center"/>
              <w:spacing w:after="0"/>
              <w:rPr>
                <w:sz w:val="20"/>
                <w:szCs w:val="20"/>
                <w:color w:val="auto"/>
              </w:rPr>
            </w:pPr>
            <w:r>
              <w:rPr>
                <w:rFonts w:ascii="Arial" w:cs="Arial" w:eastAsia="Arial" w:hAnsi="Arial"/>
                <w:sz w:val="17"/>
                <w:szCs w:val="17"/>
                <w:color w:val="auto"/>
                <w:w w:val="90"/>
              </w:rPr>
              <w:t>32.2</w:t>
            </w:r>
          </w:p>
        </w:tc>
        <w:tc>
          <w:tcPr>
            <w:tcW w:w="160" w:type="dxa"/>
            <w:vAlign w:val="bottom"/>
          </w:tcPr>
          <w:p>
            <w:pPr>
              <w:spacing w:after="0"/>
              <w:rPr>
                <w:sz w:val="24"/>
                <w:szCs w:val="24"/>
                <w:color w:val="auto"/>
              </w:rPr>
            </w:pPr>
          </w:p>
        </w:tc>
        <w:tc>
          <w:tcPr>
            <w:tcW w:w="9700" w:type="dxa"/>
            <w:vAlign w:val="bottom"/>
            <w:tcBorders>
              <w:bottom w:val="single" w:sz="8" w:color="0000EE"/>
            </w:tcBorders>
            <w:gridSpan w:val="26"/>
          </w:tcPr>
          <w:p>
            <w:pPr>
              <w:spacing w:after="0"/>
              <w:rPr>
                <w:rFonts w:ascii="Arial" w:cs="Arial" w:eastAsia="Arial" w:hAnsi="Arial"/>
                <w:sz w:val="17"/>
                <w:szCs w:val="17"/>
                <w:color w:val="0000EE"/>
                <w:w w:val="92"/>
              </w:rPr>
            </w:pPr>
            <w:hyperlink w:anchor="page102">
              <w:r>
                <w:rPr>
                  <w:rFonts w:ascii="Arial" w:cs="Arial" w:eastAsia="Arial" w:hAnsi="Arial"/>
                  <w:sz w:val="17"/>
                  <w:szCs w:val="17"/>
                  <w:color w:val="0000EE"/>
                  <w:w w:val="92"/>
                </w:rPr>
                <w:t>Certification of Principal Accounting Officer pursuant to 18 U.S.C. Section 1350, as Adopted Pursuant to Section 906 of the Sarbanes-Oxley</w:t>
              </w:r>
            </w:hyperlink>
          </w:p>
        </w:tc>
        <w:tc>
          <w:tcPr>
            <w:tcW w:w="2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0000EE"/>
            </w:tcBorders>
          </w:tcPr>
          <w:p>
            <w:pPr>
              <w:spacing w:after="0" w:line="186" w:lineRule="exact"/>
              <w:rPr>
                <w:rFonts w:ascii="Arial" w:cs="Arial" w:eastAsia="Arial" w:hAnsi="Arial"/>
                <w:sz w:val="17"/>
                <w:szCs w:val="17"/>
                <w:color w:val="0000EE"/>
                <w:w w:val="92"/>
              </w:rPr>
            </w:pPr>
            <w:hyperlink w:anchor="page102">
              <w:r>
                <w:rPr>
                  <w:rFonts w:ascii="Arial" w:cs="Arial" w:eastAsia="Arial" w:hAnsi="Arial"/>
                  <w:sz w:val="17"/>
                  <w:szCs w:val="17"/>
                  <w:color w:val="0000EE"/>
                  <w:w w:val="92"/>
                </w:rPr>
                <w:t>Act of 2002.</w:t>
              </w:r>
            </w:hyperlink>
          </w:p>
        </w:tc>
        <w:tc>
          <w:tcPr>
            <w:tcW w:w="9080" w:type="dxa"/>
            <w:vAlign w:val="bottom"/>
            <w:gridSpan w:val="27"/>
          </w:tcPr>
          <w:p>
            <w:pPr>
              <w:spacing w:after="0"/>
              <w:rPr>
                <w:sz w:val="16"/>
                <w:szCs w:val="16"/>
                <w:color w:val="auto"/>
              </w:rPr>
            </w:pPr>
          </w:p>
        </w:tc>
        <w:tc>
          <w:tcPr>
            <w:tcW w:w="40" w:type="dxa"/>
            <w:vAlign w:val="bottom"/>
          </w:tcPr>
          <w:p>
            <w:pPr>
              <w:spacing w:after="0"/>
              <w:rPr>
                <w:sz w:val="16"/>
                <w:szCs w:val="16"/>
                <w:color w:val="auto"/>
              </w:rPr>
            </w:pPr>
          </w:p>
        </w:tc>
      </w:tr>
      <w:tr>
        <w:trPr>
          <w:trHeight w:val="339"/>
        </w:trPr>
        <w:tc>
          <w:tcPr>
            <w:tcW w:w="1480" w:type="dxa"/>
            <w:vAlign w:val="bottom"/>
            <w:gridSpan w:val="2"/>
          </w:tcPr>
          <w:p>
            <w:pPr>
              <w:jc w:val="center"/>
              <w:ind w:right="160"/>
              <w:spacing w:after="0"/>
              <w:rPr>
                <w:sz w:val="20"/>
                <w:szCs w:val="20"/>
                <w:color w:val="auto"/>
              </w:rPr>
            </w:pPr>
            <w:r>
              <w:rPr>
                <w:rFonts w:ascii="Arial" w:cs="Arial" w:eastAsia="Arial" w:hAnsi="Arial"/>
                <w:sz w:val="17"/>
                <w:szCs w:val="17"/>
                <w:color w:val="auto"/>
                <w:w w:val="91"/>
              </w:rPr>
              <w:t>101.INS</w:t>
            </w:r>
          </w:p>
        </w:tc>
        <w:tc>
          <w:tcPr>
            <w:tcW w:w="9940" w:type="dxa"/>
            <w:vAlign w:val="bottom"/>
            <w:gridSpan w:val="28"/>
          </w:tcPr>
          <w:p>
            <w:pPr>
              <w:spacing w:after="0"/>
              <w:rPr>
                <w:sz w:val="20"/>
                <w:szCs w:val="20"/>
                <w:color w:val="auto"/>
              </w:rPr>
            </w:pPr>
            <w:r>
              <w:rPr>
                <w:rFonts w:ascii="Arial" w:cs="Arial" w:eastAsia="Arial" w:hAnsi="Arial"/>
                <w:sz w:val="17"/>
                <w:szCs w:val="17"/>
                <w:color w:val="auto"/>
              </w:rPr>
              <w:t>XBRL Instance Document.</w:t>
            </w:r>
          </w:p>
        </w:tc>
        <w:tc>
          <w:tcPr>
            <w:tcW w:w="40" w:type="dxa"/>
            <w:vAlign w:val="bottom"/>
          </w:tcPr>
          <w:p>
            <w:pPr>
              <w:spacing w:after="0"/>
              <w:rPr>
                <w:sz w:val="24"/>
                <w:szCs w:val="24"/>
                <w:color w:val="auto"/>
              </w:rPr>
            </w:pPr>
          </w:p>
        </w:tc>
      </w:tr>
      <w:tr>
        <w:trPr>
          <w:trHeight w:val="322"/>
        </w:trPr>
        <w:tc>
          <w:tcPr>
            <w:tcW w:w="1480" w:type="dxa"/>
            <w:vAlign w:val="bottom"/>
            <w:gridSpan w:val="2"/>
          </w:tcPr>
          <w:p>
            <w:pPr>
              <w:jc w:val="center"/>
              <w:ind w:right="160"/>
              <w:spacing w:after="0"/>
              <w:rPr>
                <w:sz w:val="20"/>
                <w:szCs w:val="20"/>
                <w:color w:val="auto"/>
              </w:rPr>
            </w:pPr>
            <w:r>
              <w:rPr>
                <w:rFonts w:ascii="Arial" w:cs="Arial" w:eastAsia="Arial" w:hAnsi="Arial"/>
                <w:sz w:val="17"/>
                <w:szCs w:val="17"/>
                <w:color w:val="auto"/>
                <w:w w:val="92"/>
              </w:rPr>
              <w:t>101.SCH</w:t>
            </w:r>
          </w:p>
        </w:tc>
        <w:tc>
          <w:tcPr>
            <w:tcW w:w="9940" w:type="dxa"/>
            <w:vAlign w:val="bottom"/>
            <w:gridSpan w:val="28"/>
          </w:tcPr>
          <w:p>
            <w:pPr>
              <w:spacing w:after="0"/>
              <w:rPr>
                <w:sz w:val="20"/>
                <w:szCs w:val="20"/>
                <w:color w:val="auto"/>
              </w:rPr>
            </w:pPr>
            <w:r>
              <w:rPr>
                <w:rFonts w:ascii="Arial" w:cs="Arial" w:eastAsia="Arial" w:hAnsi="Arial"/>
                <w:sz w:val="17"/>
                <w:szCs w:val="17"/>
                <w:color w:val="auto"/>
              </w:rPr>
              <w:t>XBRL Taxonomy Extension Schema Document.</w:t>
            </w:r>
          </w:p>
        </w:tc>
        <w:tc>
          <w:tcPr>
            <w:tcW w:w="40" w:type="dxa"/>
            <w:vAlign w:val="bottom"/>
          </w:tcPr>
          <w:p>
            <w:pPr>
              <w:spacing w:after="0"/>
              <w:rPr>
                <w:sz w:val="24"/>
                <w:szCs w:val="24"/>
                <w:color w:val="auto"/>
              </w:rPr>
            </w:pPr>
          </w:p>
        </w:tc>
      </w:tr>
      <w:tr>
        <w:trPr>
          <w:trHeight w:val="413"/>
        </w:trPr>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9"/>
          </w:tcPr>
          <w:p>
            <w:pPr>
              <w:ind w:left="4140"/>
              <w:spacing w:after="0"/>
              <w:rPr>
                <w:sz w:val="20"/>
                <w:szCs w:val="20"/>
                <w:color w:val="auto"/>
              </w:rPr>
            </w:pPr>
            <w:r>
              <w:rPr>
                <w:rFonts w:ascii="Arial" w:cs="Arial" w:eastAsia="Arial" w:hAnsi="Arial"/>
                <w:sz w:val="17"/>
                <w:szCs w:val="17"/>
                <w:color w:val="auto"/>
              </w:rPr>
              <w:t>68</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68" w:name="page69"/>
    <w:bookmarkEnd w:id="68"/>
    <w:p>
      <w:pPr>
        <w:ind w:left="420"/>
        <w:spacing w:after="0"/>
        <w:tabs>
          <w:tab w:leader="none" w:pos="1460" w:val="left"/>
        </w:tabs>
        <w:rPr>
          <w:sz w:val="20"/>
          <w:szCs w:val="20"/>
          <w:color w:val="auto"/>
        </w:rPr>
      </w:pPr>
      <w:r>
        <w:rPr>
          <w:rFonts w:ascii="Arial" w:cs="Arial" w:eastAsia="Arial" w:hAnsi="Arial"/>
          <w:sz w:val="13"/>
          <w:szCs w:val="13"/>
          <w:b w:val="1"/>
          <w:bCs w:val="1"/>
          <w:color w:val="auto"/>
        </w:rPr>
        <w:t>Exhibits</w:t>
      </w:r>
      <w:r>
        <w:rPr>
          <w:sz w:val="20"/>
          <w:szCs w:val="20"/>
          <w:color w:val="auto"/>
        </w:rPr>
        <w:tab/>
      </w:r>
      <w:r>
        <w:rPr>
          <w:rFonts w:ascii="Arial" w:cs="Arial" w:eastAsia="Arial" w:hAnsi="Arial"/>
          <w:sz w:val="13"/>
          <w:szCs w:val="13"/>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2529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101.CAL</w:t>
            </w:r>
          </w:p>
        </w:tc>
        <w:tc>
          <w:tcPr>
            <w:tcW w:w="4580" w:type="dxa"/>
            <w:vAlign w:val="bottom"/>
          </w:tcPr>
          <w:p>
            <w:pPr>
              <w:ind w:left="260"/>
              <w:spacing w:after="0"/>
              <w:rPr>
                <w:sz w:val="20"/>
                <w:szCs w:val="20"/>
                <w:color w:val="auto"/>
              </w:rPr>
            </w:pPr>
            <w:r>
              <w:rPr>
                <w:rFonts w:ascii="Arial" w:cs="Arial" w:eastAsia="Arial" w:hAnsi="Arial"/>
                <w:sz w:val="17"/>
                <w:szCs w:val="17"/>
                <w:color w:val="auto"/>
                <w:w w:val="94"/>
              </w:rPr>
              <w:t>XBRL Taxonomy Extension Calculation Linkbase Document.</w:t>
            </w:r>
          </w:p>
        </w:tc>
      </w:tr>
      <w:tr>
        <w:trPr>
          <w:trHeight w:val="322"/>
        </w:trPr>
        <w:tc>
          <w:tcPr>
            <w:tcW w:w="880" w:type="dxa"/>
            <w:vAlign w:val="bottom"/>
          </w:tcPr>
          <w:p>
            <w:pPr>
              <w:spacing w:after="0"/>
              <w:rPr>
                <w:sz w:val="20"/>
                <w:szCs w:val="20"/>
                <w:color w:val="auto"/>
              </w:rPr>
            </w:pPr>
            <w:r>
              <w:rPr>
                <w:rFonts w:ascii="Arial" w:cs="Arial" w:eastAsia="Arial" w:hAnsi="Arial"/>
                <w:sz w:val="17"/>
                <w:szCs w:val="17"/>
                <w:color w:val="auto"/>
              </w:rPr>
              <w:t>101.DEF</w:t>
            </w:r>
          </w:p>
        </w:tc>
        <w:tc>
          <w:tcPr>
            <w:tcW w:w="4580" w:type="dxa"/>
            <w:vAlign w:val="bottom"/>
          </w:tcPr>
          <w:p>
            <w:pPr>
              <w:ind w:left="260"/>
              <w:spacing w:after="0"/>
              <w:rPr>
                <w:sz w:val="20"/>
                <w:szCs w:val="20"/>
                <w:color w:val="auto"/>
              </w:rPr>
            </w:pPr>
            <w:r>
              <w:rPr>
                <w:rFonts w:ascii="Arial" w:cs="Arial" w:eastAsia="Arial" w:hAnsi="Arial"/>
                <w:sz w:val="17"/>
                <w:szCs w:val="17"/>
                <w:color w:val="auto"/>
                <w:w w:val="97"/>
              </w:rPr>
              <w:t>XBRL Taxonomy Extension Definition Linkbase Document.</w:t>
            </w:r>
          </w:p>
        </w:tc>
      </w:tr>
      <w:tr>
        <w:trPr>
          <w:trHeight w:val="322"/>
        </w:trPr>
        <w:tc>
          <w:tcPr>
            <w:tcW w:w="880" w:type="dxa"/>
            <w:vAlign w:val="bottom"/>
          </w:tcPr>
          <w:p>
            <w:pPr>
              <w:spacing w:after="0"/>
              <w:rPr>
                <w:sz w:val="20"/>
                <w:szCs w:val="20"/>
                <w:color w:val="auto"/>
              </w:rPr>
            </w:pPr>
            <w:r>
              <w:rPr>
                <w:rFonts w:ascii="Arial" w:cs="Arial" w:eastAsia="Arial" w:hAnsi="Arial"/>
                <w:sz w:val="17"/>
                <w:szCs w:val="17"/>
                <w:color w:val="auto"/>
              </w:rPr>
              <w:t>101.LAB</w:t>
            </w:r>
          </w:p>
        </w:tc>
        <w:tc>
          <w:tcPr>
            <w:tcW w:w="4580" w:type="dxa"/>
            <w:vAlign w:val="bottom"/>
          </w:tcPr>
          <w:p>
            <w:pPr>
              <w:ind w:left="260"/>
              <w:spacing w:after="0"/>
              <w:rPr>
                <w:sz w:val="20"/>
                <w:szCs w:val="20"/>
                <w:color w:val="auto"/>
              </w:rPr>
            </w:pPr>
            <w:r>
              <w:rPr>
                <w:rFonts w:ascii="Arial" w:cs="Arial" w:eastAsia="Arial" w:hAnsi="Arial"/>
                <w:sz w:val="17"/>
                <w:szCs w:val="17"/>
                <w:color w:val="auto"/>
              </w:rPr>
              <w:t>XBRL Taxonomy Extension Labels Linkbase Document.</w:t>
            </w:r>
          </w:p>
        </w:tc>
      </w:tr>
      <w:tr>
        <w:trPr>
          <w:trHeight w:val="322"/>
        </w:trPr>
        <w:tc>
          <w:tcPr>
            <w:tcW w:w="880" w:type="dxa"/>
            <w:vAlign w:val="bottom"/>
          </w:tcPr>
          <w:p>
            <w:pPr>
              <w:ind w:left="20"/>
              <w:spacing w:after="0"/>
              <w:rPr>
                <w:sz w:val="20"/>
                <w:szCs w:val="20"/>
                <w:color w:val="auto"/>
              </w:rPr>
            </w:pPr>
            <w:r>
              <w:rPr>
                <w:rFonts w:ascii="Arial" w:cs="Arial" w:eastAsia="Arial" w:hAnsi="Arial"/>
                <w:sz w:val="17"/>
                <w:szCs w:val="17"/>
                <w:color w:val="auto"/>
              </w:rPr>
              <w:t>101.PRE</w:t>
            </w:r>
          </w:p>
        </w:tc>
        <w:tc>
          <w:tcPr>
            <w:tcW w:w="4580" w:type="dxa"/>
            <w:vAlign w:val="bottom"/>
          </w:tcPr>
          <w:p>
            <w:pPr>
              <w:ind w:left="260"/>
              <w:spacing w:after="0"/>
              <w:rPr>
                <w:sz w:val="20"/>
                <w:szCs w:val="20"/>
                <w:color w:val="auto"/>
              </w:rPr>
            </w:pPr>
            <w:r>
              <w:rPr>
                <w:rFonts w:ascii="Arial" w:cs="Arial" w:eastAsia="Arial" w:hAnsi="Arial"/>
                <w:sz w:val="17"/>
                <w:szCs w:val="17"/>
                <w:color w:val="auto"/>
                <w:w w:val="91"/>
              </w:rPr>
              <w:t>XBRL Taxonomy Extension Presentation Linkbase Document.</w:t>
            </w:r>
          </w:p>
        </w:tc>
      </w:tr>
    </w:tbl>
    <w:p>
      <w:pPr>
        <w:spacing w:after="0" w:line="195" w:lineRule="exact"/>
        <w:rPr>
          <w:sz w:val="20"/>
          <w:szCs w:val="20"/>
          <w:color w:val="auto"/>
        </w:rPr>
      </w:pPr>
    </w:p>
    <w:p>
      <w:pPr>
        <w:ind w:left="560" w:hanging="557"/>
        <w:spacing w:after="0"/>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22" w:lineRule="exact"/>
        <w:rPr>
          <w:sz w:val="20"/>
          <w:szCs w:val="20"/>
          <w:color w:val="auto"/>
        </w:rPr>
      </w:pPr>
    </w:p>
    <w:p>
      <w:pPr>
        <w:ind w:left="560" w:right="680" w:hanging="557"/>
        <w:spacing w:after="0" w:line="253" w:lineRule="auto"/>
        <w:tabs>
          <w:tab w:leader="none" w:pos="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the Registration Statement on Form SB-2 (No. 333-00320-LA) which was declared effective on February 15, 1996.</w:t>
      </w:r>
    </w:p>
    <w:p>
      <w:pPr>
        <w:ind w:left="560" w:hanging="557"/>
        <w:spacing w:after="0"/>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the Registrant’s Report on Form 8-K on September 7, 2007.</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the Registrant’s Report on Form 8-K on April 6, 2009.</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the Registrant’s Report on Form 10-K for the year ended January 3, 2009.</w:t>
      </w:r>
    </w:p>
    <w:p>
      <w:pPr>
        <w:spacing w:after="0" w:line="11" w:lineRule="exact"/>
        <w:rPr>
          <w:sz w:val="20"/>
          <w:szCs w:val="20"/>
          <w:color w:val="auto"/>
        </w:rPr>
      </w:pPr>
    </w:p>
    <w:p>
      <w:pPr>
        <w:ind w:left="560" w:right="140" w:hanging="557"/>
        <w:spacing w:after="0" w:line="253" w:lineRule="auto"/>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appendix filed with the Registrant’s Proxy Statement for the Registrant’s 2004 Annual Meeting of Stockholders which was filed on April 30, 2004.</w:t>
      </w:r>
    </w:p>
    <w:p>
      <w:pPr>
        <w:ind w:left="560" w:right="140" w:hanging="557"/>
        <w:spacing w:after="0" w:line="253" w:lineRule="auto"/>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appendix filed with the Registrant’s Proxy Statement for the Registrant’s 2008 Annual Meeting of Stockholders which was filed on April 24, 2008.</w:t>
      </w: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99.1 filed with Registrant’s Registration Statement on Form S-8 on November 21, 2008.</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99.(d)(5) filed with the Registration Statement on Form SC TO-I July 30, 2009.</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the Registrant’s Report on Form 10-Q for the quarter ended July 2, 2011.</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Exhibit 10.1 filed with the Registrant’s Report on Form 8-K on March 27, 2013.</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Exhibit 2.1 filed with the Registrant’s Report on Form 8-K on January 4, 2012.</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the Registrant’s Report on Form 10-Q on November 3, 2014.</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Exhibit 10.1 filed with the Registrant’s Report on Form 8-K on January 9, 2014.</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the Registrant’s Report on Form 10-Q on May 12, 2015.</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Exhibit 10.1 filed with the Registrant’s Report on Form 10-K on March 31, 2016.</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Exhibit 10.1 filed with the Registrant’s Report on Form 8-K on December 6, 2017.</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the Registrant’s Report on Form 8-K on July 11, 2016,</w:t>
      </w:r>
    </w:p>
    <w:p>
      <w:pPr>
        <w:spacing w:after="0" w:line="10" w:lineRule="exact"/>
        <w:rPr>
          <w:rFonts w:ascii="Arial" w:cs="Arial" w:eastAsia="Arial" w:hAnsi="Arial"/>
          <w:sz w:val="17"/>
          <w:szCs w:val="17"/>
          <w:color w:val="auto"/>
        </w:rPr>
      </w:pPr>
    </w:p>
    <w:p>
      <w:pPr>
        <w:ind w:left="560" w:hanging="557"/>
        <w:spacing w:after="0" w:line="253" w:lineRule="auto"/>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applicable, to be filed by amendment to the S-3 (No. 333-213094) which was declared effective on August 26, 2016, or as an exhibit to a report pursuant to Section 13(a) or 15(d) of the Securities Exchange Act of 1934, as amended, and incorporated by reference therein.</w:t>
      </w: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the Registrant’s Report on Form 8-K on November 3, 2016.</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the Registrant’s Report on Form 10-K on March 31, 2016.</w:t>
      </w:r>
    </w:p>
    <w:p>
      <w:pPr>
        <w:spacing w:after="0" w:line="10" w:lineRule="exact"/>
        <w:rPr>
          <w:rFonts w:ascii="Arial" w:cs="Arial" w:eastAsia="Arial" w:hAnsi="Arial"/>
          <w:sz w:val="17"/>
          <w:szCs w:val="17"/>
          <w:color w:val="auto"/>
        </w:rPr>
      </w:pPr>
    </w:p>
    <w:p>
      <w:pPr>
        <w:ind w:left="560" w:hanging="55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10.1 filed with the Registrant’s Report on Form 8-K on May 1, 2017.</w:t>
      </w:r>
    </w:p>
    <w:p>
      <w:pPr>
        <w:spacing w:after="0" w:line="11" w:lineRule="exact"/>
        <w:rPr>
          <w:sz w:val="20"/>
          <w:szCs w:val="20"/>
          <w:color w:val="auto"/>
        </w:rPr>
      </w:pPr>
    </w:p>
    <w:p>
      <w:pPr>
        <w:ind w:left="560" w:hanging="557"/>
        <w:spacing w:after="0"/>
        <w:tabs>
          <w:tab w:leader="none" w:pos="5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Print filing.</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 Acknowledgments</w:t>
      </w:r>
    </w:p>
    <w:p>
      <w:pPr>
        <w:spacing w:after="0" w:line="120" w:lineRule="exact"/>
        <w:rPr>
          <w:sz w:val="20"/>
          <w:szCs w:val="20"/>
          <w:color w:val="auto"/>
        </w:rPr>
      </w:pPr>
    </w:p>
    <w:p>
      <w:pPr>
        <w:jc w:val="both"/>
        <w:ind w:right="300" w:firstLine="555"/>
        <w:spacing w:after="0" w:line="290"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right="380" w:firstLine="555"/>
        <w:spacing w:after="0" w:line="31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Mountain View, State of California, on the 29th day of March 2019.</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IRIDEX CORPORATION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M. Moore</w:t>
            </w:r>
          </w:p>
        </w:tc>
      </w:tr>
      <w:tr>
        <w:trPr>
          <w:trHeight w:val="188"/>
        </w:trPr>
        <w:tc>
          <w:tcPr>
            <w:tcW w:w="600" w:type="dxa"/>
            <w:vAlign w:val="bottom"/>
          </w:tcPr>
          <w:p>
            <w:pPr>
              <w:spacing w:after="0"/>
              <w:rPr>
                <w:sz w:val="16"/>
                <w:szCs w:val="16"/>
                <w:color w:val="auto"/>
              </w:rPr>
            </w:pPr>
          </w:p>
        </w:tc>
        <w:tc>
          <w:tcPr>
            <w:tcW w:w="4480" w:type="dxa"/>
            <w:vAlign w:val="bottom"/>
          </w:tcPr>
          <w:p>
            <w:pPr>
              <w:spacing w:after="0" w:line="188" w:lineRule="exact"/>
              <w:rPr>
                <w:sz w:val="20"/>
                <w:szCs w:val="20"/>
                <w:color w:val="auto"/>
              </w:rPr>
            </w:pPr>
            <w:r>
              <w:rPr>
                <w:rFonts w:ascii="Arial" w:cs="Arial" w:eastAsia="Arial" w:hAnsi="Arial"/>
                <w:sz w:val="17"/>
                <w:szCs w:val="17"/>
                <w:color w:val="auto"/>
              </w:rPr>
              <w:t>William M. Moore</w:t>
            </w:r>
          </w:p>
        </w:tc>
      </w:tr>
      <w:tr>
        <w:trPr>
          <w:trHeight w:val="217"/>
        </w:trPr>
        <w:tc>
          <w:tcPr>
            <w:tcW w:w="6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i w:val="1"/>
                <w:iCs w:val="1"/>
                <w:color w:val="auto"/>
              </w:rPr>
              <w:t>President and Chief Executive Officer</w:t>
            </w:r>
          </w:p>
        </w:tc>
      </w:tr>
      <w:tr>
        <w:trPr>
          <w:trHeight w:val="413"/>
        </w:trPr>
        <w:tc>
          <w:tcPr>
            <w:tcW w:w="6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Romeo R. Dizon</w:t>
            </w:r>
          </w:p>
        </w:tc>
      </w:tr>
      <w:tr>
        <w:trPr>
          <w:trHeight w:val="188"/>
        </w:trPr>
        <w:tc>
          <w:tcPr>
            <w:tcW w:w="600" w:type="dxa"/>
            <w:vAlign w:val="bottom"/>
          </w:tcPr>
          <w:p>
            <w:pPr>
              <w:spacing w:after="0"/>
              <w:rPr>
                <w:sz w:val="16"/>
                <w:szCs w:val="16"/>
                <w:color w:val="auto"/>
              </w:rPr>
            </w:pPr>
          </w:p>
        </w:tc>
        <w:tc>
          <w:tcPr>
            <w:tcW w:w="4480" w:type="dxa"/>
            <w:vAlign w:val="bottom"/>
          </w:tcPr>
          <w:p>
            <w:pPr>
              <w:spacing w:after="0" w:line="188" w:lineRule="exact"/>
              <w:rPr>
                <w:sz w:val="20"/>
                <w:szCs w:val="20"/>
                <w:color w:val="auto"/>
              </w:rPr>
            </w:pPr>
            <w:r>
              <w:rPr>
                <w:rFonts w:ascii="Arial" w:cs="Arial" w:eastAsia="Arial" w:hAnsi="Arial"/>
                <w:sz w:val="17"/>
                <w:szCs w:val="17"/>
                <w:color w:val="auto"/>
              </w:rPr>
              <w:t>Romeo R. Dizon</w:t>
            </w:r>
          </w:p>
        </w:tc>
      </w:tr>
      <w:tr>
        <w:trPr>
          <w:trHeight w:val="217"/>
        </w:trPr>
        <w:tc>
          <w:tcPr>
            <w:tcW w:w="6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i w:val="1"/>
                <w:iCs w:val="1"/>
                <w:color w:val="auto"/>
              </w:rPr>
              <w:t>Vice President and Controller</w:t>
            </w:r>
          </w:p>
        </w:tc>
      </w:tr>
    </w:tbl>
    <w:p>
      <w:pPr>
        <w:spacing w:after="0" w:line="195" w:lineRule="exact"/>
        <w:rPr>
          <w:sz w:val="20"/>
          <w:szCs w:val="20"/>
          <w:color w:val="auto"/>
        </w:rPr>
      </w:pPr>
    </w:p>
    <w:p>
      <w:pPr>
        <w:ind w:right="40" w:firstLine="555"/>
        <w:spacing w:after="0" w:line="25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William M. Moore, and Romeo Dizon, jointly and severally, their attorney-in-fact, each with full power of substitution, for him in any and all capacities, to sign on behalf of the undersigned any amendments to this Annual Report on Form 10-K, and to file the same, with exhibits thereto and other documents in connection therewith, with the Securities and Exchange Commission, and each of the undersigned does hereby ratifying and confirming all that each of said attorneys-in-fact, or his substitutes, may do or cause to be done by virtue hereof.</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Pursuant to the requirements of the Securities Act of 1934, this report has been signed by the following persons in the capacities and on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0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5680" w:type="dxa"/>
            <w:vAlign w:val="bottom"/>
            <w:tcBorders>
              <w:bottom w:val="single" w:sz="8" w:color="auto"/>
            </w:tcBorders>
          </w:tcPr>
          <w:p>
            <w:pPr>
              <w:ind w:left="27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14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Date</w:t>
            </w:r>
          </w:p>
        </w:tc>
      </w:tr>
      <w:tr>
        <w:trPr>
          <w:trHeight w:val="301"/>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M. Moore</w:t>
            </w:r>
          </w:p>
        </w:tc>
        <w:tc>
          <w:tcPr>
            <w:tcW w:w="5900" w:type="dxa"/>
            <w:vAlign w:val="bottom"/>
            <w:gridSpan w:val="3"/>
          </w:tcPr>
          <w:p>
            <w:pPr>
              <w:ind w:left="120"/>
              <w:spacing w:after="0"/>
              <w:rPr>
                <w:sz w:val="20"/>
                <w:szCs w:val="20"/>
                <w:color w:val="auto"/>
              </w:rPr>
            </w:pPr>
            <w:r>
              <w:rPr>
                <w:rFonts w:ascii="Arial" w:cs="Arial" w:eastAsia="Arial" w:hAnsi="Arial"/>
                <w:sz w:val="17"/>
                <w:szCs w:val="17"/>
                <w:i w:val="1"/>
                <w:iCs w:val="1"/>
                <w:color w:val="auto"/>
              </w:rPr>
              <w:t>President, Chief Executive Officer, and Chairman of the Board</w:t>
            </w:r>
          </w:p>
        </w:tc>
        <w:tc>
          <w:tcPr>
            <w:tcW w:w="1420" w:type="dxa"/>
            <w:vAlign w:val="bottom"/>
          </w:tcPr>
          <w:p>
            <w:pPr>
              <w:ind w:left="340"/>
              <w:spacing w:after="0"/>
              <w:rPr>
                <w:sz w:val="20"/>
                <w:szCs w:val="20"/>
                <w:color w:val="auto"/>
              </w:rPr>
            </w:pPr>
            <w:r>
              <w:rPr>
                <w:rFonts w:ascii="Arial" w:cs="Arial" w:eastAsia="Arial" w:hAnsi="Arial"/>
                <w:sz w:val="17"/>
                <w:szCs w:val="17"/>
                <w:color w:val="auto"/>
                <w:w w:val="89"/>
              </w:rPr>
              <w:t>March 29, 2019</w:t>
            </w:r>
          </w:p>
        </w:tc>
      </w:tr>
      <w:tr>
        <w:trPr>
          <w:trHeight w:val="212"/>
        </w:trPr>
        <w:tc>
          <w:tcPr>
            <w:tcW w:w="4100" w:type="dxa"/>
            <w:vAlign w:val="bottom"/>
          </w:tcPr>
          <w:p>
            <w:pPr>
              <w:spacing w:after="0"/>
              <w:rPr>
                <w:sz w:val="20"/>
                <w:szCs w:val="20"/>
                <w:color w:val="auto"/>
              </w:rPr>
            </w:pPr>
            <w:r>
              <w:rPr>
                <w:rFonts w:ascii="Arial" w:cs="Arial" w:eastAsia="Arial" w:hAnsi="Arial"/>
                <w:sz w:val="17"/>
                <w:szCs w:val="17"/>
                <w:color w:val="auto"/>
              </w:rPr>
              <w:t>(William M. Moore)</w:t>
            </w:r>
          </w:p>
        </w:tc>
        <w:tc>
          <w:tcPr>
            <w:tcW w:w="5900" w:type="dxa"/>
            <w:vAlign w:val="bottom"/>
            <w:gridSpan w:val="3"/>
          </w:tcPr>
          <w:p>
            <w:pPr>
              <w:ind w:left="120"/>
              <w:spacing w:after="0"/>
              <w:rPr>
                <w:sz w:val="20"/>
                <w:szCs w:val="20"/>
                <w:color w:val="auto"/>
              </w:rPr>
            </w:pPr>
            <w:r>
              <w:rPr>
                <w:rFonts w:ascii="Arial" w:cs="Arial" w:eastAsia="Arial" w:hAnsi="Arial"/>
                <w:sz w:val="17"/>
                <w:szCs w:val="17"/>
                <w:i w:val="1"/>
                <w:iCs w:val="1"/>
                <w:color w:val="auto"/>
              </w:rPr>
              <w:t>(Principal Executive and Financial Officer)</w:t>
            </w:r>
          </w:p>
        </w:tc>
        <w:tc>
          <w:tcPr>
            <w:tcW w:w="1420" w:type="dxa"/>
            <w:vAlign w:val="bottom"/>
          </w:tcPr>
          <w:p>
            <w:pPr>
              <w:spacing w:after="0"/>
              <w:rPr>
                <w:sz w:val="18"/>
                <w:szCs w:val="18"/>
                <w:color w:val="auto"/>
              </w:rPr>
            </w:pPr>
          </w:p>
        </w:tc>
      </w:tr>
      <w:tr>
        <w:trPr>
          <w:trHeight w:val="400"/>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Romeo R. Dizon</w:t>
            </w:r>
          </w:p>
        </w:tc>
        <w:tc>
          <w:tcPr>
            <w:tcW w:w="5900" w:type="dxa"/>
            <w:vAlign w:val="bottom"/>
            <w:gridSpan w:val="3"/>
          </w:tcPr>
          <w:p>
            <w:pPr>
              <w:ind w:left="120"/>
              <w:spacing w:after="0"/>
              <w:rPr>
                <w:sz w:val="20"/>
                <w:szCs w:val="20"/>
                <w:color w:val="auto"/>
              </w:rPr>
            </w:pPr>
            <w:r>
              <w:rPr>
                <w:rFonts w:ascii="Arial" w:cs="Arial" w:eastAsia="Arial" w:hAnsi="Arial"/>
                <w:sz w:val="17"/>
                <w:szCs w:val="17"/>
                <w:i w:val="1"/>
                <w:iCs w:val="1"/>
                <w:color w:val="auto"/>
              </w:rPr>
              <w:t>Vice President and Controller</w:t>
            </w:r>
          </w:p>
        </w:tc>
        <w:tc>
          <w:tcPr>
            <w:tcW w:w="1420" w:type="dxa"/>
            <w:vAlign w:val="bottom"/>
          </w:tcPr>
          <w:p>
            <w:pPr>
              <w:ind w:left="340"/>
              <w:spacing w:after="0"/>
              <w:rPr>
                <w:sz w:val="20"/>
                <w:szCs w:val="20"/>
                <w:color w:val="auto"/>
              </w:rPr>
            </w:pPr>
            <w:r>
              <w:rPr>
                <w:rFonts w:ascii="Arial" w:cs="Arial" w:eastAsia="Arial" w:hAnsi="Arial"/>
                <w:sz w:val="17"/>
                <w:szCs w:val="17"/>
                <w:color w:val="auto"/>
                <w:w w:val="89"/>
              </w:rPr>
              <w:t>March 29, 2019</w:t>
            </w:r>
          </w:p>
        </w:tc>
      </w:tr>
      <w:tr>
        <w:trPr>
          <w:trHeight w:val="212"/>
        </w:trPr>
        <w:tc>
          <w:tcPr>
            <w:tcW w:w="4100" w:type="dxa"/>
            <w:vAlign w:val="bottom"/>
          </w:tcPr>
          <w:p>
            <w:pPr>
              <w:spacing w:after="0"/>
              <w:rPr>
                <w:sz w:val="20"/>
                <w:szCs w:val="20"/>
                <w:color w:val="auto"/>
              </w:rPr>
            </w:pPr>
            <w:r>
              <w:rPr>
                <w:rFonts w:ascii="Arial" w:cs="Arial" w:eastAsia="Arial" w:hAnsi="Arial"/>
                <w:sz w:val="17"/>
                <w:szCs w:val="17"/>
                <w:color w:val="auto"/>
              </w:rPr>
              <w:t>(Romeo R. Dizon)</w:t>
            </w:r>
          </w:p>
        </w:tc>
        <w:tc>
          <w:tcPr>
            <w:tcW w:w="5900" w:type="dxa"/>
            <w:vAlign w:val="bottom"/>
            <w:gridSpan w:val="3"/>
          </w:tcPr>
          <w:p>
            <w:pPr>
              <w:ind w:left="120"/>
              <w:spacing w:after="0"/>
              <w:rPr>
                <w:sz w:val="20"/>
                <w:szCs w:val="20"/>
                <w:color w:val="auto"/>
              </w:rPr>
            </w:pPr>
            <w:r>
              <w:rPr>
                <w:rFonts w:ascii="Arial" w:cs="Arial" w:eastAsia="Arial" w:hAnsi="Arial"/>
                <w:sz w:val="17"/>
                <w:szCs w:val="17"/>
                <w:i w:val="1"/>
                <w:iCs w:val="1"/>
                <w:color w:val="auto"/>
              </w:rPr>
              <w:t>(Principal Accounting Officer)</w:t>
            </w:r>
          </w:p>
        </w:tc>
        <w:tc>
          <w:tcPr>
            <w:tcW w:w="1420" w:type="dxa"/>
            <w:vAlign w:val="bottom"/>
          </w:tcPr>
          <w:p>
            <w:pPr>
              <w:spacing w:after="0"/>
              <w:rPr>
                <w:sz w:val="18"/>
                <w:szCs w:val="18"/>
                <w:color w:val="auto"/>
              </w:rPr>
            </w:pPr>
          </w:p>
        </w:tc>
      </w:tr>
      <w:tr>
        <w:trPr>
          <w:trHeight w:val="401"/>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I. Bruce</w:t>
            </w:r>
          </w:p>
        </w:tc>
        <w:tc>
          <w:tcPr>
            <w:tcW w:w="5900" w:type="dxa"/>
            <w:vAlign w:val="bottom"/>
            <w:gridSpan w:val="3"/>
          </w:tcPr>
          <w:p>
            <w:pPr>
              <w:ind w:left="120"/>
              <w:spacing w:after="0"/>
              <w:rPr>
                <w:sz w:val="20"/>
                <w:szCs w:val="20"/>
                <w:color w:val="auto"/>
              </w:rPr>
            </w:pPr>
            <w:r>
              <w:rPr>
                <w:rFonts w:ascii="Arial" w:cs="Arial" w:eastAsia="Arial" w:hAnsi="Arial"/>
                <w:sz w:val="17"/>
                <w:szCs w:val="17"/>
                <w:i w:val="1"/>
                <w:iCs w:val="1"/>
                <w:color w:val="auto"/>
              </w:rPr>
              <w:t>Director</w:t>
            </w:r>
          </w:p>
        </w:tc>
        <w:tc>
          <w:tcPr>
            <w:tcW w:w="1420" w:type="dxa"/>
            <w:vAlign w:val="bottom"/>
          </w:tcPr>
          <w:p>
            <w:pPr>
              <w:ind w:left="340"/>
              <w:spacing w:after="0"/>
              <w:rPr>
                <w:sz w:val="20"/>
                <w:szCs w:val="20"/>
                <w:color w:val="auto"/>
              </w:rPr>
            </w:pPr>
            <w:r>
              <w:rPr>
                <w:rFonts w:ascii="Arial" w:cs="Arial" w:eastAsia="Arial" w:hAnsi="Arial"/>
                <w:sz w:val="17"/>
                <w:szCs w:val="17"/>
                <w:color w:val="auto"/>
                <w:w w:val="89"/>
              </w:rPr>
              <w:t>March 29, 2019</w:t>
            </w:r>
          </w:p>
        </w:tc>
      </w:tr>
      <w:tr>
        <w:trPr>
          <w:trHeight w:val="211"/>
        </w:trPr>
        <w:tc>
          <w:tcPr>
            <w:tcW w:w="4100" w:type="dxa"/>
            <w:vAlign w:val="bottom"/>
          </w:tcPr>
          <w:p>
            <w:pPr>
              <w:spacing w:after="0"/>
              <w:rPr>
                <w:sz w:val="20"/>
                <w:szCs w:val="20"/>
                <w:color w:val="auto"/>
              </w:rPr>
            </w:pPr>
            <w:r>
              <w:rPr>
                <w:rFonts w:ascii="Arial" w:cs="Arial" w:eastAsia="Arial" w:hAnsi="Arial"/>
                <w:sz w:val="17"/>
                <w:szCs w:val="17"/>
                <w:color w:val="auto"/>
              </w:rPr>
              <w:t>(David I. Bruce)</w:t>
            </w:r>
          </w:p>
        </w:tc>
        <w:tc>
          <w:tcPr>
            <w:tcW w:w="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01"/>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Sanford Fitch</w:t>
            </w:r>
          </w:p>
        </w:tc>
        <w:tc>
          <w:tcPr>
            <w:tcW w:w="5900" w:type="dxa"/>
            <w:vAlign w:val="bottom"/>
            <w:gridSpan w:val="3"/>
          </w:tcPr>
          <w:p>
            <w:pPr>
              <w:ind w:left="120"/>
              <w:spacing w:after="0"/>
              <w:rPr>
                <w:sz w:val="20"/>
                <w:szCs w:val="20"/>
                <w:color w:val="auto"/>
              </w:rPr>
            </w:pPr>
            <w:r>
              <w:rPr>
                <w:rFonts w:ascii="Arial" w:cs="Arial" w:eastAsia="Arial" w:hAnsi="Arial"/>
                <w:sz w:val="17"/>
                <w:szCs w:val="17"/>
                <w:i w:val="1"/>
                <w:iCs w:val="1"/>
                <w:color w:val="auto"/>
              </w:rPr>
              <w:t>Director</w:t>
            </w:r>
          </w:p>
        </w:tc>
        <w:tc>
          <w:tcPr>
            <w:tcW w:w="1420" w:type="dxa"/>
            <w:vAlign w:val="bottom"/>
          </w:tcPr>
          <w:p>
            <w:pPr>
              <w:ind w:left="340"/>
              <w:spacing w:after="0"/>
              <w:rPr>
                <w:sz w:val="20"/>
                <w:szCs w:val="20"/>
                <w:color w:val="auto"/>
              </w:rPr>
            </w:pPr>
            <w:r>
              <w:rPr>
                <w:rFonts w:ascii="Arial" w:cs="Arial" w:eastAsia="Arial" w:hAnsi="Arial"/>
                <w:sz w:val="17"/>
                <w:szCs w:val="17"/>
                <w:color w:val="auto"/>
                <w:w w:val="89"/>
              </w:rPr>
              <w:t>March 29, 2019</w:t>
            </w:r>
          </w:p>
        </w:tc>
      </w:tr>
      <w:tr>
        <w:trPr>
          <w:trHeight w:val="211"/>
        </w:trPr>
        <w:tc>
          <w:tcPr>
            <w:tcW w:w="4100" w:type="dxa"/>
            <w:vAlign w:val="bottom"/>
          </w:tcPr>
          <w:p>
            <w:pPr>
              <w:spacing w:after="0"/>
              <w:rPr>
                <w:sz w:val="20"/>
                <w:szCs w:val="20"/>
                <w:color w:val="auto"/>
              </w:rPr>
            </w:pPr>
            <w:r>
              <w:rPr>
                <w:rFonts w:ascii="Arial" w:cs="Arial" w:eastAsia="Arial" w:hAnsi="Arial"/>
                <w:sz w:val="17"/>
                <w:szCs w:val="17"/>
                <w:color w:val="auto"/>
              </w:rPr>
              <w:t>(Sanford Fitch)</w:t>
            </w:r>
          </w:p>
        </w:tc>
        <w:tc>
          <w:tcPr>
            <w:tcW w:w="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01"/>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E. Grove</w:t>
            </w:r>
          </w:p>
        </w:tc>
        <w:tc>
          <w:tcPr>
            <w:tcW w:w="5900" w:type="dxa"/>
            <w:vAlign w:val="bottom"/>
            <w:gridSpan w:val="3"/>
          </w:tcPr>
          <w:p>
            <w:pPr>
              <w:ind w:left="120"/>
              <w:spacing w:after="0"/>
              <w:rPr>
                <w:sz w:val="20"/>
                <w:szCs w:val="20"/>
                <w:color w:val="auto"/>
              </w:rPr>
            </w:pPr>
            <w:r>
              <w:rPr>
                <w:rFonts w:ascii="Arial" w:cs="Arial" w:eastAsia="Arial" w:hAnsi="Arial"/>
                <w:sz w:val="17"/>
                <w:szCs w:val="17"/>
                <w:i w:val="1"/>
                <w:iCs w:val="1"/>
                <w:color w:val="auto"/>
              </w:rPr>
              <w:t>Director</w:t>
            </w:r>
          </w:p>
        </w:tc>
        <w:tc>
          <w:tcPr>
            <w:tcW w:w="1420" w:type="dxa"/>
            <w:vAlign w:val="bottom"/>
          </w:tcPr>
          <w:p>
            <w:pPr>
              <w:ind w:left="340"/>
              <w:spacing w:after="0"/>
              <w:rPr>
                <w:sz w:val="20"/>
                <w:szCs w:val="20"/>
                <w:color w:val="auto"/>
              </w:rPr>
            </w:pPr>
            <w:r>
              <w:rPr>
                <w:rFonts w:ascii="Arial" w:cs="Arial" w:eastAsia="Arial" w:hAnsi="Arial"/>
                <w:sz w:val="17"/>
                <w:szCs w:val="17"/>
                <w:color w:val="auto"/>
                <w:w w:val="89"/>
              </w:rPr>
              <w:t>March 29, 2019</w:t>
            </w:r>
          </w:p>
        </w:tc>
      </w:tr>
      <w:tr>
        <w:trPr>
          <w:trHeight w:val="211"/>
        </w:trPr>
        <w:tc>
          <w:tcPr>
            <w:tcW w:w="4100" w:type="dxa"/>
            <w:vAlign w:val="bottom"/>
          </w:tcPr>
          <w:p>
            <w:pPr>
              <w:spacing w:after="0"/>
              <w:rPr>
                <w:sz w:val="20"/>
                <w:szCs w:val="20"/>
                <w:color w:val="auto"/>
              </w:rPr>
            </w:pPr>
            <w:r>
              <w:rPr>
                <w:rFonts w:ascii="Arial" w:cs="Arial" w:eastAsia="Arial" w:hAnsi="Arial"/>
                <w:sz w:val="17"/>
                <w:szCs w:val="17"/>
                <w:color w:val="auto"/>
              </w:rPr>
              <w:t>(Robert E. Grove)</w:t>
            </w:r>
          </w:p>
        </w:tc>
        <w:tc>
          <w:tcPr>
            <w:tcW w:w="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01"/>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Ruediger Naumann-Etienne</w:t>
            </w:r>
          </w:p>
        </w:tc>
        <w:tc>
          <w:tcPr>
            <w:tcW w:w="5900" w:type="dxa"/>
            <w:vAlign w:val="bottom"/>
            <w:gridSpan w:val="3"/>
          </w:tcPr>
          <w:p>
            <w:pPr>
              <w:ind w:left="120"/>
              <w:spacing w:after="0"/>
              <w:rPr>
                <w:sz w:val="20"/>
                <w:szCs w:val="20"/>
                <w:color w:val="auto"/>
              </w:rPr>
            </w:pPr>
            <w:r>
              <w:rPr>
                <w:rFonts w:ascii="Arial" w:cs="Arial" w:eastAsia="Arial" w:hAnsi="Arial"/>
                <w:sz w:val="17"/>
                <w:szCs w:val="17"/>
                <w:i w:val="1"/>
                <w:iCs w:val="1"/>
                <w:color w:val="auto"/>
              </w:rPr>
              <w:t>Director</w:t>
            </w:r>
          </w:p>
        </w:tc>
        <w:tc>
          <w:tcPr>
            <w:tcW w:w="1420" w:type="dxa"/>
            <w:vAlign w:val="bottom"/>
          </w:tcPr>
          <w:p>
            <w:pPr>
              <w:ind w:left="340"/>
              <w:spacing w:after="0"/>
              <w:rPr>
                <w:sz w:val="20"/>
                <w:szCs w:val="20"/>
                <w:color w:val="auto"/>
              </w:rPr>
            </w:pPr>
            <w:r>
              <w:rPr>
                <w:rFonts w:ascii="Arial" w:cs="Arial" w:eastAsia="Arial" w:hAnsi="Arial"/>
                <w:sz w:val="17"/>
                <w:szCs w:val="17"/>
                <w:color w:val="auto"/>
                <w:w w:val="89"/>
              </w:rPr>
              <w:t>March 29, 2019</w:t>
            </w:r>
          </w:p>
        </w:tc>
      </w:tr>
      <w:tr>
        <w:trPr>
          <w:trHeight w:val="211"/>
        </w:trPr>
        <w:tc>
          <w:tcPr>
            <w:tcW w:w="4100" w:type="dxa"/>
            <w:vAlign w:val="bottom"/>
          </w:tcPr>
          <w:p>
            <w:pPr>
              <w:spacing w:after="0"/>
              <w:rPr>
                <w:sz w:val="20"/>
                <w:szCs w:val="20"/>
                <w:color w:val="auto"/>
              </w:rPr>
            </w:pPr>
            <w:r>
              <w:rPr>
                <w:rFonts w:ascii="Arial" w:cs="Arial" w:eastAsia="Arial" w:hAnsi="Arial"/>
                <w:sz w:val="17"/>
                <w:szCs w:val="17"/>
                <w:color w:val="auto"/>
              </w:rPr>
              <w:t>(Ruediger Naumann-Etienne)</w:t>
            </w:r>
          </w:p>
        </w:tc>
        <w:tc>
          <w:tcPr>
            <w:tcW w:w="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01"/>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(Maria Sainz)</w:t>
            </w:r>
          </w:p>
        </w:tc>
        <w:tc>
          <w:tcPr>
            <w:tcW w:w="5900" w:type="dxa"/>
            <w:vAlign w:val="bottom"/>
            <w:gridSpan w:val="3"/>
          </w:tcPr>
          <w:p>
            <w:pPr>
              <w:ind w:left="120"/>
              <w:spacing w:after="0"/>
              <w:rPr>
                <w:sz w:val="20"/>
                <w:szCs w:val="20"/>
                <w:color w:val="auto"/>
              </w:rPr>
            </w:pPr>
            <w:r>
              <w:rPr>
                <w:rFonts w:ascii="Arial" w:cs="Arial" w:eastAsia="Arial" w:hAnsi="Arial"/>
                <w:sz w:val="17"/>
                <w:szCs w:val="17"/>
                <w:i w:val="1"/>
                <w:iCs w:val="1"/>
                <w:color w:val="auto"/>
              </w:rPr>
              <w:t>Director</w:t>
            </w:r>
          </w:p>
        </w:tc>
        <w:tc>
          <w:tcPr>
            <w:tcW w:w="1420" w:type="dxa"/>
            <w:vAlign w:val="bottom"/>
          </w:tcPr>
          <w:p>
            <w:pPr>
              <w:ind w:left="340"/>
              <w:spacing w:after="0"/>
              <w:rPr>
                <w:sz w:val="20"/>
                <w:szCs w:val="20"/>
                <w:color w:val="auto"/>
              </w:rPr>
            </w:pPr>
            <w:r>
              <w:rPr>
                <w:rFonts w:ascii="Arial" w:cs="Arial" w:eastAsia="Arial" w:hAnsi="Arial"/>
                <w:sz w:val="17"/>
                <w:szCs w:val="17"/>
                <w:color w:val="auto"/>
                <w:w w:val="89"/>
              </w:rPr>
              <w:t>March 29, 2019</w:t>
            </w:r>
          </w:p>
        </w:tc>
      </w:tr>
      <w:tr>
        <w:trPr>
          <w:trHeight w:val="211"/>
        </w:trPr>
        <w:tc>
          <w:tcPr>
            <w:tcW w:w="4100" w:type="dxa"/>
            <w:vAlign w:val="bottom"/>
          </w:tcPr>
          <w:p>
            <w:pPr>
              <w:spacing w:after="0"/>
              <w:rPr>
                <w:sz w:val="20"/>
                <w:szCs w:val="20"/>
                <w:color w:val="auto"/>
              </w:rPr>
            </w:pPr>
            <w:r>
              <w:rPr>
                <w:rFonts w:ascii="Arial" w:cs="Arial" w:eastAsia="Arial" w:hAnsi="Arial"/>
                <w:sz w:val="17"/>
                <w:szCs w:val="17"/>
                <w:color w:val="auto"/>
              </w:rPr>
              <w:t>(Maria Sainz)</w:t>
            </w:r>
          </w:p>
        </w:tc>
        <w:tc>
          <w:tcPr>
            <w:tcW w:w="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606"/>
        </w:trPr>
        <w:tc>
          <w:tcPr>
            <w:tcW w:w="4100" w:type="dxa"/>
            <w:vAlign w:val="bottom"/>
          </w:tcPr>
          <w:p>
            <w:pPr>
              <w:spacing w:after="0"/>
              <w:rPr>
                <w:sz w:val="24"/>
                <w:szCs w:val="24"/>
                <w:color w:val="auto"/>
              </w:rPr>
            </w:pPr>
          </w:p>
        </w:tc>
        <w:tc>
          <w:tcPr>
            <w:tcW w:w="5800" w:type="dxa"/>
            <w:vAlign w:val="bottom"/>
            <w:gridSpan w:val="2"/>
          </w:tcPr>
          <w:p>
            <w:pPr>
              <w:ind w:left="1520"/>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AMENDED AND RESTATED BYLAWS</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OF</w:t>
      </w:r>
    </w:p>
    <w:p>
      <w:pPr>
        <w:spacing w:after="0" w:line="223"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IRIDEX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2945765</wp:posOffset>
            </wp:positionV>
            <wp:extent cx="729488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70"/>
        </w:trPr>
        <w:tc>
          <w:tcPr>
            <w:tcW w:w="360" w:type="dxa"/>
            <w:vAlign w:val="bottom"/>
          </w:tcPr>
          <w:p>
            <w:pPr>
              <w:spacing w:after="0"/>
              <w:rPr>
                <w:sz w:val="23"/>
                <w:szCs w:val="23"/>
                <w:color w:val="auto"/>
              </w:rPr>
            </w:pPr>
          </w:p>
        </w:tc>
        <w:tc>
          <w:tcPr>
            <w:tcW w:w="10740" w:type="dxa"/>
            <w:vAlign w:val="bottom"/>
          </w:tcPr>
          <w:p>
            <w:pPr>
              <w:ind w:left="4240"/>
              <w:spacing w:after="0"/>
              <w:rPr>
                <w:sz w:val="20"/>
                <w:szCs w:val="20"/>
                <w:color w:val="auto"/>
              </w:rPr>
            </w:pPr>
            <w:r>
              <w:rPr>
                <w:rFonts w:ascii="Arial" w:cs="Arial" w:eastAsia="Arial" w:hAnsi="Arial"/>
                <w:sz w:val="21"/>
                <w:szCs w:val="21"/>
                <w:b w:val="1"/>
                <w:bCs w:val="1"/>
                <w:color w:val="auto"/>
              </w:rPr>
              <w:t>TABLE OF CONTENTS</w:t>
            </w: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11100" w:type="dxa"/>
            <w:vAlign w:val="bottom"/>
            <w:gridSpan w:val="2"/>
            <w:vMerge w:val="restart"/>
          </w:tcPr>
          <w:p>
            <w:pPr>
              <w:spacing w:after="0"/>
              <w:rPr>
                <w:sz w:val="20"/>
                <w:szCs w:val="20"/>
                <w:color w:val="auto"/>
              </w:rPr>
            </w:pPr>
            <w:r>
              <w:rPr>
                <w:rFonts w:ascii="Arial" w:cs="Arial" w:eastAsia="Arial" w:hAnsi="Arial"/>
                <w:sz w:val="21"/>
                <w:szCs w:val="21"/>
                <w:color w:val="auto"/>
              </w:rPr>
              <w:t>ARTICLE I STOCKHOLDERS</w:t>
            </w: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21"/>
                <w:szCs w:val="21"/>
                <w:b w:val="1"/>
                <w:bCs w:val="1"/>
                <w:color w:val="auto"/>
                <w:w w:val="79"/>
              </w:rPr>
              <w:t>Page</w:t>
            </w:r>
          </w:p>
        </w:tc>
        <w:tc>
          <w:tcPr>
            <w:tcW w:w="0" w:type="dxa"/>
            <w:vAlign w:val="bottom"/>
          </w:tcPr>
          <w:p>
            <w:pPr>
              <w:spacing w:after="0"/>
              <w:rPr>
                <w:sz w:val="1"/>
                <w:szCs w:val="1"/>
                <w:color w:val="auto"/>
              </w:rPr>
            </w:pPr>
          </w:p>
        </w:tc>
      </w:tr>
      <w:tr>
        <w:trPr>
          <w:trHeight w:val="222"/>
        </w:trPr>
        <w:tc>
          <w:tcPr>
            <w:tcW w:w="111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rPr>
              <w:t>1.1</w:t>
            </w:r>
          </w:p>
        </w:tc>
        <w:tc>
          <w:tcPr>
            <w:tcW w:w="10740" w:type="dxa"/>
            <w:vAlign w:val="bottom"/>
          </w:tcPr>
          <w:p>
            <w:pPr>
              <w:ind w:left="60"/>
              <w:spacing w:after="0"/>
              <w:rPr>
                <w:sz w:val="20"/>
                <w:szCs w:val="20"/>
                <w:color w:val="auto"/>
              </w:rPr>
            </w:pPr>
            <w:r>
              <w:rPr>
                <w:rFonts w:ascii="Arial" w:cs="Arial" w:eastAsia="Arial" w:hAnsi="Arial"/>
                <w:sz w:val="21"/>
                <w:szCs w:val="21"/>
                <w:color w:val="auto"/>
              </w:rPr>
              <w:t>ANNUAL MEETINGS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1.2</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SPECIAL MEETINGS</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1.3</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NOTICE OF MEETINGS</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1.4</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ADVANCE NOTICE OF STOCKHOLDER NOMINEES AND STOCKHOLDER BUSINESS</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1.5</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ADJOURNMENTS</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1.6</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QUORUM</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1.7</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ORGANIZATION</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1.8</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VOTING; PROXIES</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1.9</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FIXING DATE FOR DETERMINATION OF STOCKHOLDERS OF RECORD</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100" w:type="dxa"/>
            <w:vAlign w:val="bottom"/>
            <w:gridSpan w:val="2"/>
          </w:tcPr>
          <w:p>
            <w:pPr>
              <w:spacing w:after="0" w:line="232" w:lineRule="exact"/>
              <w:rPr>
                <w:sz w:val="20"/>
                <w:szCs w:val="20"/>
                <w:color w:val="auto"/>
              </w:rPr>
            </w:pPr>
            <w:r>
              <w:rPr>
                <w:rFonts w:ascii="Arial" w:cs="Arial" w:eastAsia="Arial" w:hAnsi="Arial"/>
                <w:sz w:val="21"/>
                <w:szCs w:val="21"/>
                <w:color w:val="auto"/>
              </w:rPr>
              <w:t>1.10 LIST OF STOCKHOLDERS ENTITLED TO VOTE</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1100" w:type="dxa"/>
            <w:vAlign w:val="bottom"/>
            <w:gridSpan w:val="2"/>
          </w:tcPr>
          <w:p>
            <w:pPr>
              <w:spacing w:after="0"/>
              <w:rPr>
                <w:sz w:val="20"/>
                <w:szCs w:val="20"/>
                <w:color w:val="auto"/>
              </w:rPr>
            </w:pPr>
            <w:r>
              <w:rPr>
                <w:rFonts w:ascii="Arial" w:cs="Arial" w:eastAsia="Arial" w:hAnsi="Arial"/>
                <w:sz w:val="21"/>
                <w:szCs w:val="21"/>
                <w:color w:val="auto"/>
              </w:rPr>
              <w:t>1.11 ACTION BY CONSENT OF STOCKHOLDERS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11100" w:type="dxa"/>
            <w:vAlign w:val="bottom"/>
            <w:gridSpan w:val="2"/>
          </w:tcPr>
          <w:p>
            <w:pPr>
              <w:spacing w:after="0"/>
              <w:rPr>
                <w:sz w:val="20"/>
                <w:szCs w:val="20"/>
                <w:color w:val="auto"/>
              </w:rPr>
            </w:pPr>
            <w:r>
              <w:rPr>
                <w:rFonts w:ascii="Arial" w:cs="Arial" w:eastAsia="Arial" w:hAnsi="Arial"/>
                <w:sz w:val="21"/>
                <w:szCs w:val="21"/>
                <w:color w:val="auto"/>
              </w:rPr>
              <w:t>ARTICLE II BOARD OF DIRECTORS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rPr>
              <w:t>2.1</w:t>
            </w:r>
          </w:p>
        </w:tc>
        <w:tc>
          <w:tcPr>
            <w:tcW w:w="10740" w:type="dxa"/>
            <w:vAlign w:val="bottom"/>
          </w:tcPr>
          <w:p>
            <w:pPr>
              <w:ind w:left="60"/>
              <w:spacing w:after="0"/>
              <w:rPr>
                <w:sz w:val="20"/>
                <w:szCs w:val="20"/>
                <w:color w:val="auto"/>
              </w:rPr>
            </w:pPr>
            <w:r>
              <w:rPr>
                <w:rFonts w:ascii="Arial" w:cs="Arial" w:eastAsia="Arial" w:hAnsi="Arial"/>
                <w:sz w:val="21"/>
                <w:szCs w:val="21"/>
                <w:color w:val="auto"/>
              </w:rPr>
              <w:t>NUMBER; QUALIFICATIONS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2.2</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ELECTION; RESIGNATION; REMOVAL; VACANCIES</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2.3</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REGULAR MEETINGS</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2.4</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SPECIAL MEETINGS</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2.5</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TELEPHONIC MEETINGS PERMITTED</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2.6</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QUORUM; VOTE REQUIRED FOR ACTION</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2.7</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ORGANIZATION</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0" w:type="dxa"/>
            <w:vAlign w:val="bottom"/>
          </w:tcPr>
          <w:p>
            <w:pPr>
              <w:jc w:val="right"/>
              <w:spacing w:after="0"/>
              <w:rPr>
                <w:sz w:val="20"/>
                <w:szCs w:val="20"/>
                <w:color w:val="auto"/>
              </w:rPr>
            </w:pPr>
            <w:r>
              <w:rPr>
                <w:rFonts w:ascii="Arial" w:cs="Arial" w:eastAsia="Arial" w:hAnsi="Arial"/>
                <w:sz w:val="21"/>
                <w:szCs w:val="21"/>
                <w:color w:val="auto"/>
              </w:rPr>
              <w:t>2.8</w:t>
            </w:r>
          </w:p>
        </w:tc>
        <w:tc>
          <w:tcPr>
            <w:tcW w:w="10740" w:type="dxa"/>
            <w:vAlign w:val="bottom"/>
          </w:tcPr>
          <w:p>
            <w:pPr>
              <w:ind w:left="60"/>
              <w:spacing w:after="0"/>
              <w:rPr>
                <w:sz w:val="20"/>
                <w:szCs w:val="20"/>
                <w:color w:val="auto"/>
              </w:rPr>
            </w:pPr>
            <w:r>
              <w:rPr>
                <w:rFonts w:ascii="Arial" w:cs="Arial" w:eastAsia="Arial" w:hAnsi="Arial"/>
                <w:sz w:val="21"/>
                <w:szCs w:val="21"/>
                <w:color w:val="auto"/>
              </w:rPr>
              <w:t>BOARD ACTION BY WRITTEN CONSENT WITHOUT A MEETING</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11100" w:type="dxa"/>
            <w:vAlign w:val="bottom"/>
            <w:gridSpan w:val="2"/>
          </w:tcPr>
          <w:p>
            <w:pPr>
              <w:spacing w:after="0"/>
              <w:rPr>
                <w:sz w:val="20"/>
                <w:szCs w:val="20"/>
                <w:color w:val="auto"/>
              </w:rPr>
            </w:pPr>
            <w:r>
              <w:rPr>
                <w:rFonts w:ascii="Arial" w:cs="Arial" w:eastAsia="Arial" w:hAnsi="Arial"/>
                <w:sz w:val="21"/>
                <w:szCs w:val="21"/>
                <w:color w:val="auto"/>
              </w:rPr>
              <w:t>ARTICLE III COMMITTEES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rPr>
              <w:t>3.1</w:t>
            </w:r>
          </w:p>
        </w:tc>
        <w:tc>
          <w:tcPr>
            <w:tcW w:w="10740" w:type="dxa"/>
            <w:vAlign w:val="bottom"/>
          </w:tcPr>
          <w:p>
            <w:pPr>
              <w:ind w:left="60"/>
              <w:spacing w:after="0"/>
              <w:rPr>
                <w:sz w:val="20"/>
                <w:szCs w:val="20"/>
                <w:color w:val="auto"/>
              </w:rPr>
            </w:pPr>
            <w:r>
              <w:rPr>
                <w:rFonts w:ascii="Arial" w:cs="Arial" w:eastAsia="Arial" w:hAnsi="Arial"/>
                <w:sz w:val="21"/>
                <w:szCs w:val="21"/>
                <w:color w:val="auto"/>
              </w:rPr>
              <w:t>COMMITTEES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0" w:type="dxa"/>
            <w:vAlign w:val="bottom"/>
          </w:tcPr>
          <w:p>
            <w:pPr>
              <w:jc w:val="right"/>
              <w:spacing w:after="0"/>
              <w:rPr>
                <w:sz w:val="20"/>
                <w:szCs w:val="20"/>
                <w:color w:val="auto"/>
              </w:rPr>
            </w:pPr>
            <w:r>
              <w:rPr>
                <w:rFonts w:ascii="Arial" w:cs="Arial" w:eastAsia="Arial" w:hAnsi="Arial"/>
                <w:sz w:val="21"/>
                <w:szCs w:val="21"/>
                <w:color w:val="auto"/>
              </w:rPr>
              <w:t>3.2</w:t>
            </w:r>
          </w:p>
        </w:tc>
        <w:tc>
          <w:tcPr>
            <w:tcW w:w="10740" w:type="dxa"/>
            <w:vAlign w:val="bottom"/>
          </w:tcPr>
          <w:p>
            <w:pPr>
              <w:ind w:left="60"/>
              <w:spacing w:after="0"/>
              <w:rPr>
                <w:sz w:val="20"/>
                <w:szCs w:val="20"/>
                <w:color w:val="auto"/>
              </w:rPr>
            </w:pPr>
            <w:r>
              <w:rPr>
                <w:rFonts w:ascii="Arial" w:cs="Arial" w:eastAsia="Arial" w:hAnsi="Arial"/>
                <w:sz w:val="21"/>
                <w:szCs w:val="21"/>
                <w:color w:val="auto"/>
              </w:rPr>
              <w:t>COMMITTEE RULES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11100" w:type="dxa"/>
            <w:vAlign w:val="bottom"/>
            <w:gridSpan w:val="2"/>
          </w:tcPr>
          <w:p>
            <w:pPr>
              <w:spacing w:after="0"/>
              <w:rPr>
                <w:sz w:val="20"/>
                <w:szCs w:val="20"/>
                <w:color w:val="auto"/>
              </w:rPr>
            </w:pPr>
            <w:r>
              <w:rPr>
                <w:rFonts w:ascii="Arial" w:cs="Arial" w:eastAsia="Arial" w:hAnsi="Arial"/>
                <w:sz w:val="21"/>
                <w:szCs w:val="21"/>
                <w:color w:val="auto"/>
              </w:rPr>
              <w:t>ARTICLE IV OFFICERS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rPr>
              <w:t>4.1</w:t>
            </w:r>
          </w:p>
        </w:tc>
        <w:tc>
          <w:tcPr>
            <w:tcW w:w="11160" w:type="dxa"/>
            <w:vAlign w:val="bottom"/>
            <w:gridSpan w:val="3"/>
          </w:tcPr>
          <w:p>
            <w:pPr>
              <w:ind w:left="60"/>
              <w:spacing w:after="0"/>
              <w:rPr>
                <w:sz w:val="20"/>
                <w:szCs w:val="20"/>
                <w:color w:val="auto"/>
              </w:rPr>
            </w:pPr>
            <w:r>
              <w:rPr>
                <w:rFonts w:ascii="Arial" w:cs="Arial" w:eastAsia="Arial" w:hAnsi="Arial"/>
                <w:sz w:val="21"/>
                <w:szCs w:val="21"/>
                <w:color w:val="auto"/>
                <w:w w:val="95"/>
              </w:rPr>
              <w:t>EXECUTIVE OFFICERS; ELECTION; QUALIFICATIONS; TERM OF OFFICE; RESIGNATION; REMOVAL; VACANCIES 16</w:t>
            </w:r>
          </w:p>
        </w:tc>
        <w:tc>
          <w:tcPr>
            <w:tcW w:w="0" w:type="dxa"/>
            <w:vAlign w:val="bottom"/>
          </w:tcPr>
          <w:p>
            <w:pPr>
              <w:spacing w:after="0"/>
              <w:rPr>
                <w:sz w:val="1"/>
                <w:szCs w:val="1"/>
                <w:color w:val="auto"/>
              </w:rPr>
            </w:pPr>
          </w:p>
        </w:tc>
      </w:tr>
      <w:tr>
        <w:trPr>
          <w:trHeight w:val="264"/>
        </w:trPr>
        <w:tc>
          <w:tcPr>
            <w:tcW w:w="360" w:type="dxa"/>
            <w:vAlign w:val="bottom"/>
          </w:tcPr>
          <w:p>
            <w:pPr>
              <w:jc w:val="right"/>
              <w:spacing w:after="0"/>
              <w:rPr>
                <w:sz w:val="20"/>
                <w:szCs w:val="20"/>
                <w:color w:val="auto"/>
              </w:rPr>
            </w:pPr>
            <w:r>
              <w:rPr>
                <w:rFonts w:ascii="Arial" w:cs="Arial" w:eastAsia="Arial" w:hAnsi="Arial"/>
                <w:sz w:val="21"/>
                <w:szCs w:val="21"/>
                <w:color w:val="auto"/>
              </w:rPr>
              <w:t>4.2</w:t>
            </w:r>
          </w:p>
        </w:tc>
        <w:tc>
          <w:tcPr>
            <w:tcW w:w="10740" w:type="dxa"/>
            <w:vAlign w:val="bottom"/>
          </w:tcPr>
          <w:p>
            <w:pPr>
              <w:ind w:left="60"/>
              <w:spacing w:after="0"/>
              <w:rPr>
                <w:sz w:val="20"/>
                <w:szCs w:val="20"/>
                <w:color w:val="auto"/>
              </w:rPr>
            </w:pPr>
            <w:r>
              <w:rPr>
                <w:rFonts w:ascii="Arial" w:cs="Arial" w:eastAsia="Arial" w:hAnsi="Arial"/>
                <w:sz w:val="21"/>
                <w:szCs w:val="21"/>
                <w:color w:val="auto"/>
              </w:rPr>
              <w:t>POWERS AND DUTIES OF EXECUTIVE OFFICERS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11100" w:type="dxa"/>
            <w:vAlign w:val="bottom"/>
            <w:gridSpan w:val="2"/>
          </w:tcPr>
          <w:p>
            <w:pPr>
              <w:spacing w:after="0"/>
              <w:rPr>
                <w:sz w:val="20"/>
                <w:szCs w:val="20"/>
                <w:color w:val="auto"/>
              </w:rPr>
            </w:pPr>
            <w:r>
              <w:rPr>
                <w:rFonts w:ascii="Arial" w:cs="Arial" w:eastAsia="Arial" w:hAnsi="Arial"/>
                <w:sz w:val="21"/>
                <w:szCs w:val="21"/>
                <w:color w:val="auto"/>
              </w:rPr>
              <w:t>ARTICLE V STOCK</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rPr>
              <w:t>5.1</w:t>
            </w:r>
          </w:p>
        </w:tc>
        <w:tc>
          <w:tcPr>
            <w:tcW w:w="10740" w:type="dxa"/>
            <w:vAlign w:val="bottom"/>
          </w:tcPr>
          <w:p>
            <w:pPr>
              <w:ind w:left="60"/>
              <w:spacing w:after="0"/>
              <w:rPr>
                <w:sz w:val="20"/>
                <w:szCs w:val="20"/>
                <w:color w:val="auto"/>
              </w:rPr>
            </w:pPr>
            <w:r>
              <w:rPr>
                <w:rFonts w:ascii="Arial" w:cs="Arial" w:eastAsia="Arial" w:hAnsi="Arial"/>
                <w:sz w:val="21"/>
                <w:szCs w:val="21"/>
                <w:color w:val="auto"/>
              </w:rPr>
              <w:t>STOCK CERTIFICATES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5.2</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LOST, STOLEN OR DESTROYED STOCK CERTIFICATES; ISSUANCE OF NEW CERTIFICATES</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5.3</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TRANSFERS</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0" w:type="dxa"/>
            <w:vAlign w:val="bottom"/>
          </w:tcPr>
          <w:p>
            <w:pPr>
              <w:jc w:val="right"/>
              <w:spacing w:after="0"/>
              <w:rPr>
                <w:sz w:val="20"/>
                <w:szCs w:val="20"/>
                <w:color w:val="auto"/>
              </w:rPr>
            </w:pPr>
            <w:r>
              <w:rPr>
                <w:rFonts w:ascii="Arial" w:cs="Arial" w:eastAsia="Arial" w:hAnsi="Arial"/>
                <w:sz w:val="21"/>
                <w:szCs w:val="21"/>
                <w:color w:val="auto"/>
              </w:rPr>
              <w:t>5.4</w:t>
            </w:r>
          </w:p>
        </w:tc>
        <w:tc>
          <w:tcPr>
            <w:tcW w:w="10740" w:type="dxa"/>
            <w:vAlign w:val="bottom"/>
          </w:tcPr>
          <w:p>
            <w:pPr>
              <w:ind w:left="60"/>
              <w:spacing w:after="0"/>
              <w:rPr>
                <w:sz w:val="20"/>
                <w:szCs w:val="20"/>
                <w:color w:val="auto"/>
              </w:rPr>
            </w:pPr>
            <w:r>
              <w:rPr>
                <w:rFonts w:ascii="Arial" w:cs="Arial" w:eastAsia="Arial" w:hAnsi="Arial"/>
                <w:sz w:val="21"/>
                <w:szCs w:val="21"/>
                <w:color w:val="auto"/>
              </w:rPr>
              <w:t>REGISTERED STOCKHOLDERS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11100" w:type="dxa"/>
            <w:vAlign w:val="bottom"/>
            <w:gridSpan w:val="2"/>
          </w:tcPr>
          <w:p>
            <w:pPr>
              <w:spacing w:after="0"/>
              <w:rPr>
                <w:sz w:val="20"/>
                <w:szCs w:val="20"/>
                <w:color w:val="auto"/>
              </w:rPr>
            </w:pPr>
            <w:r>
              <w:rPr>
                <w:rFonts w:ascii="Arial" w:cs="Arial" w:eastAsia="Arial" w:hAnsi="Arial"/>
                <w:sz w:val="21"/>
                <w:szCs w:val="21"/>
                <w:color w:val="auto"/>
              </w:rPr>
              <w:t>ARTICLE VI INDEMNIFICATION</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rPr>
              <w:t>6.1</w:t>
            </w:r>
          </w:p>
        </w:tc>
        <w:tc>
          <w:tcPr>
            <w:tcW w:w="10740" w:type="dxa"/>
            <w:vAlign w:val="bottom"/>
          </w:tcPr>
          <w:p>
            <w:pPr>
              <w:ind w:left="60"/>
              <w:spacing w:after="0"/>
              <w:rPr>
                <w:sz w:val="20"/>
                <w:szCs w:val="20"/>
                <w:color w:val="auto"/>
              </w:rPr>
            </w:pPr>
            <w:r>
              <w:rPr>
                <w:rFonts w:ascii="Arial" w:cs="Arial" w:eastAsia="Arial" w:hAnsi="Arial"/>
                <w:sz w:val="21"/>
                <w:szCs w:val="21"/>
                <w:color w:val="auto"/>
              </w:rPr>
              <w:t>THIRD PARTY ACTIONS</w:t>
            </w:r>
          </w:p>
        </w:tc>
        <w:tc>
          <w:tcPr>
            <w:tcW w:w="360" w:type="dxa"/>
            <w:vAlign w:val="bottom"/>
          </w:tcPr>
          <w:p>
            <w:pPr>
              <w:jc w:val="center"/>
              <w:spacing w:after="0"/>
              <w:rPr>
                <w:sz w:val="20"/>
                <w:szCs w:val="20"/>
                <w:color w:val="auto"/>
              </w:rPr>
            </w:pPr>
            <w:r>
              <w:rPr>
                <w:rFonts w:ascii="Arial" w:cs="Arial" w:eastAsia="Arial" w:hAnsi="Arial"/>
                <w:sz w:val="21"/>
                <w:szCs w:val="21"/>
                <w:color w:val="auto"/>
                <w:w w:val="85"/>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Pr>
          <w:p>
            <w:pPr>
              <w:jc w:val="right"/>
              <w:spacing w:after="0" w:line="232" w:lineRule="exact"/>
              <w:rPr>
                <w:sz w:val="20"/>
                <w:szCs w:val="20"/>
                <w:color w:val="auto"/>
              </w:rPr>
            </w:pPr>
            <w:r>
              <w:rPr>
                <w:rFonts w:ascii="Arial" w:cs="Arial" w:eastAsia="Arial" w:hAnsi="Arial"/>
                <w:sz w:val="21"/>
                <w:szCs w:val="21"/>
                <w:color w:val="auto"/>
              </w:rPr>
              <w:t>6.2</w:t>
            </w:r>
          </w:p>
        </w:tc>
        <w:tc>
          <w:tcPr>
            <w:tcW w:w="10740" w:type="dxa"/>
            <w:vAlign w:val="bottom"/>
          </w:tcPr>
          <w:p>
            <w:pPr>
              <w:ind w:left="60"/>
              <w:spacing w:after="0" w:line="232" w:lineRule="exact"/>
              <w:rPr>
                <w:sz w:val="20"/>
                <w:szCs w:val="20"/>
                <w:color w:val="auto"/>
              </w:rPr>
            </w:pPr>
            <w:r>
              <w:rPr>
                <w:rFonts w:ascii="Arial" w:cs="Arial" w:eastAsia="Arial" w:hAnsi="Arial"/>
                <w:sz w:val="21"/>
                <w:szCs w:val="21"/>
                <w:color w:val="auto"/>
              </w:rPr>
              <w:t>ACTIONS BY OR IN THE RIGHT OF THE CORPORATION</w:t>
            </w:r>
          </w:p>
        </w:tc>
        <w:tc>
          <w:tcPr>
            <w:tcW w:w="360" w:type="dxa"/>
            <w:vAlign w:val="bottom"/>
          </w:tcPr>
          <w:p>
            <w:pPr>
              <w:jc w:val="center"/>
              <w:spacing w:after="0" w:line="232" w:lineRule="exact"/>
              <w:rPr>
                <w:sz w:val="20"/>
                <w:szCs w:val="20"/>
                <w:color w:val="auto"/>
              </w:rPr>
            </w:pPr>
            <w:r>
              <w:rPr>
                <w:rFonts w:ascii="Arial" w:cs="Arial" w:eastAsia="Arial" w:hAnsi="Arial"/>
                <w:sz w:val="21"/>
                <w:szCs w:val="21"/>
                <w:color w:val="auto"/>
                <w:w w:val="85"/>
              </w:rPr>
              <w:t>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740" w:type="dxa"/>
            <w:vAlign w:val="bottom"/>
          </w:tcPr>
          <w:p>
            <w:pPr>
              <w:ind w:left="5260"/>
              <w:spacing w:after="0"/>
              <w:rPr>
                <w:sz w:val="20"/>
                <w:szCs w:val="20"/>
                <w:color w:val="auto"/>
              </w:rPr>
            </w:pPr>
            <w:r>
              <w:rPr>
                <w:rFonts w:ascii="Arial" w:cs="Arial" w:eastAsia="Arial" w:hAnsi="Arial"/>
                <w:sz w:val="21"/>
                <w:szCs w:val="21"/>
                <w:color w:val="auto"/>
              </w:rPr>
              <w:t>-i-</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360" w:type="dxa"/>
            <w:vAlign w:val="bottom"/>
            <w:tcBorders>
              <w:bottom w:val="single" w:sz="8" w:color="9A9A9A"/>
            </w:tcBorders>
          </w:tcPr>
          <w:p>
            <w:pPr>
              <w:spacing w:after="0"/>
              <w:rPr>
                <w:sz w:val="8"/>
                <w:szCs w:val="8"/>
                <w:color w:val="auto"/>
              </w:rPr>
            </w:pPr>
          </w:p>
        </w:tc>
        <w:tc>
          <w:tcPr>
            <w:tcW w:w="107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520"/>
          </w:cols>
          <w:pgMar w:left="240" w:top="319" w:right="139" w:bottom="1440" w:gutter="0" w:footer="0" w:header="0"/>
        </w:sectPr>
      </w:pPr>
    </w:p>
    <w:bookmarkStart w:id="72" w:name="page73"/>
    <w:bookmarkEnd w:id="72"/>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(Continued)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00" w:type="dxa"/>
            <w:vAlign w:val="bottom"/>
            <w:vMerge w:val="restart"/>
          </w:tcPr>
          <w:p>
            <w:pPr>
              <w:jc w:val="center"/>
              <w:spacing w:after="0"/>
              <w:rPr>
                <w:sz w:val="20"/>
                <w:szCs w:val="20"/>
                <w:color w:val="auto"/>
              </w:rPr>
            </w:pPr>
            <w:r>
              <w:rPr>
                <w:rFonts w:ascii="Arial" w:cs="Arial" w:eastAsia="Arial" w:hAnsi="Arial"/>
                <w:sz w:val="21"/>
                <w:szCs w:val="21"/>
                <w:color w:val="auto"/>
                <w:w w:val="88"/>
              </w:rPr>
              <w:t>6.3</w:t>
            </w:r>
          </w:p>
        </w:tc>
        <w:tc>
          <w:tcPr>
            <w:tcW w:w="9860" w:type="dxa"/>
            <w:vAlign w:val="bottom"/>
            <w:vMerge w:val="restart"/>
          </w:tcPr>
          <w:p>
            <w:pPr>
              <w:ind w:left="240"/>
              <w:spacing w:after="0"/>
              <w:rPr>
                <w:sz w:val="20"/>
                <w:szCs w:val="20"/>
                <w:color w:val="auto"/>
              </w:rPr>
            </w:pPr>
            <w:r>
              <w:rPr>
                <w:rFonts w:ascii="Arial" w:cs="Arial" w:eastAsia="Arial" w:hAnsi="Arial"/>
                <w:sz w:val="21"/>
                <w:szCs w:val="21"/>
                <w:color w:val="auto"/>
              </w:rPr>
              <w:t>SUCCESSFUL DEFENSE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7"/>
              </w:rPr>
              <w:t>Page</w:t>
            </w:r>
          </w:p>
        </w:tc>
        <w:tc>
          <w:tcPr>
            <w:tcW w:w="0" w:type="dxa"/>
            <w:vAlign w:val="bottom"/>
          </w:tcPr>
          <w:p>
            <w:pPr>
              <w:spacing w:after="0"/>
              <w:rPr>
                <w:sz w:val="1"/>
                <w:szCs w:val="1"/>
                <w:color w:val="auto"/>
              </w:rPr>
            </w:pPr>
          </w:p>
        </w:tc>
      </w:tr>
      <w:tr>
        <w:trPr>
          <w:trHeight w:val="204"/>
        </w:trPr>
        <w:tc>
          <w:tcPr>
            <w:tcW w:w="800" w:type="dxa"/>
            <w:vAlign w:val="bottom"/>
            <w:vMerge w:val="continue"/>
          </w:tcPr>
          <w:p>
            <w:pPr>
              <w:spacing w:after="0"/>
              <w:rPr>
                <w:sz w:val="17"/>
                <w:szCs w:val="17"/>
                <w:color w:val="auto"/>
              </w:rPr>
            </w:pPr>
          </w:p>
        </w:tc>
        <w:tc>
          <w:tcPr>
            <w:tcW w:w="9860" w:type="dxa"/>
            <w:vAlign w:val="bottom"/>
            <w:vMerge w:val="continue"/>
          </w:tcPr>
          <w:p>
            <w:pPr>
              <w:spacing w:after="0"/>
              <w:rPr>
                <w:sz w:val="17"/>
                <w:szCs w:val="17"/>
                <w:color w:val="auto"/>
              </w:rPr>
            </w:pPr>
          </w:p>
        </w:tc>
        <w:tc>
          <w:tcPr>
            <w:tcW w:w="760" w:type="dxa"/>
            <w:vAlign w:val="bottom"/>
          </w:tcPr>
          <w:p>
            <w:pPr>
              <w:jc w:val="center"/>
              <w:spacing w:after="0" w:line="204" w:lineRule="exact"/>
              <w:rPr>
                <w:sz w:val="20"/>
                <w:szCs w:val="20"/>
                <w:color w:val="auto"/>
              </w:rPr>
            </w:pPr>
            <w:r>
              <w:rPr>
                <w:rFonts w:ascii="Arial" w:cs="Arial" w:eastAsia="Arial" w:hAnsi="Arial"/>
                <w:sz w:val="21"/>
                <w:szCs w:val="21"/>
                <w:color w:val="auto"/>
                <w:w w:val="85"/>
              </w:rPr>
              <w:t>19</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6.4</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DETERMINATION OF CONDUCT</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19</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6.5</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PAYMENT OF EXPENSES IN ADVANCE</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19</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6.6</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LIMITATION ON INDEMNIFICATION</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19</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6.7</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DETERMINATION; CLAIM</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20</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6.8</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INDEMNITY NOT EXCLUSIVE</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20</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6.9</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INSURANCE</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21</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7"/>
              </w:rPr>
              <w:t>6.10</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THE CORPORATION</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21</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7"/>
              </w:rPr>
              <w:t>6.11</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EMPLOYEE BENEFIT PLANS</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21</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7"/>
              </w:rPr>
              <w:t>6.12</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INDEMNITY FUND</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21</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7"/>
              </w:rPr>
              <w:t>6.13</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INDEMNIFICATION OF OTHER PERSONS</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22</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7"/>
              </w:rPr>
              <w:t>6.14</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SAVINGS CLAUSE</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22</w:t>
            </w:r>
          </w:p>
        </w:tc>
        <w:tc>
          <w:tcPr>
            <w:tcW w:w="0" w:type="dxa"/>
            <w:vAlign w:val="bottom"/>
          </w:tcPr>
          <w:p>
            <w:pPr>
              <w:spacing w:after="0"/>
              <w:rPr>
                <w:sz w:val="1"/>
                <w:szCs w:val="1"/>
                <w:color w:val="auto"/>
              </w:rPr>
            </w:pPr>
          </w:p>
        </w:tc>
      </w:tr>
      <w:tr>
        <w:trPr>
          <w:trHeight w:val="264"/>
        </w:trPr>
        <w:tc>
          <w:tcPr>
            <w:tcW w:w="800" w:type="dxa"/>
            <w:vAlign w:val="bottom"/>
          </w:tcPr>
          <w:p>
            <w:pPr>
              <w:jc w:val="center"/>
              <w:spacing w:after="0"/>
              <w:rPr>
                <w:sz w:val="20"/>
                <w:szCs w:val="20"/>
                <w:color w:val="auto"/>
              </w:rPr>
            </w:pPr>
            <w:r>
              <w:rPr>
                <w:rFonts w:ascii="Arial" w:cs="Arial" w:eastAsia="Arial" w:hAnsi="Arial"/>
                <w:sz w:val="21"/>
                <w:szCs w:val="21"/>
                <w:color w:val="auto"/>
                <w:w w:val="87"/>
              </w:rPr>
              <w:t>6.15</w:t>
            </w:r>
          </w:p>
        </w:tc>
        <w:tc>
          <w:tcPr>
            <w:tcW w:w="9860" w:type="dxa"/>
            <w:vAlign w:val="bottom"/>
          </w:tcPr>
          <w:p>
            <w:pPr>
              <w:ind w:left="240"/>
              <w:spacing w:after="0"/>
              <w:rPr>
                <w:sz w:val="20"/>
                <w:szCs w:val="20"/>
                <w:color w:val="auto"/>
              </w:rPr>
            </w:pPr>
            <w:r>
              <w:rPr>
                <w:rFonts w:ascii="Arial" w:cs="Arial" w:eastAsia="Arial" w:hAnsi="Arial"/>
                <w:sz w:val="21"/>
                <w:szCs w:val="21"/>
                <w:color w:val="auto"/>
              </w:rPr>
              <w:t>CONTINUATION OF INDEMNIFICATION AND ADVANCEMENT OF EXPENSES</w:t>
            </w:r>
          </w:p>
        </w:tc>
        <w:tc>
          <w:tcPr>
            <w:tcW w:w="760" w:type="dxa"/>
            <w:vAlign w:val="bottom"/>
          </w:tcPr>
          <w:p>
            <w:pPr>
              <w:jc w:val="center"/>
              <w:spacing w:after="0"/>
              <w:rPr>
                <w:sz w:val="20"/>
                <w:szCs w:val="20"/>
                <w:color w:val="auto"/>
              </w:rPr>
            </w:pPr>
            <w:r>
              <w:rPr>
                <w:rFonts w:ascii="Arial" w:cs="Arial" w:eastAsia="Arial" w:hAnsi="Arial"/>
                <w:sz w:val="21"/>
                <w:szCs w:val="21"/>
                <w:color w:val="auto"/>
                <w:w w:val="85"/>
              </w:rPr>
              <w:t>22</w:t>
            </w:r>
          </w:p>
        </w:tc>
        <w:tc>
          <w:tcPr>
            <w:tcW w:w="0" w:type="dxa"/>
            <w:vAlign w:val="bottom"/>
          </w:tcPr>
          <w:p>
            <w:pPr>
              <w:spacing w:after="0"/>
              <w:rPr>
                <w:sz w:val="1"/>
                <w:szCs w:val="1"/>
                <w:color w:val="auto"/>
              </w:rPr>
            </w:pPr>
          </w:p>
        </w:tc>
      </w:tr>
      <w:tr>
        <w:trPr>
          <w:trHeight w:val="348"/>
        </w:trPr>
        <w:tc>
          <w:tcPr>
            <w:tcW w:w="10660" w:type="dxa"/>
            <w:vAlign w:val="bottom"/>
            <w:gridSpan w:val="2"/>
          </w:tcPr>
          <w:p>
            <w:pPr>
              <w:spacing w:after="0"/>
              <w:rPr>
                <w:sz w:val="20"/>
                <w:szCs w:val="20"/>
                <w:color w:val="auto"/>
              </w:rPr>
            </w:pPr>
            <w:r>
              <w:rPr>
                <w:rFonts w:ascii="Arial" w:cs="Arial" w:eastAsia="Arial" w:hAnsi="Arial"/>
                <w:sz w:val="21"/>
                <w:szCs w:val="21"/>
                <w:color w:val="auto"/>
              </w:rPr>
              <w:t>ARTICLE VII MISCELLANEOUS</w:t>
            </w:r>
          </w:p>
        </w:tc>
        <w:tc>
          <w:tcPr>
            <w:tcW w:w="760" w:type="dxa"/>
            <w:vAlign w:val="bottom"/>
          </w:tcPr>
          <w:p>
            <w:pPr>
              <w:jc w:val="center"/>
              <w:spacing w:after="0"/>
              <w:rPr>
                <w:sz w:val="20"/>
                <w:szCs w:val="20"/>
                <w:color w:val="auto"/>
              </w:rPr>
            </w:pPr>
            <w:r>
              <w:rPr>
                <w:rFonts w:ascii="Arial" w:cs="Arial" w:eastAsia="Arial" w:hAnsi="Arial"/>
                <w:sz w:val="21"/>
                <w:szCs w:val="21"/>
                <w:color w:val="auto"/>
                <w:w w:val="85"/>
              </w:rPr>
              <w:t>22</w:t>
            </w:r>
          </w:p>
        </w:tc>
        <w:tc>
          <w:tcPr>
            <w:tcW w:w="0" w:type="dxa"/>
            <w:vAlign w:val="bottom"/>
          </w:tcPr>
          <w:p>
            <w:pPr>
              <w:spacing w:after="0"/>
              <w:rPr>
                <w:sz w:val="1"/>
                <w:szCs w:val="1"/>
                <w:color w:val="auto"/>
              </w:rPr>
            </w:pPr>
          </w:p>
        </w:tc>
      </w:tr>
      <w:tr>
        <w:trPr>
          <w:trHeight w:val="316"/>
        </w:trPr>
        <w:tc>
          <w:tcPr>
            <w:tcW w:w="800" w:type="dxa"/>
            <w:vAlign w:val="bottom"/>
          </w:tcPr>
          <w:p>
            <w:pPr>
              <w:jc w:val="center"/>
              <w:spacing w:after="0"/>
              <w:rPr>
                <w:sz w:val="20"/>
                <w:szCs w:val="20"/>
                <w:color w:val="auto"/>
              </w:rPr>
            </w:pPr>
            <w:r>
              <w:rPr>
                <w:rFonts w:ascii="Arial" w:cs="Arial" w:eastAsia="Arial" w:hAnsi="Arial"/>
                <w:sz w:val="21"/>
                <w:szCs w:val="21"/>
                <w:color w:val="auto"/>
                <w:w w:val="88"/>
              </w:rPr>
              <w:t>7.1</w:t>
            </w:r>
          </w:p>
        </w:tc>
        <w:tc>
          <w:tcPr>
            <w:tcW w:w="9860" w:type="dxa"/>
            <w:vAlign w:val="bottom"/>
          </w:tcPr>
          <w:p>
            <w:pPr>
              <w:ind w:left="240"/>
              <w:spacing w:after="0"/>
              <w:rPr>
                <w:sz w:val="20"/>
                <w:szCs w:val="20"/>
                <w:color w:val="auto"/>
              </w:rPr>
            </w:pPr>
            <w:r>
              <w:rPr>
                <w:rFonts w:ascii="Arial" w:cs="Arial" w:eastAsia="Arial" w:hAnsi="Arial"/>
                <w:sz w:val="21"/>
                <w:szCs w:val="21"/>
                <w:color w:val="auto"/>
              </w:rPr>
              <w:t>FISCAL YEAR</w:t>
            </w:r>
          </w:p>
        </w:tc>
        <w:tc>
          <w:tcPr>
            <w:tcW w:w="760" w:type="dxa"/>
            <w:vAlign w:val="bottom"/>
          </w:tcPr>
          <w:p>
            <w:pPr>
              <w:jc w:val="center"/>
              <w:spacing w:after="0"/>
              <w:rPr>
                <w:sz w:val="20"/>
                <w:szCs w:val="20"/>
                <w:color w:val="auto"/>
              </w:rPr>
            </w:pPr>
            <w:r>
              <w:rPr>
                <w:rFonts w:ascii="Arial" w:cs="Arial" w:eastAsia="Arial" w:hAnsi="Arial"/>
                <w:sz w:val="21"/>
                <w:szCs w:val="21"/>
                <w:color w:val="auto"/>
                <w:w w:val="85"/>
              </w:rPr>
              <w:t>22</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7.2</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SEAL</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22</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7.3</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WAIVER OF NOTICE OF MEETINGS OF STOCKHOLDERS, DIRECTORS AND COMMITTEES</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23</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7.4</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NOTICE BY ELECTRONIC TRANSMISSION</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23</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7.5</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NOTICE TO STOCKHOLDERS SHARING AN ADDRESS</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24</w:t>
            </w:r>
          </w:p>
        </w:tc>
        <w:tc>
          <w:tcPr>
            <w:tcW w:w="0" w:type="dxa"/>
            <w:vAlign w:val="bottom"/>
          </w:tcPr>
          <w:p>
            <w:pPr>
              <w:spacing w:after="0"/>
              <w:rPr>
                <w:sz w:val="1"/>
                <w:szCs w:val="1"/>
                <w:color w:val="auto"/>
              </w:rPr>
            </w:pPr>
          </w:p>
        </w:tc>
      </w:tr>
      <w:tr>
        <w:trPr>
          <w:trHeight w:val="232"/>
        </w:trPr>
        <w:tc>
          <w:tcPr>
            <w:tcW w:w="800" w:type="dxa"/>
            <w:vAlign w:val="bottom"/>
          </w:tcPr>
          <w:p>
            <w:pPr>
              <w:jc w:val="center"/>
              <w:spacing w:after="0" w:line="232" w:lineRule="exact"/>
              <w:rPr>
                <w:sz w:val="20"/>
                <w:szCs w:val="20"/>
                <w:color w:val="auto"/>
              </w:rPr>
            </w:pPr>
            <w:r>
              <w:rPr>
                <w:rFonts w:ascii="Arial" w:cs="Arial" w:eastAsia="Arial" w:hAnsi="Arial"/>
                <w:sz w:val="21"/>
                <w:szCs w:val="21"/>
                <w:color w:val="auto"/>
                <w:w w:val="88"/>
              </w:rPr>
              <w:t>7.6</w:t>
            </w:r>
          </w:p>
        </w:tc>
        <w:tc>
          <w:tcPr>
            <w:tcW w:w="9860" w:type="dxa"/>
            <w:vAlign w:val="bottom"/>
          </w:tcPr>
          <w:p>
            <w:pPr>
              <w:ind w:left="240"/>
              <w:spacing w:after="0" w:line="232" w:lineRule="exact"/>
              <w:rPr>
                <w:sz w:val="20"/>
                <w:szCs w:val="20"/>
                <w:color w:val="auto"/>
              </w:rPr>
            </w:pPr>
            <w:r>
              <w:rPr>
                <w:rFonts w:ascii="Arial" w:cs="Arial" w:eastAsia="Arial" w:hAnsi="Arial"/>
                <w:sz w:val="21"/>
                <w:szCs w:val="21"/>
                <w:color w:val="auto"/>
              </w:rPr>
              <w:t>INTERESTED DIRECTORS; QUORUM</w:t>
            </w:r>
          </w:p>
        </w:tc>
        <w:tc>
          <w:tcPr>
            <w:tcW w:w="760" w:type="dxa"/>
            <w:vAlign w:val="bottom"/>
          </w:tcPr>
          <w:p>
            <w:pPr>
              <w:jc w:val="center"/>
              <w:spacing w:after="0" w:line="232" w:lineRule="exact"/>
              <w:rPr>
                <w:sz w:val="20"/>
                <w:szCs w:val="20"/>
                <w:color w:val="auto"/>
              </w:rPr>
            </w:pPr>
            <w:r>
              <w:rPr>
                <w:rFonts w:ascii="Arial" w:cs="Arial" w:eastAsia="Arial" w:hAnsi="Arial"/>
                <w:sz w:val="21"/>
                <w:szCs w:val="21"/>
                <w:color w:val="auto"/>
                <w:w w:val="85"/>
              </w:rPr>
              <w:t>24</w:t>
            </w:r>
          </w:p>
        </w:tc>
        <w:tc>
          <w:tcPr>
            <w:tcW w:w="0" w:type="dxa"/>
            <w:vAlign w:val="bottom"/>
          </w:tcPr>
          <w:p>
            <w:pPr>
              <w:spacing w:after="0"/>
              <w:rPr>
                <w:sz w:val="1"/>
                <w:szCs w:val="1"/>
                <w:color w:val="auto"/>
              </w:rPr>
            </w:pPr>
          </w:p>
        </w:tc>
      </w:tr>
      <w:tr>
        <w:trPr>
          <w:trHeight w:val="264"/>
        </w:trPr>
        <w:tc>
          <w:tcPr>
            <w:tcW w:w="800" w:type="dxa"/>
            <w:vAlign w:val="bottom"/>
          </w:tcPr>
          <w:p>
            <w:pPr>
              <w:jc w:val="center"/>
              <w:spacing w:after="0"/>
              <w:rPr>
                <w:sz w:val="20"/>
                <w:szCs w:val="20"/>
                <w:color w:val="auto"/>
              </w:rPr>
            </w:pPr>
            <w:r>
              <w:rPr>
                <w:rFonts w:ascii="Arial" w:cs="Arial" w:eastAsia="Arial" w:hAnsi="Arial"/>
                <w:sz w:val="21"/>
                <w:szCs w:val="21"/>
                <w:color w:val="auto"/>
                <w:w w:val="88"/>
              </w:rPr>
              <w:t>7.7</w:t>
            </w:r>
          </w:p>
        </w:tc>
        <w:tc>
          <w:tcPr>
            <w:tcW w:w="9860" w:type="dxa"/>
            <w:vAlign w:val="bottom"/>
          </w:tcPr>
          <w:p>
            <w:pPr>
              <w:ind w:left="240"/>
              <w:spacing w:after="0"/>
              <w:rPr>
                <w:sz w:val="20"/>
                <w:szCs w:val="20"/>
                <w:color w:val="auto"/>
              </w:rPr>
            </w:pPr>
            <w:r>
              <w:rPr>
                <w:rFonts w:ascii="Arial" w:cs="Arial" w:eastAsia="Arial" w:hAnsi="Arial"/>
                <w:sz w:val="21"/>
                <w:szCs w:val="21"/>
                <w:color w:val="auto"/>
              </w:rPr>
              <w:t>AMENDMENT OF BYLAWS</w:t>
            </w:r>
          </w:p>
        </w:tc>
        <w:tc>
          <w:tcPr>
            <w:tcW w:w="760" w:type="dxa"/>
            <w:vAlign w:val="bottom"/>
          </w:tcPr>
          <w:p>
            <w:pPr>
              <w:jc w:val="center"/>
              <w:spacing w:after="0"/>
              <w:rPr>
                <w:sz w:val="20"/>
                <w:szCs w:val="20"/>
                <w:color w:val="auto"/>
              </w:rPr>
            </w:pPr>
            <w:r>
              <w:rPr>
                <w:rFonts w:ascii="Arial" w:cs="Arial" w:eastAsia="Arial" w:hAnsi="Arial"/>
                <w:sz w:val="21"/>
                <w:szCs w:val="21"/>
                <w:color w:val="auto"/>
                <w:w w:val="85"/>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29488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1"/>
          <w:szCs w:val="21"/>
          <w:b w:val="1"/>
          <w:bCs w:val="1"/>
          <w:color w:val="auto"/>
        </w:rPr>
        <w:t>BYLAWS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w:t>
      </w:r>
    </w:p>
    <w:p>
      <w:pPr>
        <w:jc w:val="center"/>
        <w:spacing w:after="0"/>
        <w:rPr>
          <w:sz w:val="20"/>
          <w:szCs w:val="20"/>
          <w:color w:val="auto"/>
        </w:rPr>
      </w:pPr>
      <w:r>
        <w:rPr>
          <w:rFonts w:ascii="Arial" w:cs="Arial" w:eastAsia="Arial" w:hAnsi="Arial"/>
          <w:sz w:val="21"/>
          <w:szCs w:val="21"/>
          <w:b w:val="1"/>
          <w:bCs w:val="1"/>
          <w:color w:val="auto"/>
        </w:rPr>
        <w:t>IRIDEX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ARTICLE 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STOCKHOLDERS</w:t>
      </w:r>
    </w:p>
    <w:p>
      <w:pPr>
        <w:spacing w:after="0" w:line="19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20"/>
          <w:szCs w:val="20"/>
          <w:u w:val="single" w:color="auto"/>
          <w:color w:val="auto"/>
        </w:rPr>
        <w:t>ANNUAL MEETINGS</w:t>
      </w:r>
    </w:p>
    <w:p>
      <w:pPr>
        <w:spacing w:after="0" w:line="197" w:lineRule="exact"/>
        <w:rPr>
          <w:sz w:val="20"/>
          <w:szCs w:val="20"/>
          <w:color w:val="auto"/>
        </w:rPr>
      </w:pPr>
    </w:p>
    <w:p>
      <w:pPr>
        <w:ind w:right="20" w:firstLine="878"/>
        <w:spacing w:after="0" w:line="278" w:lineRule="auto"/>
        <w:rPr>
          <w:sz w:val="20"/>
          <w:szCs w:val="20"/>
          <w:color w:val="auto"/>
        </w:rPr>
      </w:pPr>
      <w:r>
        <w:rPr>
          <w:rFonts w:ascii="Arial" w:cs="Arial" w:eastAsia="Arial" w:hAnsi="Arial"/>
          <w:sz w:val="18"/>
          <w:szCs w:val="18"/>
          <w:color w:val="auto"/>
        </w:rPr>
        <w:t>An annual meeting of stockholders shall be held for the election of directors at such date, time and place (if any), within or without the state of Delaware, as may be designated by resolution of the Board of Directors from time to time and stated in the corporation’s notice of annual meeting. The Board of Directors may, in its sole discretion, determine that a meeting of stockholders shall not be held at any place, but may instead by held solely by means of remote communication as authorized by Section 211(a)(2)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In the absence of any such designation or determination, stockholders’ meetings shall be held at the corporation’s principal executive office. At the annual meeting, directors shall be elected and any other proper business brought in accordance with Section 1.4 of these bylaws may be transacted. The Board of Directors may cancel, postpone or reschedule any previously scheduled annual meeting at any time, before or after the notice for such meeting has been sent to the stockholders.</w:t>
      </w:r>
    </w:p>
    <w:p>
      <w:pPr>
        <w:spacing w:after="0" w:line="14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u w:val="single" w:color="auto"/>
          <w:color w:val="auto"/>
        </w:rPr>
        <w:t>SPECIAL MEETINGS</w:t>
      </w:r>
    </w:p>
    <w:p>
      <w:pPr>
        <w:spacing w:after="0" w:line="197" w:lineRule="exact"/>
        <w:rPr>
          <w:sz w:val="20"/>
          <w:szCs w:val="20"/>
          <w:color w:val="auto"/>
        </w:rPr>
      </w:pPr>
    </w:p>
    <w:p>
      <w:pPr>
        <w:ind w:firstLine="1760"/>
        <w:spacing w:after="0" w:line="271" w:lineRule="auto"/>
        <w:tabs>
          <w:tab w:leader="none" w:pos="2616" w:val="left"/>
        </w:tabs>
        <w:numPr>
          <w:ilvl w:val="0"/>
          <w:numId w:val="34"/>
        </w:numPr>
        <w:rPr>
          <w:rFonts w:ascii="Arial" w:cs="Arial" w:eastAsia="Arial" w:hAnsi="Arial"/>
          <w:sz w:val="19"/>
          <w:szCs w:val="19"/>
          <w:color w:val="auto"/>
        </w:rPr>
      </w:pPr>
      <w:r>
        <w:rPr>
          <w:rFonts w:ascii="Arial" w:cs="Arial" w:eastAsia="Arial" w:hAnsi="Arial"/>
          <w:sz w:val="19"/>
          <w:szCs w:val="19"/>
          <w:color w:val="auto"/>
        </w:rPr>
        <w:t>Special meetings of stockholders, other than as required by statute, may be called at any time by the Board of Directors, the Chairman of the Board, the chief executive officer or the President (in the absence of a chief executive officer), but a special meeting may not be called by any other person or persons. The Board of Directors may cancel, postpone or reschedule any previously scheduled special meeting at any time, before or after the notice for such meeting has been sent to the stockholders.</w:t>
      </w:r>
    </w:p>
    <w:p>
      <w:pPr>
        <w:spacing w:after="0" w:line="147" w:lineRule="exact"/>
        <w:rPr>
          <w:rFonts w:ascii="Arial" w:cs="Arial" w:eastAsia="Arial" w:hAnsi="Arial"/>
          <w:sz w:val="19"/>
          <w:szCs w:val="19"/>
          <w:color w:val="auto"/>
        </w:rPr>
      </w:pPr>
    </w:p>
    <w:p>
      <w:pPr>
        <w:ind w:firstLine="1760"/>
        <w:spacing w:after="0" w:line="236" w:lineRule="auto"/>
        <w:tabs>
          <w:tab w:leader="none" w:pos="2616"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notice of a special meeting shall include the purpose for which the meeting is called. Only such business shall be conducted at a special meeting of stockholders as shall have been brought before the meeting by or at the direction of the Board of Directors, the Chairman of the Board, the chief executive officer or the President (in the absence of a chief executive officer). Nothing contained in this Section 1.2(2) shall be construed as limiting, fixing or affecting the time when a meeting of stockholders called by action of the Board of Directors may be held.</w:t>
      </w:r>
    </w:p>
    <w:p>
      <w:pPr>
        <w:spacing w:after="0" w:line="17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u w:val="single" w:color="auto"/>
          <w:color w:val="auto"/>
        </w:rPr>
        <w:t>NOTICE OF MEETINGS</w:t>
      </w:r>
    </w:p>
    <w:p>
      <w:pPr>
        <w:spacing w:after="0" w:line="197" w:lineRule="exact"/>
        <w:rPr>
          <w:sz w:val="20"/>
          <w:szCs w:val="20"/>
          <w:color w:val="auto"/>
        </w:rPr>
      </w:pPr>
    </w:p>
    <w:p>
      <w:pPr>
        <w:ind w:right="100" w:firstLine="878"/>
        <w:spacing w:after="0" w:line="234" w:lineRule="auto"/>
        <w:rPr>
          <w:sz w:val="20"/>
          <w:szCs w:val="20"/>
          <w:color w:val="auto"/>
        </w:rPr>
      </w:pPr>
      <w:r>
        <w:rPr>
          <w:rFonts w:ascii="Arial" w:cs="Arial" w:eastAsia="Arial" w:hAnsi="Arial"/>
          <w:sz w:val="21"/>
          <w:szCs w:val="21"/>
          <w:color w:val="auto"/>
        </w:rPr>
        <w:t>Whenever stockholders are required or permitted to take any action at a meeting, a written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74" w:name="page75"/>
    <w:bookmarkEnd w:id="74"/>
    <w:p>
      <w:pPr>
        <w:ind w:right="80"/>
        <w:spacing w:after="0" w:line="236" w:lineRule="auto"/>
        <w:rPr>
          <w:sz w:val="20"/>
          <w:szCs w:val="20"/>
          <w:color w:val="auto"/>
        </w:rPr>
      </w:pPr>
      <w:r>
        <w:rPr>
          <w:rFonts w:ascii="Arial" w:cs="Arial" w:eastAsia="Arial" w:hAnsi="Arial"/>
          <w:sz w:val="21"/>
          <w:szCs w:val="21"/>
          <w:color w:val="auto"/>
        </w:rPr>
        <w:t>the purpose or purposes for which the meeting is called. Unless otherwise provided by law, the certificate of incorporation or these bylaws, the written notice of any meeting shall be given not less than ten nor more than sixty days before the date of the meeting to each stockholder entitled to vote at such meeting as of the record date for determining the stockholders entitled to notice of the meeting. If mailed, such notice shall be deemed to be given when deposited in the mail, postage prepaid, directed to the stockholder at his address as it appears on the records of the corporation.</w:t>
      </w:r>
    </w:p>
    <w:p>
      <w:pPr>
        <w:spacing w:after="0" w:line="17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u w:val="single" w:color="auto"/>
          <w:color w:val="auto"/>
        </w:rPr>
        <w:t>ADVANCE NOTICE OF STOCKHOLDER NOMINEES AND STOCKHOLDER BUSINESS</w:t>
      </w:r>
    </w:p>
    <w:p>
      <w:pPr>
        <w:spacing w:after="0" w:line="197" w:lineRule="exact"/>
        <w:rPr>
          <w:sz w:val="20"/>
          <w:szCs w:val="20"/>
          <w:color w:val="auto"/>
        </w:rPr>
      </w:pPr>
    </w:p>
    <w:p>
      <w:pPr>
        <w:ind w:right="20" w:firstLine="1760"/>
        <w:spacing w:after="0" w:line="259" w:lineRule="auto"/>
        <w:tabs>
          <w:tab w:leader="none" w:pos="2616"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Advance Notice of Stockholder Business. </w:t>
      </w:r>
      <w:r>
        <w:rPr>
          <w:rFonts w:ascii="Arial" w:cs="Arial" w:eastAsia="Arial" w:hAnsi="Arial"/>
          <w:sz w:val="19"/>
          <w:szCs w:val="19"/>
          <w:color w:val="auto"/>
        </w:rPr>
        <w:t>At an annual meeting of the stockholders, only such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conducted as shall have been 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1.4(1), on the record date for the determination of stockholders entitled to notice of the annual meeting and on the record date for the determination of stockholders entitled to vote at the annual meeting and (2) has timely complied in proper written form with the notice procedures set forth in this Section 1.4(1). In addition, for business to be properly brought before an annual meeting by a stockholder, such business must be a proper matter for stockholder action pursuant to these bylaws and applicable law. For the avoidance of doubt, clause (C) above shall be the exclusive means for a stockholder to bring business (other than business included in the corporation’s proxy materials pursuant to Rule 14a-8 under the Securities Exchange Act of 1934, as amended, or any successor thereto (the “</w:t>
      </w:r>
      <w:r>
        <w:rPr>
          <w:rFonts w:ascii="Arial" w:cs="Arial" w:eastAsia="Arial" w:hAnsi="Arial"/>
          <w:sz w:val="19"/>
          <w:szCs w:val="19"/>
          <w:b w:val="1"/>
          <w:bCs w:val="1"/>
          <w:color w:val="auto"/>
        </w:rPr>
        <w:t>1934 Act</w:t>
      </w:r>
      <w:r>
        <w:rPr>
          <w:rFonts w:ascii="Arial" w:cs="Arial" w:eastAsia="Arial" w:hAnsi="Arial"/>
          <w:sz w:val="19"/>
          <w:szCs w:val="19"/>
          <w:color w:val="auto"/>
        </w:rPr>
        <w:t>”)) before an annual meeting of stockholders.</w:t>
      </w:r>
    </w:p>
    <w:p>
      <w:pPr>
        <w:spacing w:after="0" w:line="165" w:lineRule="exact"/>
        <w:rPr>
          <w:rFonts w:ascii="Arial" w:cs="Arial" w:eastAsia="Arial" w:hAnsi="Arial"/>
          <w:sz w:val="19"/>
          <w:szCs w:val="19"/>
          <w:color w:val="auto"/>
        </w:rPr>
      </w:pPr>
    </w:p>
    <w:p>
      <w:pPr>
        <w:ind w:firstLine="2639"/>
        <w:spacing w:after="0" w:line="243" w:lineRule="auto"/>
        <w:tabs>
          <w:tab w:leader="none" w:pos="3449" w:val="left"/>
        </w:tabs>
        <w:numPr>
          <w:ilvl w:val="1"/>
          <w:numId w:val="35"/>
        </w:numPr>
        <w:rPr>
          <w:rFonts w:ascii="Arial" w:cs="Arial" w:eastAsia="Arial" w:hAnsi="Arial"/>
          <w:sz w:val="20"/>
          <w:szCs w:val="20"/>
          <w:color w:val="auto"/>
        </w:rPr>
      </w:pPr>
      <w:r>
        <w:rPr>
          <w:rFonts w:ascii="Arial" w:cs="Arial" w:eastAsia="Arial" w:hAnsi="Arial"/>
          <w:sz w:val="20"/>
          <w:szCs w:val="20"/>
          <w:color w:val="auto"/>
        </w:rPr>
        <w:t xml:space="preserve">To comply with clause (C) of Section 1.4(1) above, a stockholder’s notice must set forth all information required under this Section 1.4(1) and must be timely received by the Secretary. To be timely, a stockholder’s notice must be received by the Secretary at the principal executive offices of the corporation not later than the close of business on the ninetieth day or earlier than the close of business on the one hundred twentieth day before the anniversary of the date of the immediately preceding annual meeting;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the event that the annual meeting is called for a date that is not within twenty-five days before or after such anniversary date, then, for notice by the stockholder to be timely, it must be so received by the Secretary not later than the close of business on the tenth day following the day on which Public Announcement (as defined below) of the date of such annual meeting is first made. In no event shall any adjournment, rescheduling or postponement of an annual meeting or the announcement thereof commence a new time period for the giving of a stockholder’s notice as described in this Section 1.4(1)(i). “</w:t>
      </w:r>
      <w:r>
        <w:rPr>
          <w:rFonts w:ascii="Arial" w:cs="Arial" w:eastAsia="Arial" w:hAnsi="Arial"/>
          <w:sz w:val="20"/>
          <w:szCs w:val="20"/>
          <w:b w:val="1"/>
          <w:bCs w:val="1"/>
          <w:color w:val="auto"/>
        </w:rPr>
        <w:t>Public Announcement</w:t>
      </w:r>
      <w:r>
        <w:rPr>
          <w:rFonts w:ascii="Arial" w:cs="Arial" w:eastAsia="Arial" w:hAnsi="Arial"/>
          <w:sz w:val="20"/>
          <w:szCs w:val="20"/>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1934 Act.</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75" w:name="page76"/>
    <w:bookmarkEnd w:id="75"/>
    <w:p>
      <w:pPr>
        <w:ind w:firstLine="2639"/>
        <w:spacing w:after="0" w:line="271" w:lineRule="auto"/>
        <w:tabs>
          <w:tab w:leader="none" w:pos="35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in proper written form, a stockholder’s notice to the Secretary must set forth as to each matter of business that the stockholder intends to bring before the annual meeting: (1) a brief description of the business intended to be brought before the annual meeting, the text of the proposed business (including the text of any resolutions proposed for consideration)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(6) a completed and duly executed written questionnaire with respect to the background of the stockholder and any Stockholder Associated Person (which questionnaire shall be provided by the Secretary promptly upon written request); (7) any other information relating to such stockholder or any Stockholder Associated Person that would be required to be disclosed in a proxy statement or other filings required to be made in connection with solicitations of proxies for the business pursuant to Regulation 14A under the 1934 Act; and (8) a representation and undertaking that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(8), a “</w:t>
      </w:r>
      <w:r>
        <w:rPr>
          <w:rFonts w:ascii="Arial" w:cs="Arial" w:eastAsia="Arial" w:hAnsi="Arial"/>
          <w:sz w:val="18"/>
          <w:szCs w:val="18"/>
          <w:b w:val="1"/>
          <w:b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Solicitation Statement</w:t>
      </w:r>
      <w:r>
        <w:rPr>
          <w:rFonts w:ascii="Arial" w:cs="Arial" w:eastAsia="Arial" w:hAnsi="Arial"/>
          <w:sz w:val="18"/>
          <w:szCs w:val="18"/>
          <w:color w:val="auto"/>
        </w:rPr>
        <w:t>”). In addition, to be in proper written form, a Business Solicitation Statement must be supplemented, if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not later than ten days following the record date for the determination of stockholders entitled to notice of the meeting so that the information contained in such Business Solicitation Statement is true and correct as of such record date. For purposes of these bylaws, a “</w:t>
      </w:r>
      <w:r>
        <w:rPr>
          <w:rFonts w:ascii="Arial" w:cs="Arial" w:eastAsia="Arial" w:hAnsi="Arial"/>
          <w:sz w:val="18"/>
          <w:szCs w:val="18"/>
          <w:b w:val="1"/>
          <w:bCs w:val="1"/>
          <w:color w:val="auto"/>
        </w:rPr>
        <w:t>Stockholder Associated Person</w:t>
      </w:r>
      <w:r>
        <w:rPr>
          <w:rFonts w:ascii="Arial" w:cs="Arial" w:eastAsia="Arial" w:hAnsi="Arial"/>
          <w:sz w:val="18"/>
          <w:szCs w:val="18"/>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nomination or request, as the case may be, is being made; or (iii) any person controlling, controlled by or under common control with such person referred to in the preceding clauses (i) and (ii).</w:t>
      </w:r>
    </w:p>
    <w:p>
      <w:pPr>
        <w:spacing w:after="0" w:line="396" w:lineRule="exact"/>
        <w:rPr>
          <w:rFonts w:ascii="Arial" w:cs="Arial" w:eastAsia="Arial" w:hAnsi="Arial"/>
          <w:sz w:val="18"/>
          <w:szCs w:val="18"/>
          <w:color w:val="auto"/>
        </w:rPr>
      </w:pPr>
    </w:p>
    <w:p>
      <w:pPr>
        <w:ind w:right="40" w:firstLine="2639"/>
        <w:spacing w:after="0" w:line="272" w:lineRule="auto"/>
        <w:tabs>
          <w:tab w:leader="none" w:pos="35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Without exception, no business shall be conducted at any annual meeting except in accordance with the provisions set forth in this Section1.4(1) and, if applicable, Section 1.4(2). In addition, business proposed to be brought by a stockholder may not be brought before the annual meeting if such stockholder or a Stockholder Associated Person, as applicable, takes action contrary to the representations and undertakings made in the Business Solicitation Statement or if the Business Solicitation Statement contains an untrue statement of a material fact or omits to state a material fact necessary to make the statements therein not misleading. The chairperson of the annual meeting shall, if the facts warrant, determine and declare at the annual meeting that business</w:t>
      </w:r>
    </w:p>
    <w:p>
      <w:pPr>
        <w:spacing w:after="0" w:line="3" w:lineRule="exact"/>
        <w:rPr>
          <w:sz w:val="20"/>
          <w:szCs w:val="20"/>
          <w:color w:val="auto"/>
        </w:rPr>
      </w:pPr>
    </w:p>
    <w:p>
      <w:pPr>
        <w:ind w:right="220"/>
        <w:spacing w:after="0" w:line="230" w:lineRule="auto"/>
        <w:rPr>
          <w:sz w:val="20"/>
          <w:szCs w:val="20"/>
          <w:color w:val="auto"/>
        </w:rPr>
      </w:pPr>
      <w:r>
        <w:rPr>
          <w:rFonts w:ascii="Arial" w:cs="Arial" w:eastAsia="Arial" w:hAnsi="Arial"/>
          <w:sz w:val="21"/>
          <w:szCs w:val="21"/>
          <w:color w:val="auto"/>
        </w:rPr>
        <w:t>was not properly brought before the annual meeting and in accordance with the provisions of this Section 1.4(1), and, if the chairperson should so determine, he or she shall so declare at the annual meeting that any such business not properly brought before the annual meeting shall not be conducted.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76" w:name="page77"/>
    <w:bookmarkEnd w:id="76"/>
    <w:p>
      <w:pPr>
        <w:ind w:firstLine="1760"/>
        <w:spacing w:after="0" w:line="263" w:lineRule="auto"/>
        <w:tabs>
          <w:tab w:leader="none" w:pos="2616"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Advance Notice of Director Nominations at Annual Meetings. </w:t>
      </w:r>
      <w:r>
        <w:rPr>
          <w:rFonts w:ascii="Arial" w:cs="Arial" w:eastAsia="Arial" w:hAnsi="Arial"/>
          <w:sz w:val="19"/>
          <w:szCs w:val="19"/>
          <w:color w:val="auto"/>
        </w:rPr>
        <w:t>Notwithstanding anything in these bylaws</w:t>
      </w:r>
      <w:r>
        <w:rPr>
          <w:rFonts w:ascii="Arial" w:cs="Arial" w:eastAsia="Arial" w:hAnsi="Arial"/>
          <w:sz w:val="19"/>
          <w:szCs w:val="19"/>
          <w:i w:val="1"/>
          <w:iCs w:val="1"/>
          <w:color w:val="auto"/>
        </w:rPr>
        <w:t xml:space="preserve"> </w:t>
      </w:r>
      <w:r>
        <w:rPr>
          <w:rFonts w:ascii="Arial" w:cs="Arial" w:eastAsia="Arial" w:hAnsi="Arial"/>
          <w:sz w:val="19"/>
          <w:szCs w:val="19"/>
          <w:color w:val="auto"/>
        </w:rPr>
        <w:t>to the contrary, only persons who are nominated in accordance with the procedures set forth in this Section 1.4(2) shall be eligible for election as directors at an annual meeting of stockholders. Nominations of persons for election to the Board of Directors shall be made at an annual meeting of stockholders only (A) by or at the direction of the Board of Directors; or (B) by a stockholder of the corporation who (1) was a stockholder of record at the time of the giving of the notice required by this Section 1.4(2), on the record date for the determination of stockholders entitled to notice of the annual meeting and on the record date for the determination of stockholders entitled to vote at the annual meeting and (2) has complied with the notice procedures set forth in this Section 1.4(2).</w:t>
      </w:r>
    </w:p>
    <w:p>
      <w:pPr>
        <w:spacing w:after="0" w:line="154" w:lineRule="exact"/>
        <w:rPr>
          <w:rFonts w:ascii="Arial" w:cs="Arial" w:eastAsia="Arial" w:hAnsi="Arial"/>
          <w:sz w:val="19"/>
          <w:szCs w:val="19"/>
          <w:color w:val="auto"/>
        </w:rPr>
      </w:pPr>
    </w:p>
    <w:p>
      <w:pPr>
        <w:ind w:right="20" w:firstLine="2639"/>
        <w:spacing w:after="0" w:line="258" w:lineRule="auto"/>
        <w:tabs>
          <w:tab w:leader="none" w:pos="3449"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To comply with clause (B) of Section 1.4(2) above, a nomination to be made by a stockholder must set forth all information required under this Section 1.4(2) and must be received by the Secretary at the principal executive offices of the corporation not later than the close of business on the ninetieth day or earlier than the close of business on the one hundred twentieth day before the anniversary of the date of the immediately preceding annual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in the event that the annual meeting is called for a date that is not within twenty-five days before or after such anniversary date, then, for notice by the stockholder to be timely, it must be so received by the Secretary not later than the close of business on the tenth day following the day on which Public Announcement of the date of such annual meeting is first made;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that the number of directors to be elected to the Board of Directors is increased and there is no Public Announcement specifying the size of the increased board made by the corporation at least ten days before the last day that a stockholder may deliver a notice of nomination pursuant to the foregoing provisions, a stockholder’s notice required by this Section 1.4(2)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 In no event shall any adjournment, rescheduling or postponement of an annual meeting or the announcement thereof commence a new time period for the giving of a stockholder’s notice as described in this Section 1.4(2)(i).</w:t>
      </w:r>
    </w:p>
    <w:p>
      <w:pPr>
        <w:spacing w:after="0" w:line="166" w:lineRule="exact"/>
        <w:rPr>
          <w:rFonts w:ascii="Arial" w:cs="Arial" w:eastAsia="Arial" w:hAnsi="Arial"/>
          <w:sz w:val="19"/>
          <w:szCs w:val="19"/>
          <w:color w:val="auto"/>
        </w:rPr>
      </w:pPr>
    </w:p>
    <w:p>
      <w:pPr>
        <w:ind w:left="3520" w:hanging="881"/>
        <w:spacing w:after="0"/>
        <w:tabs>
          <w:tab w:leader="none" w:pos="3520" w:val="left"/>
        </w:tabs>
        <w:numPr>
          <w:ilvl w:val="1"/>
          <w:numId w:val="37"/>
        </w:numPr>
        <w:rPr>
          <w:rFonts w:ascii="Arial" w:cs="Arial" w:eastAsia="Arial" w:hAnsi="Arial"/>
          <w:sz w:val="20"/>
          <w:szCs w:val="20"/>
          <w:color w:val="auto"/>
        </w:rPr>
      </w:pPr>
      <w:r>
        <w:rPr>
          <w:rFonts w:ascii="Arial" w:cs="Arial" w:eastAsia="Arial" w:hAnsi="Arial"/>
          <w:sz w:val="20"/>
          <w:szCs w:val="20"/>
          <w:color w:val="auto"/>
        </w:rPr>
        <w:t>To be in proper written form, such stockholder’s notice to the Secretary must set forth:</w:t>
      </w:r>
    </w:p>
    <w:p>
      <w:pPr>
        <w:spacing w:after="0" w:line="202" w:lineRule="exact"/>
        <w:rPr>
          <w:rFonts w:ascii="Arial" w:cs="Arial" w:eastAsia="Arial" w:hAnsi="Arial"/>
          <w:sz w:val="20"/>
          <w:szCs w:val="20"/>
          <w:color w:val="auto"/>
        </w:rPr>
      </w:pPr>
    </w:p>
    <w:p>
      <w:pPr>
        <w:ind w:left="4380" w:hanging="863"/>
        <w:spacing w:after="0"/>
        <w:tabs>
          <w:tab w:leader="none" w:pos="4380" w:val="left"/>
        </w:tabs>
        <w:numPr>
          <w:ilvl w:val="2"/>
          <w:numId w:val="37"/>
        </w:numPr>
        <w:rPr>
          <w:rFonts w:ascii="Arial" w:cs="Arial" w:eastAsia="Arial" w:hAnsi="Arial"/>
          <w:sz w:val="19"/>
          <w:szCs w:val="19"/>
          <w:color w:val="auto"/>
        </w:rPr>
      </w:pPr>
      <w:r>
        <w:rPr>
          <w:rFonts w:ascii="Arial" w:cs="Arial" w:eastAsia="Arial" w:hAnsi="Arial"/>
          <w:sz w:val="19"/>
          <w:szCs w:val="19"/>
          <w:color w:val="auto"/>
        </w:rPr>
        <w:t>as to each person (a “</w:t>
      </w:r>
      <w:r>
        <w:rPr>
          <w:rFonts w:ascii="Arial" w:cs="Arial" w:eastAsia="Arial" w:hAnsi="Arial"/>
          <w:sz w:val="19"/>
          <w:szCs w:val="19"/>
          <w:b w:val="1"/>
          <w:bCs w:val="1"/>
          <w:color w:val="auto"/>
        </w:rPr>
        <w:t>nominee</w:t>
      </w:r>
      <w:r>
        <w:rPr>
          <w:rFonts w:ascii="Arial" w:cs="Arial" w:eastAsia="Arial" w:hAnsi="Arial"/>
          <w:sz w:val="19"/>
          <w:szCs w:val="19"/>
          <w:color w:val="auto"/>
        </w:rPr>
        <w:t>”) whom the stockholder proposes to nominate for</w:t>
      </w:r>
    </w:p>
    <w:p>
      <w:pPr>
        <w:spacing w:after="0" w:line="37" w:lineRule="exact"/>
        <w:rPr>
          <w:rFonts w:ascii="Arial" w:cs="Arial" w:eastAsia="Arial" w:hAnsi="Arial"/>
          <w:sz w:val="19"/>
          <w:szCs w:val="19"/>
          <w:color w:val="auto"/>
        </w:rPr>
      </w:pPr>
    </w:p>
    <w:p>
      <w:pPr>
        <w:ind w:right="20"/>
        <w:spacing w:after="0" w:line="242" w:lineRule="auto"/>
        <w:rPr>
          <w:rFonts w:ascii="Arial" w:cs="Arial" w:eastAsia="Arial" w:hAnsi="Arial"/>
          <w:sz w:val="19"/>
          <w:szCs w:val="19"/>
          <w:color w:val="auto"/>
        </w:rPr>
      </w:pPr>
      <w:r>
        <w:rPr>
          <w:rFonts w:ascii="Arial" w:cs="Arial" w:eastAsia="Arial" w:hAnsi="Arial"/>
          <w:sz w:val="20"/>
          <w:szCs w:val="20"/>
          <w:color w:val="auto"/>
        </w:rPr>
        <w:t>election as a director: (A) 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the stockholder, any nominee or any other person or persons (naming such person or persons) pursuant to which the nominations are to be made by the stockholder, including 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77" w:name="page78"/>
    <w:bookmarkEnd w:id="77"/>
    <w:p>
      <w:pPr>
        <w:ind w:right="60"/>
        <w:spacing w:after="0" w:line="261" w:lineRule="auto"/>
        <w:rPr>
          <w:sz w:val="20"/>
          <w:szCs w:val="20"/>
          <w:color w:val="auto"/>
        </w:rPr>
      </w:pPr>
      <w:r>
        <w:rPr>
          <w:rFonts w:ascii="Arial" w:cs="Arial" w:eastAsia="Arial" w:hAnsi="Arial"/>
          <w:sz w:val="19"/>
          <w:szCs w:val="19"/>
          <w:color w:val="auto"/>
        </w:rPr>
        <w:t>description of any compensatory, payment or other financial agreement, arrangement or understanding involving the nominee and of any compensation or other payment received by or on behalf of the nominee, in each case in connection with candidacy or service as a director of the corporation; (F) a representation and undertaking from the nominee that he or she intends to serve a full term on the Board of Directors if elected; (G) a completed and duly executed written questionnaire with respect to the background and qualification of the nominee (which questionnaire shall be provided by the Secretary promptly upon written request); and (H) any other information relating to the nominee that would be required to be disclosed about such nominee if proxies were being solicited for the election of the nominee as a director, or that is otherwise required, in each case pursuant to Regulation 14A under the 1934 Act (including, without limitation, the nominee’s written consent to being named as a nominee and to serving as a director if elected); and</w:t>
      </w:r>
    </w:p>
    <w:p>
      <w:pPr>
        <w:spacing w:after="0" w:line="162" w:lineRule="exact"/>
        <w:rPr>
          <w:sz w:val="20"/>
          <w:szCs w:val="20"/>
          <w:color w:val="auto"/>
        </w:rPr>
      </w:pPr>
    </w:p>
    <w:p>
      <w:pPr>
        <w:ind w:left="4380" w:hanging="863"/>
        <w:spacing w:after="0"/>
        <w:tabs>
          <w:tab w:leader="none" w:pos="4380" w:val="left"/>
        </w:tabs>
        <w:numPr>
          <w:ilvl w:val="1"/>
          <w:numId w:val="38"/>
        </w:numPr>
        <w:rPr>
          <w:rFonts w:ascii="Arial" w:cs="Arial" w:eastAsia="Arial" w:hAnsi="Arial"/>
          <w:sz w:val="19"/>
          <w:szCs w:val="19"/>
          <w:color w:val="auto"/>
        </w:rPr>
      </w:pPr>
      <w:r>
        <w:rPr>
          <w:rFonts w:ascii="Arial" w:cs="Arial" w:eastAsia="Arial" w:hAnsi="Arial"/>
          <w:sz w:val="19"/>
          <w:szCs w:val="19"/>
          <w:color w:val="auto"/>
        </w:rPr>
        <w:t>as to such stockholder giving notice, (A) the information required to be provided</w:t>
      </w:r>
    </w:p>
    <w:p>
      <w:pPr>
        <w:spacing w:after="0" w:line="31" w:lineRule="exact"/>
        <w:rPr>
          <w:rFonts w:ascii="Arial" w:cs="Arial" w:eastAsia="Arial" w:hAnsi="Arial"/>
          <w:sz w:val="19"/>
          <w:szCs w:val="19"/>
          <w:color w:val="auto"/>
        </w:rPr>
      </w:pPr>
    </w:p>
    <w:p>
      <w:pPr>
        <w:ind w:right="80"/>
        <w:spacing w:after="0" w:line="244" w:lineRule="auto"/>
        <w:rPr>
          <w:rFonts w:ascii="Arial" w:cs="Arial" w:eastAsia="Arial" w:hAnsi="Arial"/>
          <w:sz w:val="19"/>
          <w:szCs w:val="19"/>
          <w:color w:val="auto"/>
        </w:rPr>
      </w:pPr>
      <w:r>
        <w:rPr>
          <w:rFonts w:ascii="Arial" w:cs="Arial" w:eastAsia="Arial" w:hAnsi="Arial"/>
          <w:sz w:val="20"/>
          <w:szCs w:val="20"/>
          <w:color w:val="auto"/>
        </w:rPr>
        <w:t>pursuant to clauses (2) through (7) of Section 1.4(1)(ii) above (except that the references to “business” in such clauses shall instead refer to nominations of directors for purposes of this paragraph) and (B) a representation and undertaking that such stockholder or Stockholder Associated Person will deliver a proxy statement and form of proxy to holders of a number of the corporation’s voting shares reasonably believed by such stockholder or Stockholder Associated Person to be necessary to elect such nominee(s) (such information provided and statements made as required by clauses (A) and (B) above, a “</w:t>
      </w:r>
      <w:r>
        <w:rPr>
          <w:rFonts w:ascii="Arial" w:cs="Arial" w:eastAsia="Arial" w:hAnsi="Arial"/>
          <w:sz w:val="20"/>
          <w:szCs w:val="20"/>
          <w:b w:val="1"/>
          <w:bCs w:val="1"/>
          <w:color w:val="auto"/>
        </w:rPr>
        <w:t>Nominee Solicitation Statement</w:t>
      </w:r>
      <w:r>
        <w:rPr>
          <w:rFonts w:ascii="Arial" w:cs="Arial" w:eastAsia="Arial" w:hAnsi="Arial"/>
          <w:sz w:val="20"/>
          <w:szCs w:val="20"/>
          <w:color w:val="auto"/>
        </w:rPr>
        <w:t>”). In addition, to be in proper written form, a Nominee Solicitation Statement must be supplemented, if necessary, not later than ten days following the record date for the determination of stockholders entitled to notice of the meeting so that the information contained in such Nominee Solicitation Statement is true and correct as of such record date.</w:t>
      </w:r>
    </w:p>
    <w:p>
      <w:pPr>
        <w:spacing w:after="0" w:line="174" w:lineRule="exact"/>
        <w:rPr>
          <w:rFonts w:ascii="Arial" w:cs="Arial" w:eastAsia="Arial" w:hAnsi="Arial"/>
          <w:sz w:val="19"/>
          <w:szCs w:val="19"/>
          <w:color w:val="auto"/>
        </w:rPr>
      </w:pPr>
    </w:p>
    <w:p>
      <w:pPr>
        <w:ind w:firstLine="2639"/>
        <w:spacing w:after="0" w:line="264" w:lineRule="auto"/>
        <w:tabs>
          <w:tab w:leader="none" w:pos="3564" w:val="left"/>
        </w:tabs>
        <w:numPr>
          <w:ilvl w:val="0"/>
          <w:numId w:val="39"/>
        </w:numPr>
        <w:rPr>
          <w:rFonts w:ascii="Arial" w:cs="Arial" w:eastAsia="Arial" w:hAnsi="Arial"/>
          <w:sz w:val="19"/>
          <w:szCs w:val="19"/>
          <w:color w:val="auto"/>
        </w:rPr>
      </w:pPr>
      <w:r>
        <w:rPr>
          <w:rFonts w:ascii="Arial" w:cs="Arial" w:eastAsia="Arial" w:hAnsi="Arial"/>
          <w:sz w:val="19"/>
          <w:szCs w:val="19"/>
          <w:color w:val="auto"/>
        </w:rPr>
        <w:t>At the request of the Board of Directors, any person nominated by a stockholder for election as a director must furnish to the Secretary (1) that information required to be set forth in the Nominee Solicitation Statement in respect of such person as of such record date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1.4(2).</w:t>
      </w:r>
    </w:p>
    <w:p>
      <w:pPr>
        <w:spacing w:after="0" w:line="156" w:lineRule="exact"/>
        <w:rPr>
          <w:rFonts w:ascii="Arial" w:cs="Arial" w:eastAsia="Arial" w:hAnsi="Arial"/>
          <w:sz w:val="19"/>
          <w:szCs w:val="19"/>
          <w:color w:val="auto"/>
        </w:rPr>
      </w:pPr>
    </w:p>
    <w:p>
      <w:pPr>
        <w:ind w:right="20" w:firstLine="2639"/>
        <w:spacing w:after="0" w:line="257" w:lineRule="auto"/>
        <w:tabs>
          <w:tab w:leader="none" w:pos="3553" w:val="left"/>
        </w:tabs>
        <w:numPr>
          <w:ilvl w:val="0"/>
          <w:numId w:val="39"/>
        </w:numPr>
        <w:rPr>
          <w:rFonts w:ascii="Arial" w:cs="Arial" w:eastAsia="Arial" w:hAnsi="Arial"/>
          <w:sz w:val="19"/>
          <w:szCs w:val="19"/>
          <w:color w:val="auto"/>
        </w:rPr>
      </w:pPr>
      <w:r>
        <w:rPr>
          <w:rFonts w:ascii="Arial" w:cs="Arial" w:eastAsia="Arial" w:hAnsi="Arial"/>
          <w:sz w:val="19"/>
          <w:szCs w:val="19"/>
          <w:color w:val="auto"/>
        </w:rPr>
        <w:t>Without exception, no person shall be eligible for election as a director of the corporation at an annual meeting of stockholders unless nominated in accordance with the provisions set forth in this Section 1.4(2). In addition, a nominee shall not be eligible for election if the nominee or a stockholder or Stockholder Associated Person, as applicable, takes action contrary to the representations and undertakings made in the Nominee Solicitation Statement applicable to such nominee or in any other notice to the corporation or if the Nominee Solicitation Statement applicable to such nominee or any other relevant notice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78" w:name="page79"/>
    <w:bookmarkEnd w:id="78"/>
    <w:p>
      <w:pPr>
        <w:ind w:left="2620" w:hanging="860"/>
        <w:spacing w:after="0"/>
        <w:tabs>
          <w:tab w:leader="none" w:pos="2620" w:val="left"/>
        </w:tabs>
        <w:numPr>
          <w:ilvl w:val="0"/>
          <w:numId w:val="40"/>
        </w:numPr>
        <w:rPr>
          <w:rFonts w:ascii="Arial" w:cs="Arial" w:eastAsia="Arial" w:hAnsi="Arial"/>
          <w:sz w:val="21"/>
          <w:szCs w:val="21"/>
          <w:color w:val="auto"/>
        </w:rPr>
      </w:pPr>
      <w:r>
        <w:rPr>
          <w:rFonts w:ascii="Arial" w:cs="Arial" w:eastAsia="Arial" w:hAnsi="Arial"/>
          <w:sz w:val="21"/>
          <w:szCs w:val="21"/>
          <w:i w:val="1"/>
          <w:iCs w:val="1"/>
          <w:color w:val="auto"/>
        </w:rPr>
        <w:t>Advance Notice of Director Nominations for Special Meetings</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ind w:right="20" w:firstLine="2639"/>
        <w:spacing w:after="0" w:line="273" w:lineRule="auto"/>
        <w:tabs>
          <w:tab w:leader="none" w:pos="3449"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a special meeting of stockholders at which directors are to be elected pursuant to Section 1.2, nominations of persons for election to the Board of Directors shall be made only (1) by or at the direction of the Board of Directors or (2) by any stockholder of the corporation who (A) is a stockholder of record at the time of the giving of the notice required by this Section 1.4(3), on the record date for the determination of stockholders entitled to notice of the special meeting and on the record date for the determination of stockholders entitled to vote at the special meeting and (B) delivers a timely written notice of the nomination to the Secretary that includes the information set forth in Sections 1.4(2)(ii) and 1.4(2)(iii) above. To be timely, such notice must be received by the Secretary at the principal executive offices of the corporation not later than the close of business on the tenth day following the day on which Public Announcement is first made of the date of the special meeting. In no event shall any adjournment, rescheduling or postponement of a special meeting or the announcement thereof commence a new time period for the giving of a stockholder’s notice. A person shall not be eligible for election as a director at a special meeting unless the person is nominated (i) by or at the direction of the Board of Directors or (ii) by a stockholder in accordance with the notice procedures set forth in this Section 1.4(3). In addition, a nominee shall not be eligible for election if the nominee or a stockholder or Stockholder Associated Person, as applicable, takes action contrary to the representations and undertakings made in the Nominee Solicitation Statement applicable to such nominee or in any other notice to the corporation or if the Nominee Solicitation Statement applicable to such nominee or any other relevant notice contains an untrue statement of a material fact or omits to state a material fact necessary to make the statements therein not misleading.</w:t>
      </w:r>
    </w:p>
    <w:p>
      <w:pPr>
        <w:spacing w:after="0" w:line="155" w:lineRule="exact"/>
        <w:rPr>
          <w:rFonts w:ascii="Arial" w:cs="Arial" w:eastAsia="Arial" w:hAnsi="Arial"/>
          <w:sz w:val="18"/>
          <w:szCs w:val="18"/>
          <w:color w:val="auto"/>
        </w:rPr>
      </w:pPr>
    </w:p>
    <w:p>
      <w:pPr>
        <w:ind w:right="60" w:firstLine="2639"/>
        <w:spacing w:after="0" w:line="301" w:lineRule="auto"/>
        <w:tabs>
          <w:tab w:leader="none" w:pos="350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123" w:lineRule="exact"/>
        <w:rPr>
          <w:rFonts w:ascii="Arial" w:cs="Arial" w:eastAsia="Arial" w:hAnsi="Arial"/>
          <w:sz w:val="18"/>
          <w:szCs w:val="18"/>
          <w:color w:val="auto"/>
        </w:rPr>
      </w:pPr>
    </w:p>
    <w:p>
      <w:pPr>
        <w:jc w:val="both"/>
        <w:ind w:right="420" w:firstLine="1760"/>
        <w:spacing w:after="0" w:line="241" w:lineRule="auto"/>
        <w:tabs>
          <w:tab w:leader="none" w:pos="2616" w:val="left"/>
        </w:tabs>
        <w:numPr>
          <w:ilvl w:val="0"/>
          <w:numId w:val="40"/>
        </w:numPr>
        <w:rPr>
          <w:rFonts w:ascii="Arial" w:cs="Arial" w:eastAsia="Arial" w:hAnsi="Arial"/>
          <w:sz w:val="21"/>
          <w:szCs w:val="21"/>
          <w:color w:val="auto"/>
        </w:rPr>
      </w:pPr>
      <w:r>
        <w:rPr>
          <w:rFonts w:ascii="Arial" w:cs="Arial" w:eastAsia="Arial" w:hAnsi="Arial"/>
          <w:sz w:val="21"/>
          <w:szCs w:val="21"/>
          <w:i w:val="1"/>
          <w:iCs w:val="1"/>
          <w:color w:val="auto"/>
        </w:rPr>
        <w:t xml:space="preserve">Rule 14a-8. </w:t>
      </w:r>
      <w:r>
        <w:rPr>
          <w:rFonts w:ascii="Arial" w:cs="Arial" w:eastAsia="Arial" w:hAnsi="Arial"/>
          <w:sz w:val="21"/>
          <w:szCs w:val="21"/>
          <w:color w:val="auto"/>
        </w:rPr>
        <w:t>Nothing in this Section 1.4 shall be deemed to affect any rights of stockholders to request</w:t>
      </w:r>
      <w:r>
        <w:rPr>
          <w:rFonts w:ascii="Arial" w:cs="Arial" w:eastAsia="Arial" w:hAnsi="Arial"/>
          <w:sz w:val="21"/>
          <w:szCs w:val="21"/>
          <w:i w:val="1"/>
          <w:iCs w:val="1"/>
          <w:color w:val="auto"/>
        </w:rPr>
        <w:t xml:space="preserve"> </w:t>
      </w:r>
      <w:r>
        <w:rPr>
          <w:rFonts w:ascii="Arial" w:cs="Arial" w:eastAsia="Arial" w:hAnsi="Arial"/>
          <w:sz w:val="21"/>
          <w:szCs w:val="21"/>
          <w:color w:val="auto"/>
        </w:rPr>
        <w:t>inclusion of proposals in the corporation’s proxy statement pursuant to Rule 14a-8 under the 1934 Act (or any successor provision of law).</w:t>
      </w:r>
    </w:p>
    <w:p>
      <w:pPr>
        <w:spacing w:after="0" w:line="17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u w:val="single" w:color="auto"/>
          <w:color w:val="auto"/>
        </w:rPr>
        <w:t>ADJOURNMENTS</w:t>
      </w:r>
    </w:p>
    <w:p>
      <w:pPr>
        <w:spacing w:after="0" w:line="197" w:lineRule="exact"/>
        <w:rPr>
          <w:sz w:val="20"/>
          <w:szCs w:val="20"/>
          <w:color w:val="auto"/>
        </w:rPr>
      </w:pPr>
    </w:p>
    <w:p>
      <w:pPr>
        <w:ind w:firstLine="878"/>
        <w:spacing w:after="0" w:line="272" w:lineRule="auto"/>
        <w:rPr>
          <w:sz w:val="20"/>
          <w:szCs w:val="20"/>
          <w:color w:val="auto"/>
        </w:rPr>
      </w:pPr>
      <w:r>
        <w:rPr>
          <w:rFonts w:ascii="Arial" w:cs="Arial" w:eastAsia="Arial" w:hAnsi="Arial"/>
          <w:sz w:val="18"/>
          <w:szCs w:val="18"/>
          <w:color w:val="auto"/>
        </w:rPr>
        <w:t>Any meeting of stockholders, annual or special, may adjourn from time to time to reconvene at the same or some other place (if any), and notice need not be given of any such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days, or if after the adjournment a new record date for stockholders entitled to vote is fixed for the adjourned meeting, a notice of the adjourned meeting shall be given to each stockholder of record entitled to vote at the meeting as of the record date fixed for notice of such adjourned meeting.</w:t>
      </w: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79" w:name="page80"/>
    <w:bookmarkEnd w:id="79"/>
    <w:p>
      <w:pPr>
        <w:ind w:left="880"/>
        <w:spacing w:after="0"/>
        <w:tabs>
          <w:tab w:leader="none" w:pos="174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20"/>
          <w:szCs w:val="20"/>
          <w:u w:val="single" w:color="auto"/>
          <w:color w:val="auto"/>
        </w:rPr>
        <w:t>QUORUM</w:t>
      </w:r>
    </w:p>
    <w:p>
      <w:pPr>
        <w:spacing w:after="0" w:line="197" w:lineRule="exact"/>
        <w:rPr>
          <w:sz w:val="20"/>
          <w:szCs w:val="20"/>
          <w:color w:val="auto"/>
        </w:rPr>
      </w:pPr>
    </w:p>
    <w:p>
      <w:pPr>
        <w:ind w:right="80" w:firstLine="878"/>
        <w:spacing w:after="0" w:line="245" w:lineRule="auto"/>
        <w:rPr>
          <w:sz w:val="20"/>
          <w:szCs w:val="20"/>
          <w:color w:val="auto"/>
        </w:rPr>
      </w:pPr>
      <w:r>
        <w:rPr>
          <w:rFonts w:ascii="Arial" w:cs="Arial" w:eastAsia="Arial" w:hAnsi="Arial"/>
          <w:sz w:val="20"/>
          <w:szCs w:val="20"/>
          <w:color w:val="auto"/>
        </w:rPr>
        <w:t>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expect as otherwise provided by law, the certificate of incorporation or these bylaws. In the absence of a quorum, then either (i) the chairperson of the meeting or (ii) the stockholders so present and entitled to vote at the meeting may, by majority vote, adjourn the meeting from time to time in the manner provided in Section 1.5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17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20"/>
          <w:szCs w:val="20"/>
          <w:u w:val="single" w:color="auto"/>
          <w:color w:val="auto"/>
        </w:rPr>
        <w:t>ORGANIZATION</w:t>
      </w:r>
    </w:p>
    <w:p>
      <w:pPr>
        <w:spacing w:after="0" w:line="197" w:lineRule="exact"/>
        <w:rPr>
          <w:sz w:val="20"/>
          <w:szCs w:val="20"/>
          <w:color w:val="auto"/>
        </w:rPr>
      </w:pPr>
    </w:p>
    <w:p>
      <w:pPr>
        <w:ind w:right="60" w:firstLine="878"/>
        <w:spacing w:after="0" w:line="261" w:lineRule="auto"/>
        <w:rPr>
          <w:sz w:val="20"/>
          <w:szCs w:val="20"/>
          <w:color w:val="auto"/>
        </w:rPr>
      </w:pPr>
      <w:r>
        <w:rPr>
          <w:rFonts w:ascii="Arial" w:cs="Arial" w:eastAsia="Arial" w:hAnsi="Arial"/>
          <w:sz w:val="19"/>
          <w:szCs w:val="19"/>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have the power to adjourn the meeting to another place (if any), date or time, whether or not a quorum is present. The chairperson of any meeting of stockholders shall be designated by the Board of Directors; in the absence of such designation, the Chairman of the Board, if any, or the chief executive officer (in the absence of the Chairman of the Board), or the President (in the absence of the Chairman of the Board and the chief executive officer), or in their absence any other executive officer of the corporation, shall serve as chairperson of the stockholder meeting. The Secretary shall act as secretary of the meeting, but in his absence the chairman of the meeting may appoint any person to act as secretary of the meeting.</w:t>
      </w:r>
    </w:p>
    <w:p>
      <w:pPr>
        <w:spacing w:after="0" w:line="16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9"/>
          <w:szCs w:val="19"/>
          <w:u w:val="single" w:color="auto"/>
          <w:color w:val="auto"/>
        </w:rPr>
        <w:t>VOTING; PROXIES</w:t>
      </w:r>
    </w:p>
    <w:p>
      <w:pPr>
        <w:spacing w:after="0" w:line="197" w:lineRule="exact"/>
        <w:rPr>
          <w:sz w:val="20"/>
          <w:szCs w:val="20"/>
          <w:color w:val="auto"/>
        </w:rPr>
      </w:pPr>
    </w:p>
    <w:p>
      <w:pPr>
        <w:ind w:firstLine="878"/>
        <w:spacing w:after="0" w:line="244" w:lineRule="auto"/>
        <w:rPr>
          <w:sz w:val="20"/>
          <w:szCs w:val="20"/>
          <w:color w:val="auto"/>
        </w:rPr>
      </w:pPr>
      <w:r>
        <w:rPr>
          <w:rFonts w:ascii="Arial" w:cs="Arial" w:eastAsia="Arial" w:hAnsi="Arial"/>
          <w:sz w:val="20"/>
          <w:szCs w:val="20"/>
          <w:color w:val="auto"/>
        </w:rPr>
        <w:t>Except as otherwise provided by the certificate of incorporation, each stockholder entitled to vote at any meeting of stockholders shall be entitled to one vote for each share of stock held by him which has voting power upon the matter in question. Each stockholder entitled to vote at a meeting of stockholders may authorize another person or persons to act for him by proxy authorized by an instrument in writing or by a transmission permitted by law filed in accordance with the procedure established for the meeting, but no such proxy shall be voted or acted upon after three years from its date, unless the proxy provides for a longer period. A written proxy may be in the form of a telegram, cablegram or other means of electronic transmission which sets forth or is submitted with information from which it can be determined that the telegram, cablegram or other means of electronic transmission was authorized by the person. The revocability of a proxy that states on its face that it is irrevocable shall be governed by the provisions of Section 212 of the DGCL. A stockholder may revoke any proxy that is not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80" w:name="page81"/>
    <w:bookmarkEnd w:id="80"/>
    <w:p>
      <w:pPr>
        <w:spacing w:after="0" w:line="275" w:lineRule="auto"/>
        <w:rPr>
          <w:sz w:val="20"/>
          <w:szCs w:val="20"/>
          <w:color w:val="auto"/>
        </w:rPr>
      </w:pPr>
      <w:r>
        <w:rPr>
          <w:rFonts w:ascii="Arial" w:cs="Arial" w:eastAsia="Arial" w:hAnsi="Arial"/>
          <w:sz w:val="18"/>
          <w:szCs w:val="18"/>
          <w:color w:val="auto"/>
        </w:rPr>
        <w:t>irrevocable by attending the meeting and voting in person or by filing an instrument in writing revoking the proxy or another duly executed proxy bearing a later date with the Secretary. Voting at meetings of stockholders need not be by written ballot unless so determined by the holders of shares of stock having a majority of the votes which could be cast by the holders of all outstanding shares of stock entitled to vote thereon which are present in person or by proxy at such meeting. At all meetings of stockholders for the election of directors a plurality of the votes cast shall be sufficient to elect. All other elections and questions shall, unless otherwise provided by law, the certificate of incorporation, these bylaws or the rules of any applicable stock exchange, be decided by the affirmative vote of a majority of the voting power of the shares present in person or represented by proxy at the meeting and entitled to vote on the subject matter. Where a separate vote by a class or series or classes or series is required, in all matters other than the election of directors, the affirmative vote of the majority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w:t>
      </w:r>
    </w:p>
    <w:p>
      <w:pPr>
        <w:spacing w:after="0" w:line="15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9"/>
          <w:szCs w:val="19"/>
          <w:u w:val="single" w:color="auto"/>
          <w:color w:val="auto"/>
        </w:rPr>
        <w:t>FIXING DATE FOR DETERMINATION OF STOCKHOLDERS OF RECORD</w:t>
      </w:r>
    </w:p>
    <w:p>
      <w:pPr>
        <w:spacing w:after="0" w:line="197" w:lineRule="exact"/>
        <w:rPr>
          <w:sz w:val="20"/>
          <w:szCs w:val="20"/>
          <w:color w:val="auto"/>
        </w:rPr>
      </w:pPr>
    </w:p>
    <w:p>
      <w:pPr>
        <w:ind w:right="60" w:firstLine="1760"/>
        <w:spacing w:after="0" w:line="264" w:lineRule="auto"/>
        <w:tabs>
          <w:tab w:leader="none" w:pos="2616"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57" w:lineRule="exact"/>
        <w:rPr>
          <w:sz w:val="20"/>
          <w:szCs w:val="20"/>
          <w:color w:val="auto"/>
        </w:rPr>
      </w:pPr>
    </w:p>
    <w:p>
      <w:pPr>
        <w:ind w:right="20" w:firstLine="878"/>
        <w:spacing w:after="0" w:line="259" w:lineRule="auto"/>
        <w:rPr>
          <w:sz w:val="20"/>
          <w:szCs w:val="20"/>
          <w:color w:val="auto"/>
        </w:rPr>
      </w:pPr>
      <w:r>
        <w:rPr>
          <w:rFonts w:ascii="Arial" w:cs="Arial" w:eastAsia="Arial" w:hAnsi="Arial"/>
          <w:sz w:val="20"/>
          <w:szCs w:val="20"/>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58" w:lineRule="exact"/>
        <w:rPr>
          <w:sz w:val="20"/>
          <w:szCs w:val="20"/>
          <w:color w:val="auto"/>
        </w:rPr>
      </w:pPr>
    </w:p>
    <w:p>
      <w:pPr>
        <w:ind w:right="120" w:firstLine="878"/>
        <w:spacing w:after="0" w:line="250" w:lineRule="auto"/>
        <w:rPr>
          <w:sz w:val="20"/>
          <w:szCs w:val="20"/>
          <w:color w:val="auto"/>
        </w:rPr>
      </w:pPr>
      <w:r>
        <w:rPr>
          <w:rFonts w:ascii="Arial" w:cs="Arial" w:eastAsia="Arial" w:hAnsi="Arial"/>
          <w:sz w:val="20"/>
          <w:szCs w:val="20"/>
          <w:color w:val="auto"/>
        </w:rPr>
        <w:t xml:space="preserve">A determination of stockholders of record entitled to notice of or to vote at a meeting of stockholders shall apply to any adjournment of the meeting;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1.9 at the adjourned meeting.</w:t>
      </w:r>
    </w:p>
    <w:p>
      <w:pPr>
        <w:spacing w:after="0" w:line="169" w:lineRule="exact"/>
        <w:rPr>
          <w:sz w:val="20"/>
          <w:szCs w:val="20"/>
          <w:color w:val="auto"/>
        </w:rPr>
      </w:pPr>
    </w:p>
    <w:p>
      <w:pPr>
        <w:ind w:right="100" w:firstLine="1760"/>
        <w:spacing w:after="0" w:line="234" w:lineRule="auto"/>
        <w:tabs>
          <w:tab w:leader="none" w:pos="2616" w:val="left"/>
        </w:tabs>
        <w:numPr>
          <w:ilvl w:val="0"/>
          <w:numId w:val="42"/>
        </w:numPr>
        <w:rPr>
          <w:rFonts w:ascii="Arial" w:cs="Arial" w:eastAsia="Arial" w:hAnsi="Arial"/>
          <w:sz w:val="21"/>
          <w:szCs w:val="21"/>
          <w:color w:val="auto"/>
        </w:rPr>
      </w:pPr>
      <w:r>
        <w:rPr>
          <w:rFonts w:ascii="Arial" w:cs="Arial" w:eastAsia="Arial" w:hAnsi="Arial"/>
          <w:sz w:val="21"/>
          <w:szCs w:val="21"/>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Any stockholder of record seeking to have the stockholders authorize or take corporate action by</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531" w:right="299" w:bottom="1440" w:gutter="0" w:footer="0" w:header="0"/>
        </w:sectPr>
      </w:pPr>
    </w:p>
    <w:bookmarkStart w:id="81" w:name="page82"/>
    <w:bookmarkEnd w:id="81"/>
    <w:p>
      <w:pPr>
        <w:spacing w:after="0" w:line="261" w:lineRule="auto"/>
        <w:rPr>
          <w:sz w:val="20"/>
          <w:szCs w:val="20"/>
          <w:color w:val="auto"/>
        </w:rPr>
      </w:pPr>
      <w:r>
        <w:rPr>
          <w:rFonts w:ascii="Arial" w:cs="Arial" w:eastAsia="Arial" w:hAnsi="Arial"/>
          <w:sz w:val="19"/>
          <w:szCs w:val="19"/>
          <w:color w:val="auto"/>
        </w:rPr>
        <w:t>written consent shall, by written notice to the Secretary and in conformity with the requirements of these bylaws, including Section 1.11, request the Board of Directors to fix a record date. The Board of Directors shall promptly, but in all events within ten days after the date on which such a request is received, adopt a resolution fixing the record date. If no record date has been fixed by the Board of Directors within such ten-day period,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in the manner permitted by Section 228 of the DGCL.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56" w:lineRule="exact"/>
        <w:rPr>
          <w:sz w:val="20"/>
          <w:szCs w:val="20"/>
          <w:color w:val="auto"/>
        </w:rPr>
      </w:pPr>
    </w:p>
    <w:p>
      <w:pPr>
        <w:ind w:right="20" w:firstLine="1760"/>
        <w:spacing w:after="0" w:line="264" w:lineRule="auto"/>
        <w:tabs>
          <w:tab w:leader="none" w:pos="2616"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15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9"/>
          <w:szCs w:val="19"/>
          <w:u w:val="single" w:color="auto"/>
          <w:color w:val="auto"/>
        </w:rPr>
        <w:t>LIST OF STOCKHOLDERS ENTITLED TO VOTE</w:t>
      </w:r>
    </w:p>
    <w:p>
      <w:pPr>
        <w:spacing w:after="0" w:line="197" w:lineRule="exact"/>
        <w:rPr>
          <w:sz w:val="20"/>
          <w:szCs w:val="20"/>
          <w:color w:val="auto"/>
        </w:rPr>
      </w:pPr>
    </w:p>
    <w:p>
      <w:pPr>
        <w:ind w:firstLine="878"/>
        <w:spacing w:after="0" w:line="272" w:lineRule="auto"/>
        <w:rPr>
          <w:sz w:val="20"/>
          <w:szCs w:val="20"/>
          <w:color w:val="auto"/>
        </w:rPr>
      </w:pPr>
      <w:r>
        <w:rPr>
          <w:rFonts w:ascii="Arial" w:cs="Arial" w:eastAsia="Arial" w:hAnsi="Arial"/>
          <w:sz w:val="18"/>
          <w:szCs w:val="18"/>
          <w:color w:val="auto"/>
        </w:rPr>
        <w:t xml:space="preserve">The corporation shall prepare, at least ten days before every meeting of stockholders, a complete list of the stockholders entitled to vote at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the record date for determining the stockholders entitled to vote is less than ten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days prior to the meeting,</w:t>
      </w:r>
    </w:p>
    <w:p>
      <w:pPr>
        <w:spacing w:after="0" w:line="3" w:lineRule="exact"/>
        <w:rPr>
          <w:sz w:val="20"/>
          <w:szCs w:val="20"/>
          <w:color w:val="auto"/>
        </w:rPr>
      </w:pPr>
    </w:p>
    <w:p>
      <w:pPr>
        <w:ind w:firstLine="3"/>
        <w:spacing w:after="0" w:line="254" w:lineRule="auto"/>
        <w:tabs>
          <w:tab w:leader="none" w:pos="246" w:val="left"/>
        </w:tabs>
        <w:numPr>
          <w:ilvl w:val="0"/>
          <w:numId w:val="44"/>
        </w:numPr>
        <w:rPr>
          <w:rFonts w:ascii="Arial" w:cs="Arial" w:eastAsia="Arial" w:hAnsi="Arial"/>
          <w:sz w:val="19"/>
          <w:szCs w:val="19"/>
          <w:color w:val="auto"/>
        </w:rPr>
      </w:pPr>
      <w:r>
        <w:rPr>
          <w:rFonts w:ascii="Arial" w:cs="Arial" w:eastAsia="Arial" w:hAnsi="Arial"/>
          <w:sz w:val="19"/>
          <w:szCs w:val="19"/>
          <w:color w:val="auto"/>
        </w:rPr>
        <w:t>on a reasonably accessible electronic network (so long as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82" w:name="page83"/>
    <w:bookmarkEnd w:id="82"/>
    <w:p>
      <w:pPr>
        <w:ind w:left="880"/>
        <w:spacing w:after="0"/>
        <w:tabs>
          <w:tab w:leader="none" w:pos="184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9"/>
          <w:szCs w:val="19"/>
          <w:u w:val="single" w:color="auto"/>
          <w:color w:val="auto"/>
        </w:rPr>
        <w:t>ACTION BY CONSENT OF STOCKHOLDERS</w:t>
      </w:r>
    </w:p>
    <w:p>
      <w:pPr>
        <w:spacing w:after="0" w:line="197" w:lineRule="exact"/>
        <w:rPr>
          <w:sz w:val="20"/>
          <w:szCs w:val="20"/>
          <w:color w:val="auto"/>
        </w:rPr>
      </w:pPr>
    </w:p>
    <w:p>
      <w:pPr>
        <w:ind w:right="20" w:firstLine="1760"/>
        <w:spacing w:after="0" w:line="273" w:lineRule="auto"/>
        <w:tabs>
          <w:tab w:leader="none" w:pos="261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stockholders of the corporation may take action by written consent in lieu of a meeting of stockholders if, in accordance with and subject to the conditions and restrictions set forth in the certificate of incorporation or these bylaws (as amended from time to time), (i) record holders of at least 25% of the voting power of the outstanding capital stock of the corporation (the “</w:t>
      </w:r>
      <w:r>
        <w:rPr>
          <w:rFonts w:ascii="Arial" w:cs="Arial" w:eastAsia="Arial" w:hAnsi="Arial"/>
          <w:sz w:val="18"/>
          <w:szCs w:val="18"/>
          <w:b w:val="1"/>
          <w:bCs w:val="1"/>
          <w:color w:val="auto"/>
        </w:rPr>
        <w:t>Soliciting Stockholders</w:t>
      </w:r>
      <w:r>
        <w:rPr>
          <w:rFonts w:ascii="Arial" w:cs="Arial" w:eastAsia="Arial" w:hAnsi="Arial"/>
          <w:sz w:val="18"/>
          <w:szCs w:val="18"/>
          <w:color w:val="auto"/>
        </w:rPr>
        <w:t>”) have submitted one or more written requests to the Secretary asking that the Board of Directors fix a record date to determine the stockholders entitled to deliver written consents for the action or actions proposed to be taken;</w:t>
      </w:r>
    </w:p>
    <w:p>
      <w:pPr>
        <w:spacing w:after="0" w:line="1" w:lineRule="exact"/>
        <w:rPr>
          <w:rFonts w:ascii="Arial" w:cs="Arial" w:eastAsia="Arial" w:hAnsi="Arial"/>
          <w:sz w:val="18"/>
          <w:szCs w:val="18"/>
          <w:color w:val="auto"/>
        </w:rPr>
      </w:pPr>
    </w:p>
    <w:p>
      <w:pPr>
        <w:ind w:right="20" w:firstLine="3"/>
        <w:spacing w:after="0" w:line="258" w:lineRule="auto"/>
        <w:tabs>
          <w:tab w:leader="none" w:pos="304" w:val="left"/>
        </w:tabs>
        <w:numPr>
          <w:ilvl w:val="0"/>
          <w:numId w:val="46"/>
        </w:numPr>
        <w:rPr>
          <w:rFonts w:ascii="Arial" w:cs="Arial" w:eastAsia="Arial" w:hAnsi="Arial"/>
          <w:sz w:val="19"/>
          <w:szCs w:val="19"/>
          <w:color w:val="auto"/>
        </w:rPr>
      </w:pPr>
      <w:r>
        <w:rPr>
          <w:rFonts w:ascii="Arial" w:cs="Arial" w:eastAsia="Arial" w:hAnsi="Arial"/>
          <w:sz w:val="19"/>
          <w:szCs w:val="19"/>
          <w:color w:val="auto"/>
        </w:rPr>
        <w:t>such written requests include all of the information contemplated by Section 1.11(3) with respect to such action or actions and with respect to such Soliciting Stockholder(s) and the beneficial owners (if any) on whose behalf such written requests are made; (iii) the Board of Directors fixes such a record date or has failed to do so within ten days after the Secretary certifies to the Board of Directors that he or she has received written requests from the requisite holders of capital stock; and (iv) written consents setting forth the action or actions to be taken are signed by the holders of outstanding stock having not less than the minimum number of votes that would be necessary to authorize or take such action at a meeting at which all shares entitled to vote thereon were present and voted and are delivered to the corporation in the manner required by Section 228 of the DGCL. The Board of Directors may fix a record date to determine the stockholders entitled to deliver written requests, whether or not the corporation has already received one or more written requests pursuant to this Section 1.11(1). A written request pursuant to this Section 1.11(1) may be revoked prior to the receipt of written requests from the holders of 25% of the voting power of the outstanding capital stock of the corporation.</w:t>
      </w:r>
    </w:p>
    <w:p>
      <w:pPr>
        <w:spacing w:after="0" w:line="159" w:lineRule="exact"/>
        <w:rPr>
          <w:rFonts w:ascii="Arial" w:cs="Arial" w:eastAsia="Arial" w:hAnsi="Arial"/>
          <w:sz w:val="19"/>
          <w:szCs w:val="19"/>
          <w:color w:val="auto"/>
        </w:rPr>
      </w:pPr>
    </w:p>
    <w:p>
      <w:pPr>
        <w:jc w:val="both"/>
        <w:ind w:firstLine="1760"/>
        <w:spacing w:after="0" w:line="274" w:lineRule="auto"/>
        <w:tabs>
          <w:tab w:leader="none" w:pos="2616"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Subject to the rights of the holders of the shares of any series of Preferred Stock or any other class of stock or series thereof having a preference over the Common Stock as dividend or upon liquidation, any action required or permitted to be taken by the stockholders of the corporation must be effected at a duly called annual or special meeting of stockholders of the corporation and may not be effected by any consent in writing by such stockholders, except (i) in accordance with the first sentence of Section 1.11(1) or</w:t>
      </w:r>
    </w:p>
    <w:p>
      <w:pPr>
        <w:ind w:firstLine="3"/>
        <w:spacing w:after="0" w:line="284" w:lineRule="auto"/>
        <w:tabs>
          <w:tab w:leader="none" w:pos="3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pursuant to a resolution adopted by the Board of Directors authorizing one or more actions to be taken by written consent. Any written consent to take action in lieu of a meeting of stockholders may be revoked prior to the effectiveness of the stockholder action or actions set forth in such written consent. References in these bylaws to a written consent shall be deemed to include a telegram, cablegram or other electronic transmission consenting to an action to be taken if such transmission complies with Section 228(d) of the DGCL.</w:t>
      </w:r>
    </w:p>
    <w:p>
      <w:pPr>
        <w:spacing w:after="0" w:line="136" w:lineRule="exact"/>
        <w:rPr>
          <w:rFonts w:ascii="Arial" w:cs="Arial" w:eastAsia="Arial" w:hAnsi="Arial"/>
          <w:sz w:val="18"/>
          <w:szCs w:val="18"/>
          <w:color w:val="auto"/>
        </w:rPr>
      </w:pPr>
    </w:p>
    <w:p>
      <w:pPr>
        <w:ind w:right="60" w:firstLine="1760"/>
        <w:spacing w:after="0" w:line="236" w:lineRule="auto"/>
        <w:tabs>
          <w:tab w:leader="none" w:pos="2616" w:val="left"/>
        </w:tabs>
        <w:numPr>
          <w:ilvl w:val="1"/>
          <w:numId w:val="47"/>
        </w:numPr>
        <w:rPr>
          <w:rFonts w:ascii="Arial" w:cs="Arial" w:eastAsia="Arial" w:hAnsi="Arial"/>
          <w:sz w:val="21"/>
          <w:szCs w:val="21"/>
          <w:color w:val="auto"/>
        </w:rPr>
      </w:pPr>
      <w:r>
        <w:rPr>
          <w:rFonts w:ascii="Arial" w:cs="Arial" w:eastAsia="Arial" w:hAnsi="Arial"/>
          <w:sz w:val="21"/>
          <w:szCs w:val="21"/>
          <w:color w:val="auto"/>
        </w:rPr>
        <w:t>Each written request asking that the Board of Directors fix a record date to determine the stockholders entitled to deliver written consents shall include the following: (a) the signature of the Soliciting Stockholder signing such written request and the date that such written request was signed; (b) the action or actions proposed to be taken by written consent, the text of the proposed action (including the text of any resolutions proposed for consideration), if applicable, and the reasons for seeking stockholder approval of such actions; and (c) the following information:</w:t>
      </w:r>
    </w:p>
    <w:p>
      <w:pPr>
        <w:spacing w:after="0" w:line="179" w:lineRule="exact"/>
        <w:rPr>
          <w:rFonts w:ascii="Arial" w:cs="Arial" w:eastAsia="Arial" w:hAnsi="Arial"/>
          <w:sz w:val="21"/>
          <w:szCs w:val="21"/>
          <w:color w:val="auto"/>
        </w:rPr>
      </w:pPr>
    </w:p>
    <w:p>
      <w:pPr>
        <w:ind w:left="3460" w:hanging="821"/>
        <w:spacing w:after="0"/>
        <w:tabs>
          <w:tab w:leader="none" w:pos="34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name and address, as they appear on the corporation’s books, of such Soliciting Stockholder</w:t>
      </w:r>
    </w:p>
    <w:p>
      <w:pPr>
        <w:spacing w:after="0" w:line="43" w:lineRule="exact"/>
        <w:rPr>
          <w:rFonts w:ascii="Arial" w:cs="Arial" w:eastAsia="Arial" w:hAnsi="Arial"/>
          <w:sz w:val="18"/>
          <w:szCs w:val="18"/>
          <w:color w:val="auto"/>
        </w:rPr>
      </w:pPr>
    </w:p>
    <w:p>
      <w:pPr>
        <w:spacing w:after="0" w:line="230" w:lineRule="auto"/>
        <w:rPr>
          <w:rFonts w:ascii="Arial" w:cs="Arial" w:eastAsia="Arial" w:hAnsi="Arial"/>
          <w:sz w:val="18"/>
          <w:szCs w:val="18"/>
          <w:color w:val="auto"/>
        </w:rPr>
      </w:pPr>
      <w:r>
        <w:rPr>
          <w:rFonts w:ascii="Arial" w:cs="Arial" w:eastAsia="Arial" w:hAnsi="Arial"/>
          <w:sz w:val="21"/>
          <w:szCs w:val="21"/>
          <w:color w:val="auto"/>
        </w:rPr>
        <w:t>and any Stockholder Associated Person;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83" w:name="page84"/>
    <w:bookmarkEnd w:id="83"/>
    <w:p>
      <w:pPr>
        <w:ind w:right="200" w:firstLine="2639"/>
        <w:spacing w:after="0" w:line="241" w:lineRule="auto"/>
        <w:tabs>
          <w:tab w:leader="none" w:pos="3507"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class and number of shares of the corporation that are held of record or are owned beneficially by such Soliciting Stockholder or any Stockholder Associated Person and any derivative positions held or beneficially held by such Soliciting Stockholder or any Stockholder Associated Person;</w:t>
      </w:r>
    </w:p>
    <w:p>
      <w:pPr>
        <w:spacing w:after="0" w:line="174" w:lineRule="exact"/>
        <w:rPr>
          <w:rFonts w:ascii="Arial" w:cs="Arial" w:eastAsia="Arial" w:hAnsi="Arial"/>
          <w:sz w:val="21"/>
          <w:szCs w:val="21"/>
          <w:color w:val="auto"/>
        </w:rPr>
      </w:pPr>
    </w:p>
    <w:p>
      <w:pPr>
        <w:ind w:firstLine="2639"/>
        <w:spacing w:after="0" w:line="235" w:lineRule="auto"/>
        <w:tabs>
          <w:tab w:leader="none" w:pos="3564" w:val="left"/>
        </w:tabs>
        <w:numPr>
          <w:ilvl w:val="0"/>
          <w:numId w:val="48"/>
        </w:numPr>
        <w:rPr>
          <w:rFonts w:ascii="Arial" w:cs="Arial" w:eastAsia="Arial" w:hAnsi="Arial"/>
          <w:sz w:val="21"/>
          <w:szCs w:val="21"/>
          <w:color w:val="auto"/>
        </w:rPr>
      </w:pPr>
      <w:r>
        <w:rPr>
          <w:rFonts w:ascii="Arial" w:cs="Arial" w:eastAsia="Arial" w:hAnsi="Arial"/>
          <w:sz w:val="21"/>
          <w:szCs w:val="21"/>
          <w:color w:val="auto"/>
        </w:rPr>
        <w:t>whether and the extent to which any hedging or other transaction or series of transactions has been entered into by or on behalf of such Soliciting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Soliciting Stockholder or any Stockholder Associated Person with respect to any securities of the corporation ;</w:t>
      </w:r>
    </w:p>
    <w:p>
      <w:pPr>
        <w:spacing w:after="0" w:line="179" w:lineRule="exact"/>
        <w:rPr>
          <w:rFonts w:ascii="Arial" w:cs="Arial" w:eastAsia="Arial" w:hAnsi="Arial"/>
          <w:sz w:val="21"/>
          <w:szCs w:val="21"/>
          <w:color w:val="auto"/>
        </w:rPr>
      </w:pPr>
    </w:p>
    <w:p>
      <w:pPr>
        <w:ind w:right="200" w:firstLine="2639"/>
        <w:spacing w:after="0" w:line="252" w:lineRule="auto"/>
        <w:tabs>
          <w:tab w:leader="none" w:pos="3553" w:val="left"/>
        </w:tabs>
        <w:numPr>
          <w:ilvl w:val="0"/>
          <w:numId w:val="48"/>
        </w:numPr>
        <w:rPr>
          <w:rFonts w:ascii="Arial" w:cs="Arial" w:eastAsia="Arial" w:hAnsi="Arial"/>
          <w:sz w:val="21"/>
          <w:szCs w:val="21"/>
          <w:color w:val="auto"/>
        </w:rPr>
      </w:pPr>
      <w:r>
        <w:rPr>
          <w:rFonts w:ascii="Arial" w:cs="Arial" w:eastAsia="Arial" w:hAnsi="Arial"/>
          <w:sz w:val="21"/>
          <w:szCs w:val="21"/>
          <w:color w:val="auto"/>
        </w:rPr>
        <w:t>any material interest of such Soliciting Stockholder or any Stockholder Associated Person in any of the actions to be taken by written consent;</w:t>
      </w:r>
    </w:p>
    <w:p>
      <w:pPr>
        <w:spacing w:after="0" w:line="163" w:lineRule="exact"/>
        <w:rPr>
          <w:rFonts w:ascii="Arial" w:cs="Arial" w:eastAsia="Arial" w:hAnsi="Arial"/>
          <w:sz w:val="21"/>
          <w:szCs w:val="21"/>
          <w:color w:val="auto"/>
        </w:rPr>
      </w:pPr>
    </w:p>
    <w:p>
      <w:pPr>
        <w:ind w:right="300" w:firstLine="2639"/>
        <w:spacing w:after="0" w:line="241" w:lineRule="auto"/>
        <w:tabs>
          <w:tab w:leader="none" w:pos="3495" w:val="left"/>
        </w:tabs>
        <w:numPr>
          <w:ilvl w:val="0"/>
          <w:numId w:val="48"/>
        </w:numPr>
        <w:rPr>
          <w:rFonts w:ascii="Arial" w:cs="Arial" w:eastAsia="Arial" w:hAnsi="Arial"/>
          <w:sz w:val="21"/>
          <w:szCs w:val="21"/>
          <w:color w:val="auto"/>
        </w:rPr>
      </w:pPr>
      <w:r>
        <w:rPr>
          <w:rFonts w:ascii="Arial" w:cs="Arial" w:eastAsia="Arial" w:hAnsi="Arial"/>
          <w:sz w:val="21"/>
          <w:szCs w:val="21"/>
          <w:color w:val="auto"/>
        </w:rPr>
        <w:t>a completed and duly executed written questionnaire with respect to the background of such Soliciting Stockholder or any Stockholder Associated Person (which questionnaire shall be provided by the Secretary promptly upon written request);</w:t>
      </w:r>
    </w:p>
    <w:p>
      <w:pPr>
        <w:spacing w:after="0" w:line="174" w:lineRule="exact"/>
        <w:rPr>
          <w:rFonts w:ascii="Arial" w:cs="Arial" w:eastAsia="Arial" w:hAnsi="Arial"/>
          <w:sz w:val="21"/>
          <w:szCs w:val="21"/>
          <w:color w:val="auto"/>
        </w:rPr>
      </w:pPr>
    </w:p>
    <w:p>
      <w:pPr>
        <w:ind w:right="80" w:firstLine="2639"/>
        <w:spacing w:after="0" w:line="279" w:lineRule="auto"/>
        <w:tabs>
          <w:tab w:leader="none" w:pos="3553"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other information relating to such Soliciting Stockholder or any Stockholder Associated Person that would be required to be disclosed in a proxy statement or other filings required to be made in connection with solicitations of proxies for the action proposed by to taken by written consent pursuant to Regulation 14A under the 1934 Act;</w:t>
      </w:r>
    </w:p>
    <w:p>
      <w:pPr>
        <w:spacing w:after="0" w:line="140" w:lineRule="exact"/>
        <w:rPr>
          <w:rFonts w:ascii="Arial" w:cs="Arial" w:eastAsia="Arial" w:hAnsi="Arial"/>
          <w:sz w:val="19"/>
          <w:szCs w:val="19"/>
          <w:color w:val="auto"/>
        </w:rPr>
      </w:pPr>
    </w:p>
    <w:p>
      <w:pPr>
        <w:ind w:right="160" w:firstLine="2639"/>
        <w:spacing w:after="0" w:line="236" w:lineRule="auto"/>
        <w:tabs>
          <w:tab w:leader="none" w:pos="361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to enable them to be considered consistent with requirements applicable to all nominees, if directors are to be elected by written consent, with respect to each person proposed by a stockholder to be elected by written consent, all such information, materials, statements, consents and representations (including all fully completed questionnaires and other forms) required to be submitted with respect to nominees for director election at an annual meeting of stockholders as specified in Section 1.4; and</w:t>
      </w:r>
    </w:p>
    <w:p>
      <w:pPr>
        <w:spacing w:after="0" w:line="179" w:lineRule="exact"/>
        <w:rPr>
          <w:rFonts w:ascii="Arial" w:cs="Arial" w:eastAsia="Arial" w:hAnsi="Arial"/>
          <w:sz w:val="21"/>
          <w:szCs w:val="21"/>
          <w:color w:val="auto"/>
        </w:rPr>
      </w:pPr>
    </w:p>
    <w:p>
      <w:pPr>
        <w:ind w:right="540" w:firstLine="2639"/>
        <w:spacing w:after="0" w:line="241" w:lineRule="auto"/>
        <w:tabs>
          <w:tab w:leader="none" w:pos="3667" w:val="left"/>
        </w:tabs>
        <w:numPr>
          <w:ilvl w:val="0"/>
          <w:numId w:val="48"/>
        </w:numPr>
        <w:rPr>
          <w:rFonts w:ascii="Arial" w:cs="Arial" w:eastAsia="Arial" w:hAnsi="Arial"/>
          <w:sz w:val="21"/>
          <w:szCs w:val="21"/>
          <w:color w:val="auto"/>
        </w:rPr>
      </w:pPr>
      <w:r>
        <w:rPr>
          <w:rFonts w:ascii="Arial" w:cs="Arial" w:eastAsia="Arial" w:hAnsi="Arial"/>
          <w:sz w:val="21"/>
          <w:szCs w:val="21"/>
          <w:color w:val="auto"/>
        </w:rPr>
        <w:t>a representation and undertaking that such Soliciting Stockholder or any Stockholder Associated Person will use reasonable efforts to deliver a proxy statement and form of proxy to all stockholders entitled to deliver a written consent.</w:t>
      </w:r>
    </w:p>
    <w:p>
      <w:pPr>
        <w:spacing w:after="0" w:line="175" w:lineRule="exact"/>
        <w:rPr>
          <w:sz w:val="20"/>
          <w:szCs w:val="20"/>
          <w:color w:val="auto"/>
        </w:rPr>
      </w:pPr>
    </w:p>
    <w:p>
      <w:pPr>
        <w:ind w:right="40" w:firstLine="878"/>
        <w:spacing w:after="0" w:line="241" w:lineRule="auto"/>
        <w:rPr>
          <w:sz w:val="20"/>
          <w:szCs w:val="20"/>
          <w:color w:val="auto"/>
        </w:rPr>
      </w:pPr>
      <w:r>
        <w:rPr>
          <w:rFonts w:ascii="Arial" w:cs="Arial" w:eastAsia="Arial" w:hAnsi="Arial"/>
          <w:sz w:val="21"/>
          <w:szCs w:val="21"/>
          <w:color w:val="auto"/>
        </w:rPr>
        <w:t>Each such written request must be supplemented, if necessary, not later than ten days following the record date for determining the stockholders entitled to act by written consent so that the information contained in such written request is true and correct as of such record date.</w:t>
      </w:r>
    </w:p>
    <w:p>
      <w:pPr>
        <w:spacing w:after="0" w:line="175" w:lineRule="exact"/>
        <w:rPr>
          <w:sz w:val="20"/>
          <w:szCs w:val="20"/>
          <w:color w:val="auto"/>
        </w:rPr>
      </w:pPr>
    </w:p>
    <w:p>
      <w:pPr>
        <w:ind w:firstLine="1760"/>
        <w:spacing w:after="0" w:line="273" w:lineRule="auto"/>
        <w:tabs>
          <w:tab w:leader="none" w:pos="26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Secretary shall not accept, and shall consider ineffective, a written request pursuant to Section 1.11(1) asking that the Board of Directors fix a record date (i) that does not comply with the provisions of these bylaws; (ii) that relates to an item of business that is not a proper subject for stockholder action under applicable law; (iii) if such written request is delivered between the time beginning on the 31st day after the earliest date of signature on a written request that has been delivered to the Secretary relating to an identical or substantially similar item (hereinafter for purposes of this Section 1.11, a “</w:t>
      </w:r>
      <w:r>
        <w:rPr>
          <w:rFonts w:ascii="Arial" w:cs="Arial" w:eastAsia="Arial" w:hAnsi="Arial"/>
          <w:sz w:val="18"/>
          <w:szCs w:val="18"/>
          <w:b w:val="1"/>
          <w:bCs w:val="1"/>
          <w:color w:val="auto"/>
        </w:rPr>
        <w:t>Similar Item</w:t>
      </w:r>
      <w:r>
        <w:rPr>
          <w:rFonts w:ascii="Arial" w:cs="Arial" w:eastAsia="Arial" w:hAnsi="Arial"/>
          <w:sz w:val="18"/>
          <w:szCs w:val="18"/>
          <w:color w:val="auto"/>
        </w:rPr>
        <w:t>”) and ending on the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84" w:name="page85"/>
    <w:bookmarkEnd w:id="84"/>
    <w:p>
      <w:pPr>
        <w:jc w:val="both"/>
        <w:ind w:right="20"/>
        <w:spacing w:after="0" w:line="279" w:lineRule="auto"/>
        <w:rPr>
          <w:sz w:val="20"/>
          <w:szCs w:val="20"/>
          <w:color w:val="auto"/>
        </w:rPr>
      </w:pPr>
      <w:r>
        <w:rPr>
          <w:rFonts w:ascii="Arial" w:cs="Arial" w:eastAsia="Arial" w:hAnsi="Arial"/>
          <w:sz w:val="19"/>
          <w:szCs w:val="19"/>
          <w:color w:val="auto"/>
        </w:rPr>
        <w:t>one-year anniversary of such earliest date; (iv) if a Similar Item will be submitted for stockholder approval at any stockholder meeting to be held on or before the 120th day after the Secretary receives such written request; or (v) if a Similar Item has been presented at the most recent annual meeting or at any special meeting held within one year prior to the receipt by the Secretary of such written request.</w:t>
      </w:r>
    </w:p>
    <w:p>
      <w:pPr>
        <w:spacing w:after="0" w:line="140" w:lineRule="exact"/>
        <w:rPr>
          <w:sz w:val="20"/>
          <w:szCs w:val="20"/>
          <w:color w:val="auto"/>
        </w:rPr>
      </w:pPr>
    </w:p>
    <w:p>
      <w:pPr>
        <w:ind w:firstLine="1760"/>
        <w:spacing w:after="0" w:line="272" w:lineRule="auto"/>
        <w:tabs>
          <w:tab w:leader="none" w:pos="26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of the delivery, in the manner provided by Section 228 of the DGCL, to the corporation of the requisite written consent or consents to take corporate action after giving effect to any related revocation or revocations, the corporation shall engage an independent inspector or inspectors of elections for the purpose of promptly performing a ministerial review of the validity of the consents and revocations. For the purpose of permitting the inspector or inspectors to perform such review, no action by written consent without a meeting shall be effective until such date as the independent inspector or inspectors certify to the corporation that the consents delivered to the corporation in accordance with applicable law represent at least the minimum number of votes that would be necessary to take the corporate action. To the fullest extent permitted by Delaware law, the action by written consent will take effect as of the date and time of the certification of the written consents and will not relate back to the date that the written consents were delivered to the corporation. In conducting the review required by this Section 1.11(5), the independent inspector or inspectors may, at the expense of the corporation, retain legal counsel and any other necessary or appropriate professional advisors and such other personnel as they may deem necessary or appropriate to assist them and shall be fully protected in relying in good faith upon the opinion of such counsel or advisors. Nothing contained in this Section 1.11(5) shall in any way be construed to suggest or imply that the Board of Directors or any stockholder shall not be entitled to contest the validity of any consent or revocation thereof, whether before or after such certification by the independent inspector or inspectors, or to take any other action (including, without limitation, the commencement, prosecution or defense of any litigation with respect thereto, and the seeking of injunctive relief in such litigation). If after such review the independent inspector or inspectors shall determine that the written consent or consents are valid and that the action specified therein has been validly authorized, that fact shall forthwith be certified on the records of the corporation kept for the purpose of recording the proceedings of meetings of stockholders, and the written consent or consents shall be filed in such records.</w:t>
      </w:r>
    </w:p>
    <w:p>
      <w:pPr>
        <w:spacing w:after="0" w:line="160" w:lineRule="exact"/>
        <w:rPr>
          <w:rFonts w:ascii="Arial" w:cs="Arial" w:eastAsia="Arial" w:hAnsi="Arial"/>
          <w:sz w:val="18"/>
          <w:szCs w:val="18"/>
          <w:color w:val="auto"/>
        </w:rPr>
      </w:pPr>
    </w:p>
    <w:p>
      <w:pPr>
        <w:ind w:right="100" w:firstLine="1760"/>
        <w:spacing w:after="0" w:line="304" w:lineRule="auto"/>
        <w:tabs>
          <w:tab w:leader="none" w:pos="2616" w:val="left"/>
        </w:tabs>
        <w:numPr>
          <w:ilvl w:val="0"/>
          <w:numId w:val="50"/>
        </w:numPr>
        <w:rPr>
          <w:rFonts w:ascii="Arial" w:cs="Arial" w:eastAsia="Arial" w:hAnsi="Arial"/>
          <w:sz w:val="19"/>
          <w:szCs w:val="19"/>
          <w:color w:val="auto"/>
        </w:rPr>
      </w:pPr>
      <w:r>
        <w:rPr>
          <w:rFonts w:ascii="Arial" w:cs="Arial" w:eastAsia="Arial" w:hAnsi="Arial"/>
          <w:sz w:val="19"/>
          <w:szCs w:val="19"/>
          <w:color w:val="auto"/>
        </w:rPr>
        <w:t>Prompt notice of the taking of corporate action without a meeting by less than unanimous written consent shall be given to those stockholders entitled thereto in accordance with Section 228(e) of the DGCL and other applicable law.</w:t>
      </w:r>
    </w:p>
    <w:p>
      <w:pPr>
        <w:spacing w:after="0" w:line="116" w:lineRule="exact"/>
        <w:rPr>
          <w:rFonts w:ascii="Arial" w:cs="Arial" w:eastAsia="Arial" w:hAnsi="Arial"/>
          <w:sz w:val="19"/>
          <w:szCs w:val="19"/>
          <w:color w:val="auto"/>
        </w:rPr>
      </w:pPr>
    </w:p>
    <w:p>
      <w:pPr>
        <w:ind w:right="240" w:firstLine="1760"/>
        <w:spacing w:after="0" w:line="246" w:lineRule="auto"/>
        <w:tabs>
          <w:tab w:leader="none" w:pos="2616"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person executing a consent may provide, whether through instruction to an agent or otherwise, that such a consent will be effective at a future time (including a time determined upon the happening of an event), no later than sixty days after such instruction is given or provision is made, if evidence of such instruction or provision is provided to the corporation. Unless otherwise provided, any consent shall be revocable prior to its becoming effective.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85" w:name="page86"/>
    <w:bookmarkEnd w:id="85"/>
    <w:p>
      <w:pPr>
        <w:ind w:firstLine="1760"/>
        <w:spacing w:after="0" w:line="277" w:lineRule="auto"/>
        <w:tabs>
          <w:tab w:leader="none" w:pos="26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Board of Directors shall determine in good faith whether the requirements set forth in the certificate of incorporation or these bylaws have been satisfied. If the Board of Directors shall determine that any written request asking the Board of Directors to fix a record date to take action by written consent was not properly made in accordance with applicable law, the certificate of incorporation or these bylaws, or if the Board of Directors shall determine that the stockholder or stockholders seeking to take such action do not otherwise comply with applicable law, the certificate of incorporation or these bylaws, then the Board of Directors shall not be required to fix a record date and any such purported action by written consent shall be null and void to the fullest extent permitted by applicable law. In addition to the requirements of the certificate of incorporation or these bylaws with respect to stockholders seeking to take an action by written consent, any stockholder of record seeking to have the stockholders authorize or take corporate action by written consent shall comply with all requirements of applicable law, including all requirements of the 1934 Act, with respect to such action.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BOARD OF DIRECTORS</w:t>
      </w:r>
    </w:p>
    <w:p>
      <w:pPr>
        <w:spacing w:after="0" w:line="19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20"/>
          <w:szCs w:val="20"/>
          <w:u w:val="single" w:color="auto"/>
          <w:color w:val="auto"/>
        </w:rPr>
        <w:t>NUMBER; QUALIFICATIONS</w:t>
      </w:r>
    </w:p>
    <w:p>
      <w:pPr>
        <w:spacing w:after="0" w:line="197" w:lineRule="exact"/>
        <w:rPr>
          <w:sz w:val="20"/>
          <w:szCs w:val="20"/>
          <w:color w:val="auto"/>
        </w:rPr>
      </w:pPr>
    </w:p>
    <w:p>
      <w:pPr>
        <w:ind w:right="600" w:firstLine="878"/>
        <w:spacing w:after="0" w:line="252" w:lineRule="auto"/>
        <w:rPr>
          <w:sz w:val="20"/>
          <w:szCs w:val="20"/>
          <w:color w:val="auto"/>
        </w:rPr>
      </w:pPr>
      <w:r>
        <w:rPr>
          <w:rFonts w:ascii="Arial" w:cs="Arial" w:eastAsia="Arial" w:hAnsi="Arial"/>
          <w:sz w:val="21"/>
          <w:szCs w:val="21"/>
          <w:color w:val="auto"/>
        </w:rPr>
        <w:t>The Board of Directors shall consist of one or more members, the number thereof to be determined from time to time by resolution of the Board of Directors. Directors need not be stockholders.</w:t>
      </w:r>
    </w:p>
    <w:p>
      <w:pPr>
        <w:spacing w:after="0" w:line="163"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19"/>
          <w:szCs w:val="19"/>
          <w:u w:val="single" w:color="auto"/>
          <w:color w:val="auto"/>
        </w:rPr>
        <w:t>ELECTION; RESIGNATION; REMOVAL; VACANCIES</w:t>
      </w:r>
    </w:p>
    <w:p>
      <w:pPr>
        <w:spacing w:after="0" w:line="197" w:lineRule="exact"/>
        <w:rPr>
          <w:sz w:val="20"/>
          <w:szCs w:val="20"/>
          <w:color w:val="auto"/>
        </w:rPr>
      </w:pPr>
    </w:p>
    <w:p>
      <w:pPr>
        <w:ind w:right="20" w:firstLine="878"/>
        <w:spacing w:after="0" w:line="246" w:lineRule="auto"/>
        <w:rPr>
          <w:sz w:val="20"/>
          <w:szCs w:val="20"/>
          <w:color w:val="auto"/>
        </w:rPr>
      </w:pPr>
      <w:r>
        <w:rPr>
          <w:rFonts w:ascii="Arial" w:cs="Arial" w:eastAsia="Arial" w:hAnsi="Arial"/>
          <w:sz w:val="20"/>
          <w:szCs w:val="20"/>
          <w:color w:val="auto"/>
        </w:rPr>
        <w:t>The Board of Directors shall initially consist of the persons named as directors in the certificate of incorporation, and each director so elected shall hold office until the first annual meeting of stockholders or until his successor is elected and qualified. At the first annual meeting of stockholders and at each annual meeting thereafter, the stockholders shall elect directors each of whom shall hold office for a term of one year and until his or her successor is elected and qualified or until such director’s earlier death, resignation or removal. Any director may resign at any time upon notice given in writing or by electronic transmission to the corporation. Any newly created directorship or any vacancy occurring in the Board of Directors for any cause may be filled only by a majority of the remaining members of the Board of Directors, although such majority is less than a quorum, and not by stockholders, and each director so elected shall hold office until the expiration of the term of office of the director whom he or she has replaced and until his or her successor is elected and qualified. No reduction of the authorized number of directors shall have the effect of removing any director before that director’s term of office expires.</w:t>
      </w:r>
    </w:p>
    <w:p>
      <w:pPr>
        <w:spacing w:after="0" w:line="16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19"/>
          <w:szCs w:val="19"/>
          <w:u w:val="single" w:color="auto"/>
          <w:color w:val="auto"/>
        </w:rPr>
        <w:t>REGULAR MEETINGS</w:t>
      </w:r>
    </w:p>
    <w:p>
      <w:pPr>
        <w:spacing w:after="0" w:line="197" w:lineRule="exact"/>
        <w:rPr>
          <w:sz w:val="20"/>
          <w:szCs w:val="20"/>
          <w:color w:val="auto"/>
        </w:rPr>
      </w:pPr>
    </w:p>
    <w:p>
      <w:pPr>
        <w:ind w:right="420" w:firstLine="878"/>
        <w:spacing w:after="0" w:line="264" w:lineRule="auto"/>
        <w:rPr>
          <w:sz w:val="20"/>
          <w:szCs w:val="20"/>
          <w:color w:val="auto"/>
        </w:rPr>
      </w:pPr>
      <w:r>
        <w:rPr>
          <w:rFonts w:ascii="Arial" w:cs="Arial" w:eastAsia="Arial" w:hAnsi="Arial"/>
          <w:sz w:val="19"/>
          <w:szCs w:val="19"/>
          <w:color w:val="auto"/>
        </w:rPr>
        <w:t>Regular meetings of the Board of Directors may be held at such places within or without the State of Delaware and at such times as the Board of Directors may from time to time determine, and if so determined notices thereof need not be given.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86" w:name="page87"/>
    <w:bookmarkEnd w:id="86"/>
    <w:p>
      <w:pPr>
        <w:ind w:left="880"/>
        <w:spacing w:after="0"/>
        <w:tabs>
          <w:tab w:leader="none" w:pos="174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19"/>
          <w:szCs w:val="19"/>
          <w:u w:val="single" w:color="auto"/>
          <w:color w:val="auto"/>
        </w:rPr>
        <w:t>SPECIAL MEETINGS</w:t>
      </w:r>
    </w:p>
    <w:p>
      <w:pPr>
        <w:spacing w:after="0" w:line="197" w:lineRule="exact"/>
        <w:rPr>
          <w:sz w:val="20"/>
          <w:szCs w:val="20"/>
          <w:color w:val="auto"/>
        </w:rPr>
      </w:pPr>
    </w:p>
    <w:p>
      <w:pPr>
        <w:ind w:right="80" w:firstLine="878"/>
        <w:spacing w:after="0" w:line="334" w:lineRule="auto"/>
        <w:rPr>
          <w:sz w:val="20"/>
          <w:szCs w:val="20"/>
          <w:color w:val="auto"/>
        </w:rPr>
      </w:pPr>
      <w:r>
        <w:rPr>
          <w:rFonts w:ascii="Arial" w:cs="Arial" w:eastAsia="Arial" w:hAnsi="Arial"/>
          <w:sz w:val="18"/>
          <w:szCs w:val="18"/>
          <w:color w:val="auto"/>
        </w:rPr>
        <w:t>Special meetings of the Board of Directors may be held at any time or place within or without the State of Delaware whenever called by the Chairman of the Board, the chief executive officer, the President, or at least three members of the Board of Directors.</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 of the time and place of special meetings shall be:</w:t>
      </w:r>
    </w:p>
    <w:p>
      <w:pPr>
        <w:spacing w:after="0" w:line="197" w:lineRule="exact"/>
        <w:rPr>
          <w:sz w:val="20"/>
          <w:szCs w:val="20"/>
          <w:color w:val="auto"/>
        </w:rPr>
      </w:pPr>
    </w:p>
    <w:p>
      <w:pPr>
        <w:ind w:left="2920" w:hanging="809"/>
        <w:spacing w:after="0"/>
        <w:tabs>
          <w:tab w:leader="none" w:pos="2920" w:val="left"/>
        </w:tabs>
        <w:numPr>
          <w:ilvl w:val="0"/>
          <w:numId w:val="52"/>
        </w:numPr>
        <w:rPr>
          <w:rFonts w:ascii="Arial" w:cs="Arial" w:eastAsia="Arial" w:hAnsi="Arial"/>
          <w:sz w:val="21"/>
          <w:szCs w:val="21"/>
          <w:color w:val="auto"/>
        </w:rPr>
      </w:pPr>
      <w:r>
        <w:rPr>
          <w:rFonts w:ascii="Arial" w:cs="Arial" w:eastAsia="Arial" w:hAnsi="Arial"/>
          <w:sz w:val="21"/>
          <w:szCs w:val="21"/>
          <w:color w:val="auto"/>
        </w:rPr>
        <w:t>delivered personally by hand, by courier or by telephone;</w:t>
      </w:r>
    </w:p>
    <w:p>
      <w:pPr>
        <w:spacing w:after="0" w:line="196" w:lineRule="exact"/>
        <w:rPr>
          <w:rFonts w:ascii="Arial" w:cs="Arial" w:eastAsia="Arial" w:hAnsi="Arial"/>
          <w:sz w:val="21"/>
          <w:szCs w:val="21"/>
          <w:color w:val="auto"/>
        </w:rPr>
      </w:pPr>
    </w:p>
    <w:p>
      <w:pPr>
        <w:ind w:left="2980" w:hanging="869"/>
        <w:spacing w:after="0"/>
        <w:tabs>
          <w:tab w:leader="none" w:pos="29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sent by United States first-class mail, postage prepaid;</w:t>
      </w:r>
    </w:p>
    <w:p>
      <w:pPr>
        <w:spacing w:after="0" w:line="196" w:lineRule="exact"/>
        <w:rPr>
          <w:rFonts w:ascii="Arial" w:cs="Arial" w:eastAsia="Arial" w:hAnsi="Arial"/>
          <w:sz w:val="21"/>
          <w:szCs w:val="21"/>
          <w:color w:val="auto"/>
        </w:rPr>
      </w:pPr>
    </w:p>
    <w:p>
      <w:pPr>
        <w:ind w:left="3040" w:hanging="929"/>
        <w:spacing w:after="0"/>
        <w:tabs>
          <w:tab w:leader="none" w:pos="3040" w:val="left"/>
        </w:tabs>
        <w:numPr>
          <w:ilvl w:val="0"/>
          <w:numId w:val="52"/>
        </w:numPr>
        <w:rPr>
          <w:rFonts w:ascii="Arial" w:cs="Arial" w:eastAsia="Arial" w:hAnsi="Arial"/>
          <w:sz w:val="21"/>
          <w:szCs w:val="21"/>
          <w:color w:val="auto"/>
        </w:rPr>
      </w:pPr>
      <w:r>
        <w:rPr>
          <w:rFonts w:ascii="Arial" w:cs="Arial" w:eastAsia="Arial" w:hAnsi="Arial"/>
          <w:sz w:val="21"/>
          <w:szCs w:val="21"/>
          <w:color w:val="auto"/>
        </w:rPr>
        <w:t>sent by facsimile;</w:t>
      </w:r>
    </w:p>
    <w:p>
      <w:pPr>
        <w:spacing w:after="0" w:line="196" w:lineRule="exact"/>
        <w:rPr>
          <w:rFonts w:ascii="Arial" w:cs="Arial" w:eastAsia="Arial" w:hAnsi="Arial"/>
          <w:sz w:val="21"/>
          <w:szCs w:val="21"/>
          <w:color w:val="auto"/>
        </w:rPr>
      </w:pPr>
    </w:p>
    <w:p>
      <w:pPr>
        <w:ind w:left="3020" w:hanging="909"/>
        <w:spacing w:after="0"/>
        <w:tabs>
          <w:tab w:leader="none" w:pos="3020" w:val="left"/>
        </w:tabs>
        <w:numPr>
          <w:ilvl w:val="0"/>
          <w:numId w:val="52"/>
        </w:numPr>
        <w:rPr>
          <w:rFonts w:ascii="Arial" w:cs="Arial" w:eastAsia="Arial" w:hAnsi="Arial"/>
          <w:sz w:val="21"/>
          <w:szCs w:val="21"/>
          <w:color w:val="auto"/>
        </w:rPr>
      </w:pPr>
      <w:r>
        <w:rPr>
          <w:rFonts w:ascii="Arial" w:cs="Arial" w:eastAsia="Arial" w:hAnsi="Arial"/>
          <w:sz w:val="21"/>
          <w:szCs w:val="21"/>
          <w:color w:val="auto"/>
        </w:rPr>
        <w:t>sent by electronic mail; or</w:t>
      </w:r>
    </w:p>
    <w:p>
      <w:pPr>
        <w:spacing w:after="0" w:line="196" w:lineRule="exact"/>
        <w:rPr>
          <w:rFonts w:ascii="Arial" w:cs="Arial" w:eastAsia="Arial" w:hAnsi="Arial"/>
          <w:sz w:val="21"/>
          <w:szCs w:val="21"/>
          <w:color w:val="auto"/>
        </w:rPr>
      </w:pPr>
    </w:p>
    <w:p>
      <w:pPr>
        <w:ind w:left="2980" w:hanging="869"/>
        <w:spacing w:after="0"/>
        <w:tabs>
          <w:tab w:leader="none" w:pos="29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otherwise given by electronic transmission (as defined below),</w:t>
      </w:r>
    </w:p>
    <w:p>
      <w:pPr>
        <w:spacing w:after="0" w:line="197"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the notice is (i) delivered personally by hand, by courier or by telephone, (ii) sent by facsimile, (iii) sent by electronic mail or</w:t>
      </w:r>
    </w:p>
    <w:p>
      <w:pPr>
        <w:spacing w:after="0" w:line="32" w:lineRule="exact"/>
        <w:rPr>
          <w:sz w:val="20"/>
          <w:szCs w:val="20"/>
          <w:color w:val="auto"/>
        </w:rPr>
      </w:pPr>
    </w:p>
    <w:p>
      <w:pPr>
        <w:ind w:right="120" w:firstLine="3"/>
        <w:spacing w:after="0" w:line="233" w:lineRule="auto"/>
        <w:tabs>
          <w:tab w:leader="none" w:pos="349" w:val="left"/>
        </w:tabs>
        <w:numPr>
          <w:ilvl w:val="0"/>
          <w:numId w:val="53"/>
        </w:numPr>
        <w:rPr>
          <w:rFonts w:ascii="Arial" w:cs="Arial" w:eastAsia="Arial" w:hAnsi="Arial"/>
          <w:sz w:val="21"/>
          <w:szCs w:val="21"/>
          <w:color w:val="auto"/>
        </w:rPr>
      </w:pPr>
      <w:r>
        <w:rPr>
          <w:rFonts w:ascii="Arial" w:cs="Arial" w:eastAsia="Arial" w:hAnsi="Arial"/>
          <w:sz w:val="21"/>
          <w:szCs w:val="21"/>
          <w:color w:val="auto"/>
        </w:rPr>
        <w:t>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 unless required by statute.</w:t>
      </w:r>
    </w:p>
    <w:p>
      <w:pPr>
        <w:spacing w:after="0" w:line="17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2.5</w:t>
      </w:r>
      <w:r>
        <w:rPr>
          <w:sz w:val="20"/>
          <w:szCs w:val="20"/>
          <w:color w:val="auto"/>
        </w:rPr>
        <w:tab/>
      </w:r>
      <w:r>
        <w:rPr>
          <w:rFonts w:ascii="Arial" w:cs="Arial" w:eastAsia="Arial" w:hAnsi="Arial"/>
          <w:sz w:val="19"/>
          <w:szCs w:val="19"/>
          <w:u w:val="single" w:color="auto"/>
          <w:color w:val="auto"/>
        </w:rPr>
        <w:t>TELEPHONIC MEETINGS PERMITTED</w:t>
      </w:r>
    </w:p>
    <w:p>
      <w:pPr>
        <w:spacing w:after="0" w:line="197" w:lineRule="exact"/>
        <w:rPr>
          <w:sz w:val="20"/>
          <w:szCs w:val="20"/>
          <w:color w:val="auto"/>
        </w:rPr>
      </w:pPr>
    </w:p>
    <w:p>
      <w:pPr>
        <w:ind w:right="20" w:firstLine="878"/>
        <w:spacing w:after="0" w:line="279" w:lineRule="auto"/>
        <w:rPr>
          <w:sz w:val="20"/>
          <w:szCs w:val="20"/>
          <w:color w:val="auto"/>
        </w:rPr>
      </w:pPr>
      <w:r>
        <w:rPr>
          <w:rFonts w:ascii="Arial" w:cs="Arial" w:eastAsia="Arial" w:hAnsi="Arial"/>
          <w:sz w:val="19"/>
          <w:szCs w:val="19"/>
          <w:color w:val="auto"/>
        </w:rPr>
        <w:t>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4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19"/>
          <w:szCs w:val="19"/>
          <w:u w:val="single" w:color="auto"/>
          <w:color w:val="auto"/>
        </w:rPr>
        <w:t>QUORUM; VOTE REQUIRED FOR ACTION</w:t>
      </w:r>
    </w:p>
    <w:p>
      <w:pPr>
        <w:spacing w:after="0" w:line="197" w:lineRule="exact"/>
        <w:rPr>
          <w:sz w:val="20"/>
          <w:szCs w:val="20"/>
          <w:color w:val="auto"/>
        </w:rPr>
      </w:pPr>
    </w:p>
    <w:p>
      <w:pPr>
        <w:ind w:right="80" w:firstLine="878"/>
        <w:spacing w:after="0" w:line="245" w:lineRule="auto"/>
        <w:rPr>
          <w:sz w:val="20"/>
          <w:szCs w:val="20"/>
          <w:color w:val="auto"/>
        </w:rPr>
      </w:pPr>
      <w:r>
        <w:rPr>
          <w:rFonts w:ascii="Arial" w:cs="Arial" w:eastAsia="Arial" w:hAnsi="Arial"/>
          <w:sz w:val="20"/>
          <w:szCs w:val="20"/>
          <w:color w:val="auto"/>
        </w:rPr>
        <w:t>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Except in cases in which the certificate of incorporation or these bylaws otherwise provide, the affirmative vote of a majority of the directors present at a meeting at which a quorum is present shall be the act of the Board of Directors.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87" w:name="page88"/>
    <w:bookmarkEnd w:id="87"/>
    <w:p>
      <w:pPr>
        <w:ind w:left="880"/>
        <w:spacing w:after="0"/>
        <w:tabs>
          <w:tab w:leader="none" w:pos="1740" w:val="left"/>
        </w:tabs>
        <w:rPr>
          <w:sz w:val="20"/>
          <w:szCs w:val="20"/>
          <w:color w:val="auto"/>
        </w:rPr>
      </w:pPr>
      <w:r>
        <w:rPr>
          <w:rFonts w:ascii="Arial" w:cs="Arial" w:eastAsia="Arial" w:hAnsi="Arial"/>
          <w:sz w:val="21"/>
          <w:szCs w:val="21"/>
          <w:color w:val="auto"/>
        </w:rPr>
        <w:t>2.7</w:t>
      </w:r>
      <w:r>
        <w:rPr>
          <w:sz w:val="20"/>
          <w:szCs w:val="20"/>
          <w:color w:val="auto"/>
        </w:rPr>
        <w:tab/>
      </w:r>
      <w:r>
        <w:rPr>
          <w:rFonts w:ascii="Arial" w:cs="Arial" w:eastAsia="Arial" w:hAnsi="Arial"/>
          <w:sz w:val="20"/>
          <w:szCs w:val="20"/>
          <w:u w:val="single" w:color="auto"/>
          <w:color w:val="auto"/>
        </w:rPr>
        <w:t>ORGANIZATION</w:t>
      </w:r>
    </w:p>
    <w:p>
      <w:pPr>
        <w:spacing w:after="0" w:line="197" w:lineRule="exact"/>
        <w:rPr>
          <w:sz w:val="20"/>
          <w:szCs w:val="20"/>
          <w:color w:val="auto"/>
        </w:rPr>
      </w:pPr>
    </w:p>
    <w:p>
      <w:pPr>
        <w:ind w:right="160" w:firstLine="878"/>
        <w:spacing w:after="0" w:line="238" w:lineRule="auto"/>
        <w:rPr>
          <w:sz w:val="20"/>
          <w:szCs w:val="20"/>
          <w:color w:val="auto"/>
        </w:rPr>
      </w:pPr>
      <w:r>
        <w:rPr>
          <w:rFonts w:ascii="Arial" w:cs="Arial" w:eastAsia="Arial" w:hAnsi="Arial"/>
          <w:sz w:val="21"/>
          <w:szCs w:val="21"/>
          <w:color w:val="auto"/>
        </w:rPr>
        <w:t>Meetings of the Board of Directors shall be presided over by the Chairman of the Board, if any, or in his absence by the Vice Chairman of the Board, if any, or in his absence by the President, or in their absence by a chairman chosen at the meeting. The Secretary shall act as secretary of the meeting, but in his absence the chairman of the meeting may appoint any person to act as secretary of the meeting.</w:t>
      </w:r>
    </w:p>
    <w:p>
      <w:pPr>
        <w:spacing w:after="0" w:line="17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2.8</w:t>
      </w:r>
      <w:r>
        <w:rPr>
          <w:sz w:val="20"/>
          <w:szCs w:val="20"/>
          <w:color w:val="auto"/>
        </w:rPr>
        <w:tab/>
      </w:r>
      <w:r>
        <w:rPr>
          <w:rFonts w:ascii="Arial" w:cs="Arial" w:eastAsia="Arial" w:hAnsi="Arial"/>
          <w:sz w:val="20"/>
          <w:szCs w:val="20"/>
          <w:u w:val="single" w:color="auto"/>
          <w:color w:val="auto"/>
        </w:rPr>
        <w:t>BOARD ACTION BY WRITTEN CONSENT WITHOUT A MEETING</w:t>
      </w:r>
    </w:p>
    <w:p>
      <w:pPr>
        <w:spacing w:after="0" w:line="197" w:lineRule="exact"/>
        <w:rPr>
          <w:sz w:val="20"/>
          <w:szCs w:val="20"/>
          <w:color w:val="auto"/>
        </w:rPr>
      </w:pPr>
    </w:p>
    <w:p>
      <w:pPr>
        <w:ind w:right="40" w:firstLine="878"/>
        <w:spacing w:after="0" w:line="246" w:lineRule="auto"/>
        <w:rPr>
          <w:sz w:val="20"/>
          <w:szCs w:val="20"/>
          <w:color w:val="auto"/>
        </w:rPr>
      </w:pPr>
      <w:r>
        <w:rPr>
          <w:rFonts w:ascii="Arial" w:cs="Arial" w:eastAsia="Arial" w:hAnsi="Arial"/>
          <w:sz w:val="20"/>
          <w:szCs w:val="20"/>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 or transmissions are filed with the minutes of proceedings of the Board of Directors or such 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sixty days after such instruction is given or such provision is made and such consent shall be deemed to have been given for purposes of this Section 2.8 at such effective time so long as such person is then a director and did not revoke the consent prior to such time. Any such consent shall be revocable prior to its becoming effective.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ARTICLE III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COMMITTEES</w:t>
      </w:r>
    </w:p>
    <w:p>
      <w:pPr>
        <w:spacing w:after="0" w:line="19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20"/>
          <w:szCs w:val="20"/>
          <w:u w:val="single" w:color="auto"/>
          <w:color w:val="auto"/>
        </w:rPr>
        <w:t>COMMITTEES</w:t>
      </w:r>
    </w:p>
    <w:p>
      <w:pPr>
        <w:spacing w:after="0" w:line="197" w:lineRule="exact"/>
        <w:rPr>
          <w:sz w:val="20"/>
          <w:szCs w:val="20"/>
          <w:color w:val="auto"/>
        </w:rPr>
      </w:pPr>
    </w:p>
    <w:p>
      <w:pPr>
        <w:ind w:firstLine="878"/>
        <w:spacing w:after="0" w:line="270" w:lineRule="auto"/>
        <w:rPr>
          <w:sz w:val="20"/>
          <w:szCs w:val="20"/>
          <w:color w:val="auto"/>
        </w:rPr>
      </w:pPr>
      <w:r>
        <w:rPr>
          <w:rFonts w:ascii="Arial" w:cs="Arial" w:eastAsia="Arial" w:hAnsi="Arial"/>
          <w:sz w:val="18"/>
          <w:szCs w:val="18"/>
          <w:color w:val="auto"/>
        </w:rPr>
        <w:t>The Board of Directors may, by resolution passed by a majority of the whole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place of any such absent or disqualified member. Any such committee, to the extent permitted by Section 141(c)(2) of the DGCL and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88" w:name="page89"/>
    <w:bookmarkEnd w:id="88"/>
    <w:p>
      <w:pPr>
        <w:ind w:left="880"/>
        <w:spacing w:after="0"/>
        <w:tabs>
          <w:tab w:leader="none" w:pos="174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COMMITTEE RULES</w:t>
      </w:r>
    </w:p>
    <w:p>
      <w:pPr>
        <w:spacing w:after="0" w:line="197" w:lineRule="exact"/>
        <w:rPr>
          <w:sz w:val="20"/>
          <w:szCs w:val="20"/>
          <w:color w:val="auto"/>
        </w:rPr>
      </w:pPr>
    </w:p>
    <w:p>
      <w:pPr>
        <w:jc w:val="both"/>
        <w:ind w:right="220" w:firstLine="878"/>
        <w:spacing w:after="0" w:line="279" w:lineRule="auto"/>
        <w:rPr>
          <w:sz w:val="20"/>
          <w:szCs w:val="20"/>
          <w:color w:val="auto"/>
        </w:rPr>
      </w:pPr>
      <w:r>
        <w:rPr>
          <w:rFonts w:ascii="Arial" w:cs="Arial" w:eastAsia="Arial" w:hAnsi="Arial"/>
          <w:sz w:val="19"/>
          <w:szCs w:val="19"/>
          <w:color w:val="auto"/>
        </w:rPr>
        <w:t>Unless the Board of Directors otherwise provides, and subject to applicable law, each committee designated by the Board of Directors may make, alter and repeal rules for the conduct of its business. In the absence of such rules each committee shall conduct its business in the same manner as the Board of Directors conducts its business pursuant to Article III of these bylaws.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ARTICLE IV</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OFFICERS</w:t>
      </w:r>
    </w:p>
    <w:p>
      <w:pPr>
        <w:spacing w:after="0" w:line="197" w:lineRule="exact"/>
        <w:rPr>
          <w:sz w:val="20"/>
          <w:szCs w:val="20"/>
          <w:color w:val="auto"/>
        </w:rPr>
      </w:pPr>
    </w:p>
    <w:p>
      <w:pPr>
        <w:ind w:right="140" w:firstLine="878"/>
        <w:spacing w:after="0" w:line="252"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EXECUTIVE OFFICERS; ELECTION; QUALIFICATIONS; TERM OF OFFICE; RESIGNATION; REMOVAL;</w:t>
      </w:r>
      <w:r>
        <w:rPr>
          <w:rFonts w:ascii="Arial" w:cs="Arial" w:eastAsia="Arial" w:hAnsi="Arial"/>
          <w:sz w:val="21"/>
          <w:szCs w:val="21"/>
          <w:color w:val="auto"/>
        </w:rPr>
        <w:t xml:space="preserve"> </w:t>
      </w:r>
      <w:r>
        <w:rPr>
          <w:rFonts w:ascii="Arial" w:cs="Arial" w:eastAsia="Arial" w:hAnsi="Arial"/>
          <w:sz w:val="21"/>
          <w:szCs w:val="21"/>
          <w:u w:val="single" w:color="auto"/>
          <w:color w:val="auto"/>
        </w:rPr>
        <w:t>VACANCIES</w:t>
      </w:r>
    </w:p>
    <w:p>
      <w:pPr>
        <w:spacing w:after="0" w:line="163" w:lineRule="exact"/>
        <w:rPr>
          <w:sz w:val="20"/>
          <w:szCs w:val="20"/>
          <w:color w:val="auto"/>
        </w:rPr>
      </w:pPr>
    </w:p>
    <w:p>
      <w:pPr>
        <w:ind w:firstLine="878"/>
        <w:spacing w:after="0" w:line="261" w:lineRule="auto"/>
        <w:rPr>
          <w:sz w:val="20"/>
          <w:szCs w:val="20"/>
          <w:color w:val="auto"/>
        </w:rPr>
      </w:pPr>
      <w:r>
        <w:rPr>
          <w:rFonts w:ascii="Arial" w:cs="Arial" w:eastAsia="Arial" w:hAnsi="Arial"/>
          <w:sz w:val="19"/>
          <w:szCs w:val="19"/>
          <w:color w:val="auto"/>
        </w:rPr>
        <w:t>The Board of Directors shall elect a President and Secretary, and it may, if it so determines, choose a Chairman of the Board and a Vice Chairman of the Board from among its members. The Board of Directors may also choose one or more Vice Presidents, one or more Assistant Secretaries, a Treasurer, one or more Assistant Treasurers and any such other officers as the Board of Directors deems appropriate. Each such officer shall hold office until the first meeting of the Board of Directors after the annual meeting of stockholders next succeeding his election, and until his successor is elected and qualified or until his earlier resignation or removal. Any officer may resign at any time upon written notice to the corporation.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15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u w:val="single" w:color="auto"/>
          <w:color w:val="auto"/>
        </w:rPr>
        <w:t>POWERS AND DUTIES OF EXECUTIVE OFFICERS</w:t>
      </w:r>
    </w:p>
    <w:p>
      <w:pPr>
        <w:spacing w:after="0" w:line="197" w:lineRule="exact"/>
        <w:rPr>
          <w:sz w:val="20"/>
          <w:szCs w:val="20"/>
          <w:color w:val="auto"/>
        </w:rPr>
      </w:pPr>
    </w:p>
    <w:p>
      <w:pPr>
        <w:ind w:firstLine="878"/>
        <w:spacing w:after="0" w:line="257" w:lineRule="auto"/>
        <w:rPr>
          <w:sz w:val="20"/>
          <w:szCs w:val="20"/>
          <w:color w:val="auto"/>
        </w:rPr>
      </w:pPr>
      <w:r>
        <w:rPr>
          <w:rFonts w:ascii="Arial" w:cs="Arial" w:eastAsia="Arial" w:hAnsi="Arial"/>
          <w:sz w:val="19"/>
          <w:szCs w:val="19"/>
          <w:color w:val="auto"/>
        </w:rPr>
        <w:t>The officers of the corporation shall have such powers and duties in the management of the corporation as may be prescribed by the Board of Directors and, to the extent not so provided, as generally pertain to their respective offices, subject to the control of the Board of Directors. The Board of Directors may require any officer, agent or employee to give security for the faithful performance of his duties. The Chairman of the Board, the Vice Chairman of the Board, the chief executive officer, the President, any Vice President, the Treasurer or any Assistant Treasurer, the Secretary or any Assistant Secretary, or any other person authorized by the Board of Directors or the chief executive officer, the President or a Vice President, is authorized to vote, represent, and exercise on behalf of this corporation all rights incident to any and all securities of any other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80"/>
          </w:cols>
          <w:pgMar w:left="240" w:top="531" w:right="2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21"/>
          <w:szCs w:val="21"/>
          <w:color w:val="auto"/>
        </w:rPr>
        <w:t>ARTICLE V</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STOCK</w:t>
      </w:r>
    </w:p>
    <w:p>
      <w:pPr>
        <w:spacing w:after="0" w:line="19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19"/>
          <w:szCs w:val="19"/>
          <w:u w:val="single" w:color="auto"/>
          <w:color w:val="auto"/>
        </w:rPr>
        <w:t>STOCK CERTIFICATES</w:t>
      </w:r>
    </w:p>
    <w:p>
      <w:pPr>
        <w:spacing w:after="0" w:line="197" w:lineRule="exact"/>
        <w:rPr>
          <w:sz w:val="20"/>
          <w:szCs w:val="20"/>
          <w:color w:val="auto"/>
        </w:rPr>
      </w:pPr>
    </w:p>
    <w:p>
      <w:pPr>
        <w:ind w:right="60" w:firstLine="878"/>
        <w:spacing w:after="0" w:line="246" w:lineRule="auto"/>
        <w:rPr>
          <w:sz w:val="20"/>
          <w:szCs w:val="20"/>
          <w:color w:val="auto"/>
        </w:rPr>
      </w:pPr>
      <w:r>
        <w:rPr>
          <w:rFonts w:ascii="Arial" w:cs="Arial" w:eastAsia="Arial" w:hAnsi="Arial"/>
          <w:sz w:val="20"/>
          <w:szCs w:val="20"/>
          <w:color w:val="auto"/>
        </w:rPr>
        <w:t>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signed by, or in the name of, the corporation by any two officers of the corporation representing the number of shares registered in certificate form. Any or all of the signatures on the certificate may be by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73"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19"/>
          <w:szCs w:val="19"/>
          <w:u w:val="single" w:color="auto"/>
          <w:color w:val="auto"/>
        </w:rPr>
        <w:t>LOST, STOLEN OR DESTROYED STOCK CERTIFICATES; ISSUANCE OF NEW CERTIFICATES</w:t>
      </w:r>
    </w:p>
    <w:p>
      <w:pPr>
        <w:spacing w:after="0" w:line="197" w:lineRule="exact"/>
        <w:rPr>
          <w:sz w:val="20"/>
          <w:szCs w:val="20"/>
          <w:color w:val="auto"/>
        </w:rPr>
      </w:pPr>
    </w:p>
    <w:p>
      <w:pPr>
        <w:ind w:firstLine="878"/>
        <w:spacing w:after="0" w:line="291" w:lineRule="auto"/>
        <w:rPr>
          <w:sz w:val="20"/>
          <w:szCs w:val="20"/>
          <w:color w:val="auto"/>
        </w:rPr>
      </w:pPr>
      <w:r>
        <w:rPr>
          <w:rFonts w:ascii="Arial" w:cs="Arial" w:eastAsia="Arial" w:hAnsi="Arial"/>
          <w:sz w:val="18"/>
          <w:szCs w:val="18"/>
          <w:color w:val="auto"/>
        </w:rPr>
        <w:t>The corporation may issue a new certificate of stock or uncertificated shares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31"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5.3</w:t>
      </w:r>
      <w:r>
        <w:rPr>
          <w:sz w:val="20"/>
          <w:szCs w:val="20"/>
          <w:color w:val="auto"/>
        </w:rPr>
        <w:tab/>
      </w:r>
      <w:r>
        <w:rPr>
          <w:rFonts w:ascii="Arial" w:cs="Arial" w:eastAsia="Arial" w:hAnsi="Arial"/>
          <w:sz w:val="19"/>
          <w:szCs w:val="19"/>
          <w:u w:val="single" w:color="auto"/>
          <w:color w:val="auto"/>
        </w:rPr>
        <w:t>TRANSFERS</w:t>
      </w:r>
    </w:p>
    <w:p>
      <w:pPr>
        <w:spacing w:after="0" w:line="197" w:lineRule="exact"/>
        <w:rPr>
          <w:sz w:val="20"/>
          <w:szCs w:val="20"/>
          <w:color w:val="auto"/>
        </w:rPr>
      </w:pPr>
    </w:p>
    <w:p>
      <w:pPr>
        <w:ind w:right="40" w:firstLine="878"/>
        <w:spacing w:after="0" w:line="244" w:lineRule="auto"/>
        <w:rPr>
          <w:sz w:val="20"/>
          <w:szCs w:val="20"/>
          <w:color w:val="auto"/>
        </w:rPr>
      </w:pPr>
      <w:r>
        <w:rPr>
          <w:rFonts w:ascii="Arial" w:cs="Arial" w:eastAsia="Arial" w:hAnsi="Arial"/>
          <w:sz w:val="20"/>
          <w:szCs w:val="20"/>
          <w:color w:val="auto"/>
        </w:rPr>
        <w:t>Stock of the corporation shall be transferable in the manner prescribed by law and in these bylaws. Transfers of stock shall be made on the books of the corporation only by the record holder of such stock or by his or her attorney lawfully constituted in writing and, if such stock is certificated, upon the surrender of the certificate therefor, properly endorsed or accompanied by proper evidence of succession, assignation or authority to transfer, which such certificate shall be canceled before a new certificate shall be issued.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90" w:name="page91"/>
    <w:bookmarkEnd w:id="90"/>
    <w:p>
      <w:pPr>
        <w:ind w:left="880"/>
        <w:spacing w:after="0"/>
        <w:tabs>
          <w:tab w:leader="none" w:pos="1740" w:val="left"/>
        </w:tabs>
        <w:rPr>
          <w:sz w:val="20"/>
          <w:szCs w:val="20"/>
          <w:color w:val="auto"/>
        </w:rPr>
      </w:pPr>
      <w:r>
        <w:rPr>
          <w:rFonts w:ascii="Arial" w:cs="Arial" w:eastAsia="Arial" w:hAnsi="Arial"/>
          <w:sz w:val="21"/>
          <w:szCs w:val="21"/>
          <w:color w:val="auto"/>
        </w:rPr>
        <w:t>5.4</w:t>
      </w:r>
      <w:r>
        <w:rPr>
          <w:sz w:val="20"/>
          <w:szCs w:val="20"/>
          <w:color w:val="auto"/>
        </w:rPr>
        <w:tab/>
      </w:r>
      <w:r>
        <w:rPr>
          <w:rFonts w:ascii="Arial" w:cs="Arial" w:eastAsia="Arial" w:hAnsi="Arial"/>
          <w:sz w:val="19"/>
          <w:szCs w:val="19"/>
          <w:u w:val="single" w:color="auto"/>
          <w:color w:val="auto"/>
        </w:rPr>
        <w:t>REGISTERED STOCKHOLDERS</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corporation:</w:t>
      </w:r>
    </w:p>
    <w:p>
      <w:pPr>
        <w:spacing w:after="0" w:line="197" w:lineRule="exact"/>
        <w:rPr>
          <w:sz w:val="20"/>
          <w:szCs w:val="20"/>
          <w:color w:val="auto"/>
        </w:rPr>
      </w:pPr>
    </w:p>
    <w:p>
      <w:pPr>
        <w:jc w:val="both"/>
        <w:ind w:firstLine="2111"/>
        <w:spacing w:after="0" w:line="241" w:lineRule="auto"/>
        <w:tabs>
          <w:tab w:leader="none" w:pos="2922" w:val="left"/>
        </w:tabs>
        <w:numPr>
          <w:ilvl w:val="0"/>
          <w:numId w:val="54"/>
        </w:numPr>
        <w:rPr>
          <w:rFonts w:ascii="Arial" w:cs="Arial" w:eastAsia="Arial" w:hAnsi="Arial"/>
          <w:sz w:val="21"/>
          <w:szCs w:val="21"/>
          <w:color w:val="auto"/>
        </w:rPr>
      </w:pPr>
      <w:r>
        <w:rPr>
          <w:rFonts w:ascii="Arial" w:cs="Arial" w:eastAsia="Arial" w:hAnsi="Arial"/>
          <w:sz w:val="21"/>
          <w:szCs w:val="21"/>
          <w:color w:val="auto"/>
        </w:rPr>
        <w:t>shall be entitled to treat the person registered on its books as the owner of any share or shares as the person exclusively entitled to receive dividends, vote, receive notifications and otherwise exercise all the rights and powers of an owner of such share or shares; and</w:t>
      </w:r>
    </w:p>
    <w:p>
      <w:pPr>
        <w:spacing w:after="0" w:line="174" w:lineRule="exact"/>
        <w:rPr>
          <w:rFonts w:ascii="Arial" w:cs="Arial" w:eastAsia="Arial" w:hAnsi="Arial"/>
          <w:sz w:val="21"/>
          <w:szCs w:val="21"/>
          <w:color w:val="auto"/>
        </w:rPr>
      </w:pPr>
    </w:p>
    <w:p>
      <w:pPr>
        <w:jc w:val="both"/>
        <w:ind w:firstLine="2111"/>
        <w:spacing w:after="0" w:line="241" w:lineRule="auto"/>
        <w:tabs>
          <w:tab w:leader="none" w:pos="2979" w:val="left"/>
        </w:tabs>
        <w:numPr>
          <w:ilvl w:val="0"/>
          <w:numId w:val="54"/>
        </w:numPr>
        <w:rPr>
          <w:rFonts w:ascii="Arial" w:cs="Arial" w:eastAsia="Arial" w:hAnsi="Arial"/>
          <w:sz w:val="21"/>
          <w:szCs w:val="21"/>
          <w:color w:val="auto"/>
        </w:rPr>
      </w:pPr>
      <w:r>
        <w:rPr>
          <w:rFonts w:ascii="Arial" w:cs="Arial" w:eastAsia="Arial" w:hAnsi="Arial"/>
          <w:sz w:val="21"/>
          <w:szCs w:val="21"/>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INDEMNIFICATION</w:t>
      </w:r>
    </w:p>
    <w:p>
      <w:pPr>
        <w:spacing w:after="0" w:line="19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6.1</w:t>
      </w:r>
      <w:r>
        <w:rPr>
          <w:sz w:val="20"/>
          <w:szCs w:val="20"/>
          <w:color w:val="auto"/>
        </w:rPr>
        <w:tab/>
      </w:r>
      <w:r>
        <w:rPr>
          <w:rFonts w:ascii="Arial" w:cs="Arial" w:eastAsia="Arial" w:hAnsi="Arial"/>
          <w:sz w:val="19"/>
          <w:szCs w:val="19"/>
          <w:u w:val="single" w:color="auto"/>
          <w:color w:val="auto"/>
        </w:rPr>
        <w:t>THIRD PARTY ACTIONS</w:t>
      </w:r>
    </w:p>
    <w:p>
      <w:pPr>
        <w:spacing w:after="0" w:line="197" w:lineRule="exact"/>
        <w:rPr>
          <w:sz w:val="20"/>
          <w:szCs w:val="20"/>
          <w:color w:val="auto"/>
        </w:rPr>
      </w:pPr>
    </w:p>
    <w:p>
      <w:pPr>
        <w:ind w:firstLine="878"/>
        <w:spacing w:after="0" w:line="259" w:lineRule="auto"/>
        <w:rPr>
          <w:sz w:val="20"/>
          <w:szCs w:val="20"/>
          <w:color w:val="auto"/>
        </w:rPr>
      </w:pPr>
      <w:r>
        <w:rPr>
          <w:rFonts w:ascii="Arial" w:cs="Arial" w:eastAsia="Arial" w:hAnsi="Arial"/>
          <w:sz w:val="19"/>
          <w:szCs w:val="19"/>
          <w:color w:val="auto"/>
        </w:rPr>
        <w:t>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or officer of the corporation or that such director or officer is or was serving at the request of the corporation as a director, officer, employee or agent of another corporation, partnership, joint venture trust or other enterprise (collectively, an “</w:t>
      </w:r>
      <w:r>
        <w:rPr>
          <w:rFonts w:ascii="Arial" w:cs="Arial" w:eastAsia="Arial" w:hAnsi="Arial"/>
          <w:sz w:val="19"/>
          <w:szCs w:val="19"/>
          <w:b w:val="1"/>
          <w:bCs w:val="1"/>
          <w:color w:val="auto"/>
        </w:rPr>
        <w:t>Agent</w:t>
      </w:r>
      <w:r>
        <w:rPr>
          <w:rFonts w:ascii="Arial" w:cs="Arial" w:eastAsia="Arial" w:hAnsi="Arial"/>
          <w:sz w:val="19"/>
          <w:szCs w:val="19"/>
          <w:color w:val="auto"/>
        </w:rPr>
        <w:t>”) against expenses (including attorneys’ fees), judgments, fines and amounts paid in settlement (if such settlement is approved in advance by the corporation, which approval shall not be unreasonably withheld)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 of the corporation, and, with respect to any criminal action or proceeding, had reasonable cause to believe that his conduct was unlawful.</w:t>
      </w:r>
    </w:p>
    <w:p>
      <w:pPr>
        <w:spacing w:after="0" w:line="15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6.2</w:t>
      </w:r>
      <w:r>
        <w:rPr>
          <w:sz w:val="20"/>
          <w:szCs w:val="20"/>
          <w:color w:val="auto"/>
        </w:rPr>
        <w:tab/>
      </w:r>
      <w:r>
        <w:rPr>
          <w:rFonts w:ascii="Arial" w:cs="Arial" w:eastAsia="Arial" w:hAnsi="Arial"/>
          <w:sz w:val="19"/>
          <w:szCs w:val="19"/>
          <w:u w:val="single" w:color="auto"/>
          <w:color w:val="auto"/>
        </w:rPr>
        <w:t>ACTIONS BY OR IN THE RIGHT OF THE CORPORATION</w:t>
      </w:r>
    </w:p>
    <w:p>
      <w:pPr>
        <w:spacing w:after="0" w:line="197" w:lineRule="exact"/>
        <w:rPr>
          <w:sz w:val="20"/>
          <w:szCs w:val="20"/>
          <w:color w:val="auto"/>
        </w:rPr>
      </w:pPr>
    </w:p>
    <w:p>
      <w:pPr>
        <w:ind w:right="60" w:firstLine="878"/>
        <w:spacing w:after="0" w:line="258" w:lineRule="auto"/>
        <w:rPr>
          <w:sz w:val="20"/>
          <w:szCs w:val="20"/>
          <w:color w:val="auto"/>
        </w:rPr>
      </w:pPr>
      <w:r>
        <w:rPr>
          <w:rFonts w:ascii="Arial" w:cs="Arial" w:eastAsia="Arial" w:hAnsi="Arial"/>
          <w:sz w:val="19"/>
          <w:szCs w:val="19"/>
          <w:color w:val="auto"/>
        </w:rPr>
        <w:t>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he is or was an Agent (as defined in Section 6.1)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91" w:name="page92"/>
    <w:bookmarkEnd w:id="91"/>
    <w:p>
      <w:pPr>
        <w:spacing w:after="0" w:line="238" w:lineRule="auto"/>
        <w:rPr>
          <w:sz w:val="20"/>
          <w:szCs w:val="20"/>
          <w:color w:val="auto"/>
        </w:rPr>
      </w:pPr>
      <w:r>
        <w:rPr>
          <w:rFonts w:ascii="Arial" w:cs="Arial" w:eastAsia="Arial" w:hAnsi="Arial"/>
          <w:sz w:val="21"/>
          <w:szCs w:val="21"/>
          <w:color w:val="auto"/>
        </w:rPr>
        <w:t>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7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6.3</w:t>
      </w:r>
      <w:r>
        <w:rPr>
          <w:sz w:val="20"/>
          <w:szCs w:val="20"/>
          <w:color w:val="auto"/>
        </w:rPr>
        <w:tab/>
      </w:r>
      <w:r>
        <w:rPr>
          <w:rFonts w:ascii="Arial" w:cs="Arial" w:eastAsia="Arial" w:hAnsi="Arial"/>
          <w:sz w:val="19"/>
          <w:szCs w:val="19"/>
          <w:u w:val="single" w:color="auto"/>
          <w:color w:val="auto"/>
        </w:rPr>
        <w:t>SUCCESSFUL DEFENSE</w:t>
      </w:r>
    </w:p>
    <w:p>
      <w:pPr>
        <w:spacing w:after="0" w:line="197" w:lineRule="exact"/>
        <w:rPr>
          <w:sz w:val="20"/>
          <w:szCs w:val="20"/>
          <w:color w:val="auto"/>
        </w:rPr>
      </w:pPr>
    </w:p>
    <w:p>
      <w:pPr>
        <w:ind w:firstLine="878"/>
        <w:spacing w:after="0" w:line="241" w:lineRule="auto"/>
        <w:rPr>
          <w:sz w:val="20"/>
          <w:szCs w:val="20"/>
          <w:color w:val="auto"/>
        </w:rPr>
      </w:pPr>
      <w:r>
        <w:rPr>
          <w:rFonts w:ascii="Arial" w:cs="Arial" w:eastAsia="Arial" w:hAnsi="Arial"/>
          <w:sz w:val="21"/>
          <w:szCs w:val="21"/>
          <w:color w:val="auto"/>
        </w:rPr>
        <w:t>To the extent that an Agent of the corporation has been successful on the merits or otherwise in defense of any action, suit or proceeding referred to in Sections 6.1 and 6.2, or in defense of any claim, issue or matter therein, he shall be indemnified against expenses (including attorneys’ fees) actually and reasonably incurred by him in connection therewith.</w:t>
      </w:r>
    </w:p>
    <w:p>
      <w:pPr>
        <w:spacing w:after="0" w:line="17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6.4</w:t>
      </w:r>
      <w:r>
        <w:rPr>
          <w:sz w:val="20"/>
          <w:szCs w:val="20"/>
          <w:color w:val="auto"/>
        </w:rPr>
        <w:tab/>
      </w:r>
      <w:r>
        <w:rPr>
          <w:rFonts w:ascii="Arial" w:cs="Arial" w:eastAsia="Arial" w:hAnsi="Arial"/>
          <w:sz w:val="19"/>
          <w:szCs w:val="19"/>
          <w:u w:val="single" w:color="auto"/>
          <w:color w:val="auto"/>
        </w:rPr>
        <w:t>DETERMINATION OF CONDUCT</w:t>
      </w:r>
    </w:p>
    <w:p>
      <w:pPr>
        <w:spacing w:after="0" w:line="197" w:lineRule="exact"/>
        <w:rPr>
          <w:sz w:val="20"/>
          <w:szCs w:val="20"/>
          <w:color w:val="auto"/>
        </w:rPr>
      </w:pPr>
    </w:p>
    <w:p>
      <w:pPr>
        <w:ind w:firstLine="878"/>
        <w:spacing w:after="0" w:line="235" w:lineRule="auto"/>
        <w:rPr>
          <w:sz w:val="20"/>
          <w:szCs w:val="20"/>
          <w:color w:val="auto"/>
        </w:rPr>
      </w:pPr>
      <w:r>
        <w:rPr>
          <w:rFonts w:ascii="Arial" w:cs="Arial" w:eastAsia="Arial" w:hAnsi="Arial"/>
          <w:sz w:val="21"/>
          <w:szCs w:val="21"/>
          <w:color w:val="auto"/>
        </w:rPr>
        <w:t>Any indemnification under Sections 6.1 and 6.2 (unless ordered by a court) shall be made by the corporation only as authorized in the specific case upon a determination that the indemnification of the Agent is proper in the circumstances because he has met the applicable standard of conduct set forth in Sections 6.1 and 6.2. Such determination shall be made (1) by the Board of Directors or an executive committee by a majority vote of a quorum consisting of directors who were not parties to such action, suit or proceeding, or (2) or if such quorum is not obtainable or, even if obtainable, a quorum of disinterested directors so directs, by independent legal counsel in a written opinion, or (3) by the stockholders.</w:t>
      </w:r>
    </w:p>
    <w:p>
      <w:pPr>
        <w:spacing w:after="0" w:line="18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6.5</w:t>
      </w:r>
      <w:r>
        <w:rPr>
          <w:sz w:val="20"/>
          <w:szCs w:val="20"/>
          <w:color w:val="auto"/>
        </w:rPr>
        <w:tab/>
      </w:r>
      <w:r>
        <w:rPr>
          <w:rFonts w:ascii="Arial" w:cs="Arial" w:eastAsia="Arial" w:hAnsi="Arial"/>
          <w:sz w:val="19"/>
          <w:szCs w:val="19"/>
          <w:u w:val="single" w:color="auto"/>
          <w:color w:val="auto"/>
        </w:rPr>
        <w:t>PAYMENT OF EXPENSES IN ADVANCE</w:t>
      </w:r>
    </w:p>
    <w:p>
      <w:pPr>
        <w:spacing w:after="0" w:line="197" w:lineRule="exact"/>
        <w:rPr>
          <w:sz w:val="20"/>
          <w:szCs w:val="20"/>
          <w:color w:val="auto"/>
        </w:rPr>
      </w:pPr>
    </w:p>
    <w:p>
      <w:pPr>
        <w:ind w:right="100" w:firstLine="878"/>
        <w:spacing w:after="0" w:line="264" w:lineRule="auto"/>
        <w:rPr>
          <w:sz w:val="20"/>
          <w:szCs w:val="20"/>
          <w:color w:val="auto"/>
        </w:rPr>
      </w:pPr>
      <w:r>
        <w:rPr>
          <w:rFonts w:ascii="Arial" w:cs="Arial" w:eastAsia="Arial" w:hAnsi="Arial"/>
          <w:sz w:val="19"/>
          <w:szCs w:val="19"/>
          <w:color w:val="auto"/>
        </w:rPr>
        <w:t>Expenses (including attorneys’ fees) actually and reasonably incurred by an Agent in defending a civil or criminal action, suit or proceeding shall be paid by the corporation in advance of the final disposition of such action, suit or proceeding upon receipt of an undertaking by or on behalf of the director, officer, employee or agent to repay such amount if it shall ultimately be determined that he is not entitled to be indemnified by the corporation as authorized in this Article VI. The right to advancement of expenses shall not apply to any claim for which indemnity is excluded pursuant to these bylaws, but shall apply to any proceeding referenced in Section 6.6(2) or 6.6(3) prior to a determination that the person is not entitled to be indemnified by the corporation.</w:t>
      </w:r>
    </w:p>
    <w:p>
      <w:pPr>
        <w:spacing w:after="0" w:line="15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6.6</w:t>
      </w:r>
      <w:r>
        <w:rPr>
          <w:sz w:val="20"/>
          <w:szCs w:val="20"/>
          <w:color w:val="auto"/>
        </w:rPr>
        <w:tab/>
      </w:r>
      <w:r>
        <w:rPr>
          <w:rFonts w:ascii="Arial" w:cs="Arial" w:eastAsia="Arial" w:hAnsi="Arial"/>
          <w:sz w:val="20"/>
          <w:szCs w:val="20"/>
          <w:u w:val="single" w:color="auto"/>
          <w:color w:val="auto"/>
        </w:rPr>
        <w:t>LIMITATION ON INDEMNIFICATION</w:t>
      </w:r>
    </w:p>
    <w:p>
      <w:pPr>
        <w:spacing w:after="0" w:line="197" w:lineRule="exact"/>
        <w:rPr>
          <w:sz w:val="20"/>
          <w:szCs w:val="20"/>
          <w:color w:val="auto"/>
        </w:rPr>
      </w:pPr>
    </w:p>
    <w:p>
      <w:pPr>
        <w:ind w:right="580" w:firstLine="878"/>
        <w:spacing w:after="0" w:line="277" w:lineRule="auto"/>
        <w:rPr>
          <w:sz w:val="20"/>
          <w:szCs w:val="20"/>
          <w:color w:val="auto"/>
        </w:rPr>
      </w:pPr>
      <w:r>
        <w:rPr>
          <w:rFonts w:ascii="Arial" w:cs="Arial" w:eastAsia="Arial" w:hAnsi="Arial"/>
          <w:sz w:val="20"/>
          <w:szCs w:val="20"/>
          <w:color w:val="auto"/>
        </w:rPr>
        <w:t>Subject to the requirements in Section 6.3 and the DGCL, the corporation shall not be obligated to indemnify any person pursuant to this Article VI in connection with a civil or criminal action, suit or proceeding (or any part thereof):</w:t>
      </w:r>
    </w:p>
    <w:p>
      <w:pPr>
        <w:spacing w:after="0" w:line="139" w:lineRule="exact"/>
        <w:rPr>
          <w:sz w:val="20"/>
          <w:szCs w:val="20"/>
          <w:color w:val="auto"/>
        </w:rPr>
      </w:pPr>
    </w:p>
    <w:p>
      <w:pPr>
        <w:ind w:firstLine="1760"/>
        <w:spacing w:after="0" w:line="239" w:lineRule="auto"/>
        <w:tabs>
          <w:tab w:leader="none" w:pos="2616" w:val="left"/>
        </w:tabs>
        <w:numPr>
          <w:ilvl w:val="0"/>
          <w:numId w:val="55"/>
        </w:numPr>
        <w:rPr>
          <w:rFonts w:ascii="Arial" w:cs="Arial" w:eastAsia="Arial" w:hAnsi="Arial"/>
          <w:sz w:val="21"/>
          <w:szCs w:val="21"/>
          <w:color w:val="auto"/>
        </w:rPr>
      </w:pPr>
      <w:r>
        <w:rPr>
          <w:rFonts w:ascii="Arial" w:cs="Arial" w:eastAsia="Arial" w:hAnsi="Arial"/>
          <w:sz w:val="21"/>
          <w:szCs w:val="21"/>
          <w:color w:val="auto"/>
        </w:rPr>
        <w:t>for which payment has actually been made to or on behalf of such person under any statute, insurance policy, indemnity provision, vote or otherwise, except with respect to any excess beyond the amount paid;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92" w:name="page93"/>
    <w:bookmarkEnd w:id="92"/>
    <w:p>
      <w:pPr>
        <w:jc w:val="both"/>
        <w:ind w:firstLine="1760"/>
        <w:spacing w:after="0" w:line="241" w:lineRule="auto"/>
        <w:tabs>
          <w:tab w:leader="none" w:pos="2616" w:val="left"/>
        </w:tabs>
        <w:numPr>
          <w:ilvl w:val="0"/>
          <w:numId w:val="56"/>
        </w:numPr>
        <w:rPr>
          <w:rFonts w:ascii="Arial" w:cs="Arial" w:eastAsia="Arial" w:hAnsi="Arial"/>
          <w:sz w:val="21"/>
          <w:szCs w:val="21"/>
          <w:color w:val="auto"/>
        </w:rPr>
      </w:pPr>
      <w:r>
        <w:rPr>
          <w:rFonts w:ascii="Arial" w:cs="Arial" w:eastAsia="Arial" w:hAnsi="Arial"/>
          <w:sz w:val="21"/>
          <w:szCs w:val="21"/>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74" w:lineRule="exact"/>
        <w:rPr>
          <w:rFonts w:ascii="Arial" w:cs="Arial" w:eastAsia="Arial" w:hAnsi="Arial"/>
          <w:sz w:val="21"/>
          <w:szCs w:val="21"/>
          <w:color w:val="auto"/>
        </w:rPr>
      </w:pPr>
    </w:p>
    <w:p>
      <w:pPr>
        <w:jc w:val="both"/>
        <w:ind w:firstLine="1760"/>
        <w:spacing w:after="0" w:line="249" w:lineRule="auto"/>
        <w:tabs>
          <w:tab w:leader="none" w:pos="2616" w:val="left"/>
        </w:tabs>
        <w:numPr>
          <w:ilvl w:val="0"/>
          <w:numId w:val="56"/>
        </w:numPr>
        <w:rPr>
          <w:rFonts w:ascii="Arial" w:cs="Arial" w:eastAsia="Arial" w:hAnsi="Arial"/>
          <w:sz w:val="20"/>
          <w:szCs w:val="20"/>
          <w:color w:val="auto"/>
        </w:rPr>
      </w:pPr>
      <w:r>
        <w:rPr>
          <w:rFonts w:ascii="Arial" w:cs="Arial" w:eastAsia="Arial" w:hAnsi="Arial"/>
          <w:sz w:val="20"/>
          <w:szCs w:val="20"/>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20"/>
          <w:szCs w:val="20"/>
          <w:b w:val="1"/>
          <w:bCs w:val="1"/>
          <w:color w:val="auto"/>
        </w:rPr>
        <w:t>Sarbanes-Oxley Act</w:t>
      </w:r>
      <w:r>
        <w:rPr>
          <w:rFonts w:ascii="Arial" w:cs="Arial" w:eastAsia="Arial" w:hAnsi="Arial"/>
          <w:sz w:val="20"/>
          <w:szCs w:val="20"/>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66" w:lineRule="exact"/>
        <w:rPr>
          <w:rFonts w:ascii="Arial" w:cs="Arial" w:eastAsia="Arial" w:hAnsi="Arial"/>
          <w:sz w:val="20"/>
          <w:szCs w:val="20"/>
          <w:color w:val="auto"/>
        </w:rPr>
      </w:pPr>
    </w:p>
    <w:p>
      <w:pPr>
        <w:jc w:val="both"/>
        <w:ind w:firstLine="1760"/>
        <w:spacing w:after="0" w:line="236" w:lineRule="auto"/>
        <w:tabs>
          <w:tab w:leader="none" w:pos="2616" w:val="left"/>
        </w:tabs>
        <w:numPr>
          <w:ilvl w:val="0"/>
          <w:numId w:val="56"/>
        </w:numPr>
        <w:rPr>
          <w:rFonts w:ascii="Arial" w:cs="Arial" w:eastAsia="Arial" w:hAnsi="Arial"/>
          <w:sz w:val="21"/>
          <w:szCs w:val="21"/>
          <w:color w:val="auto"/>
        </w:rPr>
      </w:pPr>
      <w:r>
        <w:rPr>
          <w:rFonts w:ascii="Arial" w:cs="Arial" w:eastAsia="Arial" w:hAnsi="Arial"/>
          <w:sz w:val="21"/>
          <w:szCs w:val="21"/>
          <w:color w:val="auto"/>
        </w:rPr>
        <w:t>initiated by such person, including a civil or criminal action, suit or proceeding (or any part thereof) initiated by such person against the corporation or its directors, officers, employees, agents or other indemnitees, unless (a) the Board of Directors authorized the action, suit or proceeding (or the relevant part thereof) prior to its initiation, (b) the corporation provides the indemnification, in its sole discretion, pursuant to the powers vested in the corporation under applicable law, (c) otherwise required to be made under Section 6.7 or (d) otherwise required by applicable law; or</w:t>
      </w:r>
    </w:p>
    <w:p>
      <w:pPr>
        <w:spacing w:after="0" w:line="179" w:lineRule="exact"/>
        <w:rPr>
          <w:rFonts w:ascii="Arial" w:cs="Arial" w:eastAsia="Arial" w:hAnsi="Arial"/>
          <w:sz w:val="21"/>
          <w:szCs w:val="21"/>
          <w:color w:val="auto"/>
        </w:rPr>
      </w:pPr>
    </w:p>
    <w:p>
      <w:pPr>
        <w:ind w:left="2620" w:hanging="860"/>
        <w:spacing w:after="0"/>
        <w:tabs>
          <w:tab w:leader="none" w:pos="2620" w:val="left"/>
        </w:tabs>
        <w:numPr>
          <w:ilvl w:val="0"/>
          <w:numId w:val="56"/>
        </w:numPr>
        <w:rPr>
          <w:rFonts w:ascii="Arial" w:cs="Arial" w:eastAsia="Arial" w:hAnsi="Arial"/>
          <w:sz w:val="21"/>
          <w:szCs w:val="21"/>
          <w:color w:val="auto"/>
        </w:rPr>
      </w:pPr>
      <w:r>
        <w:rPr>
          <w:rFonts w:ascii="Arial" w:cs="Arial" w:eastAsia="Arial" w:hAnsi="Arial"/>
          <w:sz w:val="21"/>
          <w:szCs w:val="21"/>
          <w:color w:val="auto"/>
        </w:rPr>
        <w:t>if prohibited by applicable law.</w:t>
      </w:r>
    </w:p>
    <w:p>
      <w:pPr>
        <w:spacing w:after="0" w:line="19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6.7</w:t>
      </w:r>
      <w:r>
        <w:rPr>
          <w:sz w:val="20"/>
          <w:szCs w:val="20"/>
          <w:color w:val="auto"/>
        </w:rPr>
        <w:tab/>
      </w:r>
      <w:r>
        <w:rPr>
          <w:rFonts w:ascii="Arial" w:cs="Arial" w:eastAsia="Arial" w:hAnsi="Arial"/>
          <w:sz w:val="20"/>
          <w:szCs w:val="20"/>
          <w:u w:val="single" w:color="auto"/>
          <w:color w:val="auto"/>
        </w:rPr>
        <w:t>DETERMINATION; CLAIM</w:t>
      </w:r>
    </w:p>
    <w:p>
      <w:pPr>
        <w:spacing w:after="0" w:line="197" w:lineRule="exact"/>
        <w:rPr>
          <w:sz w:val="20"/>
          <w:szCs w:val="20"/>
          <w:color w:val="auto"/>
        </w:rPr>
      </w:pPr>
    </w:p>
    <w:p>
      <w:pPr>
        <w:ind w:right="20" w:firstLine="878"/>
        <w:spacing w:after="0" w:line="248" w:lineRule="auto"/>
        <w:rPr>
          <w:sz w:val="20"/>
          <w:szCs w:val="20"/>
          <w:color w:val="auto"/>
        </w:rPr>
      </w:pPr>
      <w:r>
        <w:rPr>
          <w:rFonts w:ascii="Arial" w:cs="Arial" w:eastAsia="Arial" w:hAnsi="Arial"/>
          <w:sz w:val="20"/>
          <w:szCs w:val="20"/>
          <w:color w:val="auto"/>
        </w:rPr>
        <w:t>If a claim for indemnification or advancement of expenses under this Article VI is not paid in full within 90 days after receipt by the corporation of the written request therefor, the claimant shall be entitled to an adjudication by a court of competent jurisdiction of his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6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6.8</w:t>
      </w:r>
      <w:r>
        <w:rPr>
          <w:sz w:val="20"/>
          <w:szCs w:val="20"/>
          <w:color w:val="auto"/>
        </w:rPr>
        <w:tab/>
      </w:r>
      <w:r>
        <w:rPr>
          <w:rFonts w:ascii="Arial" w:cs="Arial" w:eastAsia="Arial" w:hAnsi="Arial"/>
          <w:sz w:val="20"/>
          <w:szCs w:val="20"/>
          <w:u w:val="single" w:color="auto"/>
          <w:color w:val="auto"/>
        </w:rPr>
        <w:t>INDEMNITY NOT EXCLUSIVE</w:t>
      </w:r>
    </w:p>
    <w:p>
      <w:pPr>
        <w:spacing w:after="0" w:line="197" w:lineRule="exact"/>
        <w:rPr>
          <w:sz w:val="20"/>
          <w:szCs w:val="20"/>
          <w:color w:val="auto"/>
        </w:rPr>
      </w:pPr>
    </w:p>
    <w:p>
      <w:pPr>
        <w:ind w:right="40" w:firstLine="878"/>
        <w:spacing w:after="0" w:line="245" w:lineRule="auto"/>
        <w:rPr>
          <w:sz w:val="20"/>
          <w:szCs w:val="20"/>
          <w:color w:val="auto"/>
        </w:rPr>
      </w:pPr>
      <w:r>
        <w:rPr>
          <w:rFonts w:ascii="Arial" w:cs="Arial" w:eastAsia="Arial" w:hAnsi="Arial"/>
          <w:sz w:val="20"/>
          <w:szCs w:val="20"/>
          <w:color w:val="auto"/>
        </w:rPr>
        <w:t>The indemnification and advancement of expenses provided or granted pursuant to this Article VI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his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93" w:name="page94"/>
    <w:bookmarkEnd w:id="93"/>
    <w:p>
      <w:pPr>
        <w:ind w:left="880"/>
        <w:spacing w:after="0"/>
        <w:tabs>
          <w:tab w:leader="none" w:pos="1740" w:val="left"/>
        </w:tabs>
        <w:rPr>
          <w:sz w:val="20"/>
          <w:szCs w:val="20"/>
          <w:color w:val="auto"/>
        </w:rPr>
      </w:pPr>
      <w:r>
        <w:rPr>
          <w:rFonts w:ascii="Arial" w:cs="Arial" w:eastAsia="Arial" w:hAnsi="Arial"/>
          <w:sz w:val="21"/>
          <w:szCs w:val="21"/>
          <w:color w:val="auto"/>
        </w:rPr>
        <w:t>6.9</w:t>
      </w:r>
      <w:r>
        <w:rPr>
          <w:sz w:val="20"/>
          <w:szCs w:val="20"/>
          <w:color w:val="auto"/>
        </w:rPr>
        <w:tab/>
      </w:r>
      <w:r>
        <w:rPr>
          <w:rFonts w:ascii="Arial" w:cs="Arial" w:eastAsia="Arial" w:hAnsi="Arial"/>
          <w:sz w:val="20"/>
          <w:szCs w:val="20"/>
          <w:u w:val="single" w:color="auto"/>
          <w:color w:val="auto"/>
        </w:rPr>
        <w:t>INSURANCE</w:t>
      </w:r>
    </w:p>
    <w:p>
      <w:pPr>
        <w:spacing w:after="0" w:line="197" w:lineRule="exact"/>
        <w:rPr>
          <w:sz w:val="20"/>
          <w:szCs w:val="20"/>
          <w:color w:val="auto"/>
        </w:rPr>
      </w:pPr>
    </w:p>
    <w:p>
      <w:pPr>
        <w:ind w:right="180" w:firstLine="878"/>
        <w:spacing w:after="0" w:line="236" w:lineRule="auto"/>
        <w:rPr>
          <w:sz w:val="20"/>
          <w:szCs w:val="20"/>
          <w:color w:val="auto"/>
        </w:rPr>
      </w:pPr>
      <w:r>
        <w:rPr>
          <w:rFonts w:ascii="Arial" w:cs="Arial" w:eastAsia="Arial" w:hAnsi="Arial"/>
          <w:sz w:val="21"/>
          <w:szCs w:val="21"/>
          <w:color w:val="auto"/>
        </w:rPr>
        <w:t>The corporation shall have the power to purchase and maintain insurance on behalf of any person who is or was an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 or the DGCL.</w:t>
      </w:r>
    </w:p>
    <w:p>
      <w:pPr>
        <w:spacing w:after="0" w:line="17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1"/>
          <w:szCs w:val="21"/>
          <w:color w:val="auto"/>
        </w:rPr>
        <w:t>6.10</w:t>
      </w:r>
      <w:r>
        <w:rPr>
          <w:sz w:val="20"/>
          <w:szCs w:val="20"/>
          <w:color w:val="auto"/>
        </w:rPr>
        <w:tab/>
      </w:r>
      <w:r>
        <w:rPr>
          <w:rFonts w:ascii="Arial" w:cs="Arial" w:eastAsia="Arial" w:hAnsi="Arial"/>
          <w:sz w:val="19"/>
          <w:szCs w:val="19"/>
          <w:u w:val="single" w:color="auto"/>
          <w:color w:val="auto"/>
        </w:rPr>
        <w:t>THE CORPORATION</w:t>
      </w:r>
    </w:p>
    <w:p>
      <w:pPr>
        <w:spacing w:after="0" w:line="197" w:lineRule="exact"/>
        <w:rPr>
          <w:sz w:val="20"/>
          <w:szCs w:val="20"/>
          <w:color w:val="auto"/>
        </w:rPr>
      </w:pPr>
    </w:p>
    <w:p>
      <w:pPr>
        <w:ind w:right="40" w:firstLine="878"/>
        <w:spacing w:after="0" w:line="247" w:lineRule="auto"/>
        <w:rPr>
          <w:sz w:val="20"/>
          <w:szCs w:val="20"/>
          <w:color w:val="auto"/>
        </w:rPr>
      </w:pPr>
      <w:r>
        <w:rPr>
          <w:rFonts w:ascii="Arial" w:cs="Arial" w:eastAsia="Arial" w:hAnsi="Arial"/>
          <w:sz w:val="20"/>
          <w:szCs w:val="20"/>
          <w:color w:val="auto"/>
        </w:rPr>
        <w:t>For purposes of this Article VI,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and subject to the provisions of this Article VI (including, without limitation the provisions of Section 6.4) with respect to the resulting or surviving corporation as he would have with respect to such constituent corporation if its separate existence had continued.</w:t>
      </w:r>
    </w:p>
    <w:p>
      <w:pPr>
        <w:spacing w:after="0" w:line="16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1"/>
          <w:szCs w:val="21"/>
          <w:color w:val="auto"/>
        </w:rPr>
        <w:t>6.11</w:t>
      </w:r>
      <w:r>
        <w:rPr>
          <w:sz w:val="20"/>
          <w:szCs w:val="20"/>
          <w:color w:val="auto"/>
        </w:rPr>
        <w:tab/>
      </w:r>
      <w:r>
        <w:rPr>
          <w:rFonts w:ascii="Arial" w:cs="Arial" w:eastAsia="Arial" w:hAnsi="Arial"/>
          <w:sz w:val="19"/>
          <w:szCs w:val="19"/>
          <w:u w:val="single" w:color="auto"/>
          <w:color w:val="auto"/>
        </w:rPr>
        <w:t>EMPLOYEE BENEFIT PLANS</w:t>
      </w:r>
    </w:p>
    <w:p>
      <w:pPr>
        <w:spacing w:after="0" w:line="197" w:lineRule="exact"/>
        <w:rPr>
          <w:sz w:val="20"/>
          <w:szCs w:val="20"/>
          <w:color w:val="auto"/>
        </w:rPr>
      </w:pPr>
    </w:p>
    <w:p>
      <w:pPr>
        <w:ind w:firstLine="878"/>
        <w:spacing w:after="0" w:line="235" w:lineRule="auto"/>
        <w:rPr>
          <w:sz w:val="20"/>
          <w:szCs w:val="20"/>
          <w:color w:val="auto"/>
        </w:rPr>
      </w:pPr>
      <w:r>
        <w:rPr>
          <w:rFonts w:ascii="Arial" w:cs="Arial" w:eastAsia="Arial" w:hAnsi="Arial"/>
          <w:sz w:val="21"/>
          <w:szCs w:val="21"/>
          <w:color w:val="auto"/>
        </w:rPr>
        <w:t>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pacing w:after="0" w:line="17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1"/>
          <w:szCs w:val="21"/>
          <w:color w:val="auto"/>
        </w:rPr>
        <w:t>6.12</w:t>
      </w:r>
      <w:r>
        <w:rPr>
          <w:sz w:val="20"/>
          <w:szCs w:val="20"/>
          <w:color w:val="auto"/>
        </w:rPr>
        <w:tab/>
      </w:r>
      <w:r>
        <w:rPr>
          <w:rFonts w:ascii="Arial" w:cs="Arial" w:eastAsia="Arial" w:hAnsi="Arial"/>
          <w:sz w:val="20"/>
          <w:szCs w:val="20"/>
          <w:u w:val="single" w:color="auto"/>
          <w:color w:val="auto"/>
        </w:rPr>
        <w:t>INDEMNITY FUND</w:t>
      </w:r>
    </w:p>
    <w:p>
      <w:pPr>
        <w:spacing w:after="0" w:line="197" w:lineRule="exact"/>
        <w:rPr>
          <w:sz w:val="20"/>
          <w:szCs w:val="20"/>
          <w:color w:val="auto"/>
        </w:rPr>
      </w:pPr>
    </w:p>
    <w:p>
      <w:pPr>
        <w:jc w:val="both"/>
        <w:ind w:right="320" w:firstLine="878"/>
        <w:spacing w:after="0" w:line="235" w:lineRule="auto"/>
        <w:rPr>
          <w:sz w:val="20"/>
          <w:szCs w:val="20"/>
          <w:color w:val="auto"/>
        </w:rPr>
      </w:pPr>
      <w:r>
        <w:rPr>
          <w:rFonts w:ascii="Arial" w:cs="Arial" w:eastAsia="Arial" w:hAnsi="Arial"/>
          <w:sz w:val="21"/>
          <w:szCs w:val="21"/>
          <w:color w:val="auto"/>
        </w:rPr>
        <w:t>Upon resolution passed by the Board of Directors, the corporation may establish a trust or other designated account, grant a security interest or use other means (including, without limitation, a letter of credit), to ensure the payment of certain of its obligations arising under this Article VI and/or agreements which may be entered into between the corporation and its officers and directors from time to time.</w:t>
      </w:r>
    </w:p>
    <w:p>
      <w:pPr>
        <w:jc w:val="center"/>
        <w:ind w:right="-39"/>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94" w:name="page95"/>
    <w:bookmarkEnd w:id="94"/>
    <w:p>
      <w:pPr>
        <w:ind w:left="880"/>
        <w:spacing w:after="0"/>
        <w:tabs>
          <w:tab w:leader="none" w:pos="1840" w:val="left"/>
        </w:tabs>
        <w:rPr>
          <w:sz w:val="20"/>
          <w:szCs w:val="20"/>
          <w:color w:val="auto"/>
        </w:rPr>
      </w:pPr>
      <w:r>
        <w:rPr>
          <w:rFonts w:ascii="Arial" w:cs="Arial" w:eastAsia="Arial" w:hAnsi="Arial"/>
          <w:sz w:val="21"/>
          <w:szCs w:val="21"/>
          <w:color w:val="auto"/>
        </w:rPr>
        <w:t>6.13</w:t>
      </w:r>
      <w:r>
        <w:rPr>
          <w:sz w:val="20"/>
          <w:szCs w:val="20"/>
          <w:color w:val="auto"/>
        </w:rPr>
        <w:tab/>
      </w:r>
      <w:r>
        <w:rPr>
          <w:rFonts w:ascii="Arial" w:cs="Arial" w:eastAsia="Arial" w:hAnsi="Arial"/>
          <w:sz w:val="19"/>
          <w:szCs w:val="19"/>
          <w:u w:val="single" w:color="auto"/>
          <w:color w:val="auto"/>
        </w:rPr>
        <w:t>INDEMNIFICATION OF OTHER PERSONS</w:t>
      </w:r>
    </w:p>
    <w:p>
      <w:pPr>
        <w:spacing w:after="0" w:line="197" w:lineRule="exact"/>
        <w:rPr>
          <w:sz w:val="20"/>
          <w:szCs w:val="20"/>
          <w:color w:val="auto"/>
        </w:rPr>
      </w:pPr>
    </w:p>
    <w:p>
      <w:pPr>
        <w:ind w:right="300" w:firstLine="878"/>
        <w:spacing w:after="0" w:line="253" w:lineRule="auto"/>
        <w:rPr>
          <w:sz w:val="20"/>
          <w:szCs w:val="20"/>
          <w:color w:val="auto"/>
        </w:rPr>
      </w:pPr>
      <w:r>
        <w:rPr>
          <w:rFonts w:ascii="Arial" w:cs="Arial" w:eastAsia="Arial" w:hAnsi="Arial"/>
          <w:sz w:val="20"/>
          <w:szCs w:val="20"/>
          <w:color w:val="auto"/>
        </w:rPr>
        <w:t>The provisions of this Article VI shall not be deemed to preclude the indemnification of any person who is not an Agent (as defined in Section 6.1), but whom the corporation has the power or obligation to indemnify under the provisions of the DGCL or otherwise. The corporation may, in its sole discretion, indemnify an employee, trustee or other agent as permitted by the DGCL. The corporation shall indemnify an employee, trustee or other agent where required by law.</w:t>
      </w:r>
    </w:p>
    <w:p>
      <w:pPr>
        <w:spacing w:after="0" w:line="16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1"/>
          <w:szCs w:val="21"/>
          <w:color w:val="auto"/>
        </w:rPr>
        <w:t>6.14</w:t>
      </w:r>
      <w:r>
        <w:rPr>
          <w:sz w:val="20"/>
          <w:szCs w:val="20"/>
          <w:color w:val="auto"/>
        </w:rPr>
        <w:tab/>
      </w:r>
      <w:r>
        <w:rPr>
          <w:rFonts w:ascii="Arial" w:cs="Arial" w:eastAsia="Arial" w:hAnsi="Arial"/>
          <w:sz w:val="19"/>
          <w:szCs w:val="19"/>
          <w:u w:val="single" w:color="auto"/>
          <w:color w:val="auto"/>
        </w:rPr>
        <w:t>SAVINGS CLAUSE</w:t>
      </w:r>
    </w:p>
    <w:p>
      <w:pPr>
        <w:spacing w:after="0" w:line="197" w:lineRule="exact"/>
        <w:rPr>
          <w:sz w:val="20"/>
          <w:szCs w:val="20"/>
          <w:color w:val="auto"/>
        </w:rPr>
      </w:pPr>
    </w:p>
    <w:p>
      <w:pPr>
        <w:ind w:right="120" w:firstLine="878"/>
        <w:spacing w:after="0" w:line="267" w:lineRule="auto"/>
        <w:rPr>
          <w:sz w:val="20"/>
          <w:szCs w:val="20"/>
          <w:color w:val="auto"/>
        </w:rPr>
      </w:pPr>
      <w:r>
        <w:rPr>
          <w:rFonts w:ascii="Arial" w:cs="Arial" w:eastAsia="Arial" w:hAnsi="Arial"/>
          <w:sz w:val="19"/>
          <w:szCs w:val="19"/>
          <w:color w:val="auto"/>
        </w:rPr>
        <w:t>If this Article or any portion thereof shall be invalidated on any ground by any court of competent jurisdiction, then the corporation shall nevertheless indemnify each Agent against expenses (including attorneys’ fees), judgments, fines and amounts paid in settlement with respect to any action, suit, proceeding or investigation, whether civil, criminal or administrative, and whether internal or external, including a grand jury proceeding and an action or suit brought by or in the right of the corporation, to the full extent permitted by any applicable portion of this Article that shall not have been invalidated, or by any other applicable law.</w:t>
      </w:r>
    </w:p>
    <w:p>
      <w:pPr>
        <w:spacing w:after="0" w:line="15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1"/>
          <w:szCs w:val="21"/>
          <w:color w:val="auto"/>
        </w:rPr>
        <w:t>6.15</w:t>
      </w:r>
      <w:r>
        <w:rPr>
          <w:sz w:val="20"/>
          <w:szCs w:val="20"/>
          <w:color w:val="auto"/>
        </w:rPr>
        <w:tab/>
      </w:r>
      <w:r>
        <w:rPr>
          <w:rFonts w:ascii="Arial" w:cs="Arial" w:eastAsia="Arial" w:hAnsi="Arial"/>
          <w:sz w:val="20"/>
          <w:szCs w:val="20"/>
          <w:u w:val="single" w:color="auto"/>
          <w:color w:val="auto"/>
        </w:rPr>
        <w:t>CONTINUATION OF INDEMNIFICATION AND ADVANCEMENT OF EXPENSES</w:t>
      </w:r>
    </w:p>
    <w:p>
      <w:pPr>
        <w:spacing w:after="0" w:line="197" w:lineRule="exact"/>
        <w:rPr>
          <w:sz w:val="20"/>
          <w:szCs w:val="20"/>
          <w:color w:val="auto"/>
        </w:rPr>
      </w:pPr>
    </w:p>
    <w:p>
      <w:pPr>
        <w:ind w:firstLine="878"/>
        <w:spacing w:after="0" w:line="241" w:lineRule="auto"/>
        <w:rPr>
          <w:sz w:val="20"/>
          <w:szCs w:val="20"/>
          <w:color w:val="auto"/>
        </w:rPr>
      </w:pPr>
      <w:r>
        <w:rPr>
          <w:rFonts w:ascii="Arial" w:cs="Arial" w:eastAsia="Arial" w:hAnsi="Arial"/>
          <w:sz w:val="21"/>
          <w:szCs w:val="21"/>
          <w:color w:val="auto"/>
        </w:rPr>
        <w:t>The indemnification and advancement of expenses provided by, or granted pursuant to, this Article VI shall, unless otherwise provided when authorized or ratified, continue as to a person who has ceased to be a director, officer, employee or agent and shall inure to the benefit of the heirs, executors and administrators of such a person.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VII</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MISCELLANEOUS</w:t>
      </w:r>
    </w:p>
    <w:p>
      <w:pPr>
        <w:spacing w:after="0" w:line="19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7.1</w:t>
      </w:r>
      <w:r>
        <w:rPr>
          <w:sz w:val="20"/>
          <w:szCs w:val="20"/>
          <w:color w:val="auto"/>
        </w:rPr>
        <w:tab/>
      </w:r>
      <w:r>
        <w:rPr>
          <w:rFonts w:ascii="Arial" w:cs="Arial" w:eastAsia="Arial" w:hAnsi="Arial"/>
          <w:sz w:val="20"/>
          <w:szCs w:val="20"/>
          <w:u w:val="single" w:color="auto"/>
          <w:color w:val="auto"/>
        </w:rPr>
        <w:t>FISCAL YEAR</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fiscal year of the corporation shall be determined by resolution of the Board of Directors.</w:t>
      </w:r>
    </w:p>
    <w:p>
      <w:pPr>
        <w:spacing w:after="0" w:line="19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20"/>
          <w:szCs w:val="20"/>
          <w:u w:val="single" w:color="auto"/>
          <w:color w:val="auto"/>
        </w:rPr>
        <w:t>SEAL</w:t>
      </w:r>
    </w:p>
    <w:p>
      <w:pPr>
        <w:spacing w:after="0" w:line="197" w:lineRule="exact"/>
        <w:rPr>
          <w:sz w:val="20"/>
          <w:szCs w:val="20"/>
          <w:color w:val="auto"/>
        </w:rPr>
      </w:pPr>
    </w:p>
    <w:p>
      <w:pPr>
        <w:ind w:firstLine="878"/>
        <w:spacing w:after="0" w:line="239" w:lineRule="auto"/>
        <w:rPr>
          <w:sz w:val="20"/>
          <w:szCs w:val="20"/>
          <w:color w:val="auto"/>
        </w:rPr>
      </w:pPr>
      <w:r>
        <w:rPr>
          <w:rFonts w:ascii="Arial" w:cs="Arial" w:eastAsia="Arial" w:hAnsi="Arial"/>
          <w:sz w:val="21"/>
          <w:szCs w:val="21"/>
          <w:color w:val="auto"/>
        </w:rPr>
        <w:t>The corporate seal shall have the name of the corporation inscribed thereon and shall be in such form as may be approved from time to time by the Board of Directors.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80"/>
          </w:cols>
          <w:pgMar w:left="240" w:top="531" w:right="279" w:bottom="1440" w:gutter="0" w:footer="0" w:header="0"/>
        </w:sectPr>
      </w:pPr>
    </w:p>
    <w:bookmarkStart w:id="95" w:name="page96"/>
    <w:bookmarkEnd w:id="95"/>
    <w:p>
      <w:pPr>
        <w:ind w:left="880"/>
        <w:spacing w:after="0"/>
        <w:tabs>
          <w:tab w:leader="none" w:pos="1740" w:val="left"/>
        </w:tabs>
        <w:rPr>
          <w:sz w:val="20"/>
          <w:szCs w:val="20"/>
          <w:color w:val="auto"/>
        </w:rPr>
      </w:pPr>
      <w:r>
        <w:rPr>
          <w:rFonts w:ascii="Arial" w:cs="Arial" w:eastAsia="Arial" w:hAnsi="Arial"/>
          <w:sz w:val="21"/>
          <w:szCs w:val="21"/>
          <w:color w:val="auto"/>
        </w:rPr>
        <w:t>7.3</w:t>
      </w:r>
      <w:r>
        <w:rPr>
          <w:sz w:val="20"/>
          <w:szCs w:val="20"/>
          <w:color w:val="auto"/>
        </w:rPr>
        <w:tab/>
      </w:r>
      <w:r>
        <w:rPr>
          <w:rFonts w:ascii="Arial" w:cs="Arial" w:eastAsia="Arial" w:hAnsi="Arial"/>
          <w:sz w:val="19"/>
          <w:szCs w:val="19"/>
          <w:u w:val="single" w:color="auto"/>
          <w:color w:val="auto"/>
        </w:rPr>
        <w:t>WAIVER OF NOTICE OF MEETINGS OF STOCKHOLDERS, DIRECTORS AND COMMITTEES</w:t>
      </w:r>
    </w:p>
    <w:p>
      <w:pPr>
        <w:spacing w:after="0" w:line="197" w:lineRule="exact"/>
        <w:rPr>
          <w:sz w:val="20"/>
          <w:szCs w:val="20"/>
          <w:color w:val="auto"/>
        </w:rPr>
      </w:pPr>
    </w:p>
    <w:p>
      <w:pPr>
        <w:ind w:right="140" w:firstLine="878"/>
        <w:spacing w:after="0" w:line="248" w:lineRule="auto"/>
        <w:rPr>
          <w:sz w:val="20"/>
          <w:szCs w:val="20"/>
          <w:color w:val="auto"/>
        </w:rPr>
      </w:pPr>
      <w:r>
        <w:rPr>
          <w:rFonts w:ascii="Arial" w:cs="Arial" w:eastAsia="Arial" w:hAnsi="Arial"/>
          <w:sz w:val="20"/>
          <w:szCs w:val="20"/>
          <w:color w:val="auto"/>
        </w:rPr>
        <w:t>Any written waiver of notice,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these bylaws.</w:t>
      </w:r>
    </w:p>
    <w:p>
      <w:pPr>
        <w:spacing w:after="0" w:line="16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7.4</w:t>
      </w:r>
      <w:r>
        <w:rPr>
          <w:sz w:val="20"/>
          <w:szCs w:val="20"/>
          <w:color w:val="auto"/>
        </w:rPr>
        <w:tab/>
      </w:r>
      <w:r>
        <w:rPr>
          <w:rFonts w:ascii="Arial" w:cs="Arial" w:eastAsia="Arial" w:hAnsi="Arial"/>
          <w:sz w:val="19"/>
          <w:szCs w:val="19"/>
          <w:u w:val="single" w:color="auto"/>
          <w:color w:val="auto"/>
        </w:rPr>
        <w:t>NOTICE BY ELECTRONIC TRANSMISSION</w:t>
      </w:r>
    </w:p>
    <w:p>
      <w:pPr>
        <w:spacing w:after="0" w:line="197" w:lineRule="exact"/>
        <w:rPr>
          <w:sz w:val="20"/>
          <w:szCs w:val="20"/>
          <w:color w:val="auto"/>
        </w:rPr>
      </w:pPr>
    </w:p>
    <w:p>
      <w:pPr>
        <w:ind w:right="20" w:firstLine="878"/>
        <w:spacing w:after="0" w:line="236" w:lineRule="auto"/>
        <w:rPr>
          <w:sz w:val="20"/>
          <w:szCs w:val="20"/>
          <w:color w:val="auto"/>
        </w:rPr>
      </w:pPr>
      <w:r>
        <w:rPr>
          <w:rFonts w:ascii="Arial" w:cs="Arial" w:eastAsia="Arial" w:hAnsi="Arial"/>
          <w:sz w:val="21"/>
          <w:szCs w:val="21"/>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79" w:lineRule="exact"/>
        <w:rPr>
          <w:sz w:val="20"/>
          <w:szCs w:val="20"/>
          <w:color w:val="auto"/>
        </w:rPr>
      </w:pPr>
    </w:p>
    <w:p>
      <w:pPr>
        <w:ind w:firstLine="2111"/>
        <w:spacing w:after="0" w:line="252" w:lineRule="auto"/>
        <w:tabs>
          <w:tab w:leader="none" w:pos="2922"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corporation is unable to deliver by electronic transmission two consecutive notices given by the corporation in accordance with such consent; and</w:t>
      </w:r>
    </w:p>
    <w:p>
      <w:pPr>
        <w:spacing w:after="0" w:line="163" w:lineRule="exact"/>
        <w:rPr>
          <w:rFonts w:ascii="Arial" w:cs="Arial" w:eastAsia="Arial" w:hAnsi="Arial"/>
          <w:sz w:val="21"/>
          <w:szCs w:val="21"/>
          <w:color w:val="auto"/>
        </w:rPr>
      </w:pPr>
    </w:p>
    <w:p>
      <w:pPr>
        <w:ind w:firstLine="2111"/>
        <w:spacing w:after="0" w:line="252" w:lineRule="auto"/>
        <w:tabs>
          <w:tab w:leader="none" w:pos="2979" w:val="left"/>
        </w:tabs>
        <w:numPr>
          <w:ilvl w:val="0"/>
          <w:numId w:val="57"/>
        </w:numPr>
        <w:rPr>
          <w:rFonts w:ascii="Arial" w:cs="Arial" w:eastAsia="Arial" w:hAnsi="Arial"/>
          <w:sz w:val="21"/>
          <w:szCs w:val="21"/>
          <w:color w:val="auto"/>
        </w:rPr>
      </w:pPr>
      <w:r>
        <w:rPr>
          <w:rFonts w:ascii="Arial" w:cs="Arial" w:eastAsia="Arial" w:hAnsi="Arial"/>
          <w:sz w:val="21"/>
          <w:szCs w:val="21"/>
          <w:color w:val="auto"/>
        </w:rPr>
        <w:t>such inability becomes known to the Secretary or an Assistant Secretary or to the transfer agent, or other person responsible for the giving of notice.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However, the inadvertent failure to treat such inability as a revocation shall not invalidate any meeting or other action.</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Any notice given pursuant to the preceding paragraph shall be deemed given:</w:t>
      </w:r>
    </w:p>
    <w:p>
      <w:pPr>
        <w:spacing w:after="0" w:line="197" w:lineRule="exact"/>
        <w:rPr>
          <w:sz w:val="20"/>
          <w:szCs w:val="20"/>
          <w:color w:val="auto"/>
        </w:rPr>
      </w:pPr>
    </w:p>
    <w:p>
      <w:pPr>
        <w:ind w:left="2920" w:hanging="809"/>
        <w:spacing w:after="0"/>
        <w:tabs>
          <w:tab w:leader="none" w:pos="2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to receive notice;</w:t>
      </w:r>
    </w:p>
    <w:p>
      <w:pPr>
        <w:spacing w:after="0" w:line="179" w:lineRule="exact"/>
        <w:rPr>
          <w:sz w:val="20"/>
          <w:szCs w:val="20"/>
          <w:color w:val="auto"/>
        </w:rPr>
      </w:pPr>
    </w:p>
    <w:p>
      <w:pPr>
        <w:ind w:left="2980" w:hanging="869"/>
        <w:spacing w:after="0"/>
        <w:tabs>
          <w:tab w:leader="none" w:pos="29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if by electronic mail, when directed to an electronic mail address at which the stockholder has</w:t>
      </w:r>
    </w:p>
    <w:p>
      <w:pPr>
        <w:spacing w:after="0" w:line="2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consented to receive notice;</w:t>
      </w:r>
    </w:p>
    <w:p>
      <w:pPr>
        <w:spacing w:after="0" w:line="178" w:lineRule="exact"/>
        <w:rPr>
          <w:rFonts w:ascii="Arial" w:cs="Arial" w:eastAsia="Arial" w:hAnsi="Arial"/>
          <w:sz w:val="20"/>
          <w:szCs w:val="20"/>
          <w:color w:val="auto"/>
        </w:rPr>
      </w:pPr>
    </w:p>
    <w:p>
      <w:pPr>
        <w:ind w:firstLine="2111"/>
        <w:spacing w:after="0" w:line="252" w:lineRule="auto"/>
        <w:tabs>
          <w:tab w:leader="none" w:pos="3036" w:val="left"/>
        </w:tabs>
        <w:numPr>
          <w:ilvl w:val="0"/>
          <w:numId w:val="59"/>
        </w:numPr>
        <w:rPr>
          <w:rFonts w:ascii="Arial" w:cs="Arial" w:eastAsia="Arial" w:hAnsi="Arial"/>
          <w:sz w:val="21"/>
          <w:szCs w:val="21"/>
          <w:color w:val="auto"/>
        </w:rPr>
      </w:pPr>
      <w:r>
        <w:rPr>
          <w:rFonts w:ascii="Arial" w:cs="Arial" w:eastAsia="Arial" w:hAnsi="Arial"/>
          <w:sz w:val="21"/>
          <w:szCs w:val="21"/>
          <w:color w:val="auto"/>
        </w:rPr>
        <w:t>if by a posting on an electronic network together with separate notice to the stockholder of such specific posting, upon the later of (A) such posting and (B) the giving of such separate notice; and</w:t>
      </w:r>
    </w:p>
    <w:p>
      <w:pPr>
        <w:spacing w:after="0" w:line="163" w:lineRule="exact"/>
        <w:rPr>
          <w:rFonts w:ascii="Arial" w:cs="Arial" w:eastAsia="Arial" w:hAnsi="Arial"/>
          <w:sz w:val="21"/>
          <w:szCs w:val="21"/>
          <w:color w:val="auto"/>
        </w:rPr>
      </w:pPr>
    </w:p>
    <w:p>
      <w:pPr>
        <w:ind w:left="3020" w:hanging="909"/>
        <w:spacing w:after="0"/>
        <w:tabs>
          <w:tab w:leader="none" w:pos="30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if by any other form of electronic transmission, when directed to the stockholder.</w:t>
      </w:r>
    </w:p>
    <w:p>
      <w:pPr>
        <w:spacing w:after="0" w:line="197" w:lineRule="exact"/>
        <w:rPr>
          <w:sz w:val="20"/>
          <w:szCs w:val="20"/>
          <w:color w:val="auto"/>
        </w:rPr>
      </w:pPr>
    </w:p>
    <w:p>
      <w:pPr>
        <w:ind w:right="200" w:firstLine="878"/>
        <w:spacing w:after="0" w:line="279"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29488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96" w:name="page97"/>
    <w:bookmarkEnd w:id="96"/>
    <w:p>
      <w:pPr>
        <w:jc w:val="both"/>
        <w:ind w:firstLine="878"/>
        <w:spacing w:after="0" w:line="239" w:lineRule="auto"/>
        <w:rPr>
          <w:sz w:val="20"/>
          <w:szCs w:val="20"/>
          <w:color w:val="auto"/>
        </w:rPr>
      </w:pPr>
      <w:r>
        <w:rPr>
          <w:rFonts w:ascii="Arial" w:cs="Arial" w:eastAsia="Arial" w:hAnsi="Arial"/>
          <w:sz w:val="21"/>
          <w:szCs w:val="21"/>
          <w:color w:val="auto"/>
        </w:rPr>
        <w:t>An “</w:t>
      </w:r>
      <w:r>
        <w:rPr>
          <w:rFonts w:ascii="Arial" w:cs="Arial" w:eastAsia="Arial" w:hAnsi="Arial"/>
          <w:sz w:val="21"/>
          <w:szCs w:val="21"/>
          <w:b w:val="1"/>
          <w:bCs w:val="1"/>
          <w:color w:val="auto"/>
        </w:rPr>
        <w:t>electronic transmission</w:t>
      </w:r>
      <w:r>
        <w:rPr>
          <w:rFonts w:ascii="Arial" w:cs="Arial" w:eastAsia="Arial" w:hAnsi="Arial"/>
          <w:sz w:val="21"/>
          <w:szCs w:val="21"/>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 by a form of electronic transmission shall not apply to Sections 164, 296, 311, 312 or 324 of the DGCL.</w:t>
      </w:r>
    </w:p>
    <w:p>
      <w:pPr>
        <w:spacing w:after="0" w:line="19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7.5</w:t>
      </w:r>
      <w:r>
        <w:rPr>
          <w:sz w:val="20"/>
          <w:szCs w:val="20"/>
          <w:color w:val="auto"/>
        </w:rPr>
        <w:tab/>
      </w:r>
      <w:r>
        <w:rPr>
          <w:rFonts w:ascii="Arial" w:cs="Arial" w:eastAsia="Arial" w:hAnsi="Arial"/>
          <w:sz w:val="19"/>
          <w:szCs w:val="19"/>
          <w:u w:val="single" w:color="auto"/>
          <w:color w:val="auto"/>
        </w:rPr>
        <w:t>NOTICE TO STOCKHOLDERS SHARING AN ADDRESS</w:t>
      </w:r>
    </w:p>
    <w:p>
      <w:pPr>
        <w:spacing w:after="0" w:line="197" w:lineRule="exact"/>
        <w:rPr>
          <w:sz w:val="20"/>
          <w:szCs w:val="20"/>
          <w:color w:val="auto"/>
        </w:rPr>
      </w:pPr>
    </w:p>
    <w:p>
      <w:pPr>
        <w:ind w:right="20" w:firstLine="878"/>
        <w:spacing w:after="0" w:line="282" w:lineRule="auto"/>
        <w:rPr>
          <w:sz w:val="20"/>
          <w:szCs w:val="20"/>
          <w:color w:val="auto"/>
        </w:rPr>
      </w:pPr>
      <w:r>
        <w:rPr>
          <w:rFonts w:ascii="Arial" w:cs="Arial" w:eastAsia="Arial" w:hAnsi="Arial"/>
          <w:sz w:val="18"/>
          <w:szCs w:val="18"/>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days of having been given written notice by the corporation of its intention to send the single notice, shall be deemed to have consented to receiving such single written notice.</w:t>
      </w:r>
    </w:p>
    <w:p>
      <w:pPr>
        <w:spacing w:after="0" w:line="13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7.6</w:t>
      </w:r>
      <w:r>
        <w:rPr>
          <w:sz w:val="20"/>
          <w:szCs w:val="20"/>
          <w:color w:val="auto"/>
        </w:rPr>
        <w:tab/>
      </w:r>
      <w:r>
        <w:rPr>
          <w:rFonts w:ascii="Arial" w:cs="Arial" w:eastAsia="Arial" w:hAnsi="Arial"/>
          <w:sz w:val="19"/>
          <w:szCs w:val="19"/>
          <w:u w:val="single" w:color="auto"/>
          <w:color w:val="auto"/>
        </w:rPr>
        <w:t>INTERESTED DIRECTORS; QUORUM</w:t>
      </w:r>
    </w:p>
    <w:p>
      <w:pPr>
        <w:spacing w:after="0" w:line="197" w:lineRule="exact"/>
        <w:rPr>
          <w:sz w:val="20"/>
          <w:szCs w:val="20"/>
          <w:color w:val="auto"/>
        </w:rPr>
      </w:pPr>
    </w:p>
    <w:p>
      <w:pPr>
        <w:ind w:right="20" w:firstLine="878"/>
        <w:spacing w:after="0" w:line="275" w:lineRule="auto"/>
        <w:rPr>
          <w:sz w:val="20"/>
          <w:szCs w:val="20"/>
          <w:color w:val="auto"/>
        </w:rPr>
      </w:pPr>
      <w:r>
        <w:rPr>
          <w:rFonts w:ascii="Arial" w:cs="Arial" w:eastAsia="Arial" w:hAnsi="Arial"/>
          <w:sz w:val="18"/>
          <w:szCs w:val="18"/>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(1) the material facts as to his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(2) the material facts as to his relationship or interest and as to the contract or transaction are disclosed or are known to the stockholders entitled to vote thereon, and the contract or transaction is specifically approved in good faith by vote of the stockholders; or (3)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4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1"/>
          <w:szCs w:val="21"/>
          <w:color w:val="auto"/>
        </w:rPr>
        <w:t>7.7</w:t>
      </w:r>
      <w:r>
        <w:rPr>
          <w:sz w:val="20"/>
          <w:szCs w:val="20"/>
          <w:color w:val="auto"/>
        </w:rPr>
        <w:tab/>
      </w:r>
      <w:r>
        <w:rPr>
          <w:rFonts w:ascii="Arial" w:cs="Arial" w:eastAsia="Arial" w:hAnsi="Arial"/>
          <w:sz w:val="20"/>
          <w:szCs w:val="20"/>
          <w:u w:val="single" w:color="auto"/>
          <w:color w:val="auto"/>
        </w:rPr>
        <w:t>AMENDMENT OF BYLAWS</w:t>
      </w:r>
    </w:p>
    <w:p>
      <w:pPr>
        <w:spacing w:after="0" w:line="197" w:lineRule="exact"/>
        <w:rPr>
          <w:sz w:val="20"/>
          <w:szCs w:val="20"/>
          <w:color w:val="auto"/>
        </w:rPr>
      </w:pPr>
    </w:p>
    <w:p>
      <w:pPr>
        <w:ind w:right="360" w:firstLine="878"/>
        <w:spacing w:after="0" w:line="239" w:lineRule="auto"/>
        <w:rPr>
          <w:sz w:val="20"/>
          <w:szCs w:val="20"/>
          <w:color w:val="auto"/>
        </w:rPr>
      </w:pPr>
      <w:r>
        <w:rPr>
          <w:rFonts w:ascii="Arial" w:cs="Arial" w:eastAsia="Arial" w:hAnsi="Arial"/>
          <w:sz w:val="21"/>
          <w:szCs w:val="21"/>
          <w:color w:val="auto"/>
        </w:rPr>
        <w:t>These bylaws may be altered or repealed, and new bylaws made, by the Board of Directors, but the stockholders may make additional bylaws and may alter or repeal any bylaws whether adopted by them or otherwise.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420"/>
          </w:cols>
          <w:pgMar w:left="240" w:top="5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20" w:lineRule="exact"/>
        <w:rPr>
          <w:sz w:val="20"/>
          <w:szCs w:val="20"/>
          <w:color w:val="auto"/>
        </w:rPr>
      </w:pPr>
    </w:p>
    <w:p>
      <w:pPr>
        <w:ind w:right="60" w:firstLine="518"/>
        <w:spacing w:after="0" w:line="318" w:lineRule="auto"/>
        <w:rPr>
          <w:sz w:val="20"/>
          <w:szCs w:val="20"/>
          <w:color w:val="auto"/>
        </w:rPr>
      </w:pPr>
      <w:r>
        <w:rPr>
          <w:rFonts w:ascii="Arial" w:cs="Arial" w:eastAsia="Arial" w:hAnsi="Arial"/>
          <w:sz w:val="15"/>
          <w:szCs w:val="15"/>
          <w:color w:val="auto"/>
        </w:rPr>
        <w:t>We hereby consent to the incorporation by reference in the Registration Statements on Form S-3 (333-213094) and Form S-8 (333-197934, 333-183513, 333-161630, 333-155598, 333-147866, 333-135822, 333-127716, 333-117885, 333-107700, 333-97541, 333-67480, 333-45736, 333-86091, 333-57573, 333-32161) of our reports dated March 29, 2019 relating to the consolidated financial statements of IRIDEX Corporation, which appear in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/s/ BPM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March 29, 2019</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AND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13(a) or 15 (d) OF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William M. Moore, certify that:</w:t>
      </w:r>
    </w:p>
    <w:p>
      <w:pPr>
        <w:spacing w:after="0" w:line="114" w:lineRule="exact"/>
        <w:rPr>
          <w:sz w:val="20"/>
          <w:szCs w:val="20"/>
          <w:color w:val="auto"/>
        </w:rPr>
      </w:pPr>
    </w:p>
    <w:p>
      <w:pPr>
        <w:ind w:left="1040" w:hanging="521"/>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IRIDEX Corporation;</w:t>
      </w:r>
    </w:p>
    <w:p>
      <w:pPr>
        <w:spacing w:after="0" w:line="113" w:lineRule="exact"/>
        <w:rPr>
          <w:rFonts w:ascii="Arial" w:cs="Arial" w:eastAsia="Arial" w:hAnsi="Arial"/>
          <w:sz w:val="17"/>
          <w:szCs w:val="17"/>
          <w:color w:val="auto"/>
        </w:rPr>
      </w:pPr>
    </w:p>
    <w:p>
      <w:pPr>
        <w:jc w:val="both"/>
        <w:ind w:left="1040" w:right="380" w:hanging="521"/>
        <w:spacing w:after="0" w:line="266" w:lineRule="auto"/>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7"/>
          <w:szCs w:val="17"/>
          <w:color w:val="auto"/>
        </w:rPr>
      </w:pPr>
    </w:p>
    <w:p>
      <w:pPr>
        <w:ind w:left="1040" w:right="360" w:hanging="521"/>
        <w:spacing w:after="0" w:line="312" w:lineRule="auto"/>
        <w:tabs>
          <w:tab w:leader="none" w:pos="10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1040" w:right="380" w:hanging="521"/>
        <w:spacing w:after="0" w:line="266" w:lineRule="auto"/>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1560" w:right="120" w:hanging="526"/>
        <w:spacing w:after="0" w:line="266" w:lineRule="auto"/>
        <w:tabs>
          <w:tab w:leader="none" w:pos="15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560" w:right="420" w:hanging="526"/>
        <w:spacing w:after="0" w:line="266" w:lineRule="auto"/>
        <w:tabs>
          <w:tab w:leader="none" w:pos="15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560" w:right="580" w:hanging="526"/>
        <w:spacing w:after="0" w:line="349" w:lineRule="auto"/>
        <w:tabs>
          <w:tab w:leader="none" w:pos="15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560" w:right="60" w:hanging="526"/>
        <w:spacing w:after="0" w:line="266" w:lineRule="auto"/>
        <w:tabs>
          <w:tab w:leader="none" w:pos="15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1040" w:right="280" w:hanging="521"/>
        <w:spacing w:after="0" w:line="312" w:lineRule="auto"/>
        <w:tabs>
          <w:tab w:leader="none" w:pos="10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6"/>
          <w:szCs w:val="16"/>
          <w:color w:val="auto"/>
        </w:rPr>
      </w:pPr>
    </w:p>
    <w:p>
      <w:pPr>
        <w:ind w:left="1560" w:right="20" w:hanging="526"/>
        <w:spacing w:after="0" w:line="279" w:lineRule="auto"/>
        <w:tabs>
          <w:tab w:leader="none" w:pos="15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560" w:right="520" w:hanging="526"/>
        <w:spacing w:after="0" w:line="279" w:lineRule="auto"/>
        <w:tabs>
          <w:tab w:leader="none" w:pos="15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March 29, 2019</w:t>
      </w:r>
    </w:p>
    <w:p>
      <w:pPr>
        <w:spacing w:after="0" w:line="24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By: /s/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14605</wp:posOffset>
            </wp:positionV>
            <wp:extent cx="32086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3208655" cy="8255"/>
                    </a:xfrm>
                    <a:prstGeom prst="rect">
                      <a:avLst/>
                    </a:prstGeom>
                    <a:noFill/>
                  </pic:spPr>
                </pic:pic>
              </a:graphicData>
            </a:graphic>
          </wp:anchor>
        </w:drawing>
      </w:r>
    </w:p>
    <w:p>
      <w:pPr>
        <w:spacing w:after="0" w:line="4"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Name: William M. Moore</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Title: President and Chief Executive Officer</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(Principal Executive and Financial Officer)</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ACCOUNTING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13(a) or 15 (d) OF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Romeo R. Dizon, certify that:</w:t>
      </w:r>
    </w:p>
    <w:p>
      <w:pPr>
        <w:spacing w:after="0" w:line="114" w:lineRule="exact"/>
        <w:rPr>
          <w:sz w:val="20"/>
          <w:szCs w:val="20"/>
          <w:color w:val="auto"/>
        </w:rPr>
      </w:pPr>
    </w:p>
    <w:p>
      <w:pPr>
        <w:ind w:left="1040" w:hanging="521"/>
        <w:spacing w:after="0"/>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IRIDEX Corporation;</w:t>
      </w:r>
    </w:p>
    <w:p>
      <w:pPr>
        <w:spacing w:after="0" w:line="113" w:lineRule="exact"/>
        <w:rPr>
          <w:rFonts w:ascii="Arial" w:cs="Arial" w:eastAsia="Arial" w:hAnsi="Arial"/>
          <w:sz w:val="17"/>
          <w:szCs w:val="17"/>
          <w:color w:val="auto"/>
        </w:rPr>
      </w:pPr>
    </w:p>
    <w:p>
      <w:pPr>
        <w:jc w:val="both"/>
        <w:ind w:left="1040" w:right="380" w:hanging="521"/>
        <w:spacing w:after="0" w:line="266" w:lineRule="auto"/>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7"/>
          <w:szCs w:val="17"/>
          <w:color w:val="auto"/>
        </w:rPr>
      </w:pPr>
    </w:p>
    <w:p>
      <w:pPr>
        <w:ind w:left="1040" w:right="360" w:hanging="521"/>
        <w:spacing w:after="0" w:line="312" w:lineRule="auto"/>
        <w:tabs>
          <w:tab w:leader="none" w:pos="10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1040" w:right="380" w:hanging="521"/>
        <w:spacing w:after="0" w:line="266" w:lineRule="auto"/>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1560" w:right="120" w:hanging="526"/>
        <w:spacing w:after="0" w:line="266" w:lineRule="auto"/>
        <w:tabs>
          <w:tab w:leader="none" w:pos="15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560" w:right="420" w:hanging="526"/>
        <w:spacing w:after="0" w:line="266" w:lineRule="auto"/>
        <w:tabs>
          <w:tab w:leader="none" w:pos="15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560" w:right="580" w:hanging="526"/>
        <w:spacing w:after="0" w:line="349" w:lineRule="auto"/>
        <w:tabs>
          <w:tab w:leader="none" w:pos="1560"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560" w:right="120" w:hanging="526"/>
        <w:spacing w:after="0" w:line="266" w:lineRule="auto"/>
        <w:tabs>
          <w:tab w:leader="none" w:pos="15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1040" w:right="280" w:hanging="521"/>
        <w:spacing w:after="0" w:line="312" w:lineRule="auto"/>
        <w:tabs>
          <w:tab w:leader="none" w:pos="10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6"/>
          <w:szCs w:val="16"/>
          <w:color w:val="auto"/>
        </w:rPr>
      </w:pPr>
    </w:p>
    <w:p>
      <w:pPr>
        <w:ind w:left="1560" w:right="20" w:hanging="526"/>
        <w:spacing w:after="0" w:line="279" w:lineRule="auto"/>
        <w:tabs>
          <w:tab w:leader="none" w:pos="15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560" w:right="520" w:hanging="526"/>
        <w:spacing w:after="0" w:line="279" w:lineRule="auto"/>
        <w:tabs>
          <w:tab w:leader="none" w:pos="15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March 29, 2019</w:t>
      </w:r>
    </w:p>
    <w:p>
      <w:pPr>
        <w:spacing w:after="0" w:line="24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By: /s/ ROMEO R. DIZON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14605</wp:posOffset>
            </wp:positionV>
            <wp:extent cx="32086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3208655" cy="8255"/>
                    </a:xfrm>
                    <a:prstGeom prst="rect">
                      <a:avLst/>
                    </a:prstGeom>
                    <a:noFill/>
                  </pic:spPr>
                </pic:pic>
              </a:graphicData>
            </a:graphic>
          </wp:anchor>
        </w:drawing>
      </w:r>
    </w:p>
    <w:p>
      <w:pPr>
        <w:spacing w:after="0" w:line="4"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Name: Romeo R. Dizon</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Title: Vice President and Controller</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(Principal Accounting Officer)</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AND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180" w:firstLine="518"/>
        <w:spacing w:after="0" w:line="262" w:lineRule="auto"/>
        <w:rPr>
          <w:sz w:val="20"/>
          <w:szCs w:val="20"/>
          <w:color w:val="auto"/>
        </w:rPr>
      </w:pPr>
      <w:r>
        <w:rPr>
          <w:rFonts w:ascii="Arial" w:cs="Arial" w:eastAsia="Arial" w:hAnsi="Arial"/>
          <w:sz w:val="17"/>
          <w:szCs w:val="17"/>
          <w:color w:val="auto"/>
        </w:rPr>
        <w:t>I, William M. Moore, pursuant to 18 U.S.C. Section 1350, as adopted pursuant to Section 906 of the Sarbanes-Oxley Act of 2002, certify that the Annual Report of IRIDEX Corporation on Form 10-K for the fiscal year ended December 29, 2018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Date: March 29, 2019</w:t>
      </w:r>
    </w:p>
    <w:p>
      <w:pPr>
        <w:spacing w:after="0" w:line="24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By: /s/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14605</wp:posOffset>
            </wp:positionV>
            <wp:extent cx="32010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4"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Name: William M. Moore</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Title: President and Chief Executive Officer</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(Principal Executive and Financial Officer)</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ACCOUNTING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firstLine="518"/>
        <w:spacing w:after="0" w:line="262" w:lineRule="auto"/>
        <w:rPr>
          <w:sz w:val="20"/>
          <w:szCs w:val="20"/>
          <w:color w:val="auto"/>
        </w:rPr>
      </w:pPr>
      <w:r>
        <w:rPr>
          <w:rFonts w:ascii="Arial" w:cs="Arial" w:eastAsia="Arial" w:hAnsi="Arial"/>
          <w:sz w:val="17"/>
          <w:szCs w:val="17"/>
          <w:color w:val="auto"/>
        </w:rPr>
        <w:t>I, Romeo R. Dizon, pursuant to 18 U.S.C. Section 1350, as adopted pursuant to Section 906 of the Sarbanes-Oxley Act of 2002, certify that the Annual Report of IRIDEX Corporation on Form 10-K for the fiscal year ended December 29, 2018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Date: March 29, 2019</w:t>
      </w:r>
    </w:p>
    <w:p>
      <w:pPr>
        <w:spacing w:after="0" w:line="24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By: /s/ ROMEO R. DIZON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14605</wp:posOffset>
            </wp:positionV>
            <wp:extent cx="32010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4"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Name: Romeo R. Dizon</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Title: Vice President and Controller</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decimal"/>
      <w:start w:val="4"/>
    </w:lvl>
  </w:abstractNum>
  <w:abstractNum w:abstractNumId="18">
    <w:nsid w:val="2D517796"/>
    <w:multiLevelType w:val="hybridMultilevel"/>
    <w:lvl w:ilvl="0">
      <w:lvlJc w:val="left"/>
      <w:lvlText w:val="%1."/>
      <w:numFmt w:val="decimal"/>
      <w:start w:val="840"/>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2"/>
    </w:lvl>
  </w:abstractNum>
  <w:abstractNum w:abstractNumId="22">
    <w:nsid w:val="70A64E2A"/>
    <w:multiLevelType w:val="hybridMultilevel"/>
    <w:lvl w:ilvl="0">
      <w:lvlJc w:val="left"/>
      <w:lvlText w:val="(%1)"/>
      <w:numFmt w:val="decimal"/>
      <w:start w:val="4"/>
    </w:lvl>
  </w:abstractNum>
  <w:abstractNum w:abstractNumId="23">
    <w:nsid w:val="6A2342EC"/>
    <w:multiLevelType w:val="hybridMultilevel"/>
    <w:lvl w:ilvl="0">
      <w:lvlJc w:val="left"/>
      <w:lvlText w:val="%1."/>
      <w:numFmt w:val="decimal"/>
      <w:start w:val="840"/>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3"/>
    </w:lvl>
  </w:abstractNum>
  <w:abstractNum w:abstractNumId="31">
    <w:nsid w:val="542289EC"/>
    <w:multiLevelType w:val="hybridMultilevel"/>
    <w:lvl w:ilvl="0">
      <w:lvlJc w:val="left"/>
      <w:lvlText w:val="(%1)"/>
      <w:numFmt w:val="decimal"/>
      <w:start w:val="8"/>
    </w:lvl>
  </w:abstractNum>
  <w:abstractNum w:abstractNumId="32">
    <w:nsid w:val="6DE91B18"/>
    <w:multiLevelType w:val="hybridMultilevel"/>
    <w:lvl w:ilvl="0">
      <w:lvlJc w:val="left"/>
      <w:lvlText w:val="(%1)"/>
      <w:numFmt w:val="upperLetter"/>
      <w:start w:val="16"/>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lvl w:ilvl="1">
      <w:lvlJc w:val="left"/>
      <w:lvlText w:val="(%2)"/>
      <w:numFmt w:val="lowerRoman"/>
      <w:start w:val="1"/>
    </w:lvl>
  </w:abstractNum>
  <w:abstractNum w:abstractNumId="35">
    <w:nsid w:val="32FFF902"/>
    <w:multiLevelType w:val="hybridMultilevel"/>
    <w:lvl w:ilvl="0">
      <w:lvlJc w:val="left"/>
      <w:lvlText w:val="(%1)"/>
      <w:numFmt w:val="lowerRoman"/>
      <w:start w:val="2"/>
    </w:lvl>
  </w:abstractNum>
  <w:abstractNum w:abstractNumId="36">
    <w:nsid w:val="684A481A"/>
    <w:multiLevelType w:val="hybridMultilevel"/>
    <w:lvl w:ilvl="0">
      <w:lvlJc w:val="left"/>
      <w:lvlText w:val="(%1)"/>
      <w:numFmt w:val="decimal"/>
      <w:start w:val="2"/>
    </w:lvl>
    <w:lvl w:ilvl="1">
      <w:lvlJc w:val="left"/>
      <w:lvlText w:val="(%2)"/>
      <w:numFmt w:val="lowerRoman"/>
      <w:start w:val="1"/>
    </w:lvl>
    <w:lvl w:ilvl="2">
      <w:lvlJc w:val="left"/>
      <w:lvlText w:val="(%3)"/>
      <w:numFmt w:val="decimal"/>
      <w:start w:val="1"/>
    </w:lvl>
  </w:abstractNum>
  <w:abstractNum w:abstractNumId="37">
    <w:nsid w:val="579478FE"/>
    <w:multiLevelType w:val="hybridMultilevel"/>
    <w:lvl w:ilvl="0">
      <w:lvlJc w:val="left"/>
      <w:lvlText w:val="%1"/>
      <w:numFmt w:val="lowerRoman"/>
      <w:start w:val="1"/>
    </w:lvl>
    <w:lvl w:ilvl="1">
      <w:lvlJc w:val="left"/>
      <w:lvlText w:val="(%2)"/>
      <w:numFmt w:val="decimal"/>
      <w:start w:val="2"/>
    </w:lvl>
  </w:abstractNum>
  <w:abstractNum w:abstractNumId="38">
    <w:nsid w:val="749ABB43"/>
    <w:multiLevelType w:val="hybridMultilevel"/>
    <w:lvl w:ilvl="0">
      <w:lvlJc w:val="left"/>
      <w:lvlText w:val="(%1)"/>
      <w:numFmt w:val="lowerRoman"/>
      <w:start w:val="3"/>
    </w:lvl>
    <w:lvl w:ilvl="1">
      <w:lvlJc w:val="left"/>
      <w:lvlText w:val="%2"/>
      <w:numFmt w:val="decimal"/>
      <w:start w:val="1"/>
    </w:lvl>
  </w:abstractNum>
  <w:abstractNum w:abstractNumId="39">
    <w:nsid w:val="3DC240FB"/>
    <w:multiLevelType w:val="hybridMultilevel"/>
    <w:lvl w:ilvl="0">
      <w:lvlJc w:val="left"/>
      <w:lvlText w:val="(%1)"/>
      <w:numFmt w:val="decimal"/>
      <w:start w:val="3"/>
    </w:lvl>
    <w:lvl w:ilvl="1">
      <w:lvlJc w:val="left"/>
      <w:lvlText w:val="(%2)"/>
      <w:numFmt w:val="lowerRoman"/>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2"/>
    </w:lvl>
  </w:abstractNum>
  <w:abstractNum w:abstractNumId="42">
    <w:nsid w:val="75C6C33A"/>
    <w:multiLevelType w:val="hybridMultilevel"/>
    <w:lvl w:ilvl="0">
      <w:lvlJc w:val="left"/>
      <w:lvlText w:val="(%1)"/>
      <w:numFmt w:val="decimal"/>
      <w:start w:val="3"/>
    </w:lvl>
  </w:abstractNum>
  <w:abstractNum w:abstractNumId="43">
    <w:nsid w:val="12E685FB"/>
    <w:multiLevelType w:val="hybridMultilevel"/>
    <w:lvl w:ilvl="0">
      <w:lvlJc w:val="left"/>
      <w:lvlText w:val="(%1)"/>
      <w:numFmt w:val="lowerRoman"/>
      <w:start w:val="1"/>
    </w:lvl>
  </w:abstractNum>
  <w:abstractNum w:abstractNumId="44">
    <w:nsid w:val="70C6A529"/>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45">
    <w:nsid w:val="520EEDD1"/>
    <w:multiLevelType w:val="hybridMultilevel"/>
    <w:lvl w:ilvl="0">
      <w:lvlJc w:val="left"/>
      <w:lvlText w:val="(%1)"/>
      <w:numFmt w:val="lowerRoman"/>
      <w:start w:val="2"/>
    </w:lvl>
    <w:lvl w:ilvl="1">
      <w:lvlJc w:val="left"/>
      <w:lvlText w:val="(%2)"/>
      <w:numFmt w:val="decimal"/>
      <w:start w:val="2"/>
    </w:lvl>
    <w:lvl w:ilvl="2">
      <w:lvlJc w:val="left"/>
      <w:lvlText w:val="%3"/>
      <w:numFmt w:val="lowerRoman"/>
      <w:start w:val="1"/>
    </w:lvl>
  </w:abstractNum>
  <w:abstractNum w:abstractNumId="46">
    <w:nsid w:val="374A3FE6"/>
    <w:multiLevelType w:val="hybridMultilevel"/>
    <w:lvl w:ilvl="0">
      <w:lvlJc w:val="left"/>
      <w:lvlText w:val="(%1)"/>
      <w:numFmt w:val="lowerRoman"/>
      <w:start w:val="2"/>
    </w:lvl>
    <w:lvl w:ilvl="1">
      <w:lvlJc w:val="left"/>
      <w:lvlText w:val="(%2)"/>
      <w:numFmt w:val="decimal"/>
      <w:start w:val="3"/>
    </w:lvl>
    <w:lvl w:ilvl="2">
      <w:lvlJc w:val="left"/>
      <w:lvlText w:val="(%3)"/>
      <w:numFmt w:val="lowerRoman"/>
      <w:start w:val="1"/>
    </w:lvl>
  </w:abstractNum>
  <w:abstractNum w:abstractNumId="47">
    <w:nsid w:val="4F4EF005"/>
    <w:multiLevelType w:val="hybridMultilevel"/>
    <w:lvl w:ilvl="0">
      <w:lvlJc w:val="left"/>
      <w:lvlText w:val="(%1)"/>
      <w:numFmt w:val="lowerRoman"/>
      <w:start w:val="2"/>
    </w:lvl>
  </w:abstractNum>
  <w:abstractNum w:abstractNumId="48">
    <w:nsid w:val="23F9C13C"/>
    <w:multiLevelType w:val="hybridMultilevel"/>
    <w:lvl w:ilvl="0">
      <w:lvlJc w:val="left"/>
      <w:lvlText w:val="(%1)"/>
      <w:numFmt w:val="decimal"/>
      <w:start w:val="4"/>
    </w:lvl>
  </w:abstractNum>
  <w:abstractNum w:abstractNumId="49">
    <w:nsid w:val="649BB77C"/>
    <w:multiLevelType w:val="hybridMultilevel"/>
    <w:lvl w:ilvl="0">
      <w:lvlJc w:val="left"/>
      <w:lvlText w:val="(%1)"/>
      <w:numFmt w:val="decimal"/>
      <w:start w:val="5"/>
    </w:lvl>
  </w:abstractNum>
  <w:abstractNum w:abstractNumId="50">
    <w:nsid w:val="275AC794"/>
    <w:multiLevelType w:val="hybridMultilevel"/>
    <w:lvl w:ilvl="0">
      <w:lvlJc w:val="left"/>
      <w:lvlText w:val="(%1)"/>
      <w:numFmt w:val="decimal"/>
      <w:start w:val="8"/>
    </w:lvl>
  </w:abstractNum>
  <w:abstractNum w:abstractNumId="51">
    <w:nsid w:val="39386575"/>
    <w:multiLevelType w:val="hybridMultilevel"/>
    <w:lvl w:ilvl="0">
      <w:lvlJc w:val="left"/>
      <w:lvlText w:val="(%1)"/>
      <w:numFmt w:val="lowerRoman"/>
      <w:start w:val="1"/>
    </w:lvl>
  </w:abstractNum>
  <w:abstractNum w:abstractNumId="52">
    <w:nsid w:val="1CF10FD8"/>
    <w:multiLevelType w:val="hybridMultilevel"/>
    <w:lvl w:ilvl="0">
      <w:lvlJc w:val="left"/>
      <w:lvlText w:val="(%1)"/>
      <w:numFmt w:val="lowerRoman"/>
      <w:start w:val="4"/>
    </w:lvl>
  </w:abstractNum>
  <w:abstractNum w:abstractNumId="53">
    <w:nsid w:val="180115BE"/>
    <w:multiLevelType w:val="hybridMultilevel"/>
    <w:lvl w:ilvl="0">
      <w:lvlJc w:val="left"/>
      <w:lvlText w:val="(%1)"/>
      <w:numFmt w:val="lowerRoman"/>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2"/>
    </w:lvl>
  </w:abstractNum>
  <w:abstractNum w:abstractNumId="56">
    <w:nsid w:val="354FE9F9"/>
    <w:multiLevelType w:val="hybridMultilevel"/>
    <w:lvl w:ilvl="0">
      <w:lvlJc w:val="left"/>
      <w:lvlText w:val="(%1)"/>
      <w:numFmt w:val="lowerRoman"/>
      <w:start w:val="1"/>
    </w:lvl>
  </w:abstractNum>
  <w:abstractNum w:abstractNumId="57">
    <w:nsid w:val="15B5AF5C"/>
    <w:multiLevelType w:val="hybridMultilevel"/>
    <w:lvl w:ilvl="0">
      <w:lvlJc w:val="left"/>
      <w:lvlText w:val="(%1)"/>
      <w:numFmt w:val="lowerRoman"/>
      <w:start w:val="1"/>
    </w:lvl>
  </w:abstractNum>
  <w:abstractNum w:abstractNumId="58">
    <w:nsid w:val="741226BB"/>
    <w:multiLevelType w:val="hybridMultilevel"/>
    <w:lvl w:ilvl="0">
      <w:lvlJc w:val="left"/>
      <w:lvlText w:val="(%1)"/>
      <w:numFmt w:val="lowerRoman"/>
      <w:start w:val="2"/>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02" Type="http://schemas.openxmlformats.org/officeDocument/2006/relationships/hyperlink" Target="http://www.sec.gov/Archives/edgar/data/1006045/000119312513129386/d511173dex101.htm" TargetMode="External"/><Relationship Id="rId103" Type="http://schemas.openxmlformats.org/officeDocument/2006/relationships/hyperlink" Target="http://www.sec.gov/Archives/edgar/data/1006045/000089161807000540/f33502exv4w1.htm" TargetMode="External"/><Relationship Id="rId104" Type="http://schemas.openxmlformats.org/officeDocument/2006/relationships/hyperlink" Target="http://www.sec.gov/Archives/edgar/data/1006045/000089161807000540/f33502exv4w2.htm" TargetMode="External"/><Relationship Id="rId105" Type="http://schemas.openxmlformats.org/officeDocument/2006/relationships/hyperlink" Target="http://www.sec.gov/Archives/edgar/data/1006045/000119312509073387/dex43.htm" TargetMode="External"/><Relationship Id="rId106" Type="http://schemas.openxmlformats.org/officeDocument/2006/relationships/hyperlink" Target="http://www.sec.gov/Archives/edgar/data/1006045/000119312516679895/d233658dex45.htm" TargetMode="External"/><Relationship Id="rId107" Type="http://schemas.openxmlformats.org/officeDocument/2006/relationships/hyperlink" Target="http://www.sec.gov/Archives/edgar/data/1006045/000119312516679895/d233658dex47.htm" TargetMode="External"/><Relationship Id="rId108" Type="http://schemas.openxmlformats.org/officeDocument/2006/relationships/hyperlink" Target="http://www.sec.gov/Archives/edgar/data/1006045/000156459016015763/irix-ex101_303.htm" TargetMode="External"/><Relationship Id="rId109" Type="http://schemas.openxmlformats.org/officeDocument/2006/relationships/hyperlink" Target="http://www.sec.gov/Archives/edgar/data/1006045/000156459016021155/irix-ex102_9.htm" TargetMode="External"/><Relationship Id="rId112" Type="http://schemas.openxmlformats.org/officeDocument/2006/relationships/hyperlink" Target="http://www.sec.gov/Archives/edgar/data/1006045/000119312509070788/dex102.htm" TargetMode="External"/><Relationship Id="rId113" Type="http://schemas.openxmlformats.org/officeDocument/2006/relationships/hyperlink" Target="http://www.sec.gov/Archives/edgar/data/1006045/000119312512001934/d276608dex21.htm" TargetMode="External"/><Relationship Id="rId114" Type="http://schemas.openxmlformats.org/officeDocument/2006/relationships/hyperlink" Target="http://www.sec.gov/Archives/edgar/data/1006045/000156459017007969/irix-ex101_6.htm" TargetMode="External"/><Relationship Id="rId115" Type="http://schemas.openxmlformats.org/officeDocument/2006/relationships/hyperlink" Target="http://www.sec.gov/Archives/edgar/data/1006045/000095013404006335/f98194dedef14a.htm#075" TargetMode="External"/><Relationship Id="rId116" Type="http://schemas.openxmlformats.org/officeDocument/2006/relationships/hyperlink" Target="http://www.sec.gov/Archives/edgar/data/1006045/000095013408007616/f40174dedef14a.htm" TargetMode="External"/><Relationship Id="rId117" Type="http://schemas.openxmlformats.org/officeDocument/2006/relationships/hyperlink" Target="http://www.sec.gov/Archives/edgar/data/1006045/000119312508241322/dex991.htm" TargetMode="External"/><Relationship Id="rId118" Type="http://schemas.openxmlformats.org/officeDocument/2006/relationships/hyperlink" Target="http://www.sec.gov/Archives/edgar/data/1006045/000119312509159297/dex99d5.htm" TargetMode="External"/><Relationship Id="rId119" Type="http://schemas.openxmlformats.org/officeDocument/2006/relationships/hyperlink" Target="http://www.sec.gov/Archives/edgar/data/1006045/000089161807000540/f33502exv10w1.htm" TargetMode="External"/><Relationship Id="rId120" Type="http://schemas.openxmlformats.org/officeDocument/2006/relationships/hyperlink" Target="http://www.sec.gov/Archives/edgar/data/1006045/000119312511210538/dex101.htm" TargetMode="External"/><Relationship Id="rId121" Type="http://schemas.openxmlformats.org/officeDocument/2006/relationships/hyperlink" Target="http://www.sec.gov/Archives/edgar/data/1006045/000119312511210538/dex102.htm" TargetMode="External"/><Relationship Id="rId122" Type="http://schemas.openxmlformats.org/officeDocument/2006/relationships/hyperlink" Target="http://www.sec.gov/Archives/edgar/data/1006045/000156459014000015/irix-ex10_201401046.htm" TargetMode="External"/><Relationship Id="rId123" Type="http://schemas.openxmlformats.org/officeDocument/2006/relationships/hyperlink" Target="http://www.sec.gov/Archives/edgar/data/1006045/000156459015004035/irix-ex101_2015040457.htm" TargetMode="External"/><Relationship Id="rId124" Type="http://schemas.openxmlformats.org/officeDocument/2006/relationships/hyperlink" Target="http://www.sec.gov/Archives/edgar/data/1006045/000156459017024807/irix-ex101_6.htm" TargetMode="External"/><Relationship Id="rId125" Type="http://schemas.openxmlformats.org/officeDocument/2006/relationships/hyperlink" Target="http://www.sec.gov/Archives/edgar/data/1006045/000156459016021155/irix-ex103_7.htm" TargetMode="External"/><Relationship Id="rId126" Type="http://schemas.openxmlformats.org/officeDocument/2006/relationships/hyperlink" Target="http://www.sec.gov/Archives/edgar/data/1006045/000156459016027421/irix-ex101_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2019-12-28T14:06:35Z</dcterms:created>
  <dcterms:modified xsi:type="dcterms:W3CDTF">2019-12-28T14:06:35Z</dcterms:modified>
</cp:coreProperties>
</file>