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rix-20240330.htm"/>
      <w:bookmarkStart w:id="1" w:name="ksirix20240330"/>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0-27598</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IRIDEX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51" w:type="dxa"/>
        <w:jc w:val="left"/>
        <w:tblInd w:w="0" w:type="dxa"/>
        <w:tblLayout w:type="fixed"/>
        <w:tblCellMar>
          <w:top w:w="28" w:type="dxa"/>
          <w:left w:w="28" w:type="dxa"/>
          <w:bottom w:w="28" w:type="dxa"/>
          <w:right w:w="28" w:type="dxa"/>
        </w:tblCellMar>
      </w:tblPr>
      <w:tblGrid>
        <w:gridCol w:w="2926"/>
        <w:gridCol w:w="109"/>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77-0210467</w:t>
            </w:r>
          </w:p>
        </w:tc>
      </w:tr>
      <w:tr>
        <w:trPr/>
        <w:tc>
          <w:tcPr>
            <w:tcW w:w="292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r>
        <w:trPr/>
        <w:tc>
          <w:tcPr>
            <w:tcW w:w="2926" w:type="dxa"/>
            <w:tcBorders/>
            <w:vAlign w:val="center"/>
          </w:tcPr>
          <w:p>
            <w:pPr>
              <w:pStyle w:val="TableContents"/>
              <w:bidi w:val="0"/>
              <w:spacing w:before="0" w:after="283"/>
              <w:jc w:val="left"/>
              <w:rPr>
                <w:sz w:val="4"/>
                <w:szCs w:val="4"/>
              </w:rPr>
            </w:pPr>
            <w:r>
              <w:rPr>
                <w:sz w:val="4"/>
                <w:szCs w:val="4"/>
              </w:rPr>
            </w:r>
          </w:p>
        </w:tc>
        <w:tc>
          <w:tcPr>
            <w:tcW w:w="1925"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1212 Terra Bella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Mountain View, California</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94043-1824</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(650) 940-4700</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8650" w:type="dxa"/>
        <w:jc w:val="left"/>
        <w:tblInd w:w="0" w:type="dxa"/>
        <w:tblLayout w:type="fixed"/>
        <w:tblCellMar>
          <w:top w:w="28" w:type="dxa"/>
          <w:left w:w="28" w:type="dxa"/>
          <w:bottom w:w="28" w:type="dxa"/>
          <w:right w:w="28" w:type="dxa"/>
        </w:tblCellMar>
      </w:tblPr>
      <w:tblGrid>
        <w:gridCol w:w="3496"/>
        <w:gridCol w:w="146"/>
        <w:gridCol w:w="1426"/>
        <w:gridCol w:w="146"/>
        <w:gridCol w:w="343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349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vAlign w:val="center"/>
          </w:tcPr>
          <w:p>
            <w:pPr>
              <w:pStyle w:val="TableContents"/>
              <w:bidi w:val="0"/>
              <w:spacing w:before="0" w:after="283"/>
              <w:jc w:val="center"/>
              <w:rPr/>
            </w:pPr>
            <w:r>
              <w:rPr/>
              <w:t> </w:t>
            </w:r>
          </w:p>
        </w:tc>
        <w:tc>
          <w:tcPr>
            <w:tcW w:w="14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IRIX</w:t>
            </w:r>
          </w:p>
        </w:tc>
        <w:tc>
          <w:tcPr>
            <w:tcW w:w="146" w:type="dxa"/>
            <w:tcBorders/>
            <w:vAlign w:val="center"/>
          </w:tcPr>
          <w:p>
            <w:pPr>
              <w:pStyle w:val="TableContents"/>
              <w:bidi w:val="0"/>
              <w:spacing w:before="0" w:after="283"/>
              <w:jc w:val="center"/>
              <w:rPr/>
            </w:pPr>
            <w:r>
              <w:rPr/>
              <w:t> </w:t>
            </w:r>
          </w:p>
        </w:tc>
        <w:tc>
          <w:tcPr>
            <w:tcW w:w="34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common stock, $0.01 par value, issued and outstanding as of May 9, 2024 was 16,252,948.</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146"/>
        <w:gridCol w:w="8805"/>
        <w:gridCol w:w="512"/>
      </w:tblGrid>
      <w:tr>
        <w:trPr/>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74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Items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sz w:val="4"/>
                <w:szCs w:val="4"/>
              </w:rPr>
            </w:pPr>
            <w:r>
              <w:rPr>
                <w:sz w:val="4"/>
                <w:szCs w:val="4"/>
              </w:rPr>
            </w:r>
          </w:p>
        </w:tc>
        <w:tc>
          <w:tcPr>
            <w:tcW w:w="51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1_condensed_consolidated_financial_">
              <w:r>
                <w:rPr>
                  <w:rStyle w:val="InternetLink"/>
                  <w:rFonts w:ascii="Times New Roman" w:hAnsi="Times New Roman"/>
                  <w:color w:val="0000FF"/>
                  <w:sz w:val="20"/>
                  <w:u w:val="single"/>
                </w:rPr>
                <w:t>Condensed Consolidated Financial Statements (Unaudited)</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Unaudited Condensed Consolidated Balance Sheets as of March 30, 2024 and December 30,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80"/>
                  <w:sz w:val="20"/>
                  <w:u w:val="single"/>
                </w:rPr>
                <w:t>Unaudited Condensed Consolidated Statements of Operations for the three months ended March 30, 2024 and</w:t>
              </w:r>
            </w:hyperlink>
            <w:hyperlink w:anchor="condensed_consolidated_statements_operat">
              <w:r>
                <w:rPr>
                  <w:rStyle w:val="InternetLink"/>
                  <w:rFonts w:ascii="Times New Roman" w:hAnsi="Times New Roman"/>
                  <w:color w:val="000080"/>
                  <w:sz w:val="20"/>
                  <w:u w:val="single"/>
                </w:rPr>
                <w:t xml:space="preserve"> April 1,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Unaudited Condensed Consolidated Statements of Comprehensive Loss for the three months ended March 30, 2024 and April 1, 2023</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Unaudited Condensed Consolidated Statements of Stockholders’ Equity for the three months ended March 30, 2024 and April 1, 2023</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Unaudited Condensed Consolidated Statements of Cash Flows</w:t>
              </w:r>
            </w:hyperlink>
            <w:hyperlink w:anchor="condensed_consolidated_statements_cash_f">
              <w:r>
                <w:rPr>
                  <w:rStyle w:val="InternetLink"/>
                  <w:rFonts w:ascii="Times New Roman" w:hAnsi="Times New Roman"/>
                  <w:color w:val="0000FF"/>
                  <w:sz w:val="20"/>
                </w:rPr>
                <w:t xml:space="preserve"> </w:t>
              </w:r>
            </w:hyperlink>
            <w:hyperlink w:anchor="condensed_consolidated_statements_compre">
              <w:r>
                <w:rPr>
                  <w:rStyle w:val="InternetLink"/>
                  <w:rFonts w:ascii="Times New Roman" w:hAnsi="Times New Roman"/>
                  <w:color w:val="0000FF"/>
                  <w:sz w:val="20"/>
                  <w:u w:val="single"/>
                </w:rPr>
                <w:t>for the three months ended March 30, 2024 and April 1, 2023</w:t>
              </w:r>
            </w:hyperlink>
            <w:r>
              <w:rPr>
                <w:rFonts w:ascii="Times New Roman" w:hAnsi="Times New Roman"/>
                <w:color w:val="0000FF"/>
                <w:sz w:val="20"/>
              </w:rPr>
              <w:t xml:space="preserve"> </w:t>
            </w:r>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PART II. OTHER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7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7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80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right"/>
              <w:rPr/>
            </w:pPr>
            <w:r>
              <w:rPr/>
              <w:t> </w:t>
            </w:r>
          </w:p>
        </w:tc>
      </w:tr>
      <w:tr>
        <w:trPr/>
        <w:tc>
          <w:tcPr>
            <w:tcW w:w="9693" w:type="dxa"/>
            <w:gridSpan w:val="3"/>
            <w:tcBorders/>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alleviate concerns related to our ability to operate as a going concern;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macroeconomic conditions, including impact of global pandemics or other public health emergencies or outbreaks, foreign exchange fluctuation, inflation concerns, heightened interest rates and recessionary fears and uncertainty in the global banking and financial services market, on our business and results of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customer acceptance and purchase of our existing products and new products;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and expand our customer base;</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competition from other products;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foreign currency exchange rate and interest rate fluctuations on our results and sales;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pace of change and innovation in the markets in which we participate and the competitive nature of those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business strategy and our plan to build our business;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effectively manage our growth;</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success of our strategic partnership with Topcon Corporation;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costs of manufacturing and reliance on third party manufacturers;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forecast and meet product demand;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discover defects in our products and systems;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international expansion and sales strategy;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operating results and cash flows;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beliefs and objectives for future operations;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our relationships with third parties;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intellectual property rights;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protect, and enhance our information technology systems and data;</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maintain our facilities in good working order;</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recover the carrying value of goodwill;</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impact of expensing stock options and other equity awards;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defend litigation brought against us;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indemnify our directors and officers;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repay indebtedness and have indebtedness forgiven;</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successfully expand in our existing markets and into new markets;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sufficiency of cash to meet cash needs for at least the next 12 months;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comply with laws, policies, and regulations that currently apply or become applicable to our business both in the United States and internationally;</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attract and retain qualified employees and key personnel, and source suppliers;</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raise additional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the future trading prices of our common stock; and</w:t>
      </w:r>
    </w:p>
    <w:p>
      <w:pPr>
        <w:pStyle w:val="TextBody"/>
        <w:bidi w:val="0"/>
        <w:spacing w:before="80" w:after="283"/>
        <w:ind w:left="489" w:right="0" w:hanging="0"/>
        <w:jc w:val="left"/>
        <w:rPr>
          <w:color w:val="000000"/>
        </w:rPr>
      </w:pPr>
      <w:r>
        <w:rPr>
          <w:color w:val="000000"/>
        </w:rPr>
        <w:t>•</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our ability to pay dividends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You should read this Quarterly Report on Form 10-Q and the documents that we reference in this Quarterly Report on Form 10-Q and have filed with the Securities and Exchange Commission (“SEC”) as exhibits to this Quarterly Report on Form 10-Q with the understanding that our actual future results, levels of activity, performance and events and circumstances may be materially different from what we expect. The outcome of the events described in these forward-looking statements is subject to risks, uncertainties, and other factors described in and should be read in conjunction with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used in this Quarterly Report on Form 10-Q, the terms “Company,” “IRIDEX,” “we,” “us” and “our” refer to IRIDEX Corporation, and its consolidated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condensed_consolidated_financial_"/>
      <w:bookmarkEnd w:id="3"/>
      <w:r>
        <w:rPr>
          <w:rFonts w:ascii="Times New Roman" w:hAnsi="Times New Roman"/>
          <w:b/>
          <w:color w:val="000000"/>
          <w:sz w:val="20"/>
        </w:rPr>
        <w:t>Item 1. Condensed Consolidated Financial Statements (Unaudited)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7"/>
        <w:gridCol w:w="146"/>
        <w:gridCol w:w="267"/>
        <w:gridCol w:w="937"/>
        <w:gridCol w:w="166"/>
        <w:gridCol w:w="146"/>
        <w:gridCol w:w="312"/>
        <w:gridCol w:w="1090"/>
        <w:gridCol w:w="394"/>
      </w:tblGrid>
      <w:tr>
        <w:trPr/>
        <w:tc>
          <w:tcPr>
            <w:tcW w:w="6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74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7"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27,450</w:t>
            </w:r>
          </w:p>
        </w:tc>
        <w:tc>
          <w:tcPr>
            <w:tcW w:w="394" w:type="dxa"/>
            <w:tcBorders/>
            <w:shd w:fill="FFFFFF" w:val="cle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94" w:type="dxa"/>
            <w:tcBorders/>
            <w:shd w:fill="CFF0FC" w:val="cle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394" w:type="dxa"/>
            <w:tcBorders/>
            <w:shd w:fill="FFFFFF" w:val="cle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94" w:type="dxa"/>
            <w:tcBorders/>
            <w:shd w:fill="CFF0FC" w:val="cle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w:t>
            </w:r>
          </w:p>
        </w:tc>
        <w:tc>
          <w:tcPr>
            <w:tcW w:w="394" w:type="dxa"/>
            <w:tcBorders/>
            <w:shd w:fill="FFFFFF" w:val="cle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12,974</w:t>
            </w:r>
          </w:p>
        </w:tc>
        <w:tc>
          <w:tcPr>
            <w:tcW w:w="394" w:type="dxa"/>
            <w:tcBorders/>
            <w:shd w:fill="FFFFFF" w:val="cle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jc w:val="righ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jc w:val="righ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2,000,000 shares authorized, no shares issued and outstanding</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color w:val="000000"/>
              </w:rPr>
            </w:pPr>
            <w:r>
              <w:rPr>
                <w:color w:val="000000"/>
              </w:rPr>
              <w:t>—</w:t>
            </w:r>
          </w:p>
        </w:tc>
        <w:tc>
          <w:tcPr>
            <w:tcW w:w="394" w:type="dxa"/>
            <w:tcBorders/>
            <w:shd w:fill="FFFFFF" w:val="cle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$0.01 par value:</w:t>
            </w:r>
          </w:p>
        </w:tc>
        <w:tc>
          <w:tcPr>
            <w:tcW w:w="146"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0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67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Authorized: 30,000,000 shares;</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02" w:type="dxa"/>
            <w:gridSpan w:val="2"/>
            <w:tcBorders/>
            <w:shd w:fill="FFFFFF" w:val="clear"/>
            <w:vAlign w:val="center"/>
          </w:tcPr>
          <w:p>
            <w:pPr>
              <w:pStyle w:val="TableContents"/>
              <w:bidi w:val="0"/>
              <w:spacing w:before="0" w:after="283"/>
              <w:jc w:val="right"/>
              <w:rPr/>
            </w:pPr>
            <w:r>
              <w:rPr/>
              <w:t> </w:t>
            </w:r>
          </w:p>
        </w:tc>
        <w:tc>
          <w:tcPr>
            <w:tcW w:w="394" w:type="dxa"/>
            <w:tcBorders/>
            <w:shd w:fill="FFFFFF" w:val="clear"/>
            <w:vAlign w:val="center"/>
          </w:tcPr>
          <w:p>
            <w:pPr>
              <w:pStyle w:val="TableContents"/>
              <w:bidi w:val="0"/>
              <w:spacing w:before="0" w:after="283"/>
              <w:ind w:left="0" w:right="0" w:firstLine="200"/>
              <w:jc w:val="right"/>
              <w:rPr/>
            </w:pPr>
            <w:r>
              <w:rPr/>
              <w:t> </w:t>
            </w:r>
          </w:p>
        </w:tc>
      </w:tr>
      <w:tr>
        <w:trPr/>
        <w:tc>
          <w:tcPr>
            <w:tcW w:w="67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and outstanding 16,252,813 shares as of March 30, 2024 and December 30, 2023</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4" w:type="dxa"/>
            <w:tcBorders/>
            <w:shd w:fill="CFF0FC" w:val="cle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88,444</w:t>
            </w:r>
          </w:p>
        </w:tc>
        <w:tc>
          <w:tcPr>
            <w:tcW w:w="394" w:type="dxa"/>
            <w:tcBorders/>
            <w:shd w:fill="FFFFFF" w:val="clear"/>
            <w:vAlign w:val="center"/>
          </w:tcPr>
          <w:p>
            <w:pPr>
              <w:pStyle w:val="TableContents"/>
              <w:bidi w:val="0"/>
              <w:spacing w:before="0" w:after="283"/>
              <w:jc w:val="left"/>
              <w:rPr/>
            </w:pPr>
            <w:r>
              <w:rPr/>
              <w:t> </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10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34,436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iridex_corporation"/>
      <w:bookmarkEnd w:id="5"/>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9120" w:type="dxa"/>
        <w:jc w:val="left"/>
        <w:tblInd w:w="0" w:type="dxa"/>
        <w:tblLayout w:type="fixed"/>
        <w:tblCellMar>
          <w:top w:w="28" w:type="dxa"/>
          <w:left w:w="28" w:type="dxa"/>
          <w:bottom w:w="28" w:type="dxa"/>
          <w:right w:w="28" w:type="dxa"/>
        </w:tblCellMar>
      </w:tblPr>
      <w:tblGrid>
        <w:gridCol w:w="5926"/>
        <w:gridCol w:w="146"/>
        <w:gridCol w:w="299"/>
        <w:gridCol w:w="961"/>
        <w:gridCol w:w="166"/>
        <w:gridCol w:w="146"/>
        <w:gridCol w:w="253"/>
        <w:gridCol w:w="812"/>
        <w:gridCol w:w="4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w:t>
            </w:r>
          </w:p>
        </w:tc>
        <w:tc>
          <w:tcPr>
            <w:tcW w:w="411" w:type="dxa"/>
            <w:tcBorders/>
            <w:shd w:fill="CFF0FC" w:val="clear"/>
            <w:vAlign w:val="center"/>
          </w:tcPr>
          <w:p>
            <w:pPr>
              <w:pStyle w:val="TableContents"/>
              <w:bidi w:val="0"/>
              <w:spacing w:before="0" w:after="283"/>
              <w:jc w:val="left"/>
              <w:rPr/>
            </w:pPr>
            <w:r>
              <w:rPr/>
              <w:t> </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common share:</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9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7" w:name="condensed_consolidated_statements_compre"/>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270" w:type="dxa"/>
        <w:jc w:val="left"/>
        <w:tblInd w:w="0" w:type="dxa"/>
        <w:tblLayout w:type="fixed"/>
        <w:tblCellMar>
          <w:top w:w="28" w:type="dxa"/>
          <w:left w:w="28" w:type="dxa"/>
          <w:bottom w:w="28" w:type="dxa"/>
          <w:right w:w="28" w:type="dxa"/>
        </w:tblCellMar>
      </w:tblPr>
      <w:tblGrid>
        <w:gridCol w:w="4276"/>
        <w:gridCol w:w="146"/>
        <w:gridCol w:w="315"/>
        <w:gridCol w:w="945"/>
        <w:gridCol w:w="166"/>
        <w:gridCol w:w="146"/>
        <w:gridCol w:w="267"/>
        <w:gridCol w:w="798"/>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8" w:name="condensed_consolidated_statements_stockh"/>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54"/>
        <w:gridCol w:w="146"/>
        <w:gridCol w:w="146"/>
        <w:gridCol w:w="916"/>
        <w:gridCol w:w="146"/>
        <w:gridCol w:w="146"/>
        <w:gridCol w:w="236"/>
        <w:gridCol w:w="455"/>
        <w:gridCol w:w="146"/>
        <w:gridCol w:w="146"/>
        <w:gridCol w:w="214"/>
        <w:gridCol w:w="657"/>
        <w:gridCol w:w="146"/>
        <w:gridCol w:w="146"/>
        <w:gridCol w:w="439"/>
        <w:gridCol w:w="777"/>
        <w:gridCol w:w="166"/>
        <w:gridCol w:w="146"/>
        <w:gridCol w:w="240"/>
        <w:gridCol w:w="811"/>
        <w:gridCol w:w="166"/>
        <w:gridCol w:w="146"/>
        <w:gridCol w:w="294"/>
        <w:gridCol w:w="907"/>
        <w:gridCol w:w="213"/>
      </w:tblGrid>
      <w:tr>
        <w:trPr/>
        <w:tc>
          <w:tcPr>
            <w:tcW w:w="2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5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30, 2024</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(79,042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9,522</w:t>
            </w:r>
          </w:p>
        </w:tc>
        <w:tc>
          <w:tcPr>
            <w:tcW w:w="213" w:type="dxa"/>
            <w:tcBorders/>
            <w:shd w:fill="CFF0FC"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213" w:type="dxa"/>
            <w:tcBorders/>
            <w:shd w:fill="FFFFFF" w:val="clear"/>
            <w:vAlign w:val="center"/>
          </w:tcPr>
          <w:p>
            <w:pPr>
              <w:pStyle w:val="TableContents"/>
              <w:bidi w:val="0"/>
              <w:spacing w:before="0" w:after="283"/>
              <w:jc w:val="left"/>
              <w:rPr/>
            </w:pPr>
            <w:r>
              <w:rPr/>
              <w:t> </w:t>
            </w:r>
          </w:p>
        </w:tc>
      </w:tr>
      <w:tr>
        <w:trPr/>
        <w:tc>
          <w:tcPr>
            <w:tcW w:w="22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13" w:type="dxa"/>
            <w:tcBorders/>
            <w:shd w:fill="CFF0FC"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March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16,252,813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88,838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r>
        <w:trPr/>
        <w:tc>
          <w:tcPr>
            <w:tcW w:w="225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April 1, 2023</w:t>
            </w:r>
          </w:p>
        </w:tc>
        <w:tc>
          <w:tcPr>
            <w:tcW w:w="146" w:type="dxa"/>
            <w:tcBorders/>
            <w:shd w:fill="FFFFFF" w:val="cle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213" w:type="dxa"/>
            <w:tcBorders/>
            <w:shd w:fill="FFFFFF" w:val="clear"/>
            <w:vAlign w:val="center"/>
          </w:tcPr>
          <w:p>
            <w:pPr>
              <w:pStyle w:val="TableContents"/>
              <w:bidi w:val="0"/>
              <w:spacing w:before="0" w:after="283"/>
              <w:jc w:val="center"/>
              <w:rPr/>
            </w:pPr>
            <w:r>
              <w:rPr/>
              <w:t> </w:t>
            </w:r>
          </w:p>
        </w:tc>
      </w:tr>
      <w:tr>
        <w:trPr/>
        <w:tc>
          <w:tcPr>
            <w:tcW w:w="225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15,989,662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w:t>
            </w:r>
          </w:p>
        </w:tc>
        <w:tc>
          <w:tcPr>
            <w:tcW w:w="213" w:type="dxa"/>
            <w:tcBorders/>
            <w:shd w:fill="CFF0FC"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Adoption of ASU 2016-13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213" w:type="dxa"/>
            <w:tcBorders/>
            <w:shd w:fill="FFFFFF" w:val="clear"/>
            <w:vAlign w:val="center"/>
          </w:tcPr>
          <w:p>
            <w:pPr>
              <w:pStyle w:val="TableContents"/>
              <w:bidi w:val="0"/>
              <w:spacing w:before="0" w:after="283"/>
              <w:jc w:val="left"/>
              <w:rPr/>
            </w:pPr>
            <w:r>
              <w:rPr/>
              <w:t> </w:t>
            </w:r>
          </w:p>
        </w:tc>
      </w:tr>
      <w:tr>
        <w:trPr/>
        <w:tc>
          <w:tcPr>
            <w:tcW w:w="22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the stock option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213" w:type="dxa"/>
            <w:tcBorders/>
            <w:shd w:fill="CFF0FC"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shd w:fill="FFFFFF" w:val="clear"/>
            <w:vAlign w:val="center"/>
          </w:tcPr>
          <w:p>
            <w:pPr>
              <w:pStyle w:val="TableContents"/>
              <w:bidi w:val="0"/>
              <w:spacing w:before="0" w:after="283"/>
              <w:jc w:val="left"/>
              <w:rPr/>
            </w:pPr>
            <w:r>
              <w:rPr/>
              <w:t> </w:t>
            </w:r>
          </w:p>
        </w:tc>
        <w:tc>
          <w:tcPr>
            <w:tcW w:w="77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9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w:t>
            </w:r>
          </w:p>
        </w:tc>
        <w:tc>
          <w:tcPr>
            <w:tcW w:w="213" w:type="dxa"/>
            <w:tcBorders/>
            <w:shd w:fill="FFFFFF" w:val="clear"/>
            <w:vAlign w:val="center"/>
          </w:tcPr>
          <w:p>
            <w:pPr>
              <w:pStyle w:val="TableContents"/>
              <w:bidi w:val="0"/>
              <w:spacing w:before="0" w:after="283"/>
              <w:jc w:val="left"/>
              <w:rPr/>
            </w:pPr>
            <w:r>
              <w:rPr/>
              <w:t> </w:t>
            </w:r>
          </w:p>
        </w:tc>
      </w:tr>
      <w:tr>
        <w:trPr/>
        <w:tc>
          <w:tcPr>
            <w:tcW w:w="22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45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shd w:fill="CFF0FC" w:val="clear"/>
            <w:vAlign w:val="center"/>
          </w:tcPr>
          <w:p>
            <w:pPr>
              <w:pStyle w:val="TableContents"/>
              <w:bidi w:val="0"/>
              <w:spacing w:before="0" w:after="283"/>
              <w:jc w:val="left"/>
              <w:rPr/>
            </w:pPr>
            <w:r>
              <w:rPr/>
              <w:t> </w:t>
            </w:r>
          </w:p>
        </w:tc>
        <w:tc>
          <w:tcPr>
            <w:tcW w:w="77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9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April 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16,007,161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15,884</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9425" w:type="dxa"/>
        <w:jc w:val="left"/>
        <w:tblInd w:w="0" w:type="dxa"/>
        <w:tblLayout w:type="fixed"/>
        <w:tblCellMar>
          <w:top w:w="28" w:type="dxa"/>
          <w:left w:w="28" w:type="dxa"/>
          <w:bottom w:w="28" w:type="dxa"/>
          <w:right w:w="28" w:type="dxa"/>
        </w:tblCellMar>
      </w:tblPr>
      <w:tblGrid>
        <w:gridCol w:w="6031"/>
        <w:gridCol w:w="146"/>
        <w:gridCol w:w="315"/>
        <w:gridCol w:w="945"/>
        <w:gridCol w:w="166"/>
        <w:gridCol w:w="146"/>
        <w:gridCol w:w="253"/>
        <w:gridCol w:w="812"/>
        <w:gridCol w:w="6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611" w:type="dxa"/>
            <w:tcBorders/>
            <w:shd w:fill="CFF0FC" w:val="cle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611" w:type="dxa"/>
            <w:tcBorders/>
            <w:shd w:fill="FFFFFF" w:val="cle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Receivable from related party</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Payable to related party</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0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0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for stock option exercises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changes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year</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0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Transfer of inventory to property and equipment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IRIDEX Corporation</w:t>
      </w:r>
    </w:p>
    <w:p>
      <w:pPr>
        <w:pStyle w:val="TextBody"/>
        <w:bidi w:val="0"/>
        <w:jc w:val="center"/>
        <w:rPr>
          <w:rFonts w:ascii="Times New Roman" w:hAnsi="Times New Roman"/>
          <w:b/>
          <w:color w:val="000000"/>
          <w:sz w:val="20"/>
        </w:rPr>
      </w:pPr>
      <w:bookmarkStart w:id="10" w:name="notes_to_unaudited_condensed_consolidate"/>
      <w:bookmarkEnd w:id="10"/>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Basis of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30, 2023, which was filed with the SEC on March 29, 2024. The results of operations for the three months ended March 30, 2024 and April 1, 2023 are not necessarily indicative of the results for the fiscal year ending December 28, 2024 or any future interim period. The three months ended March 30, 2024 and April 1, 2023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Please see Note 13 “Subsequent Event – Liquidity and Management Plans” for the disclosures related to the Company’s ability to continue as a going concern.</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Company’s significant accounting policies are disclosed in our Annual Report on Form 10-K for the year ended December 30, 2023, which was filed with the SEC on March 29,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Financial Statement Presentation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our wholly-owned subsidiaries. All significant intercompany accounts and transactions have been eliminated in consolidation.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has the following revenue transaction types: (1) Product Sale Only, (2) Service Contracts, (3) System Repairs (outside of warranty), (4) Royalty Revenue and (5) Exclusive Distribution Rights.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 </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product sales at a point in time subject to the allocation of transaction price to additional performance obligations,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4"/>
        </w:rPr>
      </w:pPr>
      <w:r>
        <w:rPr>
          <w:rFonts w:ascii="Times New Roman" w:hAnsi="Times New Roman"/>
          <w:color w:val="000000"/>
          <w:sz w:val="20"/>
        </w:rPr>
        <w:t>Service Contracts: The Company offers a standard two-year warranty on all system sales. The Company also offers a service contract which is sold to customers in incremental, one-year</w:t>
      </w:r>
      <w:r>
        <w:rPr>
          <w:rFonts w:ascii="Times New Roman" w:hAnsi="Times New Roman"/>
          <w:color w:val="000000"/>
          <w:sz w:val="24"/>
        </w:rPr>
        <w:t xml:space="preserve"> </w:t>
      </w:r>
      <w:r>
        <w:rPr>
          <w:rFonts w:ascii="Times New Roman" w:hAnsi="Times New Roman"/>
          <w:color w:val="000000"/>
          <w:sz w:val="20"/>
        </w:rPr>
        <w:t>periods that begin subsequent to the expiration of the standard two-year warranty. The customer can opt to purchase the service contract at the time of the system sale or after the initial system sale.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The Company recognizes revenue from service contracts ratably over the service period. Revenue recognition for the sale of a service contract is largely dependent on the timing of the sale as follows: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sz w:val="24"/>
        </w:rPr>
      </w:pPr>
      <w:r>
        <w:rPr>
          <w:rFonts w:ascii="Times New Roman" w:hAnsi="Times New Roman"/>
          <w:color w:val="000000"/>
          <w:sz w:val="20"/>
        </w:rPr>
        <w:t>Service Contract Sale Subsequent to System Sale: If the customer opts to purchase a service contract after the initial system sale, the Company determines the amount of time that has elapsed since the initial system sale. If the service contract is purchased within 60</w:t>
      </w:r>
      <w:r>
        <w:rPr>
          <w:rFonts w:ascii="Times New Roman" w:hAnsi="Times New Roman"/>
          <w:color w:val="000000"/>
          <w:sz w:val="24"/>
        </w:rPr>
        <w:t xml:space="preserve"> </w:t>
      </w:r>
      <w:r>
        <w:rPr>
          <w:rFonts w:ascii="Times New Roman" w:hAnsi="Times New Roman"/>
          <w:color w:val="000000"/>
          <w:sz w:val="20"/>
        </w:rPr>
        <w:t>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System Repairs (outside of warranty): Customers will occasionally request repairs from the Company subsequent to the expiration of the standard warranty and outside of a service contract. </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 xml:space="preserve">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 </w:t>
      </w:r>
    </w:p>
    <w:p>
      <w:pPr>
        <w:pStyle w:val="TextBody"/>
        <w:bidi w:val="0"/>
        <w:spacing w:before="120" w:after="283"/>
        <w:ind w:left="490"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sz w:val="24"/>
        </w:rPr>
      </w:pPr>
      <w:r>
        <w:rPr>
          <w:rFonts w:ascii="Times New Roman" w:hAnsi="Times New Roman"/>
          <w:color w:val="000000"/>
          <w:sz w:val="20"/>
        </w:rPr>
        <w:t>Royalty Revenue: The Company has royalty agreements with four</w:t>
      </w:r>
      <w:r>
        <w:rPr>
          <w:rFonts w:ascii="Times New Roman" w:hAnsi="Times New Roman"/>
          <w:color w:val="000000"/>
          <w:sz w:val="24"/>
        </w:rPr>
        <w:t xml:space="preserve"> </w:t>
      </w:r>
      <w:r>
        <w:rPr>
          <w:rFonts w:ascii="Times New Roman" w:hAnsi="Times New Roman"/>
          <w:color w:val="000000"/>
          <w:sz w:val="20"/>
        </w:rPr>
        <w:t>customers related to the sale of the Company’s intellectual property. Under the terms of these agreements, two customers are to remit a percentage of sales to the Company as the sales occur and one customer made an upfront prepayment for royalties.</w:t>
      </w:r>
    </w:p>
    <w:p>
      <w:pPr>
        <w:pStyle w:val="TextBody"/>
        <w:bidi w:val="0"/>
        <w:spacing w:before="120" w:after="283"/>
        <w:ind w:left="980" w:right="0" w:hanging="0"/>
        <w:jc w:val="left"/>
        <w:rPr>
          <w:rFonts w:ascii="Times New Roman" w:hAnsi="Times New Roman"/>
          <w:color w:val="000000"/>
          <w:sz w:val="20"/>
        </w:rPr>
      </w:pPr>
      <w:r>
        <w:rPr>
          <w:rFonts w:ascii="Times New Roman" w:hAnsi="Times New Roman"/>
          <w:color w:val="000000"/>
          <w:sz w:val="20"/>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pStyle w:val="TextBody"/>
        <w:pBdr/>
        <w:bidi w:val="0"/>
        <w:spacing w:before="120" w:after="283"/>
        <w:ind w:left="490" w:right="0" w:hanging="490"/>
        <w:jc w:val="left"/>
        <w:rPr>
          <w:rFonts w:ascii="Times New Roman" w:hAnsi="Times New Roman"/>
          <w:color w:val="000000"/>
          <w:sz w:val="20"/>
        </w:rPr>
      </w:pPr>
      <w:r>
        <w:rPr>
          <w:rFonts w:ascii="Times New Roman" w:hAnsi="Times New Roman"/>
          <w:color w:val="000000"/>
          <w:sz w:val="20"/>
        </w:rPr>
        <w:t xml:space="preserve">5. 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For each of the three months ended March 30, 2024 and April 1, 2023, $0.4 million in revenue related to the exclusive distribution rights were recorded.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Costs of Obtaining Revenue Contracts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2 to 3 years. As of March 30, 2024, the Company recognized deferred costs incurred to obtain revenue contracts with customers, net of accumulated amortization, of $0.1 million, and included these amounts in Prepaid expenses and other current assets and Other long-term assets in the Company’s condensed consolidated balance sheets. Amortization expense was $19 thousand for each of the three months ended March 30, 2024 and April 1, 2023. There were no impairment expenses for both the three months ended March 30, 2024 and April 1, 2023, respectively.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Sales commissions that do not represent incremental and recoverable costs of obtaining a contract are expensed as incurred. As a practical expedient, the Company will not recognize such sales commission as a contract asset but rather recognize as an expense when incurred if the amortization period of the asset that the Company would have otherwise recognized is one year or less.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Contract Fulfillment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March 30, 2024, the Company recognized deferred costs incurred to fulfill a contract with a customer, net of accumulated amortization, of $0.7 million, and included these amounts in Prepaid expenses and other current assets and Other long-term assets in the Company’s condensed consolidated balance sheets. Amortization expense was $21 thousand for the three months ended March 30, 2024 and April 1, 2023. There were no impairment expenses for each of three months ended March 30, 2024 and April 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determine if an arrangement is a lease at inception. Operating leases are included in Operating lease right-of-use (“ROU”) assets, net and Operating lease liabilities in our condensed consolidated balance sheets. As of March 30, 2024 and December 30, 2023, the Company was not a party to any finance lease arrangements.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Under the available practical expedient, we account for the lease and non-lease components as a single lease component.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Credit Risk and Other Risks and Uncertainties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cash and cash equivalents are deposited in demand and money market accounts. Deposits held with banks may exceed the amount of insurance provided on such deposits. Generally, these deposits may be redeemed upon demand.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market our products to distributors and end-users throughout the world. Sales to international distributors are generally made on open credit terms and letters of credit. Management performs ongoing credit evaluations of our customers and maintains a provision for potential credit losses. Historically, we have not experienced any significant losses related to individual customers or a group of customers in any particular geographic area. For the three months ended March 30, 2024 and April 1, 2023, one customer, Topcon, accounted for more than 10% of total revenues, representing 32%, respectively. As of March 30, 2024, one customer, Topcon, accounted for over 10% of our accounts receivable, representing 28%. As of December 30, 2023, one customer, Topcon, accounted for more than 10% of our accounts receivable, representing 30%.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Taxes Collected from Customers and Remitted to Governmental Authorities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Taxes collected from customers and remitted to governmental authorities are recognized on a net basis in the accompanying condensed consolidated statements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Shipping and Handling Costs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shipping and handling costs billed to customers are included in revenues and the associated expense is recorded in cost of revenues for all periods presented.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changes in the Company’s deferred revenue balance for the three months ended March 30, 2024 and April 1, 2023, is as follows:</w:t>
      </w:r>
    </w:p>
    <w:tbl>
      <w:tblPr>
        <w:tblW w:w="6340" w:type="dxa"/>
        <w:jc w:val="left"/>
        <w:tblInd w:w="0" w:type="dxa"/>
        <w:tblLayout w:type="fixed"/>
        <w:tblCellMar>
          <w:top w:w="28" w:type="dxa"/>
          <w:left w:w="28" w:type="dxa"/>
          <w:bottom w:w="28" w:type="dxa"/>
          <w:right w:w="28" w:type="dxa"/>
        </w:tblCellMar>
      </w:tblPr>
      <w:tblGrid>
        <w:gridCol w:w="3346"/>
        <w:gridCol w:w="146"/>
        <w:gridCol w:w="299"/>
        <w:gridCol w:w="961"/>
        <w:gridCol w:w="166"/>
        <w:gridCol w:w="146"/>
        <w:gridCol w:w="253"/>
        <w:gridCol w:w="812"/>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14,153</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to deferral</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the period</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13,736</w:t>
            </w:r>
          </w:p>
        </w:tc>
        <w:tc>
          <w:tcPr>
            <w:tcW w:w="2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deferred revenue</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w:t>
            </w:r>
          </w:p>
        </w:tc>
        <w:tc>
          <w:tcPr>
            <w:tcW w:w="2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During the three months ended March 30, 2024 and April 1, 2023, approximately $0.7 million and $0.5 million were recognized pertaining to amounts deferred as of December 30, 2023 and December 31, 2022, respectively. As of March 30, 2024, approximately $9.4 million of the non-current portion of deferred revenue and $1.5 million of the current portion of deferred revenue pertain to exclusivity distribution rights deferred revenue.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Warranty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warranty reserves do not meet the criteria to have separate captions on the face of the condensed balance sheet, we removed these captions and included those amounts in other current and long-term liabilities.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Implementation Costs Incurred in a Cloud Computing Service Arrangement</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implemented a new enterprise resource planning (“ERP”) system. The new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For the three months ended March 30, 2024, approximately $57 thousand of amortization expenses were recorded. There were no amortization expenses for the three months ended April 1,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Recent Accounting Standards Not Yet Adopted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November 2023, the Financial Standards Accounting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ASU 2023-07 is effective for our annual periods beginning January 1, 2024, and for interim periods beginning January 1, 2025, with early adoption permitted. The Company is currently evaluating the potential effect that the updated standard will have on its financial statement disclosures.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December 2023, the FASB issued ASU 2023-09 “Income Taxes (Topics 740): Improvements to Income Tax Disclosures” to expand the disclosure requirements for income taxes, specifically related to the rate reconciliation and income taxes paid. ASU 2023-09 is effective for the Company’s annual periods beginning January 1, 2025, with early adoption permitted. The Company is currently evaluating the potential effect that the updated standard will have on its financial statement disclosures.</w:t>
      </w:r>
    </w:p>
    <w:p>
      <w:pPr>
        <w:pStyle w:val="TextBody"/>
        <w:bidi w:val="0"/>
        <w:spacing w:before="120" w:after="283"/>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3. Accounts Receivable and Provision for Credit Losses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provision for credit losses represents an estimate of the lifetime expected credit losses inherent in trade receivables as of the consolidated balance sheet date. We assess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 xml:space="preserve">While we believe we have exercised prudent judgment and applied reasonable assumptions, there can be no assurance that in the future, changes in economic conditions or other factors would not cause changes in the financial health of our customers. If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health of our customers deteriorates, the timing and level of payments received could be impacted and therefore, could result in a change to our estimated losses.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The following table presents the activity in the provision for credit losses for accounts receivable by pool type for the three months ended March 30, 2024 (in thousands):</w:t>
      </w:r>
    </w:p>
    <w:tbl>
      <w:tblPr>
        <w:tblW w:w="5996" w:type="dxa"/>
        <w:jc w:val="left"/>
        <w:tblInd w:w="0" w:type="dxa"/>
        <w:tblLayout w:type="fixed"/>
        <w:tblCellMar>
          <w:top w:w="28" w:type="dxa"/>
          <w:left w:w="28" w:type="dxa"/>
          <w:bottom w:w="28" w:type="dxa"/>
          <w:right w:w="28" w:type="dxa"/>
        </w:tblCellMar>
      </w:tblPr>
      <w:tblGrid>
        <w:gridCol w:w="2491"/>
        <w:gridCol w:w="146"/>
        <w:gridCol w:w="275"/>
        <w:gridCol w:w="491"/>
        <w:gridCol w:w="166"/>
        <w:gridCol w:w="146"/>
        <w:gridCol w:w="383"/>
        <w:gridCol w:w="683"/>
        <w:gridCol w:w="166"/>
        <w:gridCol w:w="146"/>
        <w:gridCol w:w="211"/>
        <w:gridCol w:w="481"/>
        <w:gridCol w:w="2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to provision</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83"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vAlign w:val="center"/>
          </w:tcPr>
          <w:p>
            <w:pPr>
              <w:pStyle w:val="TableContents"/>
              <w:bidi w:val="0"/>
              <w:spacing w:before="0" w:after="283"/>
              <w:jc w:val="left"/>
              <w:rPr/>
            </w:pPr>
            <w:r>
              <w:rPr/>
              <w:t> </w:t>
            </w:r>
          </w:p>
        </w:tc>
      </w:tr>
      <w:tr>
        <w:trPr/>
        <w:tc>
          <w:tcPr>
            <w:tcW w:w="2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146" w:type="dxa"/>
            <w:tcBorders/>
            <w:shd w:fill="CFF0FC" w:val="cle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3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b/>
          <w:color w:val="333333"/>
          <w:sz w:val="20"/>
        </w:rPr>
      </w:pPr>
      <w:r>
        <w:rPr>
          <w:rFonts w:ascii="Times New Roman" w:hAnsi="Times New Roman"/>
          <w:b/>
          <w:color w:val="333333"/>
          <w:sz w:val="20"/>
        </w:rPr>
        <w:t>4. Related Party - Topcon</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As of March 30, 2024, Topcon holds a 10% voting interest in the Company, which qualifies it to be a principal owner and considered a related party, even though it currently does not have significant influence over the Company’s operations.</w:t>
      </w:r>
    </w:p>
    <w:p>
      <w:pPr>
        <w:pStyle w:val="TextBody"/>
        <w:bidi w:val="0"/>
        <w:spacing w:before="120" w:after="283"/>
        <w:ind w:left="0" w:right="0" w:firstLine="360"/>
        <w:jc w:val="left"/>
        <w:rPr>
          <w:rFonts w:ascii="Times New Roman" w:hAnsi="Times New Roman"/>
          <w:color w:val="000000"/>
          <w:sz w:val="20"/>
        </w:rPr>
      </w:pPr>
      <w:r>
        <w:rPr>
          <w:rFonts w:ascii="Times New Roman" w:hAnsi="Times New Roman"/>
          <w:color w:val="000000"/>
          <w:sz w:val="20"/>
        </w:rPr>
        <w:t>Topcon resells certain of our products as our exclusive distributor in certain international regions. At the same time, the Company also purchases certain raw materials from Topcon. During the three months ended March 30, 2024, the Company’s revenues related to Topcon amounted to approximately $3.8 million, including $0.4 million in recognized exclusive distribution rights revenue. During the three months ended April 1, 2023, the Company’s revenues related to Topcon amounted to approximately $4.3 million, including $0.4 million in recognized exclusive distribution rights revenue. The Company’s purchases from Topcon during the three months ended March 30, 2024 amounted to approximately $0.2 million. As of March 30, 2024, the amounts receivable from and payable to Topcon were $2.6 million and $0.3 million, respectively. As of December 30, 2023, the amounts receivable from and payable to Topcon were $2.9 million and $0.2 million,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 Inventories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components of the Company’s inventories as of March 30, 2024 and December 30, 2023 are as follows:</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1516"/>
        <w:gridCol w:w="146"/>
        <w:gridCol w:w="299"/>
        <w:gridCol w:w="961"/>
        <w:gridCol w:w="146"/>
        <w:gridCol w:w="146"/>
        <w:gridCol w:w="403"/>
        <w:gridCol w:w="1097"/>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w:t>
            </w:r>
          </w:p>
        </w:tc>
        <w:tc>
          <w:tcPr>
            <w:tcW w:w="191" w:type="dxa"/>
            <w:tcBorders/>
            <w:shd w:fill="CFF0FC" w:val="cle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1" w:type="dxa"/>
            <w:tcBorders/>
            <w:shd w:fill="FFFFFF" w:val="clear"/>
            <w:vAlign w:val="center"/>
          </w:tcPr>
          <w:p>
            <w:pPr>
              <w:pStyle w:val="TableContents"/>
              <w:bidi w:val="0"/>
              <w:spacing w:before="0" w:after="283"/>
              <w:jc w:val="left"/>
              <w:rPr/>
            </w:pPr>
            <w:r>
              <w:rPr/>
              <w:t> </w:t>
            </w:r>
          </w:p>
        </w:tc>
      </w:tr>
      <w:tr>
        <w:trPr/>
        <w:tc>
          <w:tcPr>
            <w:tcW w:w="1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Goodwill and Intangible Assets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Goodwill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carrying value of goodwill was $1.0 million as of both March 30, 2024 and December 30,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2023 and determined that its goodwill was not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Intangible Assets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the components of gross and net of intangible assets carrying amounts (in thousands):</w:t>
      </w:r>
    </w:p>
    <w:tbl>
      <w:tblPr>
        <w:tblW w:w="10190" w:type="dxa"/>
        <w:jc w:val="left"/>
        <w:tblInd w:w="0" w:type="dxa"/>
        <w:tblLayout w:type="fixed"/>
        <w:tblCellMar>
          <w:top w:w="28" w:type="dxa"/>
          <w:left w:w="28" w:type="dxa"/>
          <w:bottom w:w="28" w:type="dxa"/>
          <w:right w:w="28" w:type="dxa"/>
        </w:tblCellMar>
      </w:tblPr>
      <w:tblGrid>
        <w:gridCol w:w="1981"/>
        <w:gridCol w:w="146"/>
        <w:gridCol w:w="211"/>
        <w:gridCol w:w="571"/>
        <w:gridCol w:w="146"/>
        <w:gridCol w:w="146"/>
        <w:gridCol w:w="291"/>
        <w:gridCol w:w="790"/>
        <w:gridCol w:w="146"/>
        <w:gridCol w:w="146"/>
        <w:gridCol w:w="211"/>
        <w:gridCol w:w="571"/>
        <w:gridCol w:w="146"/>
        <w:gridCol w:w="146"/>
        <w:gridCol w:w="976"/>
        <w:gridCol w:w="146"/>
        <w:gridCol w:w="211"/>
        <w:gridCol w:w="571"/>
        <w:gridCol w:w="146"/>
        <w:gridCol w:w="146"/>
        <w:gridCol w:w="291"/>
        <w:gridCol w:w="790"/>
        <w:gridCol w:w="146"/>
        <w:gridCol w:w="146"/>
        <w:gridCol w:w="211"/>
        <w:gridCol w:w="57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br/>
              <w:t>Remaining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3.27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4.88 Years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jc w:val="left"/>
              <w:rPr/>
            </w:pPr>
            <w:r>
              <w:rPr/>
              <w:t> </w:t>
            </w:r>
          </w:p>
        </w:tc>
        <w:tc>
          <w:tcPr>
            <w:tcW w:w="7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91" w:type="dxa"/>
            <w:tcBorders/>
            <w:shd w:fill="CFF0FC"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5.92 Years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For the three months ended March 30, 2024 and April 1, 2023 amortization expense totaled $84 thousand and $83 thousand, respectively.</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amortization of developed technology was charged to research and development expense and the amortization of customer relations and trade names was charged to sales and marketing expense. Estimated future amortization expense for purchased intangible assets is as follows (in thousands): </w:t>
      </w:r>
    </w:p>
    <w:p>
      <w:pPr>
        <w:pStyle w:val="TextBody"/>
        <w:bidi w:val="0"/>
        <w:jc w:val="left"/>
        <w:rPr/>
      </w:pPr>
      <w:r>
        <w:rPr/>
        <w:t> </w:t>
      </w:r>
    </w:p>
    <w:tbl>
      <w:tblPr>
        <w:tblW w:w="4170" w:type="dxa"/>
        <w:jc w:val="left"/>
        <w:tblInd w:w="0" w:type="dxa"/>
        <w:tblLayout w:type="fixed"/>
        <w:tblCellMar>
          <w:top w:w="28" w:type="dxa"/>
          <w:left w:w="28" w:type="dxa"/>
          <w:bottom w:w="28" w:type="dxa"/>
          <w:right w:w="28" w:type="dxa"/>
        </w:tblCellMar>
      </w:tblPr>
      <w:tblGrid>
        <w:gridCol w:w="2851"/>
        <w:gridCol w:w="146"/>
        <w:gridCol w:w="211"/>
        <w:gridCol w:w="571"/>
        <w:gridCol w:w="3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 (nine months)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Fair Value Measurements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(unadjusted) in active markets that are accessible at the measurement date for assets or liabilities.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 determining fair value, the Company utilizes valuation techniques that maximize the use of observable inputs and minimize the use of unobservable inputs to the extent possible and considers counterparty credit risk in its assessment of fair value.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carrying amounts of the Company’s financial assets and liabilities, including cash and cash equivalents, accounts receivable, accounts payable, and accrued expenses as of March 30, 2024 and December 30, 2023, approximate fair value because of the short maturity of these instruments.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March 30, 2024 and December 30, 2023, financial assets measured and recognized at fair value on a recurring basis and classified under the appropriate level of the fair value hierarchy as described above were as follows (in thousands):</w:t>
      </w:r>
    </w:p>
    <w:p>
      <w:pPr>
        <w:pStyle w:val="TextBody"/>
        <w:bidi w:val="0"/>
        <w:jc w:val="left"/>
        <w:rPr/>
      </w:pPr>
      <w:r>
        <w:rPr/>
        <w:t> </w:t>
      </w:r>
    </w:p>
    <w:tbl>
      <w:tblPr>
        <w:tblW w:w="9523" w:type="dxa"/>
        <w:jc w:val="left"/>
        <w:tblInd w:w="0" w:type="dxa"/>
        <w:tblLayout w:type="fixed"/>
        <w:tblCellMar>
          <w:top w:w="28" w:type="dxa"/>
          <w:left w:w="28" w:type="dxa"/>
          <w:bottom w:w="28" w:type="dxa"/>
          <w:right w:w="28" w:type="dxa"/>
        </w:tblCellMar>
      </w:tblPr>
      <w:tblGrid>
        <w:gridCol w:w="2001"/>
        <w:gridCol w:w="146"/>
        <w:gridCol w:w="211"/>
        <w:gridCol w:w="421"/>
        <w:gridCol w:w="146"/>
        <w:gridCol w:w="146"/>
        <w:gridCol w:w="239"/>
        <w:gridCol w:w="391"/>
        <w:gridCol w:w="146"/>
        <w:gridCol w:w="146"/>
        <w:gridCol w:w="239"/>
        <w:gridCol w:w="391"/>
        <w:gridCol w:w="146"/>
        <w:gridCol w:w="146"/>
        <w:gridCol w:w="211"/>
        <w:gridCol w:w="421"/>
        <w:gridCol w:w="146"/>
        <w:gridCol w:w="146"/>
        <w:gridCol w:w="252"/>
        <w:gridCol w:w="378"/>
        <w:gridCol w:w="146"/>
        <w:gridCol w:w="146"/>
        <w:gridCol w:w="239"/>
        <w:gridCol w:w="391"/>
        <w:gridCol w:w="146"/>
        <w:gridCol w:w="146"/>
        <w:gridCol w:w="239"/>
        <w:gridCol w:w="391"/>
        <w:gridCol w:w="146"/>
        <w:gridCol w:w="146"/>
        <w:gridCol w:w="211"/>
        <w:gridCol w:w="316"/>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30,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2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0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Company’s Level 1 financial assets are money market funds whose fair values are based on quoted market prices. The Company does not have any Level 2 and Level 3 financial assets or liabilities.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 Leases and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operating leases consist of facility and office equipment leases. Operating lease expenses for the three months ended March 30, 2024 and April 1, 2023 were $0.3 million. The weighted average discount rate used in calculating the present value of lease payments was 4.8%. As of March 30, 2024, the weighted average remaining lease term for our operating leases was 2.7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represents maturities of operating lease liabilities as of March 30, 2024 (in thousands):</w:t>
      </w:r>
    </w:p>
    <w:tbl>
      <w:tblPr>
        <w:tblW w:w="4843" w:type="dxa"/>
        <w:jc w:val="left"/>
        <w:tblInd w:w="0" w:type="dxa"/>
        <w:tblLayout w:type="fixed"/>
        <w:tblCellMar>
          <w:top w:w="28" w:type="dxa"/>
          <w:left w:w="28" w:type="dxa"/>
          <w:bottom w:w="28" w:type="dxa"/>
          <w:right w:w="28" w:type="dxa"/>
        </w:tblCellMar>
      </w:tblPr>
      <w:tblGrid>
        <w:gridCol w:w="3226"/>
        <w:gridCol w:w="146"/>
        <w:gridCol w:w="315"/>
        <w:gridCol w:w="945"/>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 Payments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2024 (nine months)</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11" w:type="dxa"/>
            <w:tcBorders/>
            <w:shd w:fill="CFF0FC"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lease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Our purchase commitments consist primarily of non-cancellable purchase commitments with vendors to manufacture certain components and ophthalmic instrumentation. As of March 30, 2024, our future minimum payments through fiscal year 2025 for our purchase commitments were approximately $11.8 million, with $9.2 million committed for the next 12 months.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Indemnities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condensed consolidated operating results, financial condition or cash flows. Regardless of the outcome, litigation can have an adverse impact on us because of defense and settlement costs, diversion of management resources and other factors.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Stock-Based Compensation</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The Company accounts for stock-based compensation granted to employees and directors, including stock option awards, restricted stock and restricted stock units (“RSUs”) in accordance with FASB ASC Topic 718</w:t>
      </w:r>
      <w:r>
        <w:rPr>
          <w:rFonts w:ascii="Times New Roman" w:hAnsi="Times New Roman"/>
          <w:i/>
          <w:color w:val="000000"/>
          <w:sz w:val="20"/>
        </w:rPr>
        <w:t>, “Compensation – Stock Compensation”</w:t>
      </w:r>
      <w:r>
        <w:rPr>
          <w:rFonts w:ascii="Times New Roman" w:hAnsi="Times New Roman"/>
          <w:color w:val="000000"/>
          <w:sz w:val="20"/>
        </w:rPr>
        <w:t xml:space="preserve"> (“ASC 718”). Accordingly, stock-based compensation cost is measured at grant date, based on the fair value of the award, and is recognized as an expense over the employee’s service period. The Company recognizes compensation expense on a ratable basis over the requisite service period of the award.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2008 Equity Incentive Plan, as amended.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terms of awards granted during the three months ended March 30, 2024 were consistent with those described in the consolidated financial statements included in our Annual Report on Form 10-K for the year ended December 30, 2023.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following table shows stock-based compensation expense included in the condensed consolidated statements of operations for the three months ended March 30, 2024 and April 1, 2023 (in thousands): </w:t>
      </w:r>
    </w:p>
    <w:p>
      <w:pPr>
        <w:pStyle w:val="TextBody"/>
        <w:bidi w:val="0"/>
        <w:spacing w:before="120" w:after="283"/>
        <w:ind w:left="0" w:right="0" w:firstLine="490"/>
        <w:jc w:val="left"/>
        <w:rPr/>
      </w:pPr>
      <w:r>
        <w:rPr/>
        <w:t> </w:t>
      </w:r>
    </w:p>
    <w:tbl>
      <w:tblPr>
        <w:tblW w:w="6413" w:type="dxa"/>
        <w:jc w:val="left"/>
        <w:tblInd w:w="0" w:type="dxa"/>
        <w:tblLayout w:type="fixed"/>
        <w:tblCellMar>
          <w:top w:w="28" w:type="dxa"/>
          <w:left w:w="28" w:type="dxa"/>
          <w:bottom w:w="28" w:type="dxa"/>
          <w:right w:w="28" w:type="dxa"/>
        </w:tblCellMar>
      </w:tblPr>
      <w:tblGrid>
        <w:gridCol w:w="3451"/>
        <w:gridCol w:w="146"/>
        <w:gridCol w:w="420"/>
        <w:gridCol w:w="840"/>
        <w:gridCol w:w="150"/>
        <w:gridCol w:w="150"/>
        <w:gridCol w:w="355"/>
        <w:gridCol w:w="71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2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left"/>
              <w:rPr/>
            </w:pPr>
            <w:r>
              <w:rPr/>
              <w:t> </w:t>
            </w:r>
          </w:p>
        </w:tc>
        <w:tc>
          <w:tcPr>
            <w:tcW w:w="8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7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Stock-based compensation expense capitalized to inventory was immaterial for the three months ended March 30, 2024 and April 1, 2023.</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As of March 30, 2024, there was $1.6 million of total unrecognized compensation cost, net of expected forfeitures, related to non-vested stock-based compensation arrangements. The cost is expected to be recognized over a weighted average period of 1.8 years.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Stock Options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following table summarizes stock options information during the three months ended March 30, 2024:</w:t>
      </w:r>
    </w:p>
    <w:p>
      <w:pPr>
        <w:pStyle w:val="TextBody"/>
        <w:bidi w:val="0"/>
        <w:jc w:val="left"/>
        <w:rPr/>
      </w:pPr>
      <w:r>
        <w:rPr/>
        <w:t> </w:t>
      </w:r>
    </w:p>
    <w:tbl>
      <w:tblPr>
        <w:tblW w:w="7254"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350"/>
        <w:gridCol w:w="775"/>
        <w:gridCol w:w="146"/>
        <w:gridCol w:w="146"/>
        <w:gridCol w:w="255"/>
        <w:gridCol w:w="690"/>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2,757,921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 or 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30,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2,424,421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weighted average grant date fair value of the options granted was $1.75 and $1.39 per share for the three months ended March 30, 2024 and April 1, 2023,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uses the Black-Scholes option-pricing model to estimate the fair value of stock-based awards (options) with the following weighted-average assumptions:</w:t>
      </w:r>
    </w:p>
    <w:p>
      <w:pPr>
        <w:pStyle w:val="TextBody"/>
        <w:bidi w:val="0"/>
        <w:jc w:val="left"/>
        <w:rPr/>
      </w:pPr>
      <w:r>
        <w:rPr/>
        <w:t> </w:t>
      </w:r>
    </w:p>
    <w:tbl>
      <w:tblPr>
        <w:tblW w:w="5680" w:type="dxa"/>
        <w:jc w:val="left"/>
        <w:tblInd w:w="0" w:type="dxa"/>
        <w:tblLayout w:type="fixed"/>
        <w:tblCellMar>
          <w:top w:w="28" w:type="dxa"/>
          <w:left w:w="28" w:type="dxa"/>
          <w:bottom w:w="28" w:type="dxa"/>
          <w:right w:w="28" w:type="dxa"/>
        </w:tblCellMar>
      </w:tblPr>
      <w:tblGrid>
        <w:gridCol w:w="2476"/>
        <w:gridCol w:w="146"/>
        <w:gridCol w:w="300"/>
        <w:gridCol w:w="960"/>
        <w:gridCol w:w="271"/>
        <w:gridCol w:w="146"/>
        <w:gridCol w:w="254"/>
        <w:gridCol w:w="811"/>
        <w:gridCol w:w="3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 free interest rate</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9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16" w:type="dxa"/>
            <w:tcBorders/>
            <w:shd w:fill="FFFFFF" w:val="clear"/>
            <w:vAlign w:val="center"/>
          </w:tcPr>
          <w:p>
            <w:pPr>
              <w:pStyle w:val="TableContents"/>
              <w:bidi w:val="0"/>
              <w:spacing w:before="0" w:after="283"/>
              <w:jc w:val="righ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righ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volatility</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Option-pricing models require the input of various subjective assumptions, including the option’s expected life and the price volatility of the underlying stock. The expected stock price volatility is based on an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Information regarding stock options outstanding, vested, expected to vest, and exercisable as of March 30, 2024 is summarized below:</w:t>
      </w:r>
    </w:p>
    <w:p>
      <w:pPr>
        <w:pStyle w:val="TextBody"/>
        <w:bidi w:val="0"/>
        <w:jc w:val="left"/>
        <w:rPr/>
      </w:pPr>
      <w:r>
        <w:rPr/>
        <w:t> </w:t>
      </w:r>
    </w:p>
    <w:tbl>
      <w:tblPr>
        <w:tblW w:w="8622"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350"/>
        <w:gridCol w:w="775"/>
        <w:gridCol w:w="146"/>
        <w:gridCol w:w="146"/>
        <w:gridCol w:w="236"/>
        <w:gridCol w:w="755"/>
        <w:gridCol w:w="146"/>
        <w:gridCol w:w="146"/>
        <w:gridCol w:w="315"/>
        <w:gridCol w:w="855"/>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xml:space="preserve">Remaining </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Aggregate</w:t>
              <w:br/>
              <w:t>Intrinsic</w:t>
            </w:r>
            <w:r>
              <w:rPr>
                <w:rFonts w:ascii="Times New Roman" w:hAnsi="Times New Roman"/>
                <w:color w:val="000000"/>
                <w:sz w:val="16"/>
              </w:rPr>
              <w:t xml:space="preserve"> </w:t>
            </w:r>
            <w:r>
              <w:rPr>
                <w:rFonts w:ascii="Times New Roman" w:hAnsi="Times New Roman"/>
                <w:b/>
                <w:color w:val="000000"/>
                <w:sz w:val="16"/>
              </w:rPr>
              <w:t>Value</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91" w:type="dxa"/>
            <w:tcBorders/>
            <w:shd w:fill="CFF0FC" w:val="clear"/>
            <w:vAlign w:val="center"/>
          </w:tcPr>
          <w:p>
            <w:pPr>
              <w:pStyle w:val="TableContents"/>
              <w:bidi w:val="0"/>
              <w:spacing w:before="0" w:after="283"/>
              <w:jc w:val="left"/>
              <w:rPr/>
            </w:pPr>
            <w:r>
              <w:rPr/>
              <w:t> </w:t>
            </w:r>
          </w:p>
        </w:tc>
      </w:tr>
      <w:tr>
        <w:trPr/>
        <w:tc>
          <w:tcPr>
            <w:tcW w:w="30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91" w:type="dxa"/>
            <w:tcBorders/>
            <w:shd w:fill="FFFFFF" w:val="clear"/>
            <w:vAlign w:val="center"/>
          </w:tcPr>
          <w:p>
            <w:pPr>
              <w:pStyle w:val="TableContents"/>
              <w:bidi w:val="0"/>
              <w:spacing w:before="0" w:after="283"/>
              <w:jc w:val="left"/>
              <w:rPr/>
            </w:pPr>
            <w:r>
              <w:rPr/>
              <w:t> </w:t>
            </w:r>
          </w:p>
        </w:tc>
      </w:tr>
      <w:tr>
        <w:trPr/>
        <w:tc>
          <w:tcPr>
            <w:tcW w:w="30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The aggregate intrinsic value in the table above represents the pre-tax intrinsic value, based on the Company’s closing price as of March 30, 2024, that would have been received by option holders had all option holders exercised their stock options as of that date. This amount changes based on the fair market value of the Company’s common stock. The total intrinsic value of options exercised for the three months ended April 1, 2023 was approximately $4 thousand. There were no options exercised during the three months ended March 30, 2024.</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Summary of RSUs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RSUs activity for the three months ended March 30, 2024 was nil, with 353,212 RSUs outstanding as of March 30,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Provision for Income Tax</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calculates its interim tax provision in accordance with the provisions of ASC Topic 740-270, </w:t>
      </w:r>
      <w:r>
        <w:rPr>
          <w:rFonts w:ascii="Times New Roman" w:hAnsi="Times New Roman"/>
          <w:i/>
          <w:color w:val="000000"/>
          <w:sz w:val="20"/>
        </w:rPr>
        <w:t>Income Taxes; Interim Reporting</w:t>
      </w:r>
      <w:r>
        <w:rPr>
          <w:rFonts w:ascii="Times New Roman" w:hAnsi="Times New Roman"/>
          <w:color w:val="000000"/>
          <w:sz w:val="20"/>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$38 thousand and $12 thousand for the three months ended March 30, 2024 and April 1, 2023,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w:t>
      </w:r>
    </w:p>
    <w:p>
      <w:pPr>
        <w:pStyle w:val="TextBody"/>
        <w:bidi w:val="0"/>
        <w:spacing w:before="120" w:after="283"/>
        <w:ind w:left="0" w:right="0" w:firstLine="490"/>
        <w:jc w:val="left"/>
        <w:rPr>
          <w:rFonts w:ascii="Times New Roman" w:hAnsi="Times New Roman"/>
          <w:sz w:val="20"/>
        </w:rPr>
      </w:pPr>
      <w:r>
        <w:rPr>
          <w:rFonts w:ascii="Times New Roman" w:hAnsi="Times New Roman"/>
          <w:color w:val="000000"/>
          <w:sz w:val="20"/>
        </w:rPr>
        <w:t xml:space="preserve">The Company accounts for income taxes in accordance with ASC Topic 740, </w:t>
      </w:r>
      <w:r>
        <w:rPr>
          <w:rFonts w:ascii="Times New Roman" w:hAnsi="Times New Roman"/>
          <w:i/>
          <w:color w:val="000000"/>
          <w:sz w:val="20"/>
        </w:rPr>
        <w:t>Income Taxes</w:t>
      </w:r>
      <w:r>
        <w:rPr>
          <w:rFonts w:ascii="Times New Roman" w:hAnsi="Times New Roman"/>
          <w:color w:val="000000"/>
          <w:sz w:val="20"/>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first quarter of fiscal year 2024, based on the Company’s recent history of losses and its forecasted losses, management believes on the more-likely-than-not basis that a full valuation allowance is required. Accordingly, the Company continues to provide a full valuation allowance on its federal and states deferred tax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Uncertain Tax Positions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accounts for its uncertain tax positions in accordance with ASC 740. As of December 30, 2023, the Company had $1.4 million of unrecognized tax benefits, none of the unrecognized tax benefits would result in a change in the Company’s effective tax rate if recognized in future years.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is not aware of any other uncertain tax positions that could result in significant additional payments, accruals, or other material deviation in this estimate during the fiscal year.</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The Company is subject to United States federal income tax as well as to income taxes in state jurisdictions. The Company’s federal and state income tax returns are open to examination by tax authorities for three years and three to five years,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Computation of Basic and Diluted Net Loss Per Share</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 xml:space="preserve">For the three months ended March 30, 2024 and April 1, 2023, potential shares from stock options and RSUs totaling 3,201,628 and 2,301,437 shares, respectively, were excluded from the computation of diluted weighted average shares outstanding. </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A reconciliation of the numerator and denominator of basic and diluted net loss per common share is provided as follows (in thousands except per share data):</w:t>
      </w:r>
    </w:p>
    <w:p>
      <w:pPr>
        <w:pStyle w:val="TextBody"/>
        <w:bidi w:val="0"/>
        <w:jc w:val="left"/>
        <w:rPr/>
      </w:pPr>
      <w:r>
        <w:rPr/>
        <w:t> </w:t>
      </w:r>
    </w:p>
    <w:tbl>
      <w:tblPr>
        <w:tblW w:w="7915" w:type="dxa"/>
        <w:jc w:val="left"/>
        <w:tblInd w:w="0" w:type="dxa"/>
        <w:tblLayout w:type="fixed"/>
        <w:tblCellMar>
          <w:top w:w="28" w:type="dxa"/>
          <w:left w:w="28" w:type="dxa"/>
          <w:bottom w:w="28" w:type="dxa"/>
          <w:right w:w="28" w:type="dxa"/>
        </w:tblCellMar>
      </w:tblPr>
      <w:tblGrid>
        <w:gridCol w:w="4521"/>
        <w:gridCol w:w="146"/>
        <w:gridCol w:w="299"/>
        <w:gridCol w:w="961"/>
        <w:gridCol w:w="166"/>
        <w:gridCol w:w="146"/>
        <w:gridCol w:w="253"/>
        <w:gridCol w:w="812"/>
        <w:gridCol w:w="61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45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5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5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16,001</w:t>
            </w:r>
          </w:p>
        </w:tc>
        <w:tc>
          <w:tcPr>
            <w:tcW w:w="611" w:type="dxa"/>
            <w:tcBorders/>
            <w:shd w:fill="CFF0FC" w:val="clear"/>
            <w:vAlign w:val="center"/>
          </w:tcPr>
          <w:p>
            <w:pPr>
              <w:pStyle w:val="TableContents"/>
              <w:bidi w:val="0"/>
              <w:spacing w:before="0" w:after="283"/>
              <w:jc w:val="left"/>
              <w:rPr/>
            </w:pPr>
            <w:r>
              <w:rPr/>
              <w:t> </w:t>
            </w:r>
          </w:p>
        </w:tc>
      </w:tr>
      <w:tr>
        <w:trPr/>
        <w:tc>
          <w:tcPr>
            <w:tcW w:w="45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45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net loss per share</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12. Business Segments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Company operates in one segment: ophthalmology. The Company develops, manufactures and markets medical devices. Our revenues arise from the sale of consoles, delivery devices, consumables, service, and support activities.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Revenue information shown by product group is as follows (in thousands):</w:t>
      </w:r>
    </w:p>
    <w:p>
      <w:pPr>
        <w:pStyle w:val="TextBody"/>
        <w:bidi w:val="0"/>
        <w:ind w:left="0" w:right="0" w:firstLine="490"/>
        <w:jc w:val="left"/>
        <w:rPr/>
      </w:pPr>
      <w:r>
        <w:rPr/>
        <w:t> </w:t>
      </w:r>
    </w:p>
    <w:tbl>
      <w:tblPr>
        <w:tblW w:w="4275" w:type="dxa"/>
        <w:jc w:val="left"/>
        <w:tblInd w:w="0" w:type="dxa"/>
        <w:tblLayout w:type="fixed"/>
        <w:tblCellMar>
          <w:top w:w="28" w:type="dxa"/>
          <w:left w:w="28" w:type="dxa"/>
          <w:bottom w:w="28" w:type="dxa"/>
          <w:right w:w="28" w:type="dxa"/>
        </w:tblCellMar>
      </w:tblPr>
      <w:tblGrid>
        <w:gridCol w:w="1321"/>
        <w:gridCol w:w="146"/>
        <w:gridCol w:w="299"/>
        <w:gridCol w:w="961"/>
        <w:gridCol w:w="146"/>
        <w:gridCol w:w="146"/>
        <w:gridCol w:w="253"/>
        <w:gridCol w:w="812"/>
        <w:gridCol w:w="1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91" w:type="dxa"/>
            <w:tcBorders/>
            <w:shd w:fill="CFF0FC"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w:t>
            </w:r>
          </w:p>
        </w:tc>
        <w:tc>
          <w:tcPr>
            <w:tcW w:w="191" w:type="dxa"/>
            <w:tcBorders/>
            <w:shd w:fill="FFFFFF" w:val="clear"/>
            <w:vAlign w:val="center"/>
          </w:tcPr>
          <w:p>
            <w:pPr>
              <w:pStyle w:val="TableContents"/>
              <w:bidi w:val="0"/>
              <w:spacing w:before="0" w:after="283"/>
              <w:jc w:val="left"/>
              <w:rPr/>
            </w:pPr>
            <w:r>
              <w:rPr/>
              <w:t> </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Other(1)</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(1) Includes service contract revenues of $328 thousand and $383 thousand recognized during the three months ended March 30, 2024 and April 1, 2023, respectively. Includes $364 thousand recognized revenue related to the exclusive distribution rights during both of the three months ended March 30, 2024 and April 1, 2023. Other also includes revenues from paid service, royalty, freight and legacy G probes.</w:t>
      </w:r>
    </w:p>
    <w:p>
      <w:pPr>
        <w:pStyle w:val="TextBody"/>
        <w:bidi w:val="0"/>
        <w:ind w:left="0" w:right="0" w:firstLine="49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 information shown by geographic region, based on the sales destination, is as follows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625" w:type="dxa"/>
        <w:jc w:val="left"/>
        <w:tblInd w:w="0" w:type="dxa"/>
        <w:tblLayout w:type="fixed"/>
        <w:tblCellMar>
          <w:top w:w="28" w:type="dxa"/>
          <w:left w:w="28" w:type="dxa"/>
          <w:bottom w:w="28" w:type="dxa"/>
          <w:right w:w="28" w:type="dxa"/>
        </w:tblCellMar>
      </w:tblPr>
      <w:tblGrid>
        <w:gridCol w:w="2671"/>
        <w:gridCol w:w="146"/>
        <w:gridCol w:w="299"/>
        <w:gridCol w:w="961"/>
        <w:gridCol w:w="146"/>
        <w:gridCol w:w="146"/>
        <w:gridCol w:w="253"/>
        <w:gridCol w:w="812"/>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Rim</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the U.S.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ind w:left="0" w:right="0" w:firstLine="490"/>
        <w:jc w:val="left"/>
        <w:rPr>
          <w:rFonts w:ascii="Times New Roman" w:hAnsi="Times New Roman"/>
          <w:color w:val="000000"/>
          <w:sz w:val="20"/>
        </w:rPr>
      </w:pPr>
      <w:r>
        <w:rPr>
          <w:rFonts w:ascii="Times New Roman" w:hAnsi="Times New Roman"/>
          <w:color w:val="000000"/>
          <w:sz w:val="20"/>
        </w:rPr>
        <w:t>Revenues are attributed to countries based on the location of end customers.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Other than the United States, the Netherlands accounted for at least 10% of the Company’s revenues during the three months ended March 30, 2024, representing 21%. Other than the United States, the Netherlands accounted for at least 10% of the Company’s revenues during the three months ended April 1, 2023, representing 16%. The United States accounted for 45.2% and 49.4% of revenues for the three months ended March 30, 2024 and April 1, 2023, respectively.</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Subsequent Event</w:t>
      </w:r>
    </w:p>
    <w:p>
      <w:pPr>
        <w:pStyle w:val="TextBody"/>
        <w:bidi w:val="0"/>
        <w:jc w:val="left"/>
        <w:rPr>
          <w:rFonts w:ascii="Times New Roman" w:hAnsi="Times New Roman"/>
          <w:i/>
          <w:color w:val="000000"/>
          <w:sz w:val="20"/>
        </w:rPr>
      </w:pPr>
      <w:r>
        <w:rPr>
          <w:rFonts w:ascii="Times New Roman" w:hAnsi="Times New Roman"/>
          <w:i/>
          <w:color w:val="000000"/>
          <w:sz w:val="20"/>
        </w:rPr>
        <w:t>Liquidity and Management Plans</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Management evaluates whether there are relevant conditions and events that, in the aggregate, raise substantial doubt about the Company’s ability to continue as a going concern and to meet its obligations as they become due within one year after the date that the financial statements are issued.</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assuming that the Company will continue as a going concern. However, the Company has sustained operating losses in the current quarter and expects to incur losses in the next five quarters. Accordingly, the Company concluded there was substantial doubt about its ability to continue as a going concern for 12 months from the date of the filing of this Quarterly Report on Form 10-Q. However, management currently believes that it has plans in place to reduce cash expenditure and can alleviate this substantial doubt as of the date of this filing.</w:t>
      </w:r>
    </w:p>
    <w:p>
      <w:pPr>
        <w:pStyle w:val="TextBody"/>
        <w:bidi w:val="0"/>
        <w:spacing w:before="120" w:after="283"/>
        <w:ind w:left="0" w:right="0" w:firstLine="490"/>
        <w:jc w:val="left"/>
        <w:rPr>
          <w:rFonts w:ascii="Times New Roman" w:hAnsi="Times New Roman"/>
          <w:color w:val="000000"/>
          <w:sz w:val="20"/>
        </w:rPr>
      </w:pPr>
      <w:r>
        <w:rPr>
          <w:rFonts w:ascii="Times New Roman" w:hAnsi="Times New Roman"/>
          <w:color w:val="000000"/>
          <w:sz w:val="20"/>
        </w:rPr>
        <w:t>To fund further operations, the Company will need to raise additional capital. The Company may obtain additional financing in the future through the issuance of its common stock, or through other equity or debt financing. The Company’s ability to continue as a going concern or meet the minimum liquidity requirements in the future is dependent on its ability to raise additional capital, of which there can be no assurance. If the necessary financing is not obtained or achieved, the Company will likely be required to reduce its planned expenditures, which could have a material adverse impact on the results of operations, financial condition and the Company’s ability to achieve its strategic objectives. There can be no assurance that financing will be available on acceptable terms, or at all. In addition,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and should be read in conjunction with the section of this Quarterly Report on Form 10-Q entitled “Risk Factors.” Our actual results could differ materially from those discussed in these forward-looking statements. Factors that could cause or contribute to such differences include, but are not limited to, those discussed in the section entitled “Risk Factors.”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is an ophthalmic medical technology company focused on the development and commercialization of breakthrough products and procedures used to treat sight-threatening eye conditions, including glaucoma and retinal diseases.</w:t>
      </w:r>
    </w:p>
    <w:p>
      <w:pPr>
        <w:pStyle w:val="TextBody"/>
        <w:bidi w:val="0"/>
        <w:spacing w:before="120" w:after="283"/>
        <w:jc w:val="left"/>
        <w:rPr>
          <w:rFonts w:ascii="Times New Roman" w:hAnsi="Times New Roman"/>
          <w:sz w:val="20"/>
        </w:rPr>
      </w:pPr>
      <w:r>
        <w:rPr>
          <w:rFonts w:ascii="Times New Roman" w:hAnsi="Times New Roman"/>
          <w:color w:val="000000"/>
          <w:sz w:val="20"/>
        </w:rPr>
        <w:t>Our propriety MicroPulse</w:t>
      </w:r>
      <w:r>
        <w:rPr>
          <w:rFonts w:ascii="Times New Roman" w:hAnsi="Times New Roman"/>
          <w:color w:val="000000"/>
          <w:sz w:val="13"/>
        </w:rPr>
        <w:t>®</w:t>
      </w:r>
      <w:r>
        <w:rPr>
          <w:rFonts w:ascii="Times New Roman" w:hAnsi="Times New Roman"/>
          <w:color w:val="000000"/>
          <w:sz w:val="20"/>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consist of laser consoles, delivery devices and consumable probes.</w:t>
      </w:r>
    </w:p>
    <w:p>
      <w:pPr>
        <w:pStyle w:val="TextBody"/>
        <w:bidi w:val="0"/>
        <w:spacing w:before="120" w:after="283"/>
        <w:jc w:val="left"/>
        <w:rPr>
          <w:rFonts w:ascii="Times New Roman" w:hAnsi="Times New Roman"/>
          <w:sz w:val="20"/>
        </w:rPr>
      </w:pPr>
      <w:r>
        <w:rPr>
          <w:rFonts w:ascii="Times New Roman" w:hAnsi="Times New Roman"/>
          <w:i/>
          <w:color w:val="000000"/>
          <w:sz w:val="20"/>
        </w:rPr>
        <w:t>Our laser consoles consist of the following product lines: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Our primary glaucoma console line is the Cyclo G6</w:t>
      </w:r>
      <w:r>
        <w:rPr>
          <w:rFonts w:ascii="Times New Roman" w:hAnsi="Times New Roman"/>
          <w:color w:val="000000"/>
          <w:sz w:val="13"/>
        </w:rPr>
        <w:t>®</w:t>
      </w:r>
      <w:r>
        <w:rPr>
          <w:color w:val="000000"/>
        </w:rPr>
        <w:t xml:space="preserve"> </w:t>
      </w:r>
      <w:r>
        <w:rPr>
          <w:rFonts w:ascii="Times New Roman" w:hAnsi="Times New Roman"/>
          <w:color w:val="000000"/>
          <w:sz w:val="20"/>
        </w:rPr>
        <w:t>laser system with MicroPulse technology. In addition, our medical retina consoles have features supporting glaucoma laser treatments.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Medical Retina</w:t>
      </w:r>
      <w:r>
        <w:rPr>
          <w:color w:val="000000"/>
        </w:rPr>
        <w:t xml:space="preserve"> – </w:t>
      </w:r>
      <w:r>
        <w:rPr>
          <w:rFonts w:ascii="Times New Roman" w:hAnsi="Times New Roman"/>
          <w:color w:val="000000"/>
          <w:sz w:val="20"/>
        </w:rPr>
        <w:t>Our medical-retina product line includes our portable IQ 532</w:t>
      </w:r>
      <w:r>
        <w:rPr>
          <w:rFonts w:ascii="Times New Roman" w:hAnsi="Times New Roman"/>
          <w:color w:val="000000"/>
          <w:sz w:val="13"/>
        </w:rPr>
        <w:t>®</w:t>
      </w:r>
      <w:r>
        <w:rPr>
          <w:color w:val="000000"/>
        </w:rPr>
        <w:t xml:space="preserve"> </w:t>
      </w:r>
      <w:r>
        <w:rPr>
          <w:rFonts w:ascii="Times New Roman" w:hAnsi="Times New Roman"/>
          <w:color w:val="000000"/>
          <w:sz w:val="20"/>
        </w:rPr>
        <w:t>and IQ 577</w:t>
      </w:r>
      <w:r>
        <w:rPr>
          <w:rFonts w:ascii="Times New Roman" w:hAnsi="Times New Roman"/>
          <w:color w:val="000000"/>
          <w:sz w:val="13"/>
        </w:rPr>
        <w:t>®</w:t>
      </w:r>
      <w:r>
        <w:rPr>
          <w:color w:val="000000"/>
        </w:rPr>
        <w:t xml:space="preserve"> </w:t>
      </w:r>
      <w:r>
        <w:rPr>
          <w:rFonts w:ascii="Times New Roman" w:hAnsi="Times New Roman"/>
          <w:color w:val="000000"/>
          <w:sz w:val="20"/>
        </w:rPr>
        <w:t>laser systems with 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Our surgical-retina product line includes our OcuLight</w:t>
      </w:r>
      <w:r>
        <w:rPr>
          <w:rFonts w:ascii="Times New Roman" w:hAnsi="Times New Roman"/>
          <w:color w:val="000000"/>
          <w:sz w:val="13"/>
        </w:rPr>
        <w:t>®</w:t>
      </w:r>
      <w:r>
        <w:rPr>
          <w:color w:val="000000"/>
        </w:rPr>
        <w:t xml:space="preserve"> </w:t>
      </w:r>
      <w:r>
        <w:rPr>
          <w:rFonts w:ascii="Times New Roman" w:hAnsi="Times New Roman"/>
          <w:color w:val="000000"/>
          <w:sz w:val="20"/>
        </w:rPr>
        <w:t>TX and OcuLight</w:t>
      </w:r>
      <w:r>
        <w:rPr>
          <w:rFonts w:ascii="Times New Roman" w:hAnsi="Times New Roman"/>
          <w:color w:val="000000"/>
          <w:sz w:val="13"/>
        </w:rPr>
        <w:t>®</w:t>
      </w:r>
      <w:r>
        <w:rPr>
          <w:color w:val="000000"/>
        </w:rPr>
        <w:t xml:space="preserve"> </w:t>
      </w:r>
      <w:r>
        <w:rPr>
          <w:rFonts w:ascii="Times New Roman" w:hAnsi="Times New Roman"/>
          <w:color w:val="000000"/>
          <w:sz w:val="20"/>
        </w:rPr>
        <w:t>SLx (with MicroPulse technology) laser photocoagulation systems. These systems are often used in vitrectomy procedures, which are used to treat proliferative diabetic retinopathy, macular holes, retinal tears and detachments.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generates recurring revenues through sales of consumable products, predominantly single-use laser probe devices and other instrumentation, as well as repair, service and extended service contracts for our laser systems.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laser probes consist of the following product lines: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Glaucoma</w:t>
      </w:r>
      <w:r>
        <w:rPr>
          <w:color w:val="000000"/>
        </w:rPr>
        <w:t xml:space="preserve"> – </w:t>
      </w:r>
      <w:r>
        <w:rPr>
          <w:rFonts w:ascii="Times New Roman" w:hAnsi="Times New Roman"/>
          <w:color w:val="000000"/>
          <w:sz w:val="20"/>
        </w:rPr>
        <w:t>Probes used in our glaucoma product line include our patented single-use delivery devices -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and G-Probe Illuminate</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Surgical Retina</w:t>
      </w:r>
      <w:r>
        <w:rPr>
          <w:color w:val="000000"/>
        </w:rPr>
        <w:t xml:space="preserve"> – </w:t>
      </w:r>
      <w:r>
        <w:rPr>
          <w:rFonts w:ascii="Times New Roman" w:hAnsi="Times New Roman"/>
          <w:color w:val="000000"/>
          <w:sz w:val="20"/>
        </w:rPr>
        <w:t>Probes used in our surgical-retina product line include our family of single-use EndoProbe</w:t>
      </w:r>
      <w:r>
        <w:rPr>
          <w:rFonts w:ascii="Times New Roman" w:hAnsi="Times New Roman"/>
          <w:color w:val="000000"/>
          <w:sz w:val="13"/>
        </w:rPr>
        <w:t>®</w:t>
      </w:r>
      <w:r>
        <w:rPr>
          <w:color w:val="000000"/>
        </w:rPr>
        <w:t xml:space="preserve"> </w:t>
      </w:r>
      <w:r>
        <w:rPr>
          <w:rFonts w:ascii="Times New Roman" w:hAnsi="Times New Roman"/>
          <w:color w:val="000000"/>
          <w:sz w:val="20"/>
        </w:rPr>
        <w:t>handpieces.</w:t>
      </w:r>
    </w:p>
    <w:p>
      <w:pPr>
        <w:pStyle w:val="TextBody"/>
        <w:bidi w:val="0"/>
        <w:spacing w:before="120" w:after="283"/>
        <w:jc w:val="left"/>
        <w:rPr>
          <w:rFonts w:ascii="Times New Roman" w:hAnsi="Times New Roman"/>
          <w:sz w:val="20"/>
        </w:rPr>
      </w:pPr>
      <w:r>
        <w:rPr>
          <w:rFonts w:ascii="Times New Roman" w:hAnsi="Times New Roman"/>
          <w:color w:val="000000"/>
          <w:sz w:val="20"/>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hAnsi="Times New Roman"/>
          <w:color w:val="000000"/>
          <w:sz w:val="13"/>
        </w:rPr>
        <w:t>®</w:t>
      </w:r>
      <w:r>
        <w:rPr>
          <w:rFonts w:ascii="Times New Roman" w:hAnsi="Times New Roman"/>
          <w:color w:val="000000"/>
          <w:sz w:val="20"/>
        </w:rPr>
        <w:t>, G-Probe</w:t>
      </w:r>
      <w:r>
        <w:rPr>
          <w:rFonts w:ascii="Times New Roman" w:hAnsi="Times New Roman"/>
          <w:color w:val="000000"/>
          <w:sz w:val="13"/>
        </w:rPr>
        <w:t>®</w:t>
      </w:r>
      <w:r>
        <w:rPr>
          <w:rFonts w:ascii="Times New Roman" w:hAnsi="Times New Roman"/>
          <w:color w:val="000000"/>
          <w:sz w:val="20"/>
        </w:rPr>
        <w:t xml:space="preserve"> and G-Probe Illuminate</w:t>
      </w:r>
      <w:r>
        <w:rPr>
          <w:rFonts w:ascii="Times New Roman" w:hAnsi="Times New Roman"/>
          <w:color w:val="000000"/>
          <w:sz w:val="13"/>
        </w:rPr>
        <w:t>®</w:t>
      </w:r>
      <w:r>
        <w:rPr>
          <w:rFonts w:ascii="Times New Roman" w:hAnsi="Times New Roman"/>
          <w:color w:val="000000"/>
          <w:sz w:val="20"/>
        </w:rPr>
        <w:t xml:space="preserve"> delivery devices, and EndoProbe handpieces. In the offices and clinics, ophthalmologists use our laser systems with either an indirect laser ophthalmoscope or a slit-lamp adapter.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sold in the United States and Germany predominantly through a direct sales force and internationally (aside from Germany) primarily through independent distributors.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consists primarily of our direct manufacturing costs which include the cost of components and sub-systems, assembling, packaging, shipping and testing components at our facility, direct labor and associated overhead, warranty, royalty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amortization of intangible assets and depot service costs. For certain of our products, we are responsible for the cost of the fully assembled product that is manufactured by a third-party.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and marketing expenses consist primarily of costs of personnel, sales commissions, travel expenses, advertising and promotional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costs of personnel, legal, accounting and other public company costs, insurance and other expenses not allocated to other departments.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Impact of Macroeconomic Conditions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macroeconomic conditions exhibit challenges that can affect capital equipment purchasing demand and timing, including recessionary fears, inflation concerns, heightened interest rates as a result of government actions to combat inflation, and uncertainty in the global banking and financial services market, concerns related to the upcoming presidential election in the United States, as well as other geopolitical developments,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macroeconomic conditions on our business and operations remain uncertain, and it is not possible for us to predict the duration and extent to which they will affect our business, future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on risks associated with the current macroeconomic conditions, see the sections titled “Risk Factors” in Item 1A of Part II.</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operating data as a percentage of revenues:</w:t>
      </w:r>
    </w:p>
    <w:p>
      <w:pPr>
        <w:pStyle w:val="TextBody"/>
        <w:bidi w:val="0"/>
        <w:jc w:val="left"/>
        <w:rPr/>
      </w:pPr>
      <w:r>
        <w:rPr/>
        <w:t> </w:t>
      </w:r>
    </w:p>
    <w:tbl>
      <w:tblPr>
        <w:tblW w:w="7900" w:type="dxa"/>
        <w:jc w:val="left"/>
        <w:tblInd w:w="0" w:type="dxa"/>
        <w:tblLayout w:type="fixed"/>
        <w:tblCellMar>
          <w:top w:w="28" w:type="dxa"/>
          <w:left w:w="28" w:type="dxa"/>
          <w:bottom w:w="28" w:type="dxa"/>
          <w:right w:w="28" w:type="dxa"/>
        </w:tblCellMar>
      </w:tblPr>
      <w:tblGrid>
        <w:gridCol w:w="4576"/>
        <w:gridCol w:w="146"/>
        <w:gridCol w:w="256"/>
        <w:gridCol w:w="1004"/>
        <w:gridCol w:w="331"/>
        <w:gridCol w:w="146"/>
        <w:gridCol w:w="217"/>
        <w:gridCol w:w="848"/>
        <w:gridCol w:w="376"/>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righ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pPr>
            <w:r>
              <w:rPr/>
              <w:t> </w:t>
            </w:r>
          </w:p>
        </w:tc>
        <w:tc>
          <w:tcPr>
            <w:tcW w:w="10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 before provision for income taxes</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left"/>
              <w:rPr/>
            </w:pPr>
            <w:r>
              <w:rPr/>
              <w:t> </w:t>
            </w:r>
          </w:p>
        </w:tc>
        <w:tc>
          <w:tcPr>
            <w:tcW w:w="10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The following comparisons are between the three months ended March 30, 2024 and April 1, 2023</w:t>
      </w:r>
      <w:r>
        <w:rPr>
          <w:rFonts w:ascii="Times New Roman" w:hAnsi="Times New Roman"/>
          <w:color w:val="000000"/>
          <w:sz w:val="20"/>
        </w:rPr>
        <w:t xml:space="preserve"> </w:t>
      </w:r>
      <w:r>
        <w:rPr>
          <w:rFonts w:ascii="Times New Roman" w:hAnsi="Times New Roman"/>
          <w:b/>
          <w:color w:val="000000"/>
          <w:sz w:val="20"/>
        </w:rPr>
        <w:t>(in thousands):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tbl>
      <w:tblPr>
        <w:tblW w:w="7089" w:type="dxa"/>
        <w:jc w:val="left"/>
        <w:tblInd w:w="0" w:type="dxa"/>
        <w:tblLayout w:type="fixed"/>
        <w:tblCellMar>
          <w:top w:w="28" w:type="dxa"/>
          <w:left w:w="28" w:type="dxa"/>
          <w:bottom w:w="28" w:type="dxa"/>
          <w:right w:w="28" w:type="dxa"/>
        </w:tblCellMar>
      </w:tblPr>
      <w:tblGrid>
        <w:gridCol w:w="1321"/>
        <w:gridCol w:w="146"/>
        <w:gridCol w:w="299"/>
        <w:gridCol w:w="961"/>
        <w:gridCol w:w="146"/>
        <w:gridCol w:w="146"/>
        <w:gridCol w:w="253"/>
        <w:gridCol w:w="812"/>
        <w:gridCol w:w="146"/>
        <w:gridCol w:w="146"/>
        <w:gridCol w:w="244"/>
        <w:gridCol w:w="731"/>
        <w:gridCol w:w="166"/>
        <w:gridCol w:w="146"/>
        <w:gridCol w:w="228"/>
        <w:gridCol w:w="822"/>
        <w:gridCol w:w="376"/>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center"/>
              <w:rPr/>
            </w:pPr>
            <w:r>
              <w:rPr/>
              <w:t> </w:t>
            </w:r>
          </w:p>
        </w:tc>
        <w:tc>
          <w:tcPr>
            <w:tcW w:w="376"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Cyclo G6</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Retina</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7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8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total revenues decreased by $1.9 million, or 14.2%, from $13.7 million to $11.8 million. The decrease was driven by an overall softer demand in our product lines, and lower royalties due to the expiration of licensed patents.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While we believe that market for our products remains strong, however the overall capital expenditure landscape within hospitals, surgical centers and physician offices may continue to be negatively impacted by persistent macroeconomic concerns.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decreased $1.5 million, or 25% from $5.9 million to $4.5 million. Gross margin decreased by 5.4% from 43.3% to 37.9%. The decrease in gross margin was the result of lower overhead absorption in the current period and a more favorable product mix in the same period in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$0.2 million, or 12.2% from $1.7 million to $1.5 million. Spending on investment in PASCAL product line and on new and expanded product portfolio decreased as we completed these projects.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decreased $0.6 million, or 12.5%, from $4.3 million to $3.7 million. The decrease was related to lower sales costs associated with lower commissions and reduction on headcount.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$0.2 million, or 10% from $2.3 million to $2.5 million. The increase is a result of higher consulting costs.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net was $0.1 million for the three months ended March 30, 2024 compared to other income (expense), net, of $0.3 million for the three months ended April 1, 2023. Other income (expense), net, consisted primarily of interest income or expense and foreign currency gain or loss.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an income tax provision of $38 thousand and $12 thousand for the three months ended March 30, 2024 and April 1, 2023, respectively.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 Capital Resources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Liquidity is our ability to generate sufficient cash flows from operating activities to meet our obligations and commitments. In addition, liquidity includes the ability to obtain appropriate financing or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30, 2024, we had cash and cash equivalents of $5.4 million and working capital of $11.5 million compared to cash and cash equivalents of $7.0 million and working capital of $14.5 million as of December 30,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$1.6 million in the three months ended March 30, 2024 compared to net cash used in operating activities of $2.8 million in the three months ended April 1, 2023. The decrease in net cash used in operating activities, expressed in direct cash flow terms, was primarily due to cash provided by inventory, accounts receivable from related parties, prepaids, and other long-term assets, offset by increases in cash used in accounts payable and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30, 2024, net cash used in investing activities was $3 thousand, which consisted of capital expenditures. For the three months ended April 1, 2023, net cash used in investing activities was $43 thousand, which consisted of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30, 2024, no net cash was used in financing activities. For the three months ended April 1, 2023, net cash provided by financing activities was $37 thousand, primarily from payroll taxes related to net share settlement of equity awards partially offset by the net proceeds arising from the proceeds from stock option exercises.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operations primarily through sales of our products to customers, sales of our common stock and borrowing arrangements. As of March 30, 2024, our principal sources of liquidity consisted of cash and cash equivalents of $5.4 million. We have incurred net losses over the last several years, and as of March 30, 2024, have an accumulated deficit of approximately $82.5 million. We expect to continue to incur operating losses and negative cash flows from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evaluates whether there are relevant conditions and events that, in the aggregate, raise substantial doubt about the Company’s ability to continue as a going concern and to meet its obligations as they become due within one year after the date that the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assuming we will continue as a going concern. However, we have sustained operating losses in the current quarter and expect to incur losses in the next five quarters. Accordingly, we concluded there was substantial doubt about our ability to continue as a going concern for 12 months from the date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filing of this Quarterly Report on Form 10-Q. However, management currently believes that it has plans in place to reduce cash expenditure and can alleviate this substantial doubt as of the date of this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fund further operations, we will need to raise additional capital. We may obtain additional financing in the future through the issuance of common stock, other equity or debt financing. Our ability to continue as a going concern or meet the minimum liquidity requirements in the future is dependent on our ability to raise additional capital, of which there can be no assurance. If the necessary financing is not obtained or achieved, we will likely be required to reduce our planned expenditures, which could have a material adverse impact on our results of operations, financial condition and our ability to achieve our strategic objective. There can be no assurance that financing will be available on acceptable terms, or at all. In addition,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as defined in Rule 12b-2 of the Exchange Act, we are not required to provide the information called for by this Item.</w:t>
      </w:r>
    </w:p>
    <w:p>
      <w:pPr>
        <w:pStyle w:val="TextBody"/>
        <w:bidi w:val="0"/>
        <w:spacing w:before="12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March 30, 2024. Based on the foregoing, our Principal Executive Officer and our Principal Financial Officer concluded that our disclosure controls and procedures were effective at the reasonable assurance level.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part_ii_or_information"/>
      <w:bookmarkEnd w:id="14"/>
      <w:r>
        <w:rPr>
          <w:rFonts w:ascii="Times New Roman" w:hAnsi="Times New Roman"/>
          <w:b/>
          <w:color w:val="000000"/>
          <w:sz w:val="20"/>
        </w:rPr>
        <w:t>PART II. OTHER INFORMATION</w:t>
      </w:r>
    </w:p>
    <w:p>
      <w:pPr>
        <w:pStyle w:val="TextBody"/>
        <w:bidi w:val="0"/>
        <w:spacing w:before="12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12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in this Quarterly Report on Form 10-Q, including the sections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operations are subject to numerous risks, factors and uncertainties outside of our control that could cause our actual results to be harmed, including risks regarding the following:</w:t>
      </w:r>
    </w:p>
    <w:p>
      <w:pPr>
        <w:pStyle w:val="TextBody"/>
        <w:bidi w:val="0"/>
        <w:spacing w:before="120" w:after="283"/>
        <w:jc w:val="left"/>
        <w:rPr>
          <w:rFonts w:ascii="Times New Roman" w:hAnsi="Times New Roman"/>
          <w:sz w:val="20"/>
        </w:rPr>
      </w:pPr>
      <w:r>
        <w:rPr>
          <w:rFonts w:ascii="Times New Roman" w:hAnsi="Times New Roman"/>
          <w:b/>
          <w:i/>
          <w:color w:val="000000"/>
          <w:sz w:val="20"/>
        </w:rPr>
        <w:t>General economic factors</w:t>
      </w:r>
      <w:r>
        <w:rPr>
          <w:rFonts w:ascii="Times New Roman" w:hAnsi="Times New Roman"/>
          <w:color w:val="000000"/>
          <w:sz w:val="20"/>
        </w:rPr>
        <w:t xml:space="preserv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rising interest rates, uncertainty in the global banking and financial services market, potential U.S. government shutdown, global pandemics and responsive measures and the wars between Russia-Ukraine and Israel-Hamas.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Operational factors</w:t>
      </w:r>
    </w:p>
    <w:p>
      <w:pPr>
        <w:pStyle w:val="TextBody"/>
        <w:bidi w:val="0"/>
        <w:spacing w:before="120" w:after="283"/>
        <w:jc w:val="left"/>
        <w:rPr/>
      </w:pPr>
      <w:r>
        <w:rPr/>
        <w:t>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need additional funding and may not be able to raise capital when needed, which could force us to delay or reduce commercialization efforts;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condition raises serious doubt as to our ability to continue to operate as a going concern;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relationship with our strategic partner and main distributor Topcon;</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quality control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complexity of our laser systems;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defects in our laser systems;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and independent sales forces and a network of international distributors to sell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international sales;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products and applications and improving existing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sales and operating results;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ophthalmology market;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in our industry;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key personnel;</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collaborative relationships used to enhance products and applications;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sales volumes, results of operations, and revenues;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meeting product demand;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sole source and limited source suppliers;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catastrophic loss;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our information technology system and breaches of data security;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relationships with health-care providers;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misuse of our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and brand;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our customers to obtain credit or material increases in interest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affecting financial institutions, including bank failures;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recalls of our products;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growth effectively.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Regulatory and legal factors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reform measures and changes in third-party coverage and reimbursement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healthcare laws;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potential governmental, regulatory and other legal proceedings relative to advertising, promotion and marketing;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and proprietary rights related to our intellectual property;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government regulations, including the FDA’s quality system regulation and laser performance standards;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approval for clinical trials;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product liability claims;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in trade policies;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laws;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and foreign laws, including changes to those laws;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requirements.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and transactional risks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divestitures of our businesses or product lines;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charter documents, Delaware law and contractual provisions that could delay or prevent an acquisition or sale of our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Governance risks and risks related to ownership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the trading price of our common stock;</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intention not to pay dividends for the foreseeable future;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publication of research about us by analysts;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concentration of ownership of our common stock; and</w:t>
      </w:r>
    </w:p>
    <w:p>
      <w:pPr>
        <w:pStyle w:val="TextBody"/>
        <w:bidi w:val="0"/>
        <w:spacing w:before="120" w:after="120"/>
        <w:ind w:left="490" w:right="0" w:hanging="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ability to maintain an effective system of internal control over financial reporting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Factors That May Affect Future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our Business</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need additional funding and may not be able to raise capital when needed, which could force us to delay or reduce our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actively engaged in a review of our near-, medium- and long-term financing needs, which includes seeking to raise additional capital through strategic alternatives, equity offerings and debt financings. Such additional financing may not be available to us on acceptable terms or at all. Given the current market price of our common stock, any equity financing would result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dilution to our existing stockholders.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adequate financing on terms satisfactory to us when we require it, we may terminate or delay sales and marketing efforts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need to raise additional funding, which may not be available on acceptable terms, or at all. Failure to obtain this necessary capital when needed may force us to delay, limit or terminate our commercial programs, product development efforts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and commercializing products for the ophthalmology market is expensive, and we have incurred significant operating losses as result. Based on our current business plan as of the date hereof, there is substantial doubt regarding our ability to continue as a going concern. Our recurring losses, negative cash flows, ongoing strategic alternatives, and the need for additional financing raise doubt about our ability to continue to execute our business plan as currently intended. Furthermore, our cash forecasts are based on assumptions that may prove to be wrong, and we could use out available capital resources earlier than we currently expect. Changing circumstances could cause us to consume capital significantly faster than we currently anticipate, and we may exhaust our available capital sooner than planned. See Part I, Item 2 "Management's Discussion and Analysis of Financial Condition and Results of Operations-Liquidity and Capital Resources" of this Quarterly Report on Form 10-Q for a discussion of our expected cash runway.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as a result of recent volatile market conditions, the cost and availability of capital has been and may continue to be adversely affected. Continued turbulence in the U.S. market and economy may adversely affect our liquidity and financial condition, including our ability to access the capital markets to meet liquidity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fund further operations, the Company will need to raise additional capital. The Company’s ability to continue as a going concern or meet the minimum liquidity requirements in the future is dependent on its ability to raise additional capital, of which there can be no assurance. If we are unable to obtain funding on a timely basis, increase sales or reduce expenses, we will be unable to continue to fund our operations, continue to sell our products, realize value from our assets, or discharge our liabilities in the normal course of business. Although management plans to reduce cash expenditures to alleviate such ongoing concerns, if we become unable to continue as a going concern, we could have to liquidate our assets, and potentially realize significantly less than the values at which they are carried on our financial statements, and stockholders could lose all or part of their investment. Additionally, our financial statements have been prepared assuming that we will continue to operate as a going concern, which contemplates the realization of assets and the satisfaction of liabilities in the normal course of business. Thus, our financial statements do not include any adjustments that might be necessary if we are unable to continue as a going concern.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current macroeconomic conditions have disrupted, and may continue to disrupt our operations, including our ability to manufacture and supply products and perform research and development activities, and our customers’ usage of our products, all of which have had and may continue to have a material and adverse effect on our business, future revenues and financial condition. We are unable to predict the extent to which any future global pandemic or other public health emergencies or outbreaks and related macroeconomic impacts may adversely impact our business operations, financial performance, results of operations, financial position and the achievement of our strategic objectives</w:t>
      </w:r>
      <w:r>
        <w:rPr>
          <w:rFonts w:ascii="Times New Roman" w:hAnsi="Times New Roman"/>
          <w:b/>
          <w:i/>
          <w:color w:val="212529"/>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results of operation and financial performance were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if healthcare customers divert medical resources and priorities towards the treatment of COVID-19 or any future outbreak of disease. In addition, our customers may delay, cancel or redirect planned capital expenditures in order to focus resources on any future outbreak of disease, global pandemic or in response to macroeconomic disruption related to any future global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 In the near term, a future outbreak of disease or global pandemic may negatively impact the use of our products and the number of ophthalmic treatments and procedures performed. If the volume of elective procedures declines, our results of operations and financial condition will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volatile macroeconomic environment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may continue to be taken in response to any future resurgence of the COVID-19 pandemic or other public health emergencies or outbreaks (including restrictions on travel and transport and workforce pressures); the impact of other public health emergencies or any future outbreak of disease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subside. We have experienced and may continue to experience in subsequent periods, disruptions to our business that may adversely impact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Divestitures of our businesses or product lines may materially and adversely affect our financial condition, results of operations or cash flows and require us to raise additional capital to replace revenue from those business units or product 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 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successful in our strategic partnership with Topcon and the relationship may divert resources away from existing operations or expose us to liabilities, which could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face quality control and other production issues that could materially and adversely impact our sales and financial results and the acceptance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manufacture of our infrared and visible laser consoles and related delivery devices is a highly complex and precise process. We may experience manufacturing difficulties, quality control issues or assembly constraints.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sales increase substantially, we may need to increase our production capacity and may not be able to do so in a timely, effective or cost-efficient manner. We may not be able (ourselves or through third parties) to manufacture or supply sufficient quantities of our products, which may require that we qualify other manufacturers for our products. Furthermore, we may experience delays, disruptions, capacity constraints or quality control problems in our manufacturing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Some of our laser systems are complex in design and may contain defects that are not detected until deployed by our customers, which could increase our costs and reduce our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customers;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costs of product returns and warranty expenses;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our brand reputation;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attract new customers or achieve market acceptance;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development and engineering resources;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actions by our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one or more of the foregoing factors could seriously harm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our direct and independent sales forces and international distributors to sell our products and if we lose our sales force or distributor relationships, it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30 employees and one independent representatives, respectively, and our direct sales force in Germany consists of one employee. Our international independent distributors are managed by a team of seven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international sales for a significant portion of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and expect to continue to derive, a large portion of our revenues from international sales. For the first quarter of fiscal year 2024, our international sales were $6.4 million, or 54.8% of total revenues. We anticipate that international sales will continue to account for a significant portion of our revenues in the foreseeable future. All of our international revenues and costs for the first quarter of fiscal year 2024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including the impact of any future global pandemic on the global economy and financial markets;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the global banking and financial services market;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and production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our international channel of distributors;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accounts receivable collection periods;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recessions in global economies and availability of credit;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pPr>
      <w:r>
        <w:rPr>
          <w:rFonts w:ascii="Times New Roman" w:hAnsi="Times New Roman"/>
          <w:color w:val="000000"/>
          <w:sz w:val="20"/>
        </w:rPr>
        <w:t>change in international regulatory agreements and requirements</w:t>
      </w:r>
      <w:r>
        <w:rPr>
          <w:rFonts w:ascii="Times New Roman" w:hAnsi="Times New Roman"/>
          <w:color w:val="FF0000"/>
          <w:sz w:val="20"/>
        </w:rPr>
        <w: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sanctions and embargoes;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international conflicts, terrorist and military activity, civil unrest;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certification requirements, including continued ability to use the “CE” mark in Europe, and other local regulatory requirements, pending MDR approvals;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local product preferences and product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cultural differences;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foreign medical reimbursement and coverage policies and programs;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or limited protections of intellectual property rights in jurisdictions outside the United States;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adverse tax consequences, such as those related to changes in tax laws or tax rates or their interpretations;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protectionist, adverse and changing foreign governmental laws and regulations;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greater risk of our employees failing to comply with both U.S. and foreign laws, including anti-trust regulations, the U.S. Foreign Corrupt Practices Act, the U.K. Bribery Act of 2010 and any trade regulations designed to ensure fair trade practices;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costs and risks of non-compliance with multiple regulatory regimes governing the production, marketing, sale and use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one or more of these factors stated above could have a material adverse effect on our business, financial condition or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be adversely affected by uncertainty regarding healthcare reform measures and changes in third-party coverage and reimbursement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are typically purchased by doctors, clinics, hospitals and other users, which bill various third-party payers, such as governmental programs and private insurance plans, for the health-care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unable to predict what legislation or regulation, if any, relating to the health-care industry or third-party coverage and reimbursement may be enacted in the future at the state or federal level, or what effect such legislation or regulation may have on us. Furthermore, existing legislation and regulation related to the health-care industry and third-party coverage reimbursement, including the Affordable Care Act, has been subject to judicial challenge, and may be subject to similar challenges from time to time in the future (such as the </w:t>
      </w:r>
      <w:r>
        <w:rPr>
          <w:rFonts w:ascii="Times New Roman" w:hAnsi="Times New Roman"/>
          <w:i/>
          <w:color w:val="000000"/>
          <w:sz w:val="20"/>
        </w:rPr>
        <w:t xml:space="preserve">California v. Texas </w:t>
      </w:r>
      <w:r>
        <w:rPr>
          <w:rFonts w:ascii="Times New Roman" w:hAnsi="Times New Roman"/>
          <w:color w:val="000000"/>
          <w:sz w:val="20"/>
        </w:rPr>
        <w:t>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pStyle w:val="TextBody"/>
        <w:bidi w:val="0"/>
        <w:spacing w:before="120" w:after="12"/>
        <w:jc w:val="left"/>
        <w:rPr>
          <w:rFonts w:ascii="Times New Roman" w:hAnsi="Times New Roman"/>
          <w:color w:val="000000"/>
          <w:sz w:val="20"/>
        </w:rPr>
      </w:pPr>
      <w:r>
        <w:rPr>
          <w:rFonts w:ascii="Times New Roman" w:hAnsi="Times New Roman"/>
          <w:color w:val="000000"/>
          <w:sz w:val="20"/>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develop and successfully introduce new products and applications or fail to improve our existing products, our business prospects and operating results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process or obtain the regulatory approvals required to market such products successfully. Should the current macroeconomic conditions worsen, it could delay and disrupt our research and development processes even further.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exposed to risks associated with worldwide economic slowdowns and related uncertainties.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macroeconomic fluctuations in the U.S. and worldwide economy including inflationary pressures that may cause the cost of manufacturing our products or servicing our products to increase. Concerns about consumer and investor confidence, the upcoming presidential election in the United States, volatile corporate profits and reduced capital spending, uncertainty in the global banking and financial services market, international conflicts, terrorist and military activity, civil unrest and pandemic-related illness could reduce customer orders or cause customer order cancellations. For example, any future global pandemic or other public health emergencies may cause adverse impacts on global economic activity which could negatively impact our business. In addition, political and social turmoil related to international conflicts, such as that occurring in Russia-Ukraine and Israel-Hamas, and terrorist acts may put further pressure on economic conditions in the United States and abroad.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economic uncertainty persisted, or if the economy entered a prolonged period of decelerating growth, our results of operations may be harmed.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maintain cash deposits in excess of federally insured limits. Adverse developments affecting financial institutions, including bank failures, could adversely affect our liquidity and financial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operating results may fluctuate from quarter to quarter and year to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conditions, including inflationary pressures and heightened interest rates, uncertainty in the global banking and financial services market, upcoming presidential election in the United States, global pandemics and responsive measures and the wars between Russia-Ukraine and Israel-Hamas;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prices at which we can sell our products, including the impact of changes in foreign currency exchange rates;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introduction of new products, product enhancements and new applications by our competitors, including new drugs, entry of new competitors into our markets, pricing pressures and other competitive factors;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delays or reductions in product shipments, or product recalls, resulting from manufacturing, distribution or other operational issues;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the introduction and market acceptance of new products, product enhancements and new applications;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demand for our existing line of ophthalmology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availability of components and subassemblies, including the willingness and ability of our sole or limited source suppliers to timely deliver components at the times and prices that we have planned;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sales volumes at a level sufficient to cover fixed manufacturing and operating costs;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our product mix within ophthalmology products and foreign and domestic sales;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regulatory approvals and changes in domestic and foreign regulatory requirements;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long and highly variable sales cycle;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customers’ or potential customers’ budgets as a result of, among other things, reimbursement policies of government programs and private insurers for treatments that use our products;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variances in shipment volumes as a result of product, supply chain due to global constraints or other factors and training issues;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product innovation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these factors, our quarterly results have been, and are expected to continue to be, affected by seasonal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pStyle w:val="TextBody"/>
        <w:bidi w:val="0"/>
        <w:spacing w:before="120" w:after="283"/>
        <w:jc w:val="left"/>
        <w:rPr>
          <w:rFonts w:ascii="Times New Roman" w:hAnsi="Times New Roman"/>
          <w:sz w:val="20"/>
        </w:rPr>
      </w:pPr>
      <w:r>
        <w:rPr>
          <w:rFonts w:ascii="Times New Roman" w:hAnsi="Times New Roman"/>
          <w:b/>
          <w:i/>
          <w:color w:val="000000"/>
          <w:sz w:val="20"/>
        </w:rPr>
        <w:t>We rely on continued market acceptance of our existing products and any decline in sales of our existing products would adversely affect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any future resurgence of any future global pandemic or other public health emergencies on timing of ophthalmic treatment procedures;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product performance, features, ease of use, scalability and durability, including with respect to our MicroPulse laser photocoagulation systems, and our PASCAL product;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recommendations and opinions by ophthalmologists, other clinicians, and their associated opinion leaders;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marketing and clinical study outcomes;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of our products and prices of competing products and technologies, particularly in light of the current macro-economic environment where healthcare systems and healthcare operators are becoming increasingly price sensitive;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products, technologies and alternative treatments; and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of reimbursement for treatments administered with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strong competition in our markets and expect the level of competition to grow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in the market for laser systems and delivery devices used for ophthalmic treatment procedures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ophthalmic laser competitors are Alcon Inc., Bausch Health Companies Inc., Carl Zeiss Meditec AG, Lumenis Ltd., Nidek Co. Ltd., Lumibird, ARC Gmbh, Meridian, OD-OS GmBh and Norlase. We also compete with alternative glaucoma surgical device companies such as Alcon, Inc., Novartis AG, Allergan, Inc., Glaukos Corporation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lose key personnel or fail to integrate replacement personnel successfully, our ability to manage our business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healthcare laws, we could face substantial penalties and financial exposure, and our business, operations and financial condition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collaborative relationships to develop, introduce and market new products, product enhancements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pStyle w:val="TextBody"/>
        <w:bidi w:val="0"/>
        <w:spacing w:before="120" w:after="283"/>
        <w:jc w:val="left"/>
        <w:rPr>
          <w:rFonts w:ascii="Times New Roman" w:hAnsi="Times New Roman"/>
          <w:sz w:val="20"/>
        </w:rPr>
      </w:pPr>
      <w:r>
        <w:rPr>
          <w:rFonts w:ascii="Times New Roman" w:hAnsi="Times New Roman"/>
          <w:b/>
          <w:i/>
          <w:color w:val="000000"/>
          <w:sz w:val="20"/>
        </w:rPr>
        <w:t>If we cannot increase our sales volumes, reduce our costs or introduce higher margin products to offset potential reductions in the average unit price of our products, our operating results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promotional practices are subject to extensive government scrutiny. We may be subject to governmental, regulatory and other legal proceedings relative to advertising, promotion and marketing that could have a</w:t>
      </w:r>
      <w:r>
        <w:rPr>
          <w:rFonts w:ascii="Times New Roman" w:hAnsi="Times New Roman"/>
          <w:color w:val="000000"/>
          <w:sz w:val="20"/>
        </w:rPr>
        <w:t xml:space="preserve"> </w:t>
      </w:r>
      <w:r>
        <w:rPr>
          <w:rFonts w:ascii="Times New Roman" w:hAnsi="Times New Roman"/>
          <w:b/>
          <w:i/>
          <w:color w:val="000000"/>
          <w:sz w:val="20"/>
        </w:rPr>
        <w:t>significant negative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initiating lawsuits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patents and proprietary rights to protect our intellectual property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March 30, 2024, our patent portfolio includes 67 active United States patents and 84 active international patents on the technologies related to our products and processes. In addition, as of March 30, 2024, we have 12 patent applications pending in the United States and 19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laser and medical device industry is characterized by frequent litigation regarding patent and other intellectual property rights. Companies in the medical device industry have employed intellectual property litigation to gain a competitive advantage.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 requirements, we may have inadequate inventory, which could interrupt our manufacturing, delay delivery of our product to our customers and result in the loss of customer sales. Any of these occurrences would negatively impact our business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depend on sole source or limited source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any future global pandemic and inflationary pressures on global supply chains and market stability;</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unavailability of shortages or limitations on the ability to obtain supplies of components and products in the quantities that we require, or that satisfy the environmental requirements to which we are subject;</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delivery or failure of suppliers to deliver critical components and products on the dates we require;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suppliers to manufacture and assemble components and products to our specifications, and potentially reduced quality;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obtain components and products in a timely manner or at acceptable prices due to global supply chain constraints or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our facilities were to experience catastrophic loss, our operations would be seriously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expenses to repair and replace our facilities.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a significant disruption in our information technology systems or breaches of data security,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our relationships with health-care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our products to numerous health-care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government regulations which may cause us to delay or withdraw the introduction of new products or new applications for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clinical trials necessary that we may undertake for regulatory approval or marketing reasons will be an expensive, lengthy, costly, and uncertain process, and could result in delays in new product introductions or even an inability to release a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FDA’s quality system regulation and laser performance standards, our manufacturing operations could be halted, and our business would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modify one of our FDA cleared devices, we may need to submit a new 510(k), or potentially a PMA, and if clearance or approval is not obtained, it would prevent us from selling our modified products or cause us to redesign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Efforts to acquire additional companies or product lines may divert our managerial resources away from our business operations, and if we complete additional acquisitions, we may incur or assume additional liabilities or experience integration problems.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integrating any acquired products into our existing business;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integrating an acquired company’s technologies, services, employees and other service providers, customers, partners, business operations and administrative and software management systems with ours;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realizing the benefits of the acquired products;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our management’s time and attention from other business concerns;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customer reaction to the product acquisition;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 deferred compensation charges. These challenges related to acquisitions or investments could adversely affect our business, operating results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may be misused, which could harm our reputation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Inability of customers to obtain credit or material increases in interest rates may harm our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products are sold to health-care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products could be subject to recalls even after receiving FDA approval or clearance. A recall would harm our reputation and adversely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product liability claims are successfully asserted against us, we may incur substantial liabilities that may adversely affect our business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growth in our sales and marketing organization may increase costs and create operational challenges without immediately offsetting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growth in our sales and marketing organization may place a strain on our management, operating and financial systems and our sales, marketing and administrative resources as well as increase operating costs. For example, if we are unable to efficiently or effectively provide adequate training for our sales force and marketing organization, we may not be able to immediately or fully utilize marketing resources, generate new sales and offset operational challenges such as the cost of recruiting and hiring sales and marketing personnel. If we cannot effectively manage our operations and our costs, our business may not be able to grow effectively or we may grow at a slower pace.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manage growth effectively, our business could be disrupted which could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developments resulting from recent and potential changes in U.S. trade policies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materials may be subject to the effects of various trade agreements, treaties and tariffs. The prior U.S. presidential administration has imposed tariffs on various goods from various countries, including China, Canada and the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U.S. tax laws could have a material adverse effect on our business, consolidated cash flow, results of operations or financial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legislation,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Dodd-Frank Wall Street Reform and Consumer Protection Act requires us to track and disclose the source of certain metals used in manufacturing which may stem from minerals (so-called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requirements, our business, financial condition, operating results and reputation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stock price has been and may continue to be volatile and an investment in our common stock could suffer a decline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Russia-Ukraine and Israel-Hamas. During the first quarter of fiscal year 2024, the trading price of our common stock fluctuated from a low of $2.35 per share to a high of $3.10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Because we do not intend to pay dividends, stockholders will benefit from an investment in our common stock only if it appreciates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continue to publish research or publish incorrect or unfavorable research about our business, our stock price and trading volume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a few investors, which may affect the ability of a third party to acquire control of us. Substantial sales by such investors could cause our stock price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charter documents, anti-takeover provisions of Delaware law, and contractual provisions could delay or prevent an acquisition or sale of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authorized number of directors may be changed only by resolution of our board of directors;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only our board of directors is authorized to fill vacant directorships, including newly created seats;</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chairman of the board, chief executive officer or president, thus prohibiting a stockholder from calling a special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must give advance notice to nominate directors or propose other business; and</w:t>
      </w:r>
    </w:p>
    <w:p>
      <w:pPr>
        <w:pStyle w:val="TextBody"/>
        <w:bidi w:val="0"/>
        <w:spacing w:before="120" w:after="283"/>
        <w:ind w:left="490"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are not permitted to cumulate votes in the election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30, 2024, the Company did not adopt or terminate, and no directors or officers,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3"/>
        <w:gridCol w:w="146"/>
        <w:gridCol w:w="9266"/>
      </w:tblGrid>
      <w:tr>
        <w:trPr/>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6" w:type="dxa"/>
            <w:tcBorders/>
            <w:vAlign w:val="center"/>
          </w:tcPr>
          <w:p>
            <w:pPr>
              <w:pStyle w:val="TableContents"/>
              <w:bidi w:val="0"/>
              <w:spacing w:before="0" w:after="283"/>
              <w:jc w:val="left"/>
              <w:rPr>
                <w:sz w:val="4"/>
                <w:szCs w:val="4"/>
              </w:rPr>
            </w:pPr>
            <w:r>
              <w:rPr>
                <w:sz w:val="4"/>
                <w:szCs w:val="4"/>
              </w:rPr>
            </w:r>
          </w:p>
        </w:tc>
      </w:tr>
      <w:tr>
        <w:trPr/>
        <w:tc>
          <w:tcPr>
            <w:tcW w:w="793"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1_1.htm">
              <w:r>
                <w:rPr>
                  <w:rStyle w:val="InternetLink"/>
                  <w:rFonts w:ascii="Times New Roman" w:hAnsi="Times New Roman"/>
                  <w:color w:val="0000FF"/>
                  <w:sz w:val="20"/>
                  <w:u w:val="single"/>
                </w:rPr>
                <w:t>Certification of Principal Executive Officer pursuant to Securities Exchange Act Rules 13a-14(a) and 15d-14(a), as adopted pursuant to Section 302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1_2.htm">
              <w:r>
                <w:rPr>
                  <w:rStyle w:val="InternetLink"/>
                  <w:rFonts w:ascii="Times New Roman" w:hAnsi="Times New Roman"/>
                  <w:color w:val="0000FF"/>
                  <w:sz w:val="20"/>
                  <w:u w:val="single"/>
                </w:rPr>
                <w:t>Certification of Principal Financial Officer pursuant to Securities Exchange Act Rules 13a-14(a) and 15d-14(a), as adopted pursuant to Section 302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hyperlink w:anchor="iri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266" w:type="dxa"/>
            <w:tcBorders/>
            <w:vAlign w:val="center"/>
          </w:tcPr>
          <w:p>
            <w:pPr>
              <w:pStyle w:val="TableContents"/>
              <w:bidi w:val="0"/>
              <w:spacing w:before="0" w:after="283"/>
              <w:jc w:val="left"/>
              <w:rPr/>
            </w:pPr>
            <w:hyperlink w:anchor="iri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101.SCH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79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pPr>
            <w:r>
              <w:rPr/>
              <w:t> </w:t>
            </w:r>
          </w:p>
        </w:tc>
      </w:tr>
      <w:tr>
        <w:trPr/>
        <w:tc>
          <w:tcPr>
            <w:tcW w:w="79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104 </w:t>
            </w:r>
          </w:p>
        </w:tc>
        <w:tc>
          <w:tcPr>
            <w:tcW w:w="146"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Trademark Acknowledgments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390" w:type="dxa"/>
        <w:jc w:val="left"/>
        <w:tblInd w:w="0" w:type="dxa"/>
        <w:tblLayout w:type="fixed"/>
        <w:tblCellMar>
          <w:top w:w="28" w:type="dxa"/>
          <w:left w:w="28" w:type="dxa"/>
          <w:bottom w:w="28" w:type="dxa"/>
          <w:right w:w="28" w:type="dxa"/>
        </w:tblCellMar>
      </w:tblPr>
      <w:tblGrid>
        <w:gridCol w:w="1741"/>
        <w:gridCol w:w="146"/>
        <w:gridCol w:w="406"/>
        <w:gridCol w:w="146"/>
        <w:gridCol w:w="631"/>
        <w:gridCol w:w="109"/>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1"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IRIDEX Corporation</w:t>
            </w:r>
          </w:p>
        </w:tc>
      </w:tr>
      <w:tr>
        <w:trPr/>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951" w:type="dxa"/>
            <w:gridSpan w:val="3"/>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sz w:val="4"/>
                <w:szCs w:val="4"/>
              </w:rPr>
            </w:pPr>
            <w:r>
              <w:rPr>
                <w:sz w:val="4"/>
                <w:szCs w:val="4"/>
              </w:rPr>
            </w:r>
          </w:p>
        </w:tc>
        <w:tc>
          <w:tcPr>
            <w:tcW w:w="395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17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746" w:type="dxa"/>
        <w:jc w:val="left"/>
        <w:tblInd w:w="0" w:type="dxa"/>
        <w:tblLayout w:type="fixed"/>
        <w:tblCellMar>
          <w:top w:w="28" w:type="dxa"/>
          <w:left w:w="28" w:type="dxa"/>
          <w:bottom w:w="28" w:type="dxa"/>
          <w:right w:w="28" w:type="dxa"/>
        </w:tblCellMar>
      </w:tblPr>
      <w:tblGrid>
        <w:gridCol w:w="1741"/>
        <w:gridCol w:w="109"/>
        <w:gridCol w:w="406"/>
        <w:gridCol w:w="109"/>
        <w:gridCol w:w="631"/>
        <w:gridCol w:w="109"/>
        <w:gridCol w:w="264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2024</w:t>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33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irix-ex31_1.htm"/>
      <w:bookmarkStart w:id="24" w:name="ksirixex31_1"/>
      <w:bookmarkEnd w:id="23"/>
      <w:bookmarkEnd w:id="24"/>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I. Bruce,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2024</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646"/>
        <w:gridCol w:w="3211"/>
      </w:tblGrid>
      <w:tr>
        <w:trPr/>
        <w:tc>
          <w:tcPr>
            <w:tcW w:w="6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6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right"/>
        <w:rPr/>
      </w:pPr>
      <w:bookmarkStart w:id="25" w:name="doc_1_3"/>
      <w:bookmarkEnd w:id="25"/>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irix-ex31_2.htm"/>
      <w:bookmarkStart w:id="27" w:name="ksirixex31_2"/>
      <w:bookmarkEnd w:id="26"/>
      <w:bookmarkEnd w:id="2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SECTIONS 13(a)-14(a) AND 15(d)-14(a) OF THE SECURITIES EXCHANGE ACT OF 1934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Fuad Ahmad, certify that: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IRIDEX Corporation;</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97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2024</w:t>
      </w:r>
    </w:p>
    <w:p>
      <w:pPr>
        <w:pStyle w:val="TextBody"/>
        <w:bidi w:val="0"/>
        <w:jc w:val="left"/>
        <w:rPr/>
      </w:pPr>
      <w:r>
        <w:rPr/>
        <w:t> </w:t>
      </w:r>
    </w:p>
    <w:tbl>
      <w:tblPr>
        <w:tblW w:w="3287" w:type="dxa"/>
        <w:jc w:val="left"/>
        <w:tblInd w:w="0" w:type="dxa"/>
        <w:tblLayout w:type="fixed"/>
        <w:tblCellMar>
          <w:top w:w="28" w:type="dxa"/>
          <w:left w:w="28" w:type="dxa"/>
          <w:bottom w:w="28" w:type="dxa"/>
          <w:right w:w="28" w:type="dxa"/>
        </w:tblCellMar>
      </w:tblPr>
      <w:tblGrid>
        <w:gridCol w:w="646"/>
        <w:gridCol w:w="2641"/>
      </w:tblGrid>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6"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Financial Officer</w:t>
            </w:r>
          </w:p>
        </w:tc>
      </w:tr>
      <w:tr>
        <w:trPr/>
        <w:tc>
          <w:tcPr>
            <w:tcW w:w="6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right"/>
        <w:rPr/>
      </w:pPr>
      <w:bookmarkStart w:id="28" w:name="doc_1_7"/>
      <w:bookmarkStart w:id="29" w:name="gmnh1doc_1_4"/>
      <w:bookmarkStart w:id="30" w:name="doc_1_4"/>
      <w:bookmarkEnd w:id="28"/>
      <w:bookmarkEnd w:id="29"/>
      <w:bookmarkEnd w:id="30"/>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irix-ex32_1.htm"/>
      <w:bookmarkStart w:id="32" w:name="ksirixex32_1"/>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EXECUTIVE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David I. Bruce, pursuant to 18 U.S.C. Section 1350, as adopted pursuant to Section 906 of the Sarbanes-Oxley Act of 2002, certify that the Quarterly Report of IRIDEX Corporation on Form 10-Q for the fiscal quarter ended March 30, 2024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2024</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161"/>
        <w:gridCol w:w="63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I. BRUCE</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I. Bruce</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bookmarkStart w:id="33" w:name="doc_1_5"/>
      <w:bookmarkStart w:id="34" w:name="doc_1_8"/>
      <w:bookmarkEnd w:id="33"/>
      <w:bookmarkEnd w:id="34"/>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irix-ex32_2.htm"/>
      <w:bookmarkStart w:id="36" w:name="ksirixex32_2"/>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PRINCIPAL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I, Fuad Ahmad, pursuant to 18 U.S.C. Section 1350, as adopted pursuant to Section 906 of the Sarbanes-Oxley Act of 2002, certify that the Quarterly Report of IRIDEX Corporation on Form 10-Q for the fiscal quarter ended March 30, 2024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14, 2024</w:t>
      </w:r>
    </w:p>
    <w:p>
      <w:pPr>
        <w:pStyle w:val="TextBody"/>
        <w:bidi w:val="0"/>
        <w:jc w:val="left"/>
        <w:rPr/>
      </w:pPr>
      <w:r>
        <w:rPr/>
        <w:t> </w:t>
      </w:r>
    </w:p>
    <w:tbl>
      <w:tblPr>
        <w:tblW w:w="3433" w:type="dxa"/>
        <w:jc w:val="left"/>
        <w:tblInd w:w="0" w:type="dxa"/>
        <w:tblLayout w:type="fixed"/>
        <w:tblCellMar>
          <w:top w:w="28" w:type="dxa"/>
          <w:left w:w="28" w:type="dxa"/>
          <w:bottom w:w="28" w:type="dxa"/>
          <w:right w:w="28" w:type="dxa"/>
        </w:tblCellMar>
      </w:tblPr>
      <w:tblGrid>
        <w:gridCol w:w="161"/>
        <w:gridCol w:w="631"/>
        <w:gridCol w:w="2641"/>
      </w:tblGrid>
      <w:tr>
        <w:trPr/>
        <w:tc>
          <w:tcPr>
            <w:tcW w:w="1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FUAD AHMAD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6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Fuad Ahmad</w:t>
            </w:r>
          </w:p>
        </w:tc>
      </w:tr>
      <w:tr>
        <w:trPr/>
        <w:tc>
          <w:tcPr>
            <w:tcW w:w="161"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6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Interim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bookmarkStart w:id="37" w:name="doc_1_81"/>
      <w:bookmarkStart w:id="38" w:name="doc_1_51"/>
      <w:bookmarkEnd w:id="37"/>
      <w:bookmarkEnd w:id="38"/>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30179</Words>
  <Characters>168492</Characters>
  <CharactersWithSpaces>198670</CharactersWithSpaces>
  <Paragraphs>3666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