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80" w:lineRule="exact"/>
        <w:rPr>
          <w:sz w:val="24"/>
          <w:szCs w:val="24"/>
          <w:color w:val="auto"/>
        </w:rPr>
      </w:pPr>
    </w:p>
    <w:p>
      <w:pPr>
        <w:ind w:right="4400" w:firstLine="8"/>
        <w:spacing w:after="0" w:line="277"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3"/>
          <w:szCs w:val="13"/>
          <w:b w:val="1"/>
          <w:bCs w:val="1"/>
          <w:color w:val="auto"/>
        </w:rPr>
        <w:t>ANNUAL REPORT PURSUANT TO SECTION 13 OR 15(d) OF THE SECURITY EXCHANGE ACT OF 1934 For the fiscal year ended December 31, 2022</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3"/>
          <w:szCs w:val="13"/>
          <w:b w:val="1"/>
          <w:bCs w:val="1"/>
          <w:color w:val="auto"/>
        </w:rPr>
        <w:t>TRANSITION REPORT PURSUANT TO SECTION 13 OR 15(d) OF THE SECURITY EXCHANGE ACT OF 1934</w:t>
      </w:r>
    </w:p>
    <w:p>
      <w:pPr>
        <w:spacing w:after="0" w:line="27" w:lineRule="exact"/>
        <w:rPr>
          <w:sz w:val="24"/>
          <w:szCs w:val="24"/>
          <w:color w:val="auto"/>
        </w:rPr>
      </w:pPr>
    </w:p>
    <w:tbl>
      <w:tblPr>
        <w:tblLayout w:type="fixed"/>
        <w:tblInd w:w="3960" w:type="dxa"/>
        <w:tblCellMar>
          <w:top w:w="0" w:type="dxa"/>
          <w:left w:w="0" w:type="dxa"/>
          <w:bottom w:w="0" w:type="dxa"/>
          <w:right w:w="0" w:type="dxa"/>
        </w:tblCellMar>
      </w:tblPr>
      <w:tr>
        <w:trPr>
          <w:trHeight w:val="149"/>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w:t>
            </w:r>
          </w:p>
        </w:tc>
        <w:tc>
          <w:tcPr>
            <w:tcW w:w="3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195"/>
        </w:trPr>
        <w:tc>
          <w:tcPr>
            <w:tcW w:w="2960" w:type="dxa"/>
            <w:vAlign w:val="bottom"/>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Commission File Number 0-27598</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IRIDEX CORPORATION</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600" w:type="dxa"/>
            <w:vAlign w:val="bottom"/>
          </w:tcPr>
          <w:p>
            <w:pPr>
              <w:spacing w:after="0"/>
              <w:rPr>
                <w:sz w:val="15"/>
                <w:szCs w:val="15"/>
                <w:color w:val="auto"/>
              </w:rPr>
            </w:pPr>
          </w:p>
        </w:tc>
        <w:tc>
          <w:tcPr>
            <w:tcW w:w="3780" w:type="dxa"/>
            <w:vAlign w:val="bottom"/>
            <w:gridSpan w:val="8"/>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60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60" w:type="dxa"/>
            <w:vAlign w:val="bottom"/>
            <w:vMerge w:val="restart"/>
          </w:tcPr>
          <w:p>
            <w:pPr>
              <w:jc w:val="right"/>
              <w:ind w:right="2391"/>
              <w:spacing w:after="0"/>
              <w:rPr>
                <w:sz w:val="20"/>
                <w:szCs w:val="20"/>
                <w:color w:val="auto"/>
              </w:rPr>
            </w:pPr>
            <w:r>
              <w:rPr>
                <w:rFonts w:ascii="Times New Roman" w:cs="Times New Roman" w:eastAsia="Times New Roman" w:hAnsi="Times New Roman"/>
                <w:sz w:val="14"/>
                <w:szCs w:val="14"/>
                <w:b w:val="1"/>
                <w:bCs w:val="1"/>
                <w:color w:val="auto"/>
              </w:rPr>
              <w:t>77-0210467</w:t>
            </w:r>
          </w:p>
        </w:tc>
        <w:tc>
          <w:tcPr>
            <w:tcW w:w="0" w:type="dxa"/>
            <w:vAlign w:val="bottom"/>
          </w:tcPr>
          <w:p>
            <w:pPr>
              <w:spacing w:after="0"/>
              <w:rPr>
                <w:sz w:val="1"/>
                <w:szCs w:val="1"/>
                <w:color w:val="auto"/>
              </w:rPr>
            </w:pPr>
          </w:p>
        </w:tc>
      </w:tr>
      <w:tr>
        <w:trPr>
          <w:trHeight w:val="233"/>
        </w:trPr>
        <w:tc>
          <w:tcPr>
            <w:tcW w:w="36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620" w:type="dxa"/>
            <w:vAlign w:val="bottom"/>
            <w:gridSpan w:val="5"/>
          </w:tcPr>
          <w:p>
            <w:pPr>
              <w:ind w:left="108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60" w:type="dxa"/>
            <w:vAlign w:val="bottom"/>
          </w:tcPr>
          <w:p>
            <w:pPr>
              <w:jc w:val="center"/>
              <w:ind w:right="1691"/>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c>
          <w:tcPr>
            <w:tcW w:w="0" w:type="dxa"/>
            <w:vAlign w:val="bottom"/>
          </w:tcPr>
          <w:p>
            <w:pPr>
              <w:spacing w:after="0"/>
              <w:rPr>
                <w:sz w:val="1"/>
                <w:szCs w:val="1"/>
                <w:color w:val="auto"/>
              </w:rPr>
            </w:pPr>
          </w:p>
        </w:tc>
      </w:tr>
      <w:tr>
        <w:trPr>
          <w:trHeight w:val="205"/>
        </w:trPr>
        <w:tc>
          <w:tcPr>
            <w:tcW w:w="360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rPr>
              <w:t>1212 Terra Bella Avenue</w:t>
            </w:r>
          </w:p>
        </w:tc>
        <w:tc>
          <w:tcPr>
            <w:tcW w:w="3020" w:type="dxa"/>
            <w:vAlign w:val="bottom"/>
            <w:gridSpan w:val="4"/>
          </w:tcPr>
          <w:p>
            <w:pPr>
              <w:jc w:val="center"/>
              <w:ind w:left="952"/>
              <w:spacing w:after="0"/>
              <w:rPr>
                <w:sz w:val="20"/>
                <w:szCs w:val="20"/>
                <w:color w:val="auto"/>
              </w:rPr>
            </w:pPr>
            <w:r>
              <w:rPr>
                <w:rFonts w:ascii="Times New Roman" w:cs="Times New Roman" w:eastAsia="Times New Roman" w:hAnsi="Times New Roman"/>
                <w:sz w:val="13"/>
                <w:szCs w:val="13"/>
                <w:b w:val="1"/>
                <w:bCs w:val="1"/>
                <w:color w:val="auto"/>
              </w:rPr>
              <w:t>(650) 940-4700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60" w:type="dxa"/>
            <w:vAlign w:val="bottom"/>
          </w:tcPr>
          <w:p>
            <w:pPr>
              <w:jc w:val="right"/>
              <w:ind w:right="1631"/>
              <w:spacing w:after="0"/>
              <w:rPr>
                <w:sz w:val="20"/>
                <w:szCs w:val="20"/>
                <w:color w:val="auto"/>
              </w:rPr>
            </w:pPr>
            <w:r>
              <w:rPr>
                <w:rFonts w:ascii="Times New Roman" w:cs="Times New Roman" w:eastAsia="Times New Roman" w:hAnsi="Times New Roman"/>
                <w:sz w:val="13"/>
                <w:szCs w:val="13"/>
                <w:b w:val="1"/>
                <w:bCs w:val="1"/>
                <w:color w:val="auto"/>
              </w:rPr>
              <w:t>94043</w:t>
            </w:r>
          </w:p>
        </w:tc>
        <w:tc>
          <w:tcPr>
            <w:tcW w:w="0" w:type="dxa"/>
            <w:vAlign w:val="bottom"/>
          </w:tcPr>
          <w:p>
            <w:pPr>
              <w:spacing w:after="0"/>
              <w:rPr>
                <w:sz w:val="1"/>
                <w:szCs w:val="1"/>
                <w:color w:val="auto"/>
              </w:rPr>
            </w:pPr>
          </w:p>
        </w:tc>
      </w:tr>
      <w:tr>
        <w:trPr>
          <w:trHeight w:val="156"/>
        </w:trPr>
        <w:tc>
          <w:tcPr>
            <w:tcW w:w="3600" w:type="dxa"/>
            <w:vAlign w:val="bottom"/>
          </w:tcPr>
          <w:p>
            <w:pPr>
              <w:jc w:val="center"/>
              <w:ind w:left="91"/>
              <w:spacing w:after="0" w:line="157" w:lineRule="exact"/>
              <w:rPr>
                <w:sz w:val="20"/>
                <w:szCs w:val="20"/>
                <w:color w:val="auto"/>
              </w:rPr>
            </w:pPr>
            <w:r>
              <w:rPr>
                <w:rFonts w:ascii="Times New Roman" w:cs="Times New Roman" w:eastAsia="Times New Roman" w:hAnsi="Times New Roman"/>
                <w:sz w:val="14"/>
                <w:szCs w:val="14"/>
                <w:b w:val="1"/>
                <w:bCs w:val="1"/>
                <w:color w:val="auto"/>
              </w:rPr>
              <w:t>Mountain View, CA</w:t>
            </w:r>
          </w:p>
        </w:tc>
        <w:tc>
          <w:tcPr>
            <w:tcW w:w="3780" w:type="dxa"/>
            <w:vAlign w:val="bottom"/>
            <w:gridSpan w:val="8"/>
          </w:tcPr>
          <w:p>
            <w:pPr>
              <w:jc w:val="center"/>
              <w:ind w:left="212"/>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3860" w:type="dxa"/>
            <w:vAlign w:val="bottom"/>
          </w:tcPr>
          <w:p>
            <w:pPr>
              <w:jc w:val="center"/>
              <w:ind w:left="51"/>
              <w:spacing w:after="0" w:line="157"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78"/>
        </w:trPr>
        <w:tc>
          <w:tcPr>
            <w:tcW w:w="360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600" w:type="dxa"/>
            <w:vAlign w:val="bottom"/>
          </w:tcPr>
          <w:p>
            <w:pPr>
              <w:spacing w:after="0"/>
              <w:rPr>
                <w:sz w:val="20"/>
                <w:szCs w:val="20"/>
                <w:color w:val="auto"/>
              </w:rPr>
            </w:pPr>
          </w:p>
        </w:tc>
        <w:tc>
          <w:tcPr>
            <w:tcW w:w="3780" w:type="dxa"/>
            <w:vAlign w:val="bottom"/>
            <w:gridSpan w:val="8"/>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60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3"/>
                <w:szCs w:val="13"/>
                <w:color w:val="auto"/>
              </w:rPr>
              <w:t>Title of each class</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bottom w:val="single" w:sz="8" w:color="auto"/>
            </w:tcBorders>
          </w:tcPr>
          <w:p>
            <w:pPr>
              <w:jc w:val="center"/>
              <w:ind w:left="73"/>
              <w:spacing w:after="0"/>
              <w:rPr>
                <w:sz w:val="20"/>
                <w:szCs w:val="20"/>
                <w:color w:val="auto"/>
              </w:rPr>
            </w:pPr>
            <w:r>
              <w:rPr>
                <w:rFonts w:ascii="Times New Roman" w:cs="Times New Roman" w:eastAsia="Times New Roman" w:hAnsi="Times New Roman"/>
                <w:sz w:val="13"/>
                <w:szCs w:val="13"/>
                <w:color w:val="auto"/>
              </w:rPr>
              <w:t>Trading Symbol</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center"/>
              <w:ind w:right="451"/>
              <w:spacing w:after="0"/>
              <w:rPr>
                <w:sz w:val="20"/>
                <w:szCs w:val="20"/>
                <w:color w:val="auto"/>
              </w:rPr>
            </w:pPr>
            <w:r>
              <w:rPr>
                <w:rFonts w:ascii="Times New Roman" w:cs="Times New Roman" w:eastAsia="Times New Roman" w:hAnsi="Times New Roman"/>
                <w:sz w:val="13"/>
                <w:szCs w:val="13"/>
                <w:color w:val="auto"/>
              </w:rPr>
              <w:t>Name of Exchange on Which Registered</w:t>
            </w:r>
          </w:p>
        </w:tc>
        <w:tc>
          <w:tcPr>
            <w:tcW w:w="0" w:type="dxa"/>
            <w:vAlign w:val="bottom"/>
          </w:tcPr>
          <w:p>
            <w:pPr>
              <w:spacing w:after="0"/>
              <w:rPr>
                <w:sz w:val="1"/>
                <w:szCs w:val="1"/>
                <w:color w:val="auto"/>
              </w:rPr>
            </w:pPr>
          </w:p>
        </w:tc>
      </w:tr>
      <w:tr>
        <w:trPr>
          <w:trHeight w:val="169"/>
        </w:trPr>
        <w:tc>
          <w:tcPr>
            <w:tcW w:w="360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jc w:val="center"/>
              <w:ind w:left="73"/>
              <w:spacing w:after="0"/>
              <w:rPr>
                <w:sz w:val="20"/>
                <w:szCs w:val="20"/>
                <w:color w:val="auto"/>
              </w:rPr>
            </w:pPr>
            <w:r>
              <w:rPr>
                <w:rFonts w:ascii="Times New Roman" w:cs="Times New Roman" w:eastAsia="Times New Roman" w:hAnsi="Times New Roman"/>
                <w:sz w:val="13"/>
                <w:szCs w:val="13"/>
                <w:color w:val="auto"/>
              </w:rPr>
              <w:t>IRIX</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60" w:type="dxa"/>
            <w:vAlign w:val="bottom"/>
          </w:tcPr>
          <w:p>
            <w:pPr>
              <w:jc w:val="center"/>
              <w:ind w:right="451"/>
              <w:spacing w:after="0"/>
              <w:rPr>
                <w:sz w:val="20"/>
                <w:szCs w:val="20"/>
                <w:color w:val="auto"/>
              </w:rPr>
            </w:pPr>
            <w:r>
              <w:rPr>
                <w:rFonts w:ascii="Times New Roman" w:cs="Times New Roman" w:eastAsia="Times New Roman" w:hAnsi="Times New Roman"/>
                <w:sz w:val="13"/>
                <w:szCs w:val="13"/>
                <w:color w:val="auto"/>
              </w:rPr>
              <w:t>Nasdaq Global Market</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3780" w:type="dxa"/>
            <w:vAlign w:val="bottom"/>
            <w:gridSpan w:val="8"/>
          </w:tcPr>
          <w:p>
            <w:pPr>
              <w:jc w:val="center"/>
              <w:ind w:left="172"/>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500" w:type="dxa"/>
            <w:vAlign w:val="bottom"/>
            <w:gridSpan w:val="3"/>
          </w:tcPr>
          <w:p>
            <w:pPr>
              <w:spacing w:after="0"/>
              <w:rPr>
                <w:sz w:val="5"/>
                <w:szCs w:val="5"/>
                <w:color w:val="auto"/>
              </w:rPr>
            </w:pPr>
          </w:p>
        </w:tc>
        <w:tc>
          <w:tcPr>
            <w:tcW w:w="2240" w:type="dxa"/>
            <w:vAlign w:val="bottom"/>
            <w:tcBorders>
              <w:bottom w:val="single" w:sz="8" w:color="auto"/>
            </w:tcBorders>
            <w:gridSpan w:val="3"/>
          </w:tcPr>
          <w:p>
            <w:pPr>
              <w:spacing w:after="0"/>
              <w:rPr>
                <w:sz w:val="5"/>
                <w:szCs w:val="5"/>
                <w:color w:val="auto"/>
              </w:rPr>
            </w:pPr>
          </w:p>
        </w:tc>
        <w:tc>
          <w:tcPr>
            <w:tcW w:w="640" w:type="dxa"/>
            <w:vAlign w:val="bottom"/>
            <w:gridSpan w:val="3"/>
          </w:tcPr>
          <w:p>
            <w:pPr>
              <w:spacing w:after="0"/>
              <w:rPr>
                <w:sz w:val="5"/>
                <w:szCs w:val="5"/>
                <w:color w:val="auto"/>
              </w:rPr>
            </w:pPr>
          </w:p>
        </w:tc>
        <w:tc>
          <w:tcPr>
            <w:tcW w:w="3860" w:type="dxa"/>
            <w:vAlign w:val="bottom"/>
            <w:vMerge w:val="restart"/>
          </w:tcPr>
          <w:p>
            <w:pPr>
              <w:ind w:left="10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4"/>
        </w:trPr>
        <w:tc>
          <w:tcPr>
            <w:tcW w:w="7380" w:type="dxa"/>
            <w:vAlign w:val="bottom"/>
            <w:gridSpan w:val="9"/>
          </w:tcPr>
          <w:p>
            <w:pPr>
              <w:ind w:left="52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of 1933.</w:t>
            </w:r>
          </w:p>
        </w:tc>
        <w:tc>
          <w:tcPr>
            <w:tcW w:w="3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1240" w:type="dxa"/>
            <w:vAlign w:val="bottom"/>
            <w:gridSpan w:val="10"/>
          </w:tcPr>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35"/>
        </w:trPr>
        <w:tc>
          <w:tcPr>
            <w:tcW w:w="11240" w:type="dxa"/>
            <w:vAlign w:val="bottom"/>
            <w:gridSpan w:val="10"/>
          </w:tcPr>
          <w:p>
            <w:pPr>
              <w:ind w:left="520"/>
              <w:spacing w:after="0" w:line="135" w:lineRule="exact"/>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Exchange Act during the preceding 12 months (or for such shorter period that</w:t>
            </w:r>
          </w:p>
        </w:tc>
        <w:tc>
          <w:tcPr>
            <w:tcW w:w="0" w:type="dxa"/>
            <w:vAlign w:val="bottom"/>
          </w:tcPr>
          <w:p>
            <w:pPr>
              <w:spacing w:after="0"/>
              <w:rPr>
                <w:sz w:val="1"/>
                <w:szCs w:val="1"/>
                <w:color w:val="auto"/>
              </w:rPr>
            </w:pPr>
          </w:p>
        </w:tc>
      </w:tr>
      <w:tr>
        <w:trPr>
          <w:trHeight w:val="203"/>
        </w:trPr>
        <w:tc>
          <w:tcPr>
            <w:tcW w:w="662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the Registrant was required to file such reports), and (2) has been subject to such filing requirements for the past 90 days.</w:t>
            </w:r>
          </w:p>
        </w:tc>
        <w:tc>
          <w:tcPr>
            <w:tcW w:w="760" w:type="dxa"/>
            <w:vAlign w:val="bottom"/>
            <w:gridSpan w:val="4"/>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c>
          <w:tcPr>
            <w:tcW w:w="386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34"/>
        </w:trPr>
        <w:tc>
          <w:tcPr>
            <w:tcW w:w="11240" w:type="dxa"/>
            <w:vAlign w:val="bottom"/>
            <w:gridSpan w:val="10"/>
          </w:tcPr>
          <w:p>
            <w:pPr>
              <w:ind w:left="520"/>
              <w:spacing w:after="0" w:line="134"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 232.405 of this chapter)</w:t>
            </w:r>
          </w:p>
        </w:tc>
        <w:tc>
          <w:tcPr>
            <w:tcW w:w="0" w:type="dxa"/>
            <w:vAlign w:val="bottom"/>
          </w:tcPr>
          <w:p>
            <w:pPr>
              <w:spacing w:after="0"/>
              <w:rPr>
                <w:sz w:val="1"/>
                <w:szCs w:val="1"/>
                <w:color w:val="auto"/>
              </w:rPr>
            </w:pPr>
          </w:p>
        </w:tc>
      </w:tr>
      <w:tr>
        <w:trPr>
          <w:trHeight w:val="204"/>
        </w:trPr>
        <w:tc>
          <w:tcPr>
            <w:tcW w:w="66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during the preceding 12 months (or for such shorter period that the registrant was required to submit such files).  Yes </w:t>
            </w:r>
            <w:r>
              <w:rPr>
                <w:rFonts w:ascii="MS PGothic" w:cs="MS PGothic" w:eastAsia="MS PGothic" w:hAnsi="MS PGothic"/>
                <w:sz w:val="13"/>
                <w:szCs w:val="13"/>
                <w:color w:val="auto"/>
              </w:rPr>
              <w:t>☑</w:t>
            </w:r>
          </w:p>
        </w:tc>
        <w:tc>
          <w:tcPr>
            <w:tcW w:w="760" w:type="dxa"/>
            <w:vAlign w:val="bottom"/>
            <w:gridSpan w:val="4"/>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3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right="20" w:firstLine="509"/>
        <w:spacing w:after="0" w:line="25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40"/>
          </w:cols>
          <w:pgMar w:left="320" w:top="563" w:right="339" w:bottom="1440" w:gutter="0" w:footer="0" w:header="0"/>
        </w:sectPr>
      </w:pPr>
    </w:p>
    <w:p>
      <w:pPr>
        <w:spacing w:after="0" w:line="4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8" w:lineRule="exact"/>
        <w:rPr>
          <w:sz w:val="24"/>
          <w:szCs w:val="24"/>
          <w:color w:val="auto"/>
        </w:rPr>
      </w:pPr>
    </w:p>
    <w:p>
      <w:pPr>
        <w:sectPr>
          <w:pgSz w:w="11900" w:h="16838" w:orient="portrait"/>
          <w:cols w:equalWidth="0" w:num="4">
            <w:col w:w="1560" w:space="720"/>
            <w:col w:w="2900" w:space="720"/>
            <w:col w:w="4420" w:space="720"/>
            <w:col w:w="200"/>
          </w:cols>
          <w:pgMar w:left="320" w:top="563" w:right="339" w:bottom="1440" w:gutter="0" w:footer="0" w:header="0"/>
          <w:type w:val="continuous"/>
        </w:sectPr>
      </w:pPr>
    </w:p>
    <w:p>
      <w:pPr>
        <w:ind w:right="18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40"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left="520"/>
        <w:spacing w:after="0"/>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w:t>
      </w:r>
    </w:p>
    <w:p>
      <w:pPr>
        <w:sectPr>
          <w:pgSz w:w="11900" w:h="16838" w:orient="portrait"/>
          <w:cols w:equalWidth="0" w:num="1">
            <w:col w:w="11240"/>
          </w:cols>
          <w:pgMar w:left="320" w:top="563" w:right="339" w:bottom="1440" w:gutter="0" w:footer="0" w:header="0"/>
          <w:type w:val="continuous"/>
        </w:sectPr>
      </w:pP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previously issued financial statements.</w:t>
      </w:r>
    </w:p>
    <w:p>
      <w:pPr>
        <w:spacing w:after="0" w:line="20" w:lineRule="exact"/>
        <w:rPr>
          <w:sz w:val="24"/>
          <w:szCs w:val="24"/>
          <w:color w:val="auto"/>
        </w:rPr>
      </w:pPr>
      <w:r>
        <w:rPr>
          <w:sz w:val="24"/>
          <w:szCs w:val="24"/>
          <w:color w:val="auto"/>
        </w:rPr>
        <w:br w:type="column"/>
      </w:r>
    </w:p>
    <w:p>
      <w:pPr>
        <w:spacing w:after="0" w:line="133" w:lineRule="exact"/>
        <w:rPr>
          <w:sz w:val="20"/>
          <w:szCs w:val="20"/>
          <w:color w:val="auto"/>
        </w:rPr>
      </w:pPr>
      <w:r>
        <w:rPr>
          <w:rFonts w:ascii="MS PGothic" w:cs="MS PGothic" w:eastAsia="MS PGothic" w:hAnsi="MS PGothic"/>
          <w:sz w:val="14"/>
          <w:szCs w:val="14"/>
          <w:color w:val="auto"/>
        </w:rPr>
        <w:t>☐</w:t>
      </w:r>
    </w:p>
    <w:p>
      <w:pPr>
        <w:spacing w:after="0" w:line="50" w:lineRule="exact"/>
        <w:rPr>
          <w:sz w:val="24"/>
          <w:szCs w:val="24"/>
          <w:color w:val="auto"/>
        </w:rPr>
      </w:pPr>
    </w:p>
    <w:p>
      <w:pPr>
        <w:sectPr>
          <w:pgSz w:w="11900" w:h="16838" w:orient="portrait"/>
          <w:cols w:equalWidth="0" w:num="2">
            <w:col w:w="2100" w:space="200"/>
            <w:col w:w="8940"/>
          </w:cols>
          <w:pgMar w:left="320" w:top="563" w:right="339" w:bottom="1440" w:gutter="0" w:footer="0" w:header="0"/>
          <w:type w:val="continuous"/>
        </w:sectPr>
      </w:pPr>
    </w:p>
    <w:p>
      <w:pPr>
        <w:ind w:firstLine="509"/>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520"/>
        <w:spacing w:after="0" w:line="150" w:lineRule="exact"/>
        <w:tabs>
          <w:tab w:leader="none" w:pos="6820" w:val="left"/>
          <w:tab w:leader="none" w:pos="734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40" w:lineRule="exact"/>
        <w:rPr>
          <w:sz w:val="24"/>
          <w:szCs w:val="24"/>
          <w:color w:val="auto"/>
        </w:rPr>
      </w:pPr>
    </w:p>
    <w:p>
      <w:pPr>
        <w:ind w:right="60" w:firstLine="509"/>
        <w:spacing w:after="0" w:line="244" w:lineRule="auto"/>
        <w:rPr>
          <w:sz w:val="20"/>
          <w:szCs w:val="20"/>
          <w:color w:val="auto"/>
        </w:rPr>
      </w:pPr>
      <w:r>
        <w:rPr>
          <w:rFonts w:ascii="Times New Roman" w:cs="Times New Roman" w:eastAsia="Times New Roman" w:hAnsi="Times New Roman"/>
          <w:sz w:val="13"/>
          <w:szCs w:val="13"/>
          <w:color w:val="auto"/>
        </w:rPr>
        <w:t>The aggregate market value of the voting common equity held by non-affiliates of the Registrant was approximately $32,139,628 as of July 2, 2022,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spacing w:after="0" w:line="1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March 2, 2023, Registrant had 16,007,161 shares of common stock outstanding.</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40" w:firstLine="509"/>
        <w:spacing w:after="0" w:line="273" w:lineRule="auto"/>
        <w:rPr>
          <w:sz w:val="20"/>
          <w:szCs w:val="20"/>
          <w:color w:val="auto"/>
        </w:rPr>
      </w:pPr>
      <w:r>
        <w:rPr>
          <w:rFonts w:ascii="Times New Roman" w:cs="Times New Roman" w:eastAsia="Times New Roman" w:hAnsi="Times New Roman"/>
          <w:sz w:val="13"/>
          <w:szCs w:val="13"/>
          <w:color w:val="auto"/>
        </w:rPr>
        <w:t>Certain parts of the Proxy Statement for the Registrant’s 2023 Annual Meeting of Stockholders (the “Proxy Statement”) are incorporated by reference into Part III of this Annual Report on Form 10-K. The 2023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right="340"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16" w:lineRule="exact"/>
        <w:rPr>
          <w:sz w:val="20"/>
          <w:szCs w:val="20"/>
          <w:color w:val="auto"/>
        </w:rPr>
      </w:pPr>
    </w:p>
    <w:p>
      <w:pPr>
        <w:jc w:val="both"/>
        <w:ind w:left="1020" w:right="18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impact of the COVID-19 pandemic, foreign exchange fluctuation, inflation concerns, rising interest rates and recessionary fears, on our business and results of operations;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and purchase of our existing products and new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 and interest rate fluctuations on our results and sales;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change and innovation in the markets in which we participate and the competitive nature of those markets;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plan to build our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strategic partnership with Topcon Corporation;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manufacturing and reliance on third party manufacturers;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and meet product demand;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defects in our products and systems;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and sales strategy;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cash flows;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objectives for future operations;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information technology systems and data;</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facilities in good working order;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carrying value of goodwill;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expensing stock options and other equity awards;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indemnify our directors and officers;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 and have indebtedness forgiven;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to meet cash needs for at least the next 12 months;</w:t>
      </w:r>
    </w:p>
    <w:p>
      <w:pPr>
        <w:spacing w:after="0" w:line="9" w:lineRule="exact"/>
        <w:rPr>
          <w:rFonts w:ascii="Times New Roman" w:cs="Times New Roman" w:eastAsia="Times New Roman" w:hAnsi="Times New Roman"/>
          <w:sz w:val="18"/>
          <w:szCs w:val="18"/>
          <w:color w:val="auto"/>
        </w:rPr>
      </w:pPr>
    </w:p>
    <w:p>
      <w:pPr>
        <w:ind w:left="1020" w:right="1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policies, and regulations that currently apply or become applicable to our business both in the United States and internationally;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 source suppliers;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in the future.</w:t>
      </w:r>
    </w:p>
    <w:p>
      <w:pPr>
        <w:spacing w:after="0" w:line="23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 w:name="page3"/>
    <w:bookmarkEnd w:id="2"/>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the terms “Company,” “Iridex,” “we,” “us” and “our” refer to Iridex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8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85"/>
        </w:trPr>
        <w:tc>
          <w:tcPr>
            <w:tcW w:w="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Part I</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425"/>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Business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1A. Risk Factors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1B. Unresolved Staff Comments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2.</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Properties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3.</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4.</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580" w:type="dxa"/>
            <w:vAlign w:val="bottom"/>
            <w:tcBorders>
              <w:right w:val="single" w:sz="8" w:color="0000EE"/>
            </w:tcBorders>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Part II</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5.</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Market for Registrant’s Common Equity and Related Stockholder Matters, and Issuer Purchases of Equity Securities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6.</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Selected Financial Data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7.</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7A. Quantitative and Qualitative Disclosures About Market Risk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8.</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9.</w:t>
            </w:r>
          </w:p>
        </w:tc>
        <w:tc>
          <w:tcPr>
            <w:tcW w:w="956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9A. Controls and Procedures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9B. Other Information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tcBorders>
              <w:right w:val="single" w:sz="8" w:color="0000EE"/>
            </w:tcBorders>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9C. Disclosure Regarding Foreign Jurisdictions that Prevent Inspections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580" w:type="dxa"/>
            <w:vAlign w:val="bottom"/>
            <w:tcBorders>
              <w:right w:val="single" w:sz="8" w:color="0000EE"/>
            </w:tcBorders>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Part III</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10. Directors, Executive Officers and Corporate Governance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gridSpan w:val="8"/>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11. Executive Compensation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gridSpan w:val="8"/>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12. Security Ownership of Certain Beneficial Owners and Management and Related Stockholder Matters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8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13. Certain Relationships and Related Transactions, and Director Independence</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80" w:type="dxa"/>
            <w:vAlign w:val="bottom"/>
            <w:gridSpan w:val="10"/>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14. Principal Accountant Fees and Services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580" w:type="dxa"/>
            <w:vAlign w:val="bottom"/>
            <w:tcBorders>
              <w:right w:val="single" w:sz="8" w:color="0000EE"/>
            </w:tcBorders>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Part IV</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42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9760" w:type="dxa"/>
            <w:vAlign w:val="bottom"/>
            <w:gridSpan w:val="21"/>
          </w:tcPr>
          <w:p>
            <w:pPr>
              <w:ind w:left="40"/>
              <w:spacing w:after="0"/>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580" w:type="dxa"/>
            <w:vAlign w:val="bottom"/>
            <w:tcBorders>
              <w:right w:val="single" w:sz="8" w:color="0000EE"/>
            </w:tcBorders>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655"/>
        </w:trPr>
        <w:tc>
          <w:tcPr>
            <w:tcW w:w="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Signatures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682"/>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5040" w:type="dxa"/>
            <w:vAlign w:val="bottom"/>
            <w:gridSpan w:val="14"/>
          </w:tcPr>
          <w:p>
            <w:pPr>
              <w:ind w:left="460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Iridex Corporation is an ophthalmic medical technology company focused on the development and commercialization of breakthrough products and procedures used to treat sight-threatening eye conditions, including glaucoma and retinal diseases.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propriety MicroPulse®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consist of laser consoles, delivery devices and consumable probes.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laser consoles consist of the following product lines:</w:t>
      </w:r>
    </w:p>
    <w:p>
      <w:pPr>
        <w:spacing w:after="0" w:line="126" w:lineRule="exact"/>
        <w:rPr>
          <w:sz w:val="20"/>
          <w:szCs w:val="20"/>
          <w:color w:val="auto"/>
        </w:rPr>
      </w:pPr>
    </w:p>
    <w:p>
      <w:pPr>
        <w:ind w:left="1020" w:right="140" w:hanging="503"/>
        <w:spacing w:after="0" w:line="23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Our primary glaucoma console line is the Cyclo G6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 with MicroPulse technology. In addition, our medical retina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consoles have features supporting glaucoma laser treatments.</w:t>
      </w:r>
    </w:p>
    <w:p>
      <w:pPr>
        <w:spacing w:after="0" w:line="98" w:lineRule="exact"/>
        <w:rPr>
          <w:rFonts w:ascii="Times New Roman" w:cs="Times New Roman" w:eastAsia="Times New Roman" w:hAnsi="Times New Roman"/>
          <w:sz w:val="18"/>
          <w:szCs w:val="18"/>
          <w:color w:val="auto"/>
        </w:rPr>
      </w:pPr>
    </w:p>
    <w:p>
      <w:pPr>
        <w:ind w:left="1020" w:right="40" w:hanging="503"/>
        <w:spacing w:after="0" w:line="243"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medical-retina product line includes our portable IQ 532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IQ 577</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systems with MicroPulse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97" w:lineRule="exact"/>
        <w:rPr>
          <w:rFonts w:ascii="Times New Roman" w:cs="Times New Roman" w:eastAsia="Times New Roman" w:hAnsi="Times New Roman"/>
          <w:sz w:val="18"/>
          <w:szCs w:val="18"/>
          <w:color w:val="auto"/>
        </w:rPr>
      </w:pPr>
    </w:p>
    <w:p>
      <w:pPr>
        <w:ind w:left="1020" w:right="140" w:hanging="503"/>
        <w:spacing w:after="0" w:line="23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surgical-retina product line includes our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and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SLx (with MicroPulse technology)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photocoagulation systems. These systems are often used in vitrectomy procedures, which are used to treat proliferative diabetic retinopathy, macular holes, retinal tears and detachments.</w:t>
      </w:r>
    </w:p>
    <w:p>
      <w:pPr>
        <w:spacing w:after="0" w:line="92"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laser probes consist of the following product lines:</w:t>
      </w:r>
    </w:p>
    <w:p>
      <w:pPr>
        <w:spacing w:after="0" w:line="126" w:lineRule="exact"/>
        <w:rPr>
          <w:sz w:val="20"/>
          <w:szCs w:val="20"/>
          <w:color w:val="auto"/>
        </w:rPr>
      </w:pPr>
    </w:p>
    <w:p>
      <w:pPr>
        <w:ind w:left="1020" w:hanging="503"/>
        <w:spacing w:after="0" w:line="233"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single-use delivery devices -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 and G-Probe Illuminate®.</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Probes used in our surgical retina product line include our family of single-use EndoProbe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handpieces.</w:t>
      </w:r>
    </w:p>
    <w:p>
      <w:pPr>
        <w:spacing w:after="0" w:line="68"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devices, and EndoProbe handpieces. In the offices and clinics, ophthalmologists use our laser systems with either an indirect laser ophthalmoscope or a slit-lamp adapter.</w:t>
      </w:r>
    </w:p>
    <w:p>
      <w:pPr>
        <w:spacing w:after="0" w:line="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2022 and 2021, our products were sold in the United States and Germany predominantly through a direct sales force and internationally (aside from Germany) primarily through Topcon Corporation (“Topcon”) and other independent distributors. Total revenues in 2022 and 2021 were $57.0 million and $53.9 million, respectively. We generated net losses of $7.5 million and $5.2 million in 2022 and 2021,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 w:name="page6"/>
    <w:bookmarkEnd w:id="5"/>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 Including the COVID-19 Pandemic to our Business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Current macroeconomic conditions, including the ongoing COVID-19 pandemic and efforts to mitigate its impact, recessionary fears, inflation concerns, and rising interest rates as a result of government actions to combat inflation, as well as other geopolitical developments, have impacted and may continue to impact business spending and the economy as a whole.</w:t>
      </w:r>
    </w:p>
    <w:p>
      <w:pPr>
        <w:spacing w:after="0" w:line="6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macroeconomic conditions on our business and operations remains highly uncertain, and it is not possible for us to predict the duration and extent to which they will affect our business, future results of operations, and financial condition.</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For more information on risks associated with macroeconomic conditions, including the COVID-19 pandemic, see the section titled “Risk Factors” in Item 1A of Part I. For more information on the impact of macroeconomic conditions, including the COVID-19 pandemic, on our business, see the section titled “Management’s Discussion and Analysis of Financial Condition and Results of Operation” in Item 7 of Part II.</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global ophthalmology market is experiencing significant growth, driven by the aging population and the increasing prevalence of chronic diseases. Our focus is on the glaucoma and retina disease markets, which represent a significant portion of this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Glaucoma</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Glaucoma is a progressive, chronic disease most recognized by high intraocular pressure (“IOP”). Elevated IOP is often caused by too much aqueous humor (the thin watery fluid that fills the front of the eye) being produced, not enough being drained, or a combination of both. It is a leading cause of blindness worldwide, with an estimated 80-100 million candidates for treatment. Although reducing IOP is the only proven treatment, the traditional options of pharmaceuticals and incisional surgery have significant shortcomings, such as poor patient compliance, financial burden, impact to lifestyle, and side-effects more invasive than MP laser treatments. These limitations create an unmet medical need in the management of glaucoma patients. Given these limitations, there is a growing interest in alternative approaches that can provide comparable or better outcomes with a better safety profile at a lower cost. Our company is poised to address this unmet medical need and capture a significant market opportunity.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Retina</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medical retina business is focused on providing innovative and effective treatments for retinal disorders, which if left untreated, can lead to vision loss and blindness. It is estimated that 463 million people worldwide had diabetes in 2019, and this number is expected to increase to 578 million by 2030 and as many as 700 million by 2045, according to the International Diabetes Federation. Previous clinical studies have shown that 28.5% of diabetic patients may develop some form of diabetic retinopathy.</w:t>
      </w:r>
    </w:p>
    <w:p>
      <w:pPr>
        <w:spacing w:after="0" w:line="28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For some retinal disorders, traditional treatments such as standard CW laser photocoagulation and injected pharmaceuticals have significant shortcomings. CW laser photocoagulation can stabilize vision over the long term but can also result in varying degrees of vision loss, while pharmaceuticals require repeated painful injections that may cause side effects including an increased risk of eye infections. Furthermore, the repeated injections are demanding on physicians, patients, and the healthcare system in terms of time and cost. As a result, there is a growing interest in alternative approaches that can provide comparable or better patient outcomes with an improved safety profile at lower costs. Our medical retina business is dedicated to developing and providing such innovative and effective treatments for retinal diseases.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traditional laser technology was developed to perform laser photocoagulation by using a mode that delivers continuously-on laser light, which is referred to as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solutions build on traditional CW laser and innovative technology, such as:</w:t>
      </w:r>
    </w:p>
    <w:p>
      <w:pPr>
        <w:spacing w:after="0" w:line="117" w:lineRule="exact"/>
        <w:rPr>
          <w:sz w:val="20"/>
          <w:szCs w:val="20"/>
          <w:color w:val="auto"/>
        </w:rPr>
      </w:pPr>
    </w:p>
    <w:p>
      <w:pPr>
        <w:ind w:left="1020" w:right="12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MicroPulse technology chops a CW laser beam into an envelope of repetitive short “ON” pulses with longer “OFF” periods that allow tissue to cool between pulses. CW laser is analogous to holding your hand still over a candle flame; your hand will quickly burn. MicroPulse is analogous to moving your hand quickly in and out of the candle flame; your hand has time to cool between passes to avoid burning. MicroPulse has been clinically proven to be effective and safe for the treatment of glaucoma and retinal diseases, with a growing body of clinical evidence published over the past decade. We have developed three applications of our MicroPulse technology for the treatment of eye diseases, providing a range of options for physicians and patients seeking improved outcomes with reduced risks.</w:t>
      </w:r>
    </w:p>
    <w:p>
      <w:pPr>
        <w:spacing w:after="0" w:line="79" w:lineRule="exact"/>
        <w:rPr>
          <w:rFonts w:ascii="Times New Roman" w:cs="Times New Roman" w:eastAsia="Times New Roman" w:hAnsi="Times New Roman"/>
          <w:sz w:val="18"/>
          <w:szCs w:val="18"/>
          <w:color w:val="auto"/>
        </w:rPr>
      </w:pPr>
    </w:p>
    <w:p>
      <w:pPr>
        <w:ind w:left="1020" w:right="40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Endpoint Management technology allows clinicians to titrate the laser to subvisible, tissue-sparing levels using a proprietary energy delivery algorithm for the treatment of retinal diseases and glaucoma. By use of this formula, heat induced changes in the retina are controlled as Endpoint Management simultaneously modulates the laser power and duration providing linear control over a non-linear process.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pattern scanning laser technology efficiently delivers large laser patterns reducing treatment time and patient discomfort during treatment. PASCAL represents an improvement in ophthalmic treatment technology and is committed to helping physicians deliver effective results for patients. Ophthalmologists choose PASCAL because of its speed and ease of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 with Iridex' Technology Solutions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81"/>
        </w:trPr>
        <w:tc>
          <w:tcPr>
            <w:tcW w:w="38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Market Opportunities</w:t>
            </w:r>
          </w:p>
        </w:tc>
        <w:tc>
          <w:tcPr>
            <w:tcW w:w="16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Iridex Technologies</w:t>
            </w:r>
          </w:p>
        </w:tc>
        <w:tc>
          <w:tcPr>
            <w:tcW w:w="660" w:type="dxa"/>
            <w:vAlign w:val="bottom"/>
            <w:tcBorders>
              <w:top w:val="single" w:sz="8" w:color="auto"/>
              <w:bottom w:val="single" w:sz="8" w:color="auto"/>
              <w:right w:val="single" w:sz="8" w:color="auto"/>
            </w:tcBorders>
          </w:tcPr>
          <w:p>
            <w:pPr>
              <w:spacing w:after="0"/>
              <w:rPr>
                <w:sz w:val="24"/>
                <w:szCs w:val="24"/>
                <w:color w:val="auto"/>
              </w:rPr>
            </w:pPr>
          </w:p>
        </w:tc>
        <w:tc>
          <w:tcPr>
            <w:tcW w:w="506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Laser Systems, Delivery Devices &amp; Overview</w:t>
            </w:r>
          </w:p>
        </w:tc>
        <w:tc>
          <w:tcPr>
            <w:tcW w:w="0" w:type="dxa"/>
            <w:vAlign w:val="bottom"/>
          </w:tcPr>
          <w:p>
            <w:pPr>
              <w:spacing w:after="0"/>
              <w:rPr>
                <w:sz w:val="1"/>
                <w:szCs w:val="1"/>
                <w:color w:val="auto"/>
              </w:rPr>
            </w:pPr>
          </w:p>
        </w:tc>
      </w:tr>
      <w:tr>
        <w:trPr>
          <w:trHeight w:val="295"/>
        </w:trPr>
        <w:tc>
          <w:tcPr>
            <w:tcW w:w="3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Glaucoma</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MicroPulse</w:t>
            </w:r>
          </w:p>
        </w:tc>
        <w:tc>
          <w:tcPr>
            <w:tcW w:w="66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glaucoma using our Cyclo G6 laser system and</w:t>
            </w:r>
          </w:p>
        </w:tc>
        <w:tc>
          <w:tcPr>
            <w:tcW w:w="0" w:type="dxa"/>
            <w:vAlign w:val="bottom"/>
          </w:tcPr>
          <w:p>
            <w:pPr>
              <w:spacing w:after="0"/>
              <w:rPr>
                <w:sz w:val="1"/>
                <w:szCs w:val="1"/>
                <w:color w:val="auto"/>
              </w:rPr>
            </w:pPr>
          </w:p>
        </w:tc>
      </w:tr>
      <w:tr>
        <w:trPr>
          <w:trHeight w:val="220"/>
        </w:trPr>
        <w:tc>
          <w:tcPr>
            <w:tcW w:w="3840" w:type="dxa"/>
            <w:vAlign w:val="bottom"/>
            <w:tcBorders>
              <w:left w:val="single" w:sz="8" w:color="auto"/>
              <w:right w:val="single" w:sz="8" w:color="auto"/>
            </w:tcBorders>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MicroPulse P3 delivery device. </w:t>
            </w:r>
            <w:r>
              <w:rPr>
                <w:rFonts w:ascii="Times New Roman" w:cs="Times New Roman" w:eastAsia="Times New Roman" w:hAnsi="Times New Roman"/>
                <w:sz w:val="18"/>
                <w:szCs w:val="18"/>
                <w:color w:val="auto"/>
              </w:rPr>
              <w:t>MicroPulse P3 is Iridex’s</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Increase outflow via</w:t>
            </w: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proprietary, single-use, disposable probe. It delivers MicroPulse</w:t>
            </w: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right w:val="single" w:sz="8" w:color="auto"/>
            </w:tcBorders>
          </w:tcPr>
          <w:p>
            <w:pPr>
              <w:spacing w:after="0"/>
              <w:rPr>
                <w:sz w:val="9"/>
                <w:szCs w:val="9"/>
                <w:color w:val="auto"/>
              </w:rPr>
            </w:pPr>
          </w:p>
        </w:tc>
        <w:tc>
          <w:tcPr>
            <w:tcW w:w="1680" w:type="dxa"/>
            <w:vAlign w:val="bottom"/>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laser transsclerally (through the white of the eye) to target the</w:t>
            </w: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right w:val="single" w:sz="8" w:color="auto"/>
            </w:tcBorders>
          </w:tcPr>
          <w:p>
            <w:pPr>
              <w:spacing w:after="0"/>
              <w:rPr>
                <w:sz w:val="9"/>
                <w:szCs w:val="9"/>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uveoscleral pathway</w:t>
            </w:r>
          </w:p>
        </w:tc>
        <w:tc>
          <w:tcPr>
            <w:tcW w:w="660" w:type="dxa"/>
            <w:vAlign w:val="bottom"/>
            <w:tcBorders>
              <w:right w:val="single" w:sz="8" w:color="auto"/>
            </w:tcBorders>
          </w:tcPr>
          <w:p>
            <w:pPr>
              <w:spacing w:after="0"/>
              <w:rPr>
                <w:sz w:val="9"/>
                <w:szCs w:val="9"/>
                <w:color w:val="auto"/>
              </w:rPr>
            </w:pPr>
          </w:p>
        </w:tc>
        <w:tc>
          <w:tcPr>
            <w:tcW w:w="5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tcPr>
          <w:p>
            <w:pPr>
              <w:spacing w:after="0"/>
              <w:rPr>
                <w:sz w:val="10"/>
                <w:szCs w:val="10"/>
                <w:color w:val="auto"/>
              </w:rPr>
            </w:pPr>
          </w:p>
        </w:tc>
        <w:tc>
          <w:tcPr>
            <w:tcW w:w="1680" w:type="dxa"/>
            <w:vAlign w:val="bottom"/>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ciliary body inside the eye. The ciliary body controls various ocular</w:t>
            </w:r>
          </w:p>
        </w:tc>
        <w:tc>
          <w:tcPr>
            <w:tcW w:w="0" w:type="dxa"/>
            <w:vAlign w:val="bottom"/>
          </w:tcPr>
          <w:p>
            <w:pPr>
              <w:spacing w:after="0"/>
              <w:rPr>
                <w:sz w:val="1"/>
                <w:szCs w:val="1"/>
                <w:color w:val="auto"/>
              </w:rPr>
            </w:pPr>
          </w:p>
        </w:tc>
      </w:tr>
      <w:tr>
        <w:trPr>
          <w:trHeight w:val="90"/>
        </w:trPr>
        <w:tc>
          <w:tcPr>
            <w:tcW w:w="3840" w:type="dxa"/>
            <w:vAlign w:val="bottom"/>
            <w:tcBorders>
              <w:left w:val="single" w:sz="8" w:color="auto"/>
              <w:right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functions including aqueous humor production, and it helps</w:t>
            </w: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facilitate the reduction of aqueous humor via outflow channels.</w:t>
            </w:r>
          </w:p>
        </w:tc>
        <w:tc>
          <w:tcPr>
            <w:tcW w:w="0" w:type="dxa"/>
            <w:vAlign w:val="bottom"/>
          </w:tcPr>
          <w:p>
            <w:pPr>
              <w:spacing w:after="0"/>
              <w:rPr>
                <w:sz w:val="1"/>
                <w:szCs w:val="1"/>
                <w:color w:val="auto"/>
              </w:rPr>
            </w:pPr>
          </w:p>
        </w:tc>
      </w:tr>
      <w:tr>
        <w:trPr>
          <w:trHeight w:val="306"/>
        </w:trPr>
        <w:tc>
          <w:tcPr>
            <w:tcW w:w="3840" w:type="dxa"/>
            <w:vAlign w:val="bottom"/>
            <w:tcBorders>
              <w:left w:val="single" w:sz="8" w:color="auto"/>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Transscleral laser therapy (“TLT”) using MicroPulse technology is</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non-incisional treatment that is believed to reduce IOP primarily</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through uveoscleral outflow. Numerous peer-reviewed published</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clinical studies have demonstrated MicroPulse TLT as a safe and</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clinically effective treatment to lower patients’ IOP and reduce the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number of topical eye drops and oral medications across a wide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spectrum of glaucoma types and disease severity. Glaucoma</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specialists and comprehensive ophthalmologists incorporate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 TLT prior to, concurrent with, and after other surgical</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therapies. It’s a repeatable procedure which doesn’t impact the</w:t>
            </w:r>
          </w:p>
        </w:tc>
        <w:tc>
          <w:tcPr>
            <w:tcW w:w="0" w:type="dxa"/>
            <w:vAlign w:val="bottom"/>
          </w:tcPr>
          <w:p>
            <w:pPr>
              <w:spacing w:after="0"/>
              <w:rPr>
                <w:sz w:val="1"/>
                <w:szCs w:val="1"/>
                <w:color w:val="auto"/>
              </w:rPr>
            </w:pP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patient’s quality of life nor does it inhibit future interventions.</w:t>
            </w:r>
          </w:p>
        </w:tc>
        <w:tc>
          <w:tcPr>
            <w:tcW w:w="0" w:type="dxa"/>
            <w:vAlign w:val="bottom"/>
          </w:tcPr>
          <w:p>
            <w:pPr>
              <w:spacing w:after="0"/>
              <w:rPr>
                <w:sz w:val="1"/>
                <w:szCs w:val="1"/>
                <w:color w:val="auto"/>
              </w:rPr>
            </w:pPr>
          </w:p>
        </w:tc>
      </w:tr>
      <w:tr>
        <w:trPr>
          <w:trHeight w:val="319"/>
        </w:trPr>
        <w:tc>
          <w:tcPr>
            <w:tcW w:w="3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Glaucoma</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MicroPulse</w:t>
            </w:r>
          </w:p>
        </w:tc>
        <w:tc>
          <w:tcPr>
            <w:tcW w:w="66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Treats glaucoma with our IQ laser systems. </w:t>
            </w:r>
            <w:r>
              <w:rPr>
                <w:rFonts w:ascii="Times New Roman" w:cs="Times New Roman" w:eastAsia="Times New Roman" w:hAnsi="Times New Roman"/>
                <w:sz w:val="18"/>
                <w:szCs w:val="18"/>
                <w:color w:val="auto"/>
              </w:rPr>
              <w:t>MicroPulse laser is</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delivered through a mechanical and optical delivery device and</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Increase outflow via</w:t>
            </w: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targets the trabecular meshwork. Physicians describe the technique</w:t>
            </w: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right w:val="single" w:sz="8" w:color="auto"/>
            </w:tcBorders>
          </w:tcPr>
          <w:p>
            <w:pPr>
              <w:spacing w:after="0"/>
              <w:rPr>
                <w:sz w:val="9"/>
                <w:szCs w:val="9"/>
                <w:color w:val="auto"/>
              </w:rPr>
            </w:pPr>
          </w:p>
        </w:tc>
        <w:tc>
          <w:tcPr>
            <w:tcW w:w="1680" w:type="dxa"/>
            <w:vAlign w:val="bottom"/>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5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as MicroPulse Laser Trabeculoplasty (“MLT”). It is believed that</w:t>
            </w: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right w:val="single" w:sz="8" w:color="auto"/>
            </w:tcBorders>
          </w:tcPr>
          <w:p>
            <w:pPr>
              <w:spacing w:after="0"/>
              <w:rPr>
                <w:sz w:val="9"/>
                <w:szCs w:val="9"/>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trabecular meshwork</w:t>
            </w:r>
          </w:p>
        </w:tc>
        <w:tc>
          <w:tcPr>
            <w:tcW w:w="660" w:type="dxa"/>
            <w:vAlign w:val="bottom"/>
            <w:tcBorders>
              <w:right w:val="single" w:sz="8" w:color="auto"/>
            </w:tcBorders>
          </w:tcPr>
          <w:p>
            <w:pPr>
              <w:spacing w:after="0"/>
              <w:rPr>
                <w:sz w:val="9"/>
                <w:szCs w:val="9"/>
                <w:color w:val="auto"/>
              </w:rPr>
            </w:pPr>
          </w:p>
        </w:tc>
        <w:tc>
          <w:tcPr>
            <w:tcW w:w="5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tcPr>
          <w:p>
            <w:pPr>
              <w:spacing w:after="0"/>
              <w:rPr>
                <w:sz w:val="10"/>
                <w:szCs w:val="10"/>
                <w:color w:val="auto"/>
              </w:rPr>
            </w:pPr>
          </w:p>
        </w:tc>
        <w:tc>
          <w:tcPr>
            <w:tcW w:w="1680" w:type="dxa"/>
            <w:vAlign w:val="bottom"/>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the MLT procedure improves trabecular meshwork outflow and</w:t>
            </w:r>
          </w:p>
        </w:tc>
        <w:tc>
          <w:tcPr>
            <w:tcW w:w="0" w:type="dxa"/>
            <w:vAlign w:val="bottom"/>
          </w:tcPr>
          <w:p>
            <w:pPr>
              <w:spacing w:after="0"/>
              <w:rPr>
                <w:sz w:val="1"/>
                <w:szCs w:val="1"/>
                <w:color w:val="auto"/>
              </w:rPr>
            </w:pPr>
          </w:p>
        </w:tc>
      </w:tr>
      <w:tr>
        <w:trPr>
          <w:trHeight w:val="90"/>
        </w:trPr>
        <w:tc>
          <w:tcPr>
            <w:tcW w:w="3840" w:type="dxa"/>
            <w:vAlign w:val="bottom"/>
            <w:tcBorders>
              <w:left w:val="single" w:sz="8" w:color="auto"/>
              <w:right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thus lowers IOP. We believe that the MLT procedure provides</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incremental clinical benefits relative to other laser trabeculoplasty</w:t>
            </w:r>
          </w:p>
        </w:tc>
        <w:tc>
          <w:tcPr>
            <w:tcW w:w="0" w:type="dxa"/>
            <w:vAlign w:val="bottom"/>
          </w:tcPr>
          <w:p>
            <w:pPr>
              <w:spacing w:after="0"/>
              <w:rPr>
                <w:sz w:val="1"/>
                <w:szCs w:val="1"/>
                <w:color w:val="auto"/>
              </w:rPr>
            </w:pP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procedures such as SLT.</w:t>
            </w:r>
          </w:p>
        </w:tc>
        <w:tc>
          <w:tcPr>
            <w:tcW w:w="0" w:type="dxa"/>
            <w:vAlign w:val="bottom"/>
          </w:tcPr>
          <w:p>
            <w:pPr>
              <w:spacing w:after="0"/>
              <w:rPr>
                <w:sz w:val="1"/>
                <w:szCs w:val="1"/>
                <w:color w:val="auto"/>
              </w:rPr>
            </w:pPr>
          </w:p>
        </w:tc>
      </w:tr>
      <w:tr>
        <w:trPr>
          <w:trHeight w:val="319"/>
        </w:trPr>
        <w:tc>
          <w:tcPr>
            <w:tcW w:w="3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Glaucoma</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PSLT</w:t>
            </w:r>
          </w:p>
        </w:tc>
        <w:tc>
          <w:tcPr>
            <w:tcW w:w="66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Pattern Scanning Laser Trabeculoplasty (PSLT) </w:t>
            </w:r>
            <w:r>
              <w:rPr>
                <w:rFonts w:ascii="Times New Roman" w:cs="Times New Roman" w:eastAsia="Times New Roman" w:hAnsi="Times New Roman"/>
                <w:sz w:val="18"/>
                <w:szCs w:val="18"/>
                <w:color w:val="auto"/>
              </w:rPr>
              <w:t>is a computer-</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guided therapy that provides precise placement of laser patterns</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outflow via</w:t>
            </w: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along the trabecular meshwork, independent of the visibility of</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trabecular meshwork</w:t>
            </w: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lesions. PSLT provides rapid, precise, and subvisible computer-</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guided treatment with exact placement of the patterns for the</w:t>
            </w:r>
          </w:p>
        </w:tc>
        <w:tc>
          <w:tcPr>
            <w:tcW w:w="0" w:type="dxa"/>
            <w:vAlign w:val="bottom"/>
          </w:tcPr>
          <w:p>
            <w:pPr>
              <w:spacing w:after="0"/>
              <w:rPr>
                <w:sz w:val="1"/>
                <w:szCs w:val="1"/>
                <w:color w:val="auto"/>
              </w:rPr>
            </w:pP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lowering of IOP.</w:t>
            </w:r>
          </w:p>
        </w:tc>
        <w:tc>
          <w:tcPr>
            <w:tcW w:w="0" w:type="dxa"/>
            <w:vAlign w:val="bottom"/>
          </w:tcPr>
          <w:p>
            <w:pPr>
              <w:spacing w:after="0"/>
              <w:rPr>
                <w:sz w:val="1"/>
                <w:szCs w:val="1"/>
                <w:color w:val="auto"/>
              </w:rPr>
            </w:pPr>
          </w:p>
        </w:tc>
      </w:tr>
      <w:tr>
        <w:trPr>
          <w:trHeight w:val="315"/>
        </w:trPr>
        <w:tc>
          <w:tcPr>
            <w:tcW w:w="3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Glaucoma</w:t>
            </w:r>
          </w:p>
        </w:tc>
        <w:tc>
          <w:tcPr>
            <w:tcW w:w="1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w:t>
            </w:r>
          </w:p>
        </w:tc>
        <w:tc>
          <w:tcPr>
            <w:tcW w:w="66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glaucoma using our Cyclo G6 laser system and G-Probe</w:t>
            </w:r>
          </w:p>
        </w:tc>
        <w:tc>
          <w:tcPr>
            <w:tcW w:w="0" w:type="dxa"/>
            <w:vAlign w:val="bottom"/>
          </w:tcPr>
          <w:p>
            <w:pPr>
              <w:spacing w:after="0"/>
              <w:rPr>
                <w:sz w:val="1"/>
                <w:szCs w:val="1"/>
                <w:color w:val="auto"/>
              </w:rPr>
            </w:pPr>
          </w:p>
        </w:tc>
      </w:tr>
      <w:tr>
        <w:trPr>
          <w:trHeight w:val="220"/>
        </w:trPr>
        <w:tc>
          <w:tcPr>
            <w:tcW w:w="3840" w:type="dxa"/>
            <w:vAlign w:val="bottom"/>
            <w:tcBorders>
              <w:left w:val="single" w:sz="8" w:color="auto"/>
              <w:right w:val="single" w:sz="8" w:color="auto"/>
            </w:tcBorders>
          </w:tcPr>
          <w:p>
            <w:pPr>
              <w:spacing w:after="0"/>
              <w:rPr>
                <w:sz w:val="19"/>
                <w:szCs w:val="19"/>
                <w:color w:val="auto"/>
              </w:rPr>
            </w:pPr>
          </w:p>
        </w:tc>
        <w:tc>
          <w:tcPr>
            <w:tcW w:w="1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Reduce inflow</w:t>
            </w:r>
          </w:p>
        </w:tc>
        <w:tc>
          <w:tcPr>
            <w:tcW w:w="660" w:type="dxa"/>
            <w:vAlign w:val="bottom"/>
            <w:tcBorders>
              <w:right w:val="single" w:sz="8" w:color="auto"/>
            </w:tcBorders>
          </w:tcPr>
          <w:p>
            <w:pPr>
              <w:spacing w:after="0"/>
              <w:rPr>
                <w:sz w:val="19"/>
                <w:szCs w:val="19"/>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or G-Probe Illuminate delivery device. </w:t>
            </w:r>
            <w:r>
              <w:rPr>
                <w:rFonts w:ascii="Times New Roman" w:cs="Times New Roman" w:eastAsia="Times New Roman" w:hAnsi="Times New Roman"/>
                <w:sz w:val="18"/>
                <w:szCs w:val="18"/>
                <w:color w:val="auto"/>
              </w:rPr>
              <w:t>The Iridex G-Probe is a</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tcPr>
          <w:p>
            <w:pPr>
              <w:spacing w:after="0"/>
              <w:rPr>
                <w:sz w:val="10"/>
                <w:szCs w:val="10"/>
                <w:color w:val="auto"/>
              </w:rPr>
            </w:pPr>
          </w:p>
        </w:tc>
        <w:tc>
          <w:tcPr>
            <w:tcW w:w="1680" w:type="dxa"/>
            <w:vAlign w:val="bottom"/>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5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fiber-optic laser delivery device used to selectively ablate ciliary</w:t>
            </w:r>
          </w:p>
        </w:tc>
        <w:tc>
          <w:tcPr>
            <w:tcW w:w="0" w:type="dxa"/>
            <w:vAlign w:val="bottom"/>
          </w:tcPr>
          <w:p>
            <w:pPr>
              <w:spacing w:after="0"/>
              <w:rPr>
                <w:sz w:val="1"/>
                <w:szCs w:val="1"/>
                <w:color w:val="auto"/>
              </w:rPr>
            </w:pPr>
          </w:p>
        </w:tc>
      </w:tr>
      <w:tr>
        <w:trPr>
          <w:trHeight w:val="90"/>
        </w:trPr>
        <w:tc>
          <w:tcPr>
            <w:tcW w:w="3840" w:type="dxa"/>
            <w:vAlign w:val="bottom"/>
            <w:tcBorders>
              <w:left w:val="single" w:sz="8" w:color="auto"/>
              <w:right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processes in patients who require treatment for refractory glaucoma.</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Delivery is transscleral (through the white of the eye). The G-Probe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Illuminate provides built-in transillumination for optimized probe</w:t>
            </w:r>
          </w:p>
        </w:tc>
        <w:tc>
          <w:tcPr>
            <w:tcW w:w="0" w:type="dxa"/>
            <w:vAlign w:val="bottom"/>
          </w:tcPr>
          <w:p>
            <w:pPr>
              <w:spacing w:after="0"/>
              <w:rPr>
                <w:sz w:val="1"/>
                <w:szCs w:val="1"/>
                <w:color w:val="auto"/>
              </w:rPr>
            </w:pP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placement and therapeutic outcome.</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36"/>
        </w:trPr>
        <w:tc>
          <w:tcPr>
            <w:tcW w:w="3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Medical Retina</w:t>
            </w:r>
          </w:p>
        </w:tc>
        <w:tc>
          <w:tcPr>
            <w:tcW w:w="2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MicroPulse</w:t>
            </w:r>
          </w:p>
        </w:tc>
        <w:tc>
          <w:tcPr>
            <w:tcW w:w="50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Treats Retinal Disorders with our IQ laser system. </w:t>
            </w:r>
            <w:r>
              <w:rPr>
                <w:rFonts w:ascii="Times New Roman" w:cs="Times New Roman" w:eastAsia="Times New Roman" w:hAnsi="Times New Roman"/>
                <w:sz w:val="18"/>
                <w:szCs w:val="18"/>
                <w:color w:val="auto"/>
              </w:rPr>
              <w:t>MicroPulse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laser is administered through our TxCell Pattern Scanning Slit</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Lamp Adapter or standard slit lamp adapter. Studies have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demonstrated that for the treatment of retinal disorders, MicroPulse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laser therapy has several competitive advantages over alternate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therapies with respect to long term vision stability, visual function,</w:t>
            </w:r>
          </w:p>
        </w:tc>
        <w:tc>
          <w:tcPr>
            <w:tcW w:w="0" w:type="dxa"/>
            <w:vAlign w:val="bottom"/>
          </w:tcPr>
          <w:p>
            <w:pPr>
              <w:spacing w:after="0"/>
              <w:rPr>
                <w:sz w:val="1"/>
                <w:szCs w:val="1"/>
                <w:color w:val="auto"/>
              </w:rPr>
            </w:pPr>
          </w:p>
        </w:tc>
      </w:tr>
      <w:tr>
        <w:trPr>
          <w:trHeight w:val="261"/>
        </w:trPr>
        <w:tc>
          <w:tcPr>
            <w:tcW w:w="3840" w:type="dxa"/>
            <w:vAlign w:val="bottom"/>
            <w:tcBorders>
              <w:left w:val="single" w:sz="8" w:color="auto"/>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spacing w:after="0"/>
              <w:rPr>
                <w:sz w:val="22"/>
                <w:szCs w:val="22"/>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cost effectiveness.</w:t>
            </w:r>
          </w:p>
        </w:tc>
        <w:tc>
          <w:tcPr>
            <w:tcW w:w="0" w:type="dxa"/>
            <w:vAlign w:val="bottom"/>
          </w:tcPr>
          <w:p>
            <w:pPr>
              <w:spacing w:after="0"/>
              <w:rPr>
                <w:sz w:val="1"/>
                <w:szCs w:val="1"/>
                <w:color w:val="auto"/>
              </w:rPr>
            </w:pPr>
          </w:p>
        </w:tc>
      </w:tr>
      <w:tr>
        <w:trPr>
          <w:trHeight w:val="299"/>
        </w:trPr>
        <w:tc>
          <w:tcPr>
            <w:tcW w:w="3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Medical Retina</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w:t>
            </w: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Retinal Disorders with our PASCAL laser system.</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PASCAL efficiently delivers large laser patterns reducing treatment</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Endpoint Management</w:t>
            </w: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time and patient discomfort during treatment of retinal disorders</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5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using standard CW laser therapy or sub-threshold Endpoint</w:t>
            </w:r>
          </w:p>
        </w:tc>
        <w:tc>
          <w:tcPr>
            <w:tcW w:w="0" w:type="dxa"/>
            <w:vAlign w:val="bottom"/>
          </w:tcPr>
          <w:p>
            <w:pPr>
              <w:spacing w:after="0"/>
              <w:rPr>
                <w:sz w:val="1"/>
                <w:szCs w:val="1"/>
                <w:color w:val="auto"/>
              </w:rPr>
            </w:pPr>
          </w:p>
        </w:tc>
      </w:tr>
      <w:tr>
        <w:trPr>
          <w:trHeight w:val="90"/>
        </w:trPr>
        <w:tc>
          <w:tcPr>
            <w:tcW w:w="3840" w:type="dxa"/>
            <w:vAlign w:val="bottom"/>
            <w:tcBorders>
              <w:left w:val="single" w:sz="8" w:color="auto"/>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5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MicroPulse</w:t>
            </w: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522"/>
        </w:trPr>
        <w:tc>
          <w:tcPr>
            <w:tcW w:w="3840" w:type="dxa"/>
            <w:vAlign w:val="bottom"/>
            <w:tcBorders>
              <w:left w:val="single" w:sz="8" w:color="auto"/>
              <w:right w:val="single" w:sz="8" w:color="auto"/>
            </w:tcBorders>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 laser is administered through the integrated slit lamp on</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PASCAL laser system. Studies have demonstrated that for the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treatment of retinal disorders, MicroPulse laser therapy has several</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competitive advantages over alternate therapies with respect to long</w:t>
            </w:r>
          </w:p>
        </w:tc>
        <w:tc>
          <w:tcPr>
            <w:tcW w:w="0" w:type="dxa"/>
            <w:vAlign w:val="bottom"/>
          </w:tcPr>
          <w:p>
            <w:pPr>
              <w:spacing w:after="0"/>
              <w:rPr>
                <w:sz w:val="1"/>
                <w:szCs w:val="1"/>
                <w:color w:val="auto"/>
              </w:rPr>
            </w:pP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 vision stability, visual function, and cost effectiveness.</w:t>
            </w:r>
          </w:p>
        </w:tc>
        <w:tc>
          <w:tcPr>
            <w:tcW w:w="0" w:type="dxa"/>
            <w:vAlign w:val="bottom"/>
          </w:tcPr>
          <w:p>
            <w:pPr>
              <w:spacing w:after="0"/>
              <w:rPr>
                <w:sz w:val="1"/>
                <w:szCs w:val="1"/>
                <w:color w:val="auto"/>
              </w:rPr>
            </w:pPr>
          </w:p>
        </w:tc>
      </w:tr>
      <w:tr>
        <w:trPr>
          <w:trHeight w:val="319"/>
        </w:trPr>
        <w:tc>
          <w:tcPr>
            <w:tcW w:w="3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Surgical Retina</w:t>
            </w: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CW</w:t>
            </w: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 Iridex EndoProbe is used with our IQ and OcuLight lasers.</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EndoProbe handpieces are used to treat proliferative diabetic</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retinopathy, macular holes, retinal tears and detachments. These</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disposable probes are available in tapered, angled, stepped,</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aspirating, illuminating, and adjustable styles, as well as a wide</w:t>
            </w:r>
          </w:p>
        </w:tc>
        <w:tc>
          <w:tcPr>
            <w:tcW w:w="0" w:type="dxa"/>
            <w:vAlign w:val="bottom"/>
          </w:tcPr>
          <w:p>
            <w:pPr>
              <w:spacing w:after="0"/>
              <w:rPr>
                <w:sz w:val="1"/>
                <w:szCs w:val="1"/>
                <w:color w:val="auto"/>
              </w:rPr>
            </w:pPr>
          </w:p>
        </w:tc>
      </w:tr>
      <w:tr>
        <w:trPr>
          <w:trHeight w:val="241"/>
        </w:trPr>
        <w:tc>
          <w:tcPr>
            <w:tcW w:w="3840" w:type="dxa"/>
            <w:vAlign w:val="bottom"/>
            <w:tcBorders>
              <w:left w:val="single" w:sz="8" w:color="auto"/>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variety of sizes. The EndoProbe is a sterile disposable product.</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23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9</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global leader in developing, manufacturing, marketing, selling and servicing innovative medical laser systems and associated instrumentation for the treatment of sight-threatening eye diseases, we aim to capitalize on our strong brand and distribution network within the ophthalmology market. Our goal is to promote MicroPulse as a credible treatment option for glaucoma and retinal diseases, while also commercializing a range of products that enhance therapeutic outcomes for patients, streamline physician efficiency, reduce costs, and provide economic benefits to healthcare systems. We are committed to pursuing a variety of organic initiatives, with potential acquisitions serving as a complementary strategy and complementary inorganic initiatives. Through the successful execution of this strategy, we anticipate driving profitable growth and creating increased shareholder value.</w:t>
      </w:r>
    </w:p>
    <w:p>
      <w:pPr>
        <w:spacing w:after="0" w:line="7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To achieve these goals, we are pursuing several organic initiatives that we anticipate will be supplemented from time to time by acquisitions, such as the asset acquisition completed with one of the subsidiaries for Topcon. We anticipate that the successful execution of this strategy will lead to profitable growth and enhanced shareholder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Our products are designed with a system approach in mind, with each system consisting of a laser console that generates laser energy, along with a range of interchangeable delivery devices or single-use disposable probes for use in specific clinical applications. This enables our customers to invest in a basic laser system and expand their therapeutic capabilities over time, with the ability to add additional delivery devices or disposable probes as needed.</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product line currently comprises three main categories: (1) laser consoles, (2) delivery devices, which are optical-mechanical products that can be mounted to ophthalmologists' diagnostic equipment and transmit the laser energy, and (3) single-use disposable probes, which deliver the laser energy to targeted regions inside the eye.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Laser Consoles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laser consoles, which are identified below, incorporate the economic and technical benefits of solid state and semiconductor laser technology to design small, portable and reliable lasers.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Glaucoma:</w:t>
      </w:r>
    </w:p>
    <w:p>
      <w:pPr>
        <w:spacing w:after="0" w:line="131"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Cyclo G6 Laser System. </w:t>
      </w:r>
      <w:r>
        <w:rPr>
          <w:rFonts w:ascii="Times New Roman" w:cs="Times New Roman" w:eastAsia="Times New Roman" w:hAnsi="Times New Roman"/>
          <w:sz w:val="18"/>
          <w:szCs w:val="18"/>
          <w:color w:val="auto"/>
        </w:rPr>
        <w:t>The Cyclo G6 is an infrared (810nm) laser designed to treat patients diagnosed with a range of glaucoma disease states.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Cyclo G6 system is sold with a family of probes that are disposable, including our patented MicroPulse P3 probe that utilizes our MicroPulse technology, our G-Probe and G-Probe Illuminate.</w:t>
      </w:r>
    </w:p>
    <w:p>
      <w:pPr>
        <w:spacing w:after="0" w:line="65"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PASCAL Laser System</w:t>
      </w:r>
      <w:r>
        <w:rPr>
          <w:rFonts w:ascii="Times New Roman" w:cs="Times New Roman" w:eastAsia="Times New Roman" w:hAnsi="Times New Roman"/>
          <w:sz w:val="18"/>
          <w:szCs w:val="18"/>
          <w:color w:val="auto"/>
        </w:rPr>
        <w:t>. The new Iridex PASCAL is available in either 532 nm or 577 nm wavelengths. Pattern Scanning Laser Trabeculoplasty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(“PSLT”) is a tissue-sparing laser treatment for reducing IOP in open angle glaucoma. PSLT provides a rapid, precise, and minimally traumatic computer-guided treatment that applies a sequence of patterns onto the trabecular meshwork.</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Medical retina:</w:t>
      </w:r>
    </w:p>
    <w:p>
      <w:pPr>
        <w:spacing w:after="0" w:line="117" w:lineRule="exact"/>
        <w:rPr>
          <w:sz w:val="20"/>
          <w:szCs w:val="20"/>
          <w:color w:val="auto"/>
        </w:rPr>
      </w:pPr>
    </w:p>
    <w:p>
      <w:pPr>
        <w:ind w:right="80" w:firstLine="509"/>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IQ Laser System. </w:t>
      </w:r>
      <w:r>
        <w:rPr>
          <w:rFonts w:ascii="Times New Roman" w:cs="Times New Roman" w:eastAsia="Times New Roman" w:hAnsi="Times New Roman"/>
          <w:sz w:val="18"/>
          <w:szCs w:val="18"/>
          <w:color w:val="auto"/>
        </w:rPr>
        <w:t>Our IQ laser systems offer our MicroPulse technology but also have CW capabilities. Our IQ 577 delivers visible yellow (577nm)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laser light and our IQ 532 delivers visible green (532nm) laser light. Our IQ laser systems are typically used with our TxCell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Scanning Laser Delivery System and our Slit Lamp Adapters when used to treat retinal disorders with MicroPulse.</w:t>
      </w:r>
    </w:p>
    <w:p>
      <w:pPr>
        <w:spacing w:after="0" w:line="88" w:lineRule="exact"/>
        <w:rPr>
          <w:sz w:val="20"/>
          <w:szCs w:val="20"/>
          <w:color w:val="auto"/>
        </w:rPr>
      </w:pPr>
    </w:p>
    <w:p>
      <w:pPr>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PASCAL Laser System</w:t>
      </w:r>
      <w:r>
        <w:rPr>
          <w:rFonts w:ascii="Times New Roman" w:cs="Times New Roman" w:eastAsia="Times New Roman" w:hAnsi="Times New Roman"/>
          <w:sz w:val="18"/>
          <w:szCs w:val="18"/>
          <w:color w:val="auto"/>
        </w:rPr>
        <w:t>. The new Iridex PASCAL is available in either 532 nm or 577 nm wavelengths. It offers the ultimate combination of pattern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scanning, Endpoint Management Technology, Pattern Scanning Laser Trabeculoplasty, and now, MicroPulse Technology, providing physicians with expanded treatment capabilities in a smaller, ergonomically-optimized laser platform.</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Surgical retina: </w:t>
      </w:r>
      <w:r>
        <w:rPr>
          <w:rFonts w:ascii="Times New Roman" w:cs="Times New Roman" w:eastAsia="Times New Roman" w:hAnsi="Times New Roman"/>
          <w:sz w:val="18"/>
          <w:szCs w:val="18"/>
          <w:color w:val="auto"/>
        </w:rPr>
        <w:t>Our OcuLight TX laser delivers visible green (532nm) laser light. Our OcuLight SLx laser delivers infrared (810 nm) laser light.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Devices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delivery devices are typically used with our IQ and OcuLight laser systems:</w:t>
      </w:r>
    </w:p>
    <w:p>
      <w:pPr>
        <w:spacing w:after="0" w:line="115"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Slit Lamp Adapter (“SLA”). </w:t>
      </w:r>
      <w:r>
        <w:rPr>
          <w:rFonts w:ascii="Times New Roman" w:cs="Times New Roman" w:eastAsia="Times New Roman" w:hAnsi="Times New Roman"/>
          <w:sz w:val="18"/>
          <w:szCs w:val="18"/>
          <w:color w:val="auto"/>
        </w:rPr>
        <w:t>These adapters allow the physician to utilize a standard slit lamp in both diagnosis and treatment procedures. Physicians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install an SLA in a few minutes and convert standard diagnostic slit lamps into a therapeutic laser delivery system. SLAs are used in treatment procedures for both retinal diseases and glaucoma.</w:t>
      </w:r>
    </w:p>
    <w:p>
      <w:pPr>
        <w:spacing w:after="0" w:line="65"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Laser Indirect Ophthalmoscope (“LIO”). </w:t>
      </w:r>
      <w:r>
        <w:rPr>
          <w:rFonts w:ascii="Times New Roman" w:cs="Times New Roman" w:eastAsia="Times New Roman" w:hAnsi="Times New Roman"/>
          <w:sz w:val="18"/>
          <w:szCs w:val="18"/>
          <w:color w:val="auto"/>
        </w:rPr>
        <w:t>The indirect ophthalmoscope is designed to be worn on the physician’s head and to be used in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treat peripheral retinal disorders, particularly in infants or adults requiring treatment in the supine position. This product can be used in both diagnosis and treatment procedures at the point-of-care.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i w:val="1"/>
          <w:iCs w:val="1"/>
          <w:color w:val="auto"/>
        </w:rPr>
        <w:t>Single-use disposable probes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delivery device is typically used with our IQ laser systems:</w:t>
      </w:r>
    </w:p>
    <w:p>
      <w:pPr>
        <w:spacing w:after="0" w:line="331"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TxCell Scanning Laser Delivery System (“TxCell”)</w:t>
      </w:r>
      <w:r>
        <w:rPr>
          <w:rFonts w:ascii="Times New Roman" w:cs="Times New Roman" w:eastAsia="Times New Roman" w:hAnsi="Times New Roman"/>
          <w:sz w:val="18"/>
          <w:szCs w:val="18"/>
          <w:color w:val="auto"/>
        </w:rPr>
        <w:t>. TxCell allows the physician to perform multi-spot pattern scanning for efficient delivery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MicroPulse laser therapy.</w:t>
      </w:r>
    </w:p>
    <w:p>
      <w:pPr>
        <w:spacing w:after="0" w:line="26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MicroPulse P3 Probe. </w:t>
      </w:r>
      <w:r>
        <w:rPr>
          <w:rFonts w:ascii="Times New Roman" w:cs="Times New Roman" w:eastAsia="Times New Roman" w:hAnsi="Times New Roman"/>
          <w:sz w:val="18"/>
          <w:szCs w:val="18"/>
          <w:color w:val="auto"/>
        </w:rPr>
        <w:t>The MicroPulse P3 delivery device is used with our Cyclo G6 laser system to perform transscleral laser therapy (“TLT”)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MicroPulse technology. The MicroPulse P3 probe is used on an anesthetized eye in the doctor’s office or in the operating rooms.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spacing w:after="0" w:line="7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Since the launch of the MicroPulse P3 probe in 2015, we have worked with physicians to optimize treatment techniques and clinical outcomes. During our collaborations, we learned that minor ergonomic probe modifications could facilitate easier use and result in more consistent clinical outcomes. In Q4 2019, we released a revised MicroPulse P3 probe that reflects these modifications. Initial feedback from approximately 150 physicians has been very positive in terms of better viewing of the treatment area, ease of treating small eyes and deep-set eyes, more intuitive probe orientation and placement, better stabilization of the probe on the eye, and improved light coupling to the tissue. In addition, physicians have continued to observe excellent safety profiles and good preliminary clinical results.</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2021, an international panel of 10 glaucoma experts was formed to provide peer-driven contemporary clinical guidance on the use and indications of the revised MicroPulse P3 Probe and Cyclo G6 Laser System for the treatment of glaucoma. They performed a complete analysis of MicroPulse TLT clinical, technical, and practical experience to date, and then conducted a three-round Delphi method to develop recommendations for its clinical application. Two peer-reviewed manuscripts from Clinical Ophthalmology, an international peer-reviewed journal, document their findings and recommendations, and conclude that used with proper energy settings, techniques and treatment indications, MicroPulse TLT is a safe and effective treatment for many cases of glaucoma and is a useful addition to the glaucoma treatment armamentarium.</w:t>
      </w:r>
    </w:p>
    <w:p>
      <w:pPr>
        <w:spacing w:after="0" w:line="8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7"/>
          <w:szCs w:val="17"/>
          <w:i w:val="1"/>
          <w:iCs w:val="1"/>
          <w:color w:val="auto"/>
        </w:rPr>
        <w:t>G-Probe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The G-Probe is used in procedures to treat uncontrolled glaucoma, typically described as “refractory glaucoma.” The G-Probe delivers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CW laser to the ciliary body and is believed to stop the production of aqueous humor, thus reducing IOP. The G-Probe’s non-invasive procedure takes approximately ten minutes and is performed on an anesthetized eye in the doctor’s office or operating rooms. The G-Probe is a sterile disposable product.</w:t>
      </w:r>
    </w:p>
    <w:p>
      <w:pPr>
        <w:spacing w:after="0" w:line="87" w:lineRule="exact"/>
        <w:rPr>
          <w:sz w:val="20"/>
          <w:szCs w:val="20"/>
          <w:color w:val="auto"/>
        </w:rPr>
      </w:pPr>
    </w:p>
    <w:p>
      <w:pPr>
        <w:ind w:firstLine="509"/>
        <w:spacing w:after="0" w:line="228" w:lineRule="auto"/>
        <w:rPr>
          <w:sz w:val="20"/>
          <w:szCs w:val="20"/>
          <w:color w:val="auto"/>
        </w:rPr>
      </w:pPr>
      <w:r>
        <w:rPr>
          <w:rFonts w:ascii="Times New Roman" w:cs="Times New Roman" w:eastAsia="Times New Roman" w:hAnsi="Times New Roman"/>
          <w:sz w:val="18"/>
          <w:szCs w:val="18"/>
          <w:i w:val="1"/>
          <w:iCs w:val="1"/>
          <w:color w:val="auto"/>
        </w:rPr>
        <w:t>G-Probe Illuminate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G-Probe Illuminate is also used in procedures to treat refractory glaucoma. The proprietary illumination feature allows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targeted treatment and may offer additional clinical benefits. The G-Probe Illuminate is a sterile disposable product.</w:t>
      </w:r>
    </w:p>
    <w:p>
      <w:pPr>
        <w:spacing w:after="0" w:line="95" w:lineRule="exact"/>
        <w:rPr>
          <w:sz w:val="20"/>
          <w:szCs w:val="20"/>
          <w:color w:val="auto"/>
        </w:rPr>
      </w:pPr>
    </w:p>
    <w:p>
      <w:pPr>
        <w:ind w:right="80" w:firstLine="509"/>
        <w:spacing w:after="0" w:line="238" w:lineRule="auto"/>
        <w:rPr>
          <w:sz w:val="20"/>
          <w:szCs w:val="20"/>
          <w:color w:val="auto"/>
        </w:rPr>
      </w:pPr>
      <w:r>
        <w:rPr>
          <w:rFonts w:ascii="Times New Roman" w:cs="Times New Roman" w:eastAsia="Times New Roman" w:hAnsi="Times New Roman"/>
          <w:sz w:val="18"/>
          <w:szCs w:val="18"/>
          <w:i w:val="1"/>
          <w:iCs w:val="1"/>
          <w:color w:val="auto"/>
        </w:rPr>
        <w:t>EndoProbe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Handpieces. </w:t>
      </w:r>
      <w:r>
        <w:rPr>
          <w:rFonts w:ascii="Times New Roman" w:cs="Times New Roman" w:eastAsia="Times New Roman" w:hAnsi="Times New Roman"/>
          <w:sz w:val="18"/>
          <w:szCs w:val="18"/>
          <w:color w:val="auto"/>
        </w:rPr>
        <w:t>Our EndoProbe family of products are used for endophotocoagulation, a retinal treatment procedure performed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hospital operating rooms or ambulatory surgical centers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We have close working relationships with researchers, clinicians and practicing physicians around the world who provide new ideas, evaluate prototypes and assist us in validating new products and new applications before they are introduced.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internal research and development (“R&amp;D”) activities are performed by a current team of 20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of the necessary disciplines from product inception through customer acceptance. This process facilitates reliable new product innovations and a consistent pipeline of innovative products for our customers.</w:t>
      </w:r>
    </w:p>
    <w:p>
      <w:pPr>
        <w:spacing w:after="0" w:line="79"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spacing w:after="0" w:line="68"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We believe that it is important to make a substantial contribution to improving clinical outcomes. For instance, we have made substantial investments in improving the treatment of serious eye diseases such as glaucoma and retinal disease.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1" w:name="page12"/>
    <w:bookmarkEnd w:id="11"/>
    <w:p>
      <w:pPr>
        <w:ind w:right="460"/>
        <w:spacing w:after="0" w:line="282" w:lineRule="auto"/>
        <w:rPr>
          <w:sz w:val="20"/>
          <w:szCs w:val="20"/>
          <w:color w:val="auto"/>
        </w:rPr>
      </w:pPr>
      <w:r>
        <w:rPr>
          <w:rFonts w:ascii="Times New Roman" w:cs="Times New Roman" w:eastAsia="Times New Roman" w:hAnsi="Times New Roman"/>
          <w:sz w:val="18"/>
          <w:szCs w:val="18"/>
          <w:color w:val="auto"/>
        </w:rPr>
        <w:t>objectives of developing new treatments and applications are to expand the patient population, to better and more economically treat diseases, to treat patients earlier in the treatment regimen and to reduce the side effects of treatment.</w:t>
      </w:r>
    </w:p>
    <w:p>
      <w:pPr>
        <w:spacing w:after="0" w:line="54" w:lineRule="exact"/>
        <w:rPr>
          <w:sz w:val="20"/>
          <w:szCs w:val="20"/>
          <w:color w:val="auto"/>
        </w:rPr>
      </w:pPr>
    </w:p>
    <w:p>
      <w:pPr>
        <w:ind w:right="680" w:firstLine="509"/>
        <w:spacing w:after="0" w:line="375" w:lineRule="auto"/>
        <w:rPr>
          <w:sz w:val="20"/>
          <w:szCs w:val="20"/>
          <w:color w:val="auto"/>
        </w:rPr>
      </w:pPr>
      <w:r>
        <w:rPr>
          <w:rFonts w:ascii="Times New Roman" w:cs="Times New Roman" w:eastAsia="Times New Roman" w:hAnsi="Times New Roman"/>
          <w:sz w:val="18"/>
          <w:szCs w:val="18"/>
          <w:color w:val="auto"/>
        </w:rPr>
        <w:t xml:space="preserve">We consider clinical projects to be a component of our R&amp;D efforts and they may or may not result in additional commercial opportunities. </w:t>
      </w:r>
      <w:r>
        <w:rPr>
          <w:rFonts w:ascii="Times New Roman" w:cs="Times New Roman" w:eastAsia="Times New Roman" w:hAnsi="Times New Roman"/>
          <w:sz w:val="18"/>
          <w:szCs w:val="18"/>
          <w:b w:val="1"/>
          <w:bCs w:val="1"/>
          <w:color w:val="auto"/>
        </w:rPr>
        <w:t>Customers and Customer Support</w:t>
      </w:r>
    </w:p>
    <w:p>
      <w:pPr>
        <w:spacing w:after="0" w:line="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products are currently sold for use by ophthalmologists specializing in the treatment of eye disease in retina, glaucoma and pediatric eye diseases. Other customers include research and teaching hospitals, government installations, surgical centers, hospitals, veterinary practices, and office clinics (outpatient).</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sales and marketing strategies for 2022 focused on the United States and Germany, primarily through our direct sales team, while we worked with independent distributors for international sales (excluding Germany). We have 28 direct sales personnel in the United States, one in Germany, and seven team members dedicated to managing our distribution sales efforts globally. Sales operations are managed from our headquarters in Mountain View, California. In 2022, international sales accounted for 48.8% of our revenues, respectively. We anticipate that our international sales will remain a significant contributor to our revenue in the future. Our customers are located in Europe, Asia, the Pacific Rim, the Middle East, Africa, and Latin America. We usually enter into exclusive distribution agreements with our international distributors that can be terminated by either party with a 90-day notice.</w:t>
      </w:r>
    </w:p>
    <w:p>
      <w:pPr>
        <w:spacing w:after="0" w:line="7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International sales may be affected by factors such as currency fluctuations, governmental controls, export technology restrictions, political instability, trade restrictions, tariff changes, tax treaties, and economic conditions in each country where we sell our products.</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support our sales activities, we utilize various marketing programs including our website, social media, email marketing, clinical education, trade shows, public relations, market research, key opinion leader collaborations, and advertising in trade and academic journals and newsletters. We also participate in annual trade shows worldwide, which allow us to showcase our products to existing and potential customers.</w:t>
      </w:r>
    </w:p>
    <w:p>
      <w:pPr>
        <w:spacing w:after="0" w:line="6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marketing programs help us collaborate with customers to identify new product ideas and applications that address their needs, enabling us to develop new products, identify new applications for our products, and validate new procedures using our products. Our customers include key opinion leaders in ophthalmology, often heads of departments or university professors. We believe that these experts are critical to the successful introduction of new products and their subsequent acceptance in the market. The validation and commercialization of our new products depend on early adoption by these opinion leaders.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Affairs</w:t>
      </w:r>
    </w:p>
    <w:p>
      <w:pPr>
        <w:spacing w:after="0" w:line="121"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We have established a Clinical Affairs group to facilitate clinical research opportunities, provide specialized ophthalmic surgeon training and credentialing for our proprietary MicroPulse products, develop strong relationships with prominent key opinion leaders, and ensure the accuracy and consistency of our messaging to the market. We recognize that a robust research program and professional training for our customers are essential in driving the application of our technology for widespread and consistent use, and our Clinical Affairs group is dedicated to achieving these goals.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manufacture of our visible light and infrared laser consoles and the related delivery devices is a highly complex and precise process. Completed systems must pass quality control testing and quality assurance review before shipment. Our manufacturing activities consist of specifying, sourcing, assembling and testing of components and certain subassemblies for assembly into our final product. Currently we have a total of 17 employees engaged in manufacturing activities for these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February 2004, we were certified to ISO 13485:2003, which replaced ISO 9001/EN46001 as the international standard for quality systems as applied to medical devices. In December 2018, we were certified to ISO 13485:2016, which superseded the 2003 version of the standard. In August 2008, we received FDA 510(k) clearance on our family of Iridex IQ laser systems. This clearance covers the Iridex IQ 532 Laser and IQ 577 Laser and their associated delivery devices to deliver laser energy in either CW or MicroPulse mode. In January 2015, we received FDA 510(k) clearance for Cyclo G6 Laser. In 2022 and 2023 we received FDA 510(k) clearance for the Iridex Pascal (532 nm and 577 nm models) laser system and the Iridex Laser (532 nm and 577 nm models). These laser systems are intended for a wide range of specific applications in the medical specialties of ophthalmology.</w:t>
      </w:r>
    </w:p>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our medical device products demonstrating compliance to the European Medical Device Directives and/or Medical Device Regulations and all applicable standards. In July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Directives. In May 2021, the Medical Device Directives were superseded by the Medical Device Regulations (“MDR”), with a transition period for our Class IIa and IIb products lasting in effect until May 2024, which allows Iridex to market these products during transition period. In February 2023, the European Parliament voted to extend the MDR transition deadline from 2024 to 2028 for our products. The Company will obtain certification of compliance to the Medical Device Regulations before the transition deadline. Currently, all of our products marketed within the EU are CE marked. Continued certification is based on successful review of quality management systems by our European Registrar (Notified Body) during its periodic audits. Any loss of certification could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principal ophthalmic laser competitors are Alcon Inc., Novartis AG, Bausch Health Companies Inc., Carl Zeiss Meditec AG, Lumenis Ltd., Nidek Co. Ltd., Lumibird, and Norlase.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that we make.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3" w:name="page14"/>
    <w:bookmarkEnd w:id="13"/>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We file patent applications to protect technology, inventions and improvements that are significant to the development of our business. Our patent portfolio includes 62 active United States patents and 85 active international patents on the technologies related to our products and processes. In addition, we have 11 patent applications pending in the United States and 21 international patent applications pending. Our patent applications may not be approved.</w:t>
      </w:r>
    </w:p>
    <w:p>
      <w:pPr>
        <w:spacing w:after="0" w:line="5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 We can provide no assurance that our employees and consultants will abide by the provisions of these agreements and that our confidential information and trade secrets will be protected.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8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the United States, medical devices are classified into one of three classes -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mostly subject to general controls (for example, labeling, pre-market notification and adherence to Quality System Regulations (“QSRs”) requirements). Class II devices typically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and/or non-clinical studies of the device’s safety and effectiveness be performed.</w:t>
      </w:r>
    </w:p>
    <w:p>
      <w:pPr>
        <w:spacing w:after="0" w:line="8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one and six months from the date of submission to grant a 510(k) clearance, but it may take longer.</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effectiveness of the device or that constitute a major change to the intended use of the device will require new 510(k) submissions.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obtained 510(k) clearances for all of our medical device products marketed within the United States that require 510(k) clearance.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8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clearances or approvals are subject to pervasive and continuing regulation by the FDA, including record keeping requirements and reporting of adverse experiences with the use</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4" w:name="page15"/>
    <w:bookmarkEnd w:id="14"/>
    <w:p>
      <w:pPr>
        <w:ind w:right="60"/>
        <w:spacing w:after="0" w:line="277" w:lineRule="auto"/>
        <w:rPr>
          <w:sz w:val="20"/>
          <w:szCs w:val="20"/>
          <w:color w:val="auto"/>
        </w:rPr>
      </w:pPr>
      <w:r>
        <w:rPr>
          <w:rFonts w:ascii="Times New Roman" w:cs="Times New Roman" w:eastAsia="Times New Roman" w:hAnsi="Times New Roman"/>
          <w:sz w:val="17"/>
          <w:szCs w:val="17"/>
          <w:color w:val="auto"/>
        </w:rPr>
        <w:t>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and other regulations, and these inspections may include the manufacturing facilities of our subcontractors.</w:t>
      </w:r>
    </w:p>
    <w:p>
      <w:pPr>
        <w:spacing w:after="0" w:line="6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The revision of the quality system regulation (ISO 13485:2016) has been released that substantially increased the requirements for a medical device quality system. The Medical Device Regulation (“MDR”) has replaced the medical device directives (93/42/EEC), and it substantially changed the way that medical devices are brought to market in the European Union and how they maintain compliance throughout the product’s life cycle. Additionally, the new revision 4 of the clinical evaluation report guidance document (MEDDEV 2.7.1) and the Medical Device Coordination Group (MDCG) guidance document “Regulation (EU) 2017/745: Clinical evidence needed for medical devices previously CE marked under Directives 93/42/EEC or 90/385/EEC” (MDCG 2020-6) severely restricts the use of substantial equivalence for new products, resulting in the need for formal clinical trial data for many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8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an MDL prior to adoption of this requirement are required to transition to the MDSAP. To address this Canadian medical device licensing requirement, Iridex transferred its MDLs to Salient Medical Solutions (“Salient”), Iridex’s distributor in Canada and an entity that is certified under MDSAP. Iridex continues to fabricate the devices as Salient’s contract manufacturer. Salient is now the regulatory manufacturer, and has the licenses necessary to import and sell Iridex’s products into Canada.</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Changes in existing requirements or adoption of new requirements or policies by the FDA or other foreign and domestic regulatory authorities could adversely affect our ability to comply with regulatory requirements. Failure to comply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5" w:name="page16"/>
    <w:bookmarkEnd w:id="15"/>
    <w:p>
      <w:pPr>
        <w:ind w:right="180"/>
        <w:spacing w:after="0" w:line="266" w:lineRule="auto"/>
        <w:rPr>
          <w:sz w:val="20"/>
          <w:szCs w:val="20"/>
          <w:color w:val="auto"/>
        </w:rPr>
      </w:pPr>
      <w:r>
        <w:rPr>
          <w:rFonts w:ascii="Times New Roman" w:cs="Times New Roman" w:eastAsia="Times New Roman" w:hAnsi="Times New Roman"/>
          <w:sz w:val="18"/>
          <w:szCs w:val="18"/>
          <w:color w:val="auto"/>
        </w:rPr>
        <w:t>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w:t>
      </w:r>
    </w:p>
    <w:p>
      <w:pPr>
        <w:spacing w:after="0" w:line="7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Seasonality</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employees are our human capital and they are our greatest strength and most valuable resource. As of December 31, 2022, we had a total of 130 full-time equivalent employees engaged in our ongoing operations, including 52 in operations (including manufacturing, quality, logistics and service), 46 in sales and marketing which does not include six consultants and two independent sales representatives, 20 in R&amp;D and 12 in finance and administration. We also employ, from time to time, a number of temporary and part-time employees as well as consultants on a contract basis. As of December 31, 2022, we had 34 such persons serving in such roles.</w:t>
      </w:r>
    </w:p>
    <w:p>
      <w:pPr>
        <w:spacing w:after="0" w:line="75" w:lineRule="exact"/>
        <w:rPr>
          <w:sz w:val="20"/>
          <w:szCs w:val="20"/>
          <w:color w:val="auto"/>
        </w:rPr>
      </w:pPr>
    </w:p>
    <w:p>
      <w:pPr>
        <w:ind w:right="380" w:firstLine="509"/>
        <w:spacing w:after="0" w:line="289" w:lineRule="auto"/>
        <w:rPr>
          <w:sz w:val="20"/>
          <w:szCs w:val="20"/>
          <w:color w:val="auto"/>
        </w:rPr>
      </w:pPr>
      <w:r>
        <w:rPr>
          <w:rFonts w:ascii="Times New Roman" w:cs="Times New Roman" w:eastAsia="Times New Roman" w:hAnsi="Times New Roman"/>
          <w:sz w:val="17"/>
          <w:szCs w:val="17"/>
          <w:color w:val="auto"/>
        </w:rPr>
        <w:t>Our human capital resources objectives include identifying, recruiting, retaining, incentivizing and integrating our existing and new employees, advisors and consultants. We continuously invest in our workforce by seeking to create a diverse, inclusive, and safe work environment where our employees can learn, innovate, and deliver their best. We are committed to being inclusive to enable our workforce and customers to succeed.</w:t>
      </w:r>
    </w:p>
    <w:p>
      <w:pPr>
        <w:spacing w:after="0" w:line="5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employees are not represented by a collective bargaining organization, and we have never experienced a work stoppage or strike. We consider our employee relations to be good.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 w:name="page17"/>
    <w:bookmarkEnd w:id="16"/>
    <w:p>
      <w:pPr>
        <w:spacing w:after="0" w:line="312" w:lineRule="auto"/>
        <w:rPr>
          <w:sz w:val="20"/>
          <w:szCs w:val="20"/>
          <w:color w:val="auto"/>
        </w:rPr>
      </w:pPr>
      <w:r>
        <w:rPr>
          <w:rFonts w:ascii="Times New Roman" w:cs="Times New Roman" w:eastAsia="Times New Roman" w:hAnsi="Times New Roman"/>
          <w:sz w:val="17"/>
          <w:szCs w:val="17"/>
          <w:color w:val="auto"/>
        </w:rPr>
        <w:t>investors, our customers, and others interested in Iridex to review the information we post on our Facebook page (www.facebook.com/Iridex) and Twitter feed (https://twitter.com/Iridex). Any information on, or that can be accessed through, our website and social media channels is not part of this report.</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4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business operations are subject to numerous risks, factors and uncertainties outside of our control that could cause our actual results to be harmed, including risks regarding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factors</w:t>
      </w:r>
    </w:p>
    <w:p>
      <w:pPr>
        <w:spacing w:after="0" w:line="121"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macroeconomic conditions, including related uncertainties and the COVID-19 pandemic and responsive measures.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factors</w:t>
      </w:r>
    </w:p>
    <w:p>
      <w:pPr>
        <w:spacing w:after="0" w:line="121"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relationship with our strategic partner and main distributor Topcon;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production issues;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laser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our laser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independent sales forces and a network of international distributors to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and applications and improving existing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sales and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ophthalmology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collaborative relationships used to enhance products and applications;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sales volumes, results of operations, and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product demand;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sole source and limited source suppliers;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loss;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 and breaches of data security;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health care providers;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misuse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obtain credit or material increases in interest rates;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our products;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growth effectively.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legal factors</w:t>
      </w:r>
    </w:p>
    <w:p>
      <w:pPr>
        <w:spacing w:after="0" w:line="121"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measures;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coverage and reimbursement policies;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potential governmental, regulatory and other legal proceedings relative to advertising, promotion and marketing;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and proprietary rights related to our intellectual property;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regulations, including the FDA’s quality system regulation and laser performance standards;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18" w:name="page19"/>
    <w:bookmarkEnd w:id="18"/>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for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product liability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trade policies;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laws, including changes to those laws;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requirements.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transactional risks</w:t>
      </w:r>
    </w:p>
    <w:p>
      <w:pPr>
        <w:spacing w:after="0" w:line="121"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of our businesses or product lines;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acquire additional companies or product lines;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Delaware law and contractual provisions that could delay or prevent an acquisition or sale of our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risks and risks related to ownership of our common stock</w:t>
      </w:r>
    </w:p>
    <w:p>
      <w:pPr>
        <w:spacing w:after="0" w:line="12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not to pay dividends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about us by analysts;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of our common stock;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current macroeconomic conditions, including the effects of the COVID-19 pandemic and efforts to mitigate its impact have disrupted, and may continue to disrupt, our operations, including our ability to manufacture and supply products and perform research and development activities, our customers’ usage of our products as demand declines in elective surgeries in response to the COVID-19 pandemic, all of which have had and expected to continue to have a material and adverse effect on our business, future revenues and financial condition. We are unable to predict the extent to which the COVID-19 pandemic and related macroeconomic impacts will continue to adversely impact our business operations, financial performance, results of operations, financial position and the achievement of our strategic objectives</w:t>
      </w:r>
      <w:r>
        <w:rPr>
          <w:rFonts w:ascii="Times New Roman" w:cs="Times New Roman" w:eastAsia="Times New Roman" w:hAnsi="Times New Roman"/>
          <w:sz w:val="18"/>
          <w:szCs w:val="18"/>
          <w:b w:val="1"/>
          <w:bCs w:val="1"/>
          <w:i w:val="1"/>
          <w:iCs w:val="1"/>
          <w:color w:val="212529"/>
        </w:rPr>
        <w:t>.</w:t>
      </w:r>
    </w:p>
    <w:p>
      <w:pPr>
        <w:spacing w:after="0" w:line="7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business, results of operation and financial performance have been negatively impacted by the COVID-19 pandemic and related public health responses, such as travel restrictions in countries and regions in which we have operations or manufacturing partners. Due to these impacts and measures, we have experienced and may continue to experience significant and unpredictable interruptions in the supply of raw materials, components and sub-assemblies necessary to manufacture and assemble our products and reductions in the demand for our products as healthcare customers continue to divert medical resources and priorities towards the treatment of COVID-19. In addition, our customers may delay, cancel or redirect planned capital expenditures in order to focus resources on COVID-19 or in response to macroeconomic disruption related to the COVID-19 pandemic. For example, during the fiscal year ended January 2, 2021, we experienced significant decline in treatment and procedure volume worldwide, as healthcare systems diverted resources to meet the increasing demands of managing COVID-19. In the near term, we expect the COVID-19 pandemic will continue to negatively impact the use of our products and the number of ophthalmic treatments and procedures performed. If the volume of elective procedures continues to remain lower than normal, our results of operations and financial condition will continue to be adversely affected.</w:t>
      </w:r>
    </w:p>
    <w:p>
      <w:pPr>
        <w:spacing w:after="0" w:line="86"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worldwide COVID-19 pandemic, we have adopted several measures including allowing employees to work from home and slowing our manufacturing operations. The COVID-19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 Recently, President Biden announced that the administration intends to end the COVID-19 national and public</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9" w:name="page20"/>
    <w:bookmarkEnd w:id="19"/>
    <w:p>
      <w:pPr>
        <w:ind w:right="620"/>
        <w:spacing w:after="0" w:line="282" w:lineRule="auto"/>
        <w:rPr>
          <w:sz w:val="20"/>
          <w:szCs w:val="20"/>
          <w:color w:val="auto"/>
        </w:rPr>
      </w:pPr>
      <w:r>
        <w:rPr>
          <w:rFonts w:ascii="Times New Roman" w:cs="Times New Roman" w:eastAsia="Times New Roman" w:hAnsi="Times New Roman"/>
          <w:sz w:val="18"/>
          <w:szCs w:val="18"/>
          <w:color w:val="auto"/>
        </w:rPr>
        <w:t>health emergencies on May 11, 2023. The full impact of the termination of the public health emergencies on FDA and other regulatory policies and operations is unclear.</w:t>
      </w:r>
    </w:p>
    <w:p>
      <w:pPr>
        <w:spacing w:after="0" w:line="5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volatile macroeconomic environment, including the COVID-19 pandemic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including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COVID-19 pandemic (including restrictions on travel and transport and workforce pressures); the impact of the COVID-19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current volatile macroeconomic conditions, including the impact of the COVID-19 pandemic, subside. Although the magnitude of the impact of the COVID-19 pandemic on our business operations remains 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137"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strategic partnership with Topcon and the relationship may divert resources away from existing operations or expose us to liabilities, which could adversely affect our business, results of operations and financial condition.</w:t>
      </w:r>
    </w:p>
    <w:p>
      <w:pPr>
        <w:spacing w:after="0" w:line="15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March 2, 2021, we entered into a series of strategic transactions with Topcon, Topcon America Corporation (the “Investor”) and Topcon Medical Laser Systems, Inc., a subsidiary of Topcon (“TMLS”), which included an asset purchase agreement with TMLS, pursuant to which we acquired substantially all the assets (except for cash and cash equivalents) of TMLS, including rights to the PASCAL product (as defined in Note 3 of the Notes to Consolidated Financial Statements)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w:t>
      </w:r>
    </w:p>
    <w:p>
      <w:pPr>
        <w:spacing w:after="0" w:line="8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7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ind w:right="720"/>
        <w:spacing w:after="0" w:line="282" w:lineRule="auto"/>
        <w:rPr>
          <w:sz w:val="20"/>
          <w:szCs w:val="20"/>
          <w:color w:val="auto"/>
        </w:rPr>
      </w:pPr>
      <w:r>
        <w:rPr>
          <w:rFonts w:ascii="Times New Roman" w:cs="Times New Roman" w:eastAsia="Times New Roman" w:hAnsi="Times New Roman"/>
          <w:sz w:val="18"/>
          <w:szCs w:val="18"/>
          <w:color w:val="auto"/>
        </w:rPr>
        <w:t>we are liable, we will need to use some or all our cash to settle those claims or make payments to Topcon pursuant to the terms of the Distribution Agreement.</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71" w:lineRule="exact"/>
        <w:rPr>
          <w:sz w:val="20"/>
          <w:szCs w:val="20"/>
          <w:color w:val="auto"/>
        </w:rPr>
      </w:pPr>
    </w:p>
    <w:p>
      <w:pPr>
        <w:ind w:right="8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5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the past several years, we have experienced supply chain, production and training issues as we have expanded our product lines and sales volumes, and may experience similar issues in the future as we continue to grow our business.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77"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84" w:lineRule="exact"/>
        <w:rPr>
          <w:sz w:val="20"/>
          <w:szCs w:val="20"/>
          <w:color w:val="auto"/>
        </w:rPr>
      </w:pPr>
    </w:p>
    <w:p>
      <w:pPr>
        <w:ind w:right="200" w:firstLine="509"/>
        <w:spacing w:after="0" w:line="289" w:lineRule="auto"/>
        <w:rPr>
          <w:sz w:val="20"/>
          <w:szCs w:val="20"/>
          <w:color w:val="auto"/>
        </w:rPr>
      </w:pPr>
      <w:r>
        <w:rPr>
          <w:rFonts w:ascii="Times New Roman" w:cs="Times New Roman" w:eastAsia="Times New Roman" w:hAnsi="Times New Roman"/>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0"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returns and warranty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or achieve market acceptance;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engineering resources;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one or more of the foregoing factors could seriously harm our business, financial condition and results of operations.</w:t>
      </w:r>
    </w:p>
    <w:p>
      <w:pPr>
        <w:spacing w:after="0" w:line="113"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5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right="80"/>
        <w:spacing w:after="0" w:line="256" w:lineRule="auto"/>
        <w:rPr>
          <w:sz w:val="20"/>
          <w:szCs w:val="20"/>
          <w:color w:val="auto"/>
        </w:rPr>
      </w:pPr>
      <w:r>
        <w:rPr>
          <w:rFonts w:ascii="Times New Roman" w:cs="Times New Roman" w:eastAsia="Times New Roman" w:hAnsi="Times New Roman"/>
          <w:sz w:val="18"/>
          <w:szCs w:val="18"/>
          <w:color w:val="auto"/>
        </w:rPr>
        <w:t>direct and independent sales forces within the United States consist of approximately 28 employees and two independent representatives, respectively, and our direct sales force in Germany consists of one employee. Our international independent distributors are managed by a team of seven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travel is restricted and some services are being performed from home, either permanently or temporarily, all of which could have an impact on our ability to sell and distribute our products.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Growth in our sales and marketing organization may increase costs and create operational challenges without immediately offsetting benefits.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have increased and continue to increase our internal sales and marketing functions. This growth may place a strain on our management, operating and financial systems and our sales, marketing, training and administrative resources. As a result,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international sales for a significant portion of our operating results.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derive, and expect to continue to derive, a large portion of our revenues from international sales. For the fiscal year 2022, our international sales were $27.8 million, or 48.8% of total revenues. We anticipate that international sales will continue to account for a significant portion of our revenues in the foreseeable future. All of our international revenues and costs for the fiscal year 2022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7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the COVID-19 pandemic on the global economy and financial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production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international channel of distributors;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periods;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recessions in global economies and availability of credit;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international regulatory agreements and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and embargoes;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2" w:name="page23"/>
    <w:bookmarkEnd w:id="22"/>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conflicts, terrorist and military activity,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requirements, including continued ability to use the “CE” mark in Europe, and other local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medical reimbursement and coverage policies and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protections of intellectual property rights in jurisdictions outside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such as those related to changes in tax laws or tax rates or their interpretations;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adverse and changing foreign governmental laws and regulations;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risks of non-compliance with multiple regulatory regimes governing the production, marketing, sale and use of our products.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one or more of these factors stated above could have a material adverse effect on our business, financial condition or results of operations.</w:t>
      </w:r>
    </w:p>
    <w:p>
      <w:pPr>
        <w:spacing w:after="0" w:line="117"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8" w:lineRule="exact"/>
        <w:rPr>
          <w:sz w:val="20"/>
          <w:szCs w:val="20"/>
          <w:color w:val="auto"/>
        </w:rPr>
      </w:pPr>
    </w:p>
    <w:p>
      <w:pPr>
        <w:ind w:right="2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delayed due to the impact of the COVID-19 pandemic, and should the current economic conditions worsen, it could delay and disrupt our research and development processes even further.</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worldwide economic slowdowns and related uncertainties.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including inflationary pressures that may cause the cost of manufacturing our products or servicing our products to increase. Concerns about consumer and investor confidence, volatile corporate profits and reduced capital spending, international conflicts, terrorist and military activity, civil unrest and pandemic-related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such as that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occurring in Russia and Ukraine, and terrorist acts may put further pressure on economic conditions in the United States and abroad.</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economic uncertainty persisted, or if the economy entered a prolonged period of decelerating growth, our results of operations may be harmed.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and year to year.</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54" w:lineRule="exact"/>
        <w:rPr>
          <w:sz w:val="20"/>
          <w:szCs w:val="20"/>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including inflationary pressures and political concerns, rising interest rates, the impact of the COVID-19 pandemic, and the war between Russia and Ukraine;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at which we can sell our products, including the impact of changes in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reductions in product shipments, or product recalls, resulting from manufacturing, distribution or other operational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and market acceptance of new products, product enhancements and new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existing line of ophthalmology products;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volumes at a level sufficient to cover fixed manufacturing and operating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product mix within ophthalmology products and foreign and domestic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approvals and changes in domestic and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and highly variable sales cycle;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or potential customers’ budgets as a result of, among other things, reimbursement policies of government programs and private insurers for treatments that use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shipment volumes as a result of product, supply chain due to global constraints or other factors and training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innovation costs.</w:t>
      </w:r>
    </w:p>
    <w:p>
      <w:pPr>
        <w:spacing w:after="0" w:line="11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pandemic on timing of ophthalmic treatment procedures;</w:t>
      </w:r>
    </w:p>
    <w:p>
      <w:pPr>
        <w:spacing w:after="0" w:line="117"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product performance, features, ease of use, scalability and durability, including with respect to our MicroPulse laser photocoagulation systems, and our PASCAL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opinions by ophthalmologists, other clinicians, and their associated opinion leaders;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clinical study outcomes;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products, technologies and alternative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reimbursement for treatments administered with our products.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in our markets and expect the level of competition to grow in the foreseeable future.</w:t>
      </w:r>
    </w:p>
    <w:p>
      <w:pPr>
        <w:spacing w:after="0" w:line="121"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5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principal ophthalmic laser competitors are Alcon Inc., Novartis AG, Bausch Health Companies Inc., Carl Zeiss Meditec AG, Lumenis Ltd., Nidek Co. Ltd., Lumibird, and Norlase.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80" w:lineRule="exact"/>
        <w:rPr>
          <w:sz w:val="20"/>
          <w:szCs w:val="20"/>
          <w:color w:val="auto"/>
        </w:rPr>
      </w:pPr>
    </w:p>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of our businesses or product lines may materially and adversely affect our financial condition, results of operations or cash flows and require us to raise additional capital to replace revenue from those business units or product lines.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have two main businesses: glaucoma and retina, domestic and international operations within each and many product lines within the two businesses. We periodically evaluate the performance and strategic fit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a business or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t>product lines and may need to raise additional capital to replace the revenue generated from the business or product line that is divested.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71"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spacing w:after="0" w:line="8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7"/>
          <w:szCs w:val="17"/>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6" w:name="page27"/>
    <w:bookmarkEnd w:id="26"/>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51"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89"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collaborative relationships to develop, introduce and market new products, product enhancements and new applications.</w:t>
      </w:r>
    </w:p>
    <w:p>
      <w:pPr>
        <w:spacing w:after="0" w:line="121"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61" w:lineRule="exact"/>
        <w:rPr>
          <w:sz w:val="20"/>
          <w:szCs w:val="20"/>
          <w:color w:val="auto"/>
        </w:rPr>
      </w:pPr>
    </w:p>
    <w:p>
      <w:pPr>
        <w:ind w:right="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7" w:name="page28"/>
    <w:bookmarkEnd w:id="27"/>
    <w:p>
      <w:pPr>
        <w:ind w:right="7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patents and proprietary rights to protect our intellectual property and business.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December 31, 2022, our patent portfolio includes 62 active United States patents and 85 active international patents on the technologies related to our products and processes. In addition, as of December 31, 2022, we have 11 patent applications pending in the United States and 21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80"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7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lose key personnel or fail to integrate replacement personnel successfully, our ability to manage our business could be impaired.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2" w:lineRule="exact"/>
        <w:rPr>
          <w:sz w:val="20"/>
          <w:szCs w:val="20"/>
          <w:color w:val="auto"/>
        </w:rPr>
      </w:pPr>
    </w:p>
    <w:p>
      <w:pPr>
        <w:ind w:right="5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sole source or limited source suppliers.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75" w:lineRule="exact"/>
        <w:rPr>
          <w:sz w:val="20"/>
          <w:szCs w:val="20"/>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the COVID-19 pandemic and inflationary pressures on global supply chains and market stability;</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or failure of suppliers to deliver critical components and products on the dates we require;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suppliers to manufacture and assemble components and products to our specifications, and potentially reduced quality;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components and products in a timely manner or at acceptable prices due to global supply chain constraints or other factors.</w:t>
      </w:r>
    </w:p>
    <w:p>
      <w:pPr>
        <w:spacing w:after="0" w:line="117" w:lineRule="exact"/>
        <w:rPr>
          <w:sz w:val="20"/>
          <w:szCs w:val="20"/>
          <w:color w:val="auto"/>
        </w:rPr>
      </w:pPr>
    </w:p>
    <w:p>
      <w:pPr>
        <w:ind w:right="60" w:firstLine="515"/>
        <w:spacing w:after="0" w:line="254" w:lineRule="auto"/>
        <w:rPr>
          <w:sz w:val="20"/>
          <w:szCs w:val="20"/>
          <w:color w:val="auto"/>
        </w:rPr>
      </w:pPr>
      <w:r>
        <w:rPr>
          <w:rFonts w:ascii="Times New Roman" w:cs="Times New Roman" w:eastAsia="Times New Roman" w:hAnsi="Times New Roman"/>
          <w:sz w:val="18"/>
          <w:szCs w:val="18"/>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were to experience catastrophic loss, our operations would be seriously harmed.</w:t>
      </w:r>
    </w:p>
    <w:p>
      <w:pPr>
        <w:spacing w:after="0" w:line="121" w:lineRule="exact"/>
        <w:rPr>
          <w:sz w:val="20"/>
          <w:szCs w:val="20"/>
          <w:color w:val="auto"/>
        </w:rPr>
      </w:pPr>
    </w:p>
    <w:p>
      <w:pPr>
        <w:ind w:right="40" w:firstLine="515"/>
        <w:spacing w:after="0" w:line="258" w:lineRule="auto"/>
        <w:rPr>
          <w:sz w:val="20"/>
          <w:szCs w:val="20"/>
          <w:color w:val="auto"/>
        </w:rPr>
      </w:pPr>
      <w:r>
        <w:rPr>
          <w:rFonts w:ascii="Times New Roman" w:cs="Times New Roman" w:eastAsia="Times New Roman" w:hAnsi="Times New Roman"/>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71" w:lineRule="exact"/>
        <w:rPr>
          <w:sz w:val="20"/>
          <w:szCs w:val="20"/>
          <w:color w:val="auto"/>
        </w:rPr>
      </w:pPr>
    </w:p>
    <w:p>
      <w:pPr>
        <w:ind w:right="300" w:firstLine="51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51" w:lineRule="exact"/>
        <w:rPr>
          <w:sz w:val="20"/>
          <w:szCs w:val="20"/>
          <w:color w:val="auto"/>
        </w:rPr>
      </w:pPr>
    </w:p>
    <w:p>
      <w:pPr>
        <w:ind w:firstLine="515"/>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due to the COVID-19 pandemic or due to political uncertainty and military actions associated with the significant military action against Ukraine launched by Russia.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15"/>
        <w:spacing w:after="0" w:line="261"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72" w:lineRule="exact"/>
        <w:rPr>
          <w:sz w:val="20"/>
          <w:szCs w:val="20"/>
          <w:color w:val="auto"/>
        </w:rPr>
      </w:pPr>
    </w:p>
    <w:p>
      <w:pPr>
        <w:ind w:right="80" w:firstLine="515"/>
        <w:spacing w:after="0" w:line="254" w:lineRule="auto"/>
        <w:rPr>
          <w:sz w:val="20"/>
          <w:szCs w:val="20"/>
          <w:color w:val="auto"/>
        </w:rPr>
      </w:pPr>
      <w:r>
        <w:rPr>
          <w:rFonts w:ascii="Times New Roman" w:cs="Times New Roman" w:eastAsia="Times New Roman" w:hAnsi="Times New Roman"/>
          <w:sz w:val="18"/>
          <w:szCs w:val="18"/>
          <w:color w:val="auto"/>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84" w:lineRule="exact"/>
        <w:rPr>
          <w:sz w:val="20"/>
          <w:szCs w:val="20"/>
          <w:color w:val="auto"/>
        </w:rPr>
      </w:pPr>
    </w:p>
    <w:p>
      <w:pPr>
        <w:ind w:right="80" w:firstLine="515"/>
        <w:spacing w:after="0" w:line="258" w:lineRule="auto"/>
        <w:rPr>
          <w:sz w:val="20"/>
          <w:szCs w:val="20"/>
          <w:color w:val="auto"/>
        </w:rPr>
      </w:pPr>
      <w:r>
        <w:rPr>
          <w:rFonts w:ascii="Times New Roman" w:cs="Times New Roman" w:eastAsia="Times New Roman" w:hAnsi="Times New Roman"/>
          <w:sz w:val="18"/>
          <w:szCs w:val="18"/>
          <w:color w:val="auto"/>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71"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6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75"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regulations which may cause us to delay or withdraw the introduction of new products or new applications for our products.</w:t>
      </w:r>
    </w:p>
    <w:p>
      <w:pPr>
        <w:spacing w:after="0" w:line="5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medical devices that we market and manufacture are subject to extensive regulation by the FDA and by foreign and state governments. Under the FD&amp;C Act and the related regulations, the FDA regulates the design, development, clinical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8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75"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 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spacing w:after="0" w:line="83" w:lineRule="exact"/>
        <w:rPr>
          <w:sz w:val="20"/>
          <w:szCs w:val="20"/>
          <w:color w:val="auto"/>
        </w:rPr>
      </w:pPr>
    </w:p>
    <w:p>
      <w:pPr>
        <w:ind w:right="4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1" w:name="page32"/>
    <w:bookmarkEnd w:id="31"/>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6"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7"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acquired products into our existing business;</w:t>
      </w:r>
    </w:p>
    <w:p>
      <w:pPr>
        <w:spacing w:after="0" w:line="117" w:lineRule="exact"/>
        <w:rPr>
          <w:rFonts w:ascii="Times New Roman" w:cs="Times New Roman" w:eastAsia="Times New Roman" w:hAnsi="Times New Roman"/>
          <w:sz w:val="18"/>
          <w:szCs w:val="18"/>
          <w:color w:val="auto"/>
        </w:rPr>
      </w:pPr>
    </w:p>
    <w:p>
      <w:pPr>
        <w:ind w:left="1020" w:right="9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 acquired company’s technologies, services, employees, customers, partners, business operations and administrative and software management systems with ours;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realizing the benefits of the acquired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time and attention from other business concerns;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customer reaction to the product acquisition;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w:t>
      </w:r>
    </w:p>
    <w:p>
      <w:pPr>
        <w:spacing w:after="0" w:line="11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misused, which could harm our reputation and our business.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Inability of customers to obtain credit or material increases in interest rates may harm our sales.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68"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2" w:lineRule="exact"/>
        <w:rPr>
          <w:sz w:val="20"/>
          <w:szCs w:val="20"/>
          <w:color w:val="auto"/>
        </w:rPr>
      </w:pPr>
    </w:p>
    <w:p>
      <w:pPr>
        <w:ind w:right="440" w:firstLine="509"/>
        <w:spacing w:after="0" w:line="242" w:lineRule="auto"/>
        <w:rPr>
          <w:sz w:val="20"/>
          <w:szCs w:val="20"/>
          <w:color w:val="auto"/>
        </w:rPr>
      </w:pPr>
      <w:r>
        <w:rPr>
          <w:rFonts w:ascii="Times New Roman" w:cs="Times New Roman" w:eastAsia="Times New Roman" w:hAnsi="Times New Roman"/>
          <w:sz w:val="18"/>
          <w:szCs w:val="18"/>
          <w:color w:val="auto"/>
        </w:rPr>
        <w:t>For example, on February 23, 2018, we initiated a worldwide voluntary recall of a specific laser accessory called the TruFocus LIO Premiere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United States,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We submitted a follow up request for termination on September 29, 2021. Our termination request is pending.</w:t>
      </w:r>
    </w:p>
    <w:p>
      <w:pPr>
        <w:spacing w:after="0" w:line="96"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We obtained FDA clearance for an updated TruFocus LIO Premiere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86" w:lineRule="exact"/>
        <w:rPr>
          <w:sz w:val="20"/>
          <w:szCs w:val="20"/>
          <w:color w:val="auto"/>
        </w:rPr>
      </w:pPr>
    </w:p>
    <w:p>
      <w:pPr>
        <w:ind w:right="4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growth effectively, our business could be disrupted which could harm our operating results.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resulting from recent and potential changes in U.S. trade policies could have a material adverse effect on us.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8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68" w:lineRule="exact"/>
        <w:rPr>
          <w:sz w:val="20"/>
          <w:szCs w:val="20"/>
          <w:color w:val="auto"/>
        </w:rPr>
      </w:pPr>
    </w:p>
    <w:p>
      <w:pPr>
        <w:ind w:right="6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tax laws could have a material adverse effect on our business, consolidated cash flow, results of operations or financial conditions.</w:t>
      </w:r>
    </w:p>
    <w:p>
      <w:pPr>
        <w:spacing w:after="0" w:line="5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56"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4" w:name="page35"/>
    <w:bookmarkEnd w:id="34"/>
    <w:p>
      <w:pPr>
        <w:jc w:val="both"/>
        <w:ind w:right="5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78" w:lineRule="exact"/>
        <w:rPr>
          <w:sz w:val="20"/>
          <w:szCs w:val="20"/>
          <w:color w:val="auto"/>
        </w:rPr>
      </w:pPr>
    </w:p>
    <w:p>
      <w:pPr>
        <w:ind w:right="1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7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68"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80"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an investment in our common stock could suffer a decline in value.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including deteriorating market conditions due to investor concerns regarding inflation and hostilities between Russia and Ukraine. During the fourth quarter of fiscal year 2022, the trading price of our common stock fluctuated from a low of $2.00 per share to a high of $2.63 per share. During the fiscal year 2022, the trading price of our common stock fluctuated from a low of $2.00 per share to a high of $6.42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stockholders will benefit from an investment in our common stock only if it appreciates in value.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71" w:lineRule="exact"/>
        <w:rPr>
          <w:sz w:val="20"/>
          <w:szCs w:val="20"/>
          <w:color w:val="auto"/>
        </w:rPr>
      </w:pPr>
    </w:p>
    <w:p>
      <w:pPr>
        <w:ind w:right="1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a few investors, which may affect the ability of a third party to acquire control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by such investors could cause our stock price to decline.</w:t>
      </w:r>
    </w:p>
    <w:p>
      <w:pPr>
        <w:spacing w:after="0" w:line="9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68" w:lineRule="exact"/>
        <w:rPr>
          <w:sz w:val="20"/>
          <w:szCs w:val="20"/>
          <w:color w:val="auto"/>
        </w:rPr>
      </w:pPr>
    </w:p>
    <w:p>
      <w:pPr>
        <w:jc w:val="both"/>
        <w:ind w:right="5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6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77"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anti-takeover provisions of Delaware law, and contractual provisions could delay or prevent an acquisition or sale of our company.</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75"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directors may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is authorized to fill vacant directorships, including newly created seats;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propose other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cumulate votes in the election of directors.</w:t>
      </w:r>
    </w:p>
    <w:p>
      <w:pPr>
        <w:spacing w:after="0" w:line="11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leased a 37,166 square feet facility in Mountain View, California pursuant to a Triple Net Lease dated April 26, 2017 that expired in February 2022. On April 30, 2021, the First Amendment to the Triple Net Lease (“First Amendment”) was executed, among other things, that reduced the portion of the premises leased by the Company to approximately 29,830 square feet and extended the lease term through August 31, 2024.</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consolidated operating results, financial condition or cash flows. Regardless of the outcome, litigation can have an adverse impact on us because of defense and settlement costs, diversion of management resources and other factors. We are not currently party to any material legal proceedings.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7" w:name="page38"/>
    <w:bookmarkEnd w:id="3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4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and Related Stockholder Matters, and Issuer Purchases of Equity Securities Market Information for Common Equity</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currently quoted on the Nasdaq Global Market under the symbol “IRIX”.</w:t>
      </w:r>
    </w:p>
    <w:p>
      <w:pPr>
        <w:spacing w:after="0" w:line="13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March 2, 2023, there were approximately 33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We currently intend to retain any earnings for use in our business and do not anticipate paying cash dividends in the foreseeable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a “smaller reporting company,” as defined in Rule 12b-2 of the Exchange Act, we are not required to provide the information called for by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2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38" w:name="page39"/>
    <w:bookmarkEnd w:id="38"/>
    <w:p>
      <w:pPr>
        <w:ind w:right="3800"/>
        <w:spacing w:after="0" w:line="378"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Iridex Corporation is an ophthalmic medical technology company focused on the development and commercialization of breakthrough products and procedures used to treat sight-threatening eye conditions, including glaucoma and retinal diseases.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propriety MicroPulse®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consist of laser consoles, delivery devices and consumable probes.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laser consoles consist of the following product lines:</w:t>
      </w:r>
    </w:p>
    <w:p>
      <w:pPr>
        <w:spacing w:after="0" w:line="126" w:lineRule="exact"/>
        <w:rPr>
          <w:sz w:val="20"/>
          <w:szCs w:val="20"/>
          <w:color w:val="auto"/>
        </w:rPr>
      </w:pPr>
    </w:p>
    <w:p>
      <w:pPr>
        <w:ind w:left="1020" w:right="140" w:hanging="503"/>
        <w:spacing w:after="0" w:line="23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Our primary glaucoma console line is the Cyclo G6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 with MicroPulse technology. In addition, our medical retina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consoles have features supporting glaucoma laser treatments.</w:t>
      </w:r>
    </w:p>
    <w:p>
      <w:pPr>
        <w:spacing w:after="0" w:line="98" w:lineRule="exact"/>
        <w:rPr>
          <w:rFonts w:ascii="Times New Roman" w:cs="Times New Roman" w:eastAsia="Times New Roman" w:hAnsi="Times New Roman"/>
          <w:sz w:val="18"/>
          <w:szCs w:val="18"/>
          <w:color w:val="auto"/>
        </w:rPr>
      </w:pPr>
    </w:p>
    <w:p>
      <w:pPr>
        <w:ind w:left="1020" w:right="40" w:hanging="503"/>
        <w:spacing w:after="0" w:line="243"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medical-retina product line includes our portable IQ 532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IQ 577</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systems with MicroPulse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97" w:lineRule="exact"/>
        <w:rPr>
          <w:rFonts w:ascii="Times New Roman" w:cs="Times New Roman" w:eastAsia="Times New Roman" w:hAnsi="Times New Roman"/>
          <w:sz w:val="18"/>
          <w:szCs w:val="18"/>
          <w:color w:val="auto"/>
        </w:rPr>
      </w:pPr>
    </w:p>
    <w:p>
      <w:pPr>
        <w:ind w:left="1020" w:right="140" w:hanging="503"/>
        <w:spacing w:after="0" w:line="23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surgical-retina product line includes our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and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SLx (with MicroPulse technology)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photocoagulation systems. These systems are often used in vitrectomy procedures, which are used to treat proliferative diabetic retinopathy, macular holes, retinal tears and detachments.</w:t>
      </w:r>
    </w:p>
    <w:p>
      <w:pPr>
        <w:spacing w:after="0" w:line="92"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laser probes consist of the following product lines:</w:t>
      </w:r>
    </w:p>
    <w:p>
      <w:pPr>
        <w:spacing w:after="0" w:line="126" w:lineRule="exact"/>
        <w:rPr>
          <w:sz w:val="20"/>
          <w:szCs w:val="20"/>
          <w:color w:val="auto"/>
        </w:rPr>
      </w:pPr>
    </w:p>
    <w:p>
      <w:pPr>
        <w:ind w:left="1020" w:hanging="503"/>
        <w:spacing w:after="0" w:line="233"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single-use delivery devices -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 and G-Probe Illuminate®.</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Probes used in our surgical retina product line include our family of single-use EndoProbe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handpieces.</w:t>
      </w:r>
    </w:p>
    <w:p>
      <w:pPr>
        <w:spacing w:after="0" w:line="68"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devices, and EndoProbe handpieces. In the offices and clinics, ophthalmologists use our laser systems with either an indirect laser ophthalmoscope or a slit-lamp adapter.</w:t>
      </w:r>
    </w:p>
    <w:p>
      <w:pPr>
        <w:spacing w:after="0" w:line="92"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In 2022 and 2021, our products were sold in the United States and Germany predominantly through a direct sales force and internationally (aside from Germany) primarily through Topcon Corporation (“Topcon”) and other independent distributors. Total revenues in 2022 and 2021 were $57.0 million and $53.9 million, respectively. We generated net losses of $7.5 million and $5.2 million in 2022 and 2021, respectively.</w:t>
      </w:r>
    </w:p>
    <w:p>
      <w:pPr>
        <w:spacing w:after="0" w:line="5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spacing w:after="0" w:line="75"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primarily of our direct manufacturing costs which include the cost of components and sub-systems, assembling, packaging, shipping and testing components at our facility, direct labor and associated overhead,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9" w:name="page40"/>
    <w:bookmarkEnd w:id="39"/>
    <w:p>
      <w:pPr>
        <w:ind w:right="460"/>
        <w:spacing w:after="0" w:line="282" w:lineRule="auto"/>
        <w:rPr>
          <w:sz w:val="20"/>
          <w:szCs w:val="20"/>
          <w:color w:val="auto"/>
        </w:rPr>
      </w:pPr>
      <w:r>
        <w:rPr>
          <w:rFonts w:ascii="Times New Roman" w:cs="Times New Roman" w:eastAsia="Times New Roman" w:hAnsi="Times New Roman"/>
          <w:sz w:val="18"/>
          <w:szCs w:val="18"/>
          <w:color w:val="auto"/>
        </w:rPr>
        <w:t>warranty, royalty and amortization of intangible assets and depot service costs. For certain of our products, we are responsible for the cost of the fully assembled product that is manufactured by a third-party.</w:t>
      </w:r>
    </w:p>
    <w:p>
      <w:pPr>
        <w:spacing w:after="0" w:line="5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 Including the COVID-19 Pandemic to our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 macroeconomic conditions, including the ongoing COVID-19 pandemic and efforts to mitigate its impact, recessionary fears, inflation concerns, and rising interest rates as a result of government actions to combat inflation, as well as other geopolitical developments, have impacted and may continue to impact business spending and the economy as a whole. As a result, we have seen customers opting for shorter deals and negative effects from foreign exchange fluctuations that have impacted and may continue to impact our operations.</w:t>
      </w:r>
    </w:p>
    <w:p>
      <w:pPr>
        <w:spacing w:after="0" w:line="7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macroeconomic conditions on our business and operations remains highly uncertain, and it is not possible for us to predict the duration and extent to which they will affect our business, future results of operations, and financial condition.</w:t>
      </w:r>
    </w:p>
    <w:p>
      <w:pPr>
        <w:spacing w:after="0" w:line="54" w:lineRule="exact"/>
        <w:rPr>
          <w:sz w:val="20"/>
          <w:szCs w:val="20"/>
          <w:color w:val="auto"/>
        </w:rPr>
      </w:pPr>
    </w:p>
    <w:p>
      <w:pPr>
        <w:ind w:right="1880"/>
        <w:spacing w:after="0" w:line="375" w:lineRule="auto"/>
        <w:rPr>
          <w:sz w:val="20"/>
          <w:szCs w:val="20"/>
          <w:color w:val="auto"/>
        </w:rPr>
      </w:pPr>
      <w:r>
        <w:rPr>
          <w:rFonts w:ascii="Times New Roman" w:cs="Times New Roman" w:eastAsia="Times New Roman" w:hAnsi="Times New Roman"/>
          <w:sz w:val="18"/>
          <w:szCs w:val="18"/>
          <w:color w:val="auto"/>
        </w:rPr>
        <w:t xml:space="preserve">For more information on risks associated with the COVID-19 pandemic, see the section titled “Risk Factors” in Item 1A of Part I. </w:t>
      </w:r>
      <w:r>
        <w:rPr>
          <w:rFonts w:ascii="Times New Roman" w:cs="Times New Roman" w:eastAsia="Times New Roman" w:hAnsi="Times New Roman"/>
          <w:sz w:val="18"/>
          <w:szCs w:val="18"/>
          <w:b w:val="1"/>
          <w:bCs w:val="1"/>
          <w:color w:val="auto"/>
        </w:rPr>
        <w:t>Results of Operations - 2022 and 2021</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fiscal year ends on the Saturday closest to December 31. Fiscal 2022 ended on December 31, 2022 and fiscal 2021 ended on January 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years 2022 and 2021 each included 52 weeks of operations.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1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40" w:type="dxa"/>
            <w:vAlign w:val="bottom"/>
            <w:gridSpan w:val="4"/>
          </w:tcPr>
          <w:p>
            <w:pPr>
              <w:jc w:val="right"/>
              <w:ind w:right="135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220" w:type="dxa"/>
            <w:vAlign w:val="bottom"/>
          </w:tcPr>
          <w:p>
            <w:pPr>
              <w:spacing w:after="0"/>
              <w:rPr>
                <w:sz w:val="21"/>
                <w:szCs w:val="21"/>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57.6 %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220" w:type="dxa"/>
            <w:vAlign w:val="bottom"/>
          </w:tcPr>
          <w:p>
            <w:pPr>
              <w:spacing w:after="0"/>
              <w:rPr>
                <w:sz w:val="21"/>
                <w:szCs w:val="21"/>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12.7 %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220" w:type="dxa"/>
            <w:vAlign w:val="bottom"/>
          </w:tcPr>
          <w:p>
            <w:pPr>
              <w:spacing w:after="0"/>
              <w:rPr>
                <w:sz w:val="21"/>
                <w:szCs w:val="21"/>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27.2 %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220" w:type="dxa"/>
            <w:vAlign w:val="bottom"/>
          </w:tcPr>
          <w:p>
            <w:pPr>
              <w:spacing w:after="0"/>
              <w:rPr>
                <w:sz w:val="21"/>
                <w:szCs w:val="21"/>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16.4 %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140" w:type="dxa"/>
            <w:vAlign w:val="bottom"/>
          </w:tcPr>
          <w:p>
            <w:pPr>
              <w:spacing w:after="0"/>
              <w:rPr>
                <w:sz w:val="20"/>
                <w:szCs w:val="20"/>
                <w:color w:val="auto"/>
              </w:rPr>
            </w:pPr>
          </w:p>
        </w:tc>
        <w:tc>
          <w:tcPr>
            <w:tcW w:w="26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57.8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56.3 %</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21"/>
                <w:szCs w:val="21"/>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4.3 %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20" w:type="dxa"/>
            <w:vAlign w:val="bottom"/>
          </w:tcPr>
          <w:p>
            <w:pPr>
              <w:spacing w:after="0"/>
              <w:rPr>
                <w:sz w:val="21"/>
                <w:szCs w:val="21"/>
                <w:color w:val="auto"/>
              </w:rPr>
            </w:pPr>
          </w:p>
        </w:tc>
        <w:tc>
          <w:tcPr>
            <w:tcW w:w="17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0.1 %</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2022 and 2021</w:t>
            </w: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2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20" w:type="dxa"/>
            <w:vAlign w:val="bottom"/>
          </w:tcPr>
          <w:p>
            <w:pPr>
              <w:spacing w:after="0"/>
              <w:rPr>
                <w:sz w:val="24"/>
                <w:szCs w:val="24"/>
                <w:color w:val="auto"/>
              </w:rPr>
            </w:pPr>
          </w:p>
        </w:tc>
        <w:tc>
          <w:tcPr>
            <w:tcW w:w="2220" w:type="dxa"/>
            <w:vAlign w:val="bottom"/>
            <w:gridSpan w:val="3"/>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0" w:type="dxa"/>
            <w:vAlign w:val="bottom"/>
          </w:tcPr>
          <w:p>
            <w:pPr>
              <w:spacing w:after="0"/>
              <w:rPr>
                <w:sz w:val="1"/>
                <w:szCs w:val="1"/>
                <w:color w:val="auto"/>
              </w:rPr>
            </w:pPr>
          </w:p>
        </w:tc>
      </w:tr>
      <w:tr>
        <w:trPr>
          <w:trHeight w:val="228"/>
        </w:trPr>
        <w:tc>
          <w:tcPr>
            <w:tcW w:w="3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Cyclo G6</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3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Retina</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24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56"/>
        </w:trPr>
        <w:tc>
          <w:tcPr>
            <w:tcW w:w="3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w w:val="98"/>
              </w:rPr>
              <w:t>1,774</w:t>
            </w:r>
          </w:p>
        </w:tc>
        <w:tc>
          <w:tcPr>
            <w:tcW w:w="24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6"/>
        </w:trPr>
        <w:tc>
          <w:tcPr>
            <w:tcW w:w="3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260" w:type="dxa"/>
            <w:vAlign w:val="bottom"/>
          </w:tcPr>
          <w:p>
            <w:pPr>
              <w:spacing w:after="0"/>
              <w:rPr>
                <w:sz w:val="20"/>
                <w:szCs w:val="20"/>
                <w:color w:val="auto"/>
              </w:rPr>
            </w:pPr>
          </w:p>
        </w:tc>
        <w:tc>
          <w:tcPr>
            <w:tcW w:w="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53,903</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w w:val="98"/>
              </w:rPr>
              <w:t>3,069</w:t>
            </w:r>
          </w:p>
        </w:tc>
        <w:tc>
          <w:tcPr>
            <w:tcW w:w="24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-3848100</wp:posOffset>
            </wp:positionV>
            <wp:extent cx="570039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-3531235</wp:posOffset>
            </wp:positionV>
            <wp:extent cx="5700395"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4718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-2905125</wp:posOffset>
            </wp:positionV>
            <wp:extent cx="5700395"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4800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-2262505</wp:posOffset>
            </wp:positionV>
            <wp:extent cx="570039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-1945005</wp:posOffset>
            </wp:positionV>
            <wp:extent cx="570039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1797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-1148080</wp:posOffset>
            </wp:positionV>
            <wp:extent cx="641223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-839470</wp:posOffset>
            </wp:positionV>
            <wp:extent cx="6412230" cy="342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34290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total revenues increased by $3.1 million or 5.7% from $53.9 million in 2021 to $57.0 million in 2022. Revenues from retina products increased by 1.8% overall, driven by strong sales in the domestic market offset by lower sales in the international markets. Revenues from G6 products increased by 5.3% overall, driven primarily by an increase in Cyclo G6 probes and system sales in the domestic market, offset by lower sales of G6 probes and system sales in the international markets. Other revenues, comprised of service, royalty, freight, legacy G probes and revenue related to exclusive distribution rights, increased 20.1% overall, driven primarily by an increase in service revenue and the revenue related to exclusive distribution rights due to a full year of recognition.</w:t>
      </w:r>
    </w:p>
    <w:p>
      <w:pPr>
        <w:spacing w:after="0" w:line="7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that demand for our products remains and our outlook has improved, the overall capital expenditure landscape within hospitals, surgical centers and physician offices is still being impacted by the general level of uncertainty brought on by the COVID-19 pandemic and the spread of other variants. Until the COVID-19 pandemic subsides, we anticipate capital expenditures may continue to be deferred.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Gross profit increased by $2.6 million or 11.1% from $22.8 million in 2021 to $25.4 million in 2022. Gross margin increased by 2.1%% from 42.4% in 2021 to 44.5% in 2022. The increase in gross margin was primarily attributable to favorable product mix as we were able to sell more products with higher profit margins and an increase in the profitable exclusive distribution fees.</w:t>
      </w:r>
    </w:p>
    <w:p>
      <w:pPr>
        <w:spacing w:after="0" w:line="6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R&amp;D expenses increased by $0.3 million or 4.5% from $6.9 million in 2021 to $7.2 million in 2022. The increase in spending was primarily attributable to the costs of a newly released console product.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$3.5 million or 24.2%, from $14.6 million in 2021 to $18.2 million in 2022. The increase was primarily attributable to an increase in personnel costs and travel expenses due to an increase in headcount, higher commission expense because of higher sales, and increase in marketing and advertising costs to promote the release of a new system product.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$1.3 million or 14.7% from $8.9 million in 2021 to $7.6 million in 2022. The decrease was primarily attributable to a decrease in bonus accrual and a decrease in legal and consulting expenses associated with the acquisition of the PASCAL Business and the execution of the Distribution Agreement with Topcon, offset by an increase in provisions for bad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income, net amounted to $60 thousand in 2022 and $2.3 million in 2021. Other income, net, consisted primarily of interest income or expense and foreign currency gain or loss. We recognized a $2.5 million gain on forgiveness of the PPP Loan (as defined in Note 11 of the Notes to Consolidated Financial Statements) as other income during the fiscal year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We recorded a provision for income taxes of $65 thousand for the year ended December 31, 2022 compared to $40 thousand for the year ended January 1, 2022. The effective tax rate for the year ended December 31, 2022 was negative 0.87% compared to an effective tax rate of negative 0.77% for the year ended January 1, 2022. The income tax valuation allowance was $23.1 million at the end of 2022 compared to $21.3 million at the end of 2021.</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2022 and 2021</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we had cash and cash equivalents of $13.9 million and working capital of $23.3 million compared to cash and cash equivalents of $23.9 million and working capital of $29.6 million as of January 1, 2022.</w:t>
      </w:r>
    </w:p>
    <w:p>
      <w:pPr>
        <w:spacing w:after="0" w:line="5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$9.5 million in 2022 compared to net cash provided by operating activities of $8.2 million in 2021. The increase in net cash used in operating activities, expressed in direct cash flow terms, was primarily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1" w:name="page42"/>
    <w:bookmarkEnd w:id="41"/>
    <w:p>
      <w:pPr>
        <w:ind w:right="160"/>
        <w:spacing w:after="0" w:line="266" w:lineRule="auto"/>
        <w:rPr>
          <w:sz w:val="20"/>
          <w:szCs w:val="20"/>
          <w:color w:val="auto"/>
        </w:rPr>
      </w:pPr>
      <w:r>
        <w:rPr>
          <w:rFonts w:ascii="Times New Roman" w:cs="Times New Roman" w:eastAsia="Times New Roman" w:hAnsi="Times New Roman"/>
          <w:sz w:val="18"/>
          <w:szCs w:val="18"/>
          <w:color w:val="auto"/>
        </w:rPr>
        <w:t>due to higher vendor payments, higher payroll because of higher headcount, and higher commissions due to higher sales, partially offset by an increase in cash receipts from customers. During 2022, the company added approximately $3.5 million to inventory and prepaid materials to mitigate supply chain constraints, which are expected to unwind throughout 2023.</w:t>
      </w:r>
    </w:p>
    <w:p>
      <w:pPr>
        <w:spacing w:after="0" w:line="6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During 2022, net cash used in investing activities was $0.3 million for capital expenditures. During 2021, net cash used in investing activities was $5.6 million, which consisted primarily of the purchase of the PASCAL Business for $5.3 million.</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2022, net cash used in financing activities was $0.1 million, primarily from payroll taxes related to net share settlement of equity awards partially offset by the net proceeds arising from the proceeds from stock option exercises. During 2021, net cash provided by financing activities was $9.5 million, primarily from the net proceeds arising from the issuance of common stock and proceeds from stock option exercises, partially offset by payroll taxes related to the net share settlement of equity awards.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sales of our products to customers, and through common stock and borrowing arrangements. As of December 31, 2022, our principal sources of liquidity consisted of cash and cash equivalents of $13.9 million. We have incurred net losses over the last several years, and as of December 31, 2022, have an accumulated deficit of approximately $69.7 million. We expect to continue to incur operating losses and negative cash flows from operations.</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has an existing Loan and Security Agreement (“Loan Agreement”) with Silicon Valley Bank providing for up to $8.0 million secured revolving loan facility (“Revolving Loan Facility”). In March 2022, the Fourth Amendment to the Loan Agreement was executed primarily to extend the term through May 31, 2022. In June 2022, the Fifth Amendment to the Loan Agreement was executed primarily to extend the term through December 1, 2023. As of December 31, 2022 and January 1, 2022, there were no amounts outstanding under the Loan Agreement.</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ASC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5"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We have the following revenue transaction types: (1) Product Sale Only, (2) Service Contracts, (3) System Repairs (outside of warranty), (4) Royalty Revenue and (5) Exclusive Distribution Rights.</w:t>
      </w:r>
    </w:p>
    <w:p>
      <w:pPr>
        <w:spacing w:after="0" w:line="54" w:lineRule="exact"/>
        <w:rPr>
          <w:sz w:val="20"/>
          <w:szCs w:val="20"/>
          <w:color w:val="auto"/>
        </w:rPr>
      </w:pPr>
    </w:p>
    <w:p>
      <w:pPr>
        <w:ind w:left="1020" w:right="220" w:hanging="503"/>
        <w:spacing w:after="0" w:line="258"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Our products consist of laser consoles, delivery devices and consumable instrumentation, including laser probes. Our products are currently sold for use by ophthalmologists specializing in the treatment of glaucoma and retinal diseases. Inside the United States and Germany, the products are sold directly to the end users. In other countries outside of the United States and Germany, we utilize independent, third-party distributors to market and sell our products. There is no continuing obligation after shipment is made to these distributors.</w:t>
      </w:r>
    </w:p>
    <w:p>
      <w:pPr>
        <w:spacing w:after="0" w:line="75" w:lineRule="exact"/>
        <w:rPr>
          <w:rFonts w:ascii="Times New Roman" w:cs="Times New Roman" w:eastAsia="Times New Roman" w:hAnsi="Times New Roman"/>
          <w:sz w:val="18"/>
          <w:szCs w:val="18"/>
          <w:color w:val="auto"/>
        </w:rPr>
      </w:pPr>
    </w:p>
    <w:p>
      <w:pPr>
        <w:ind w:left="102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from product sale at a point in time subject to the allocation of transaction price to additional performance obligations, if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2" w:name="page43"/>
    <w:bookmarkEnd w:id="42"/>
    <w:p>
      <w:pPr>
        <w:ind w:left="503" w:right="6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We offer a standard two-year warranty on all system sales. We also offer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67" w:lineRule="exact"/>
        <w:rPr>
          <w:rFonts w:ascii="Times New Roman" w:cs="Times New Roman" w:eastAsia="Times New Roman" w:hAnsi="Times New Roman"/>
          <w:sz w:val="18"/>
          <w:szCs w:val="18"/>
          <w:color w:val="auto"/>
        </w:rPr>
      </w:pPr>
    </w:p>
    <w:p>
      <w:pPr>
        <w:ind w:left="503"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from service contracts ratably over the service period. Revenue recognition for the sale of a service contract is largely dependent on the timing of the sale as follows:</w:t>
      </w:r>
    </w:p>
    <w:p>
      <w:pPr>
        <w:spacing w:after="0" w:line="53" w:lineRule="exact"/>
        <w:rPr>
          <w:rFonts w:ascii="Times New Roman" w:cs="Times New Roman" w:eastAsia="Times New Roman" w:hAnsi="Times New Roman"/>
          <w:sz w:val="18"/>
          <w:szCs w:val="18"/>
          <w:color w:val="auto"/>
        </w:rPr>
      </w:pPr>
    </w:p>
    <w:p>
      <w:pPr>
        <w:jc w:val="both"/>
        <w:ind w:left="1023" w:right="140" w:hanging="502"/>
        <w:spacing w:after="0" w:line="289" w:lineRule="auto"/>
        <w:tabs>
          <w:tab w:leader="none" w:pos="102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Contract Sale in Conjunction with System Sale: If the customer opts to purchase a service contract at the time of the system sale, we allocate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49" w:lineRule="exact"/>
        <w:rPr>
          <w:rFonts w:ascii="Times New Roman" w:cs="Times New Roman" w:eastAsia="Times New Roman" w:hAnsi="Times New Roman"/>
          <w:sz w:val="17"/>
          <w:szCs w:val="17"/>
          <w:color w:val="auto"/>
        </w:rPr>
      </w:pPr>
    </w:p>
    <w:p>
      <w:pPr>
        <w:ind w:left="1043" w:right="140" w:hanging="519"/>
        <w:spacing w:after="0" w:line="255" w:lineRule="auto"/>
        <w:tabs>
          <w:tab w:leader="none" w:pos="104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we determine the amount of time that has elapsed since the initial system sale. If the service contract is purchased within 60 days of the initial sale, we consider this sale to be an additional element of the original sale and allocate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80"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us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503"/>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from system repairs (outside of warranty) at a point in time. When the customer requests repairs from us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67" w:lineRule="exact"/>
        <w:rPr>
          <w:rFonts w:ascii="Times New Roman" w:cs="Times New Roman" w:eastAsia="Times New Roman" w:hAnsi="Times New Roman"/>
          <w:sz w:val="18"/>
          <w:szCs w:val="18"/>
          <w:color w:val="auto"/>
        </w:rPr>
      </w:pPr>
    </w:p>
    <w:p>
      <w:pPr>
        <w:ind w:left="503" w:right="46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We have royalty agreements with four customers related to sale of our intellectual property. Under the terms of these agreements, three customers are required to remit a percentage of sales to us as the sales occur and one customer made an upfront prepayment for royalties.</w:t>
      </w:r>
    </w:p>
    <w:p>
      <w:pPr>
        <w:spacing w:after="0" w:line="67" w:lineRule="exact"/>
        <w:rPr>
          <w:rFonts w:ascii="Times New Roman" w:cs="Times New Roman" w:eastAsia="Times New Roman" w:hAnsi="Times New Roman"/>
          <w:sz w:val="18"/>
          <w:szCs w:val="18"/>
          <w:color w:val="auto"/>
        </w:rPr>
      </w:pPr>
    </w:p>
    <w:p>
      <w:pPr>
        <w:ind w:left="503"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with three customers are for sales-based licenses of intellectual property, for which the guidance in paragraph ASC 606-10-55-65 applies. Therefore, we recognize revenue at a point in time, only as the subsequent sale occurs. However, we note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we concluded that there is one combined performance obligation to be satisfied. Therefore, we recognize revenue related to this arrangement over time.</w:t>
      </w:r>
    </w:p>
    <w:p>
      <w:pPr>
        <w:spacing w:after="0" w:line="18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45" w:right="359" w:bottom="1440" w:gutter="0" w:footer="0" w:header="0"/>
        </w:sectPr>
      </w:pPr>
    </w:p>
    <w:bookmarkStart w:id="43" w:name="page44"/>
    <w:bookmarkEnd w:id="43"/>
    <w:p>
      <w:pPr>
        <w:ind w:left="102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Rights: In March 2021, we entered into a distribution agreement with Topcon, pursuant to which we granted Topcon exclusive right to distribute our retina and glaucoma products in certain geographies outside the United States. The exclusivity arrangement with Topcon obligates us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We have the right to terminate the exclusive distribution rights granted to Topcon for any of the regions at any point in time during the 10-year exclusivity term for a termination fee that is based on a multiple of 1.2 times the revenue generated by us in 2019 for the respective region. We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we fully constrained and returned to Topcon the arrangement fee allocated to Belarus (approximately $0.2 million recorded as customer deposit under Other current liabilities) because obtaining the necessary regulatory approvals and termination of existing distributor relationship was not feasible. During fiscal years ended 2022 and 2021, $1.3 million and $0.6 million in revenue related to the exclusive distribution rights was recorded,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Revenue Contracts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December 31, 2022 and January 1, 2022, we recognized deferred costs incurred to obtain revenue contracts with customers, net of accumulated amortization, of $0.2 million and $0, respectively, and included these amounts in Prepaid expenses and other current assets and Other long-term assets in our consolidated balance sheets. Amortization expense was $36 thousand and $0, respectively, for the fiscal years ended December 31, 2022 and January 1, 2022. There were no impairment expenses for both the fiscal years ended December 31, 2022 and January 1, 2022, respectively.</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Sales commissions that do not represent incremental and recoverable costs of obtaining a contract are expensed as incurred. As a practical expedient, we will not recognize such sales commission as a contract asset but rather recognize as expense when incurred if the amortization period of the asset that we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December 31, 2022 and January 1, 2022, we recognized deferred costs incurred to fulfill a contract with a customer, net of accumulated amortization, of $0.8 million and $0.3 million, respectively, and included these amounts in Prepaid expenses and other current assets and Other long-term assets in the Company’s consolidated balance sheets. Amortization expense was $62 thousand and $0, respectively, for the fiscal years ended December 31, 2022 and January 1, 2022. There were no impairment expenses for both the fiscal years ended December 31, 2022 and January 1, 2022,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Sales Returns Allowance and Allowance for Doubtful Accounts</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Similarly, management must make estimates regarding the uncollectibility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Our warranty policy is applicable to products which are considered defective in their performance or fail to meet the product specifications. Warranty costs are reflected in the consolidated statements of operations as cost of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December 31, 2022, based on our recent history of losses and its forecasted losses, management believes on the more likely than not basis that a full valuation allowance is required. Accordingly, as of December 31, 2022, we provided a full valuation allowance on our federal and state deferred tax assets.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December 31,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account for stock-based compensation granted to employees and directors, including employees’ stock option awards and restricted stock units at grant date, based on the fair value of the award. Stock-based compensation is recognized as expense on a ratable basis over the requisite service period of the award.</w:t>
      </w:r>
    </w:p>
    <w:p>
      <w:pPr>
        <w:spacing w:after="0" w:line="68"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net and Operating lease liabilities in our consolidated balance sheets. As of December 31, 2022, we were not a party to finance lease arrangements.</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79" w:lineRule="exact"/>
        <w:rPr>
          <w:sz w:val="20"/>
          <w:szCs w:val="20"/>
          <w:color w:val="auto"/>
        </w:rPr>
      </w:pPr>
    </w:p>
    <w:p>
      <w:pPr>
        <w:ind w:right="1940" w:firstLine="509"/>
        <w:spacing w:after="0" w:line="375" w:lineRule="auto"/>
        <w:rPr>
          <w:sz w:val="20"/>
          <w:szCs w:val="20"/>
          <w:color w:val="auto"/>
        </w:rPr>
      </w:pPr>
      <w:r>
        <w:rPr>
          <w:rFonts w:ascii="Times New Roman" w:cs="Times New Roman" w:eastAsia="Times New Roman" w:hAnsi="Times New Roman"/>
          <w:sz w:val="18"/>
          <w:szCs w:val="18"/>
          <w:color w:val="auto"/>
        </w:rPr>
        <w:t xml:space="preserve">Under the available practical expedient, we account for the lease and non-lease components as a single lease component. </w:t>
      </w:r>
      <w:r>
        <w:rPr>
          <w:rFonts w:ascii="Times New Roman" w:cs="Times New Roman" w:eastAsia="Times New Roman" w:hAnsi="Times New Roman"/>
          <w:sz w:val="18"/>
          <w:szCs w:val="18"/>
          <w:i w:val="1"/>
          <w:iCs w:val="1"/>
          <w:color w:val="auto"/>
        </w:rPr>
        <w:t>Foreign Currency</w:t>
      </w:r>
    </w:p>
    <w:p>
      <w:pPr>
        <w:spacing w:after="0" w:line="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our Consolidated Balance Sheets in the stockholders’ equity section as a component of accumulated other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consolidated financial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consolidated balance sheets as of December 31, 2022 and January 1, 2022 and the consolidated statements of operations, comprehensive loss, stockholders’ equity and cash flows for each of our fiscal years 2022 and 2021 together with the related notes and the report of our independent registered public accounting firm, are on the following pages. Additional required financial information is described in Item 15.</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3" w:right="439" w:bottom="1440" w:gutter="0" w:footer="0" w:header="0"/>
        </w:sectPr>
      </w:pPr>
    </w:p>
    <w:bookmarkStart w:id="46" w:name="page47"/>
    <w:bookmarkEnd w:id="4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IRIDEX Corporation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IRIDEX Corporation (a Delaware corporation) and its subsidiaries (the “Company”) as of December 31, 2022 and January 1, 2022, and the related consolidated statements of operations, comprehensive loss,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as of December 31, 2022 and January 1, 2022, and the results of its operations and its cash flows for each of the two years in the period ended December 31, 2022, in conformity with accounting principles generally accepted in the United States of America.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w:t>
      </w:r>
      <w:r>
        <w:rPr>
          <w:rFonts w:ascii="Arial" w:cs="Arial" w:eastAsia="Arial" w:hAnsi="Arial"/>
          <w:sz w:val="18"/>
          <w:szCs w:val="18"/>
          <w:color w:val="auto"/>
        </w:rPr>
        <w:t>“</w:t>
      </w:r>
      <w:r>
        <w:rPr>
          <w:rFonts w:ascii="Times New Roman" w:cs="Times New Roman" w:eastAsia="Times New Roman" w:hAnsi="Times New Roman"/>
          <w:sz w:val="18"/>
          <w:szCs w:val="18"/>
          <w:color w:val="auto"/>
        </w:rPr>
        <w:t>PCAOB</w:t>
      </w:r>
      <w:r>
        <w:rPr>
          <w:rFonts w:ascii="Arial" w:cs="Arial" w:eastAsia="Arial" w:hAnsi="Arial"/>
          <w:sz w:val="18"/>
          <w:szCs w:val="18"/>
          <w:color w:val="auto"/>
        </w:rPr>
        <w:t>”</w:t>
      </w:r>
      <w:r>
        <w:rPr>
          <w:rFonts w:ascii="Times New Roman" w:cs="Times New Roman" w:eastAsia="Times New Roman" w:hAnsi="Times New Roman"/>
          <w:sz w:val="18"/>
          <w:szCs w:val="18"/>
          <w:color w:val="auto"/>
        </w:rPr>
        <w:t>)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 - Adjustments for Excess or Obsolete Inventories</w:t>
      </w:r>
    </w:p>
    <w:p>
      <w:pPr>
        <w:spacing w:after="0" w:line="11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described in Notes 2 and 6 to the consolidated financial statements, the Company has inventories with a carrying value of $10.6 million as of December 31, 2022. The Company’s inventories are stated at the lower of cost or net realizable value.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The Company’s inventories include demonstration units (“demos”) to facilitate the sale of products to prospective customers and loaners for existing customers to use while their product is under repair.</w:t>
      </w:r>
    </w:p>
    <w:p>
      <w:pPr>
        <w:spacing w:after="0" w:line="7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net realizable value adjustments to inventories is a critical audit matter are the significant amount of judgment by management in developing the assumptions of the forecasted changes in demand, product life cycle and development plans, component cost trends, product pricing, physical deterioration and quality issues, which in turn led to significant auditor judgment, subjectivity, and effort in performing audit procedures and evaluating audit evidence relating to these factors. Additionally, for certain new product launches there may be limited historical data with which to evaluate forecasts.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firstLine="749"/>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obtaining an understanding of the Company’s inventory reserve review process, including the assumptions and data underlying the excess and obsolete inventory valuation. The procedures also included, among others, testing management’s process for developing the estimate of the adjustments for excess or obsolete inventories, testing the completeness and accuracy of the underlying data used in the estimate, and evaluating management’s assumptions of forecasted product demand. Evaluating management’s demand forecast for reasonableness involved considering historical sales by product, comparing prior period estimates to actual results, and determining whether the demand forecast used was consistent with evidence obtained in other areas of the audit.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00" w:type="dxa"/>
            <w:vAlign w:val="bottom"/>
          </w:tcPr>
          <w:p>
            <w:pPr>
              <w:spacing w:after="0"/>
              <w:rPr>
                <w:sz w:val="15"/>
                <w:szCs w:val="15"/>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187"/>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37"/>
        </w:trPr>
        <w:tc>
          <w:tcPr>
            <w:tcW w:w="7680" w:type="dxa"/>
            <w:vAlign w:val="bottom"/>
            <w:shd w:val="clear" w:color="auto" w:fill="CFF0FC"/>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00" w:type="dxa"/>
            <w:vAlign w:val="bottom"/>
            <w:shd w:val="clear" w:color="auto" w:fill="CFF0FC"/>
          </w:tcPr>
          <w:p>
            <w:pPr>
              <w:spacing w:after="0"/>
              <w:rPr>
                <w:sz w:val="21"/>
                <w:szCs w:val="21"/>
                <w:color w:val="auto"/>
              </w:rPr>
            </w:pPr>
          </w:p>
        </w:tc>
      </w:tr>
      <w:tr>
        <w:trPr>
          <w:trHeight w:val="21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$390 as of December 31, 2022 and</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$268 as of January 1, 2022</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42,253</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42,290</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48,687</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1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to related party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2,000,000 shares authorized, no shares issued and outstanding</w:t>
            </w:r>
          </w:p>
        </w:tc>
        <w:tc>
          <w:tcPr>
            <w:tcW w:w="160" w:type="dxa"/>
            <w:vAlign w:val="bottom"/>
          </w:tcPr>
          <w:p>
            <w:pPr>
              <w:spacing w:after="0"/>
              <w:rPr>
                <w:sz w:val="20"/>
                <w:szCs w:val="20"/>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30,000,000 shares;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15,989,662 and 15,876,171 shares as of December 31, 2022 and January 1,</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 respectively</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86,802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85,255</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6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(69,716 )</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(62,169 )</w:t>
            </w: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17,231</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42,290</w:t>
            </w:r>
          </w:p>
        </w:tc>
        <w:tc>
          <w:tcPr>
            <w:tcW w:w="28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48,687</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-5648325</wp:posOffset>
            </wp:positionV>
            <wp:extent cx="68580"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-5648325</wp:posOffset>
            </wp:positionV>
            <wp:extent cx="6858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-4714240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-1885315</wp:posOffset>
            </wp:positionV>
            <wp:extent cx="685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00" w:type="dxa"/>
            <w:vAlign w:val="bottom"/>
          </w:tcPr>
          <w:p>
            <w:pPr>
              <w:spacing w:after="0"/>
              <w:rPr>
                <w:sz w:val="15"/>
                <w:szCs w:val="15"/>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176"/>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48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53,903</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31,072</w:t>
            </w:r>
          </w:p>
        </w:tc>
        <w:tc>
          <w:tcPr>
            <w:tcW w:w="100" w:type="dxa"/>
            <w:vAlign w:val="bottom"/>
          </w:tcPr>
          <w:p>
            <w:pPr>
              <w:spacing w:after="0"/>
              <w:rPr>
                <w:sz w:val="20"/>
                <w:szCs w:val="20"/>
                <w:color w:val="auto"/>
              </w:rPr>
            </w:pPr>
          </w:p>
        </w:tc>
      </w:tr>
      <w:tr>
        <w:trPr>
          <w:trHeight w:val="23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32,910</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30,364</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r>
        <w:trPr>
          <w:trHeight w:val="281"/>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(0.47 )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(0.47 )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computing net loss per common share:</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-2639695</wp:posOffset>
            </wp:positionV>
            <wp:extent cx="68580"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16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-2014220</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-1054100</wp:posOffset>
            </wp:positionV>
            <wp:extent cx="1251585" cy="180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51585" cy="1803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-719455</wp:posOffset>
            </wp:positionV>
            <wp:extent cx="1251585" cy="205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51585" cy="20574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00" w:type="dxa"/>
            <w:vAlign w:val="bottom"/>
          </w:tcPr>
          <w:p>
            <w:pPr>
              <w:spacing w:after="0"/>
              <w:rPr>
                <w:sz w:val="15"/>
                <w:szCs w:val="15"/>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176"/>
        </w:trPr>
        <w:tc>
          <w:tcPr>
            <w:tcW w:w="7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148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6"/>
                <w:szCs w:val="16"/>
                <w:color w:val="auto"/>
              </w:rPr>
            </w:pPr>
          </w:p>
        </w:tc>
        <w:tc>
          <w:tcPr>
            <w:tcW w:w="148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60" w:type="dxa"/>
            <w:vAlign w:val="bottom"/>
          </w:tcPr>
          <w:p>
            <w:pPr>
              <w:spacing w:after="0"/>
              <w:rPr>
                <w:sz w:val="20"/>
                <w:szCs w:val="20"/>
                <w:color w:val="auto"/>
              </w:rPr>
            </w:pP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(69 )</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3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26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180" w:type="dxa"/>
            <w:vAlign w:val="bottom"/>
          </w:tcPr>
          <w:p>
            <w:pPr>
              <w:spacing w:after="0"/>
              <w:rPr>
                <w:sz w:val="15"/>
                <w:szCs w:val="15"/>
                <w:color w:val="auto"/>
              </w:rPr>
            </w:pPr>
          </w:p>
        </w:tc>
        <w:tc>
          <w:tcPr>
            <w:tcW w:w="226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300" w:type="dxa"/>
            <w:vAlign w:val="bottom"/>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gridSpan w:val="3"/>
            <w:vMerge w:val="continue"/>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2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3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2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FY 2020: Balances, January 2,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13,899,683</w:t>
            </w:r>
          </w:p>
        </w:tc>
        <w:tc>
          <w:tcPr>
            <w:tcW w:w="1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74,181</w:t>
            </w:r>
          </w:p>
        </w:tc>
        <w:tc>
          <w:tcPr>
            <w:tcW w:w="1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(56,944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1,618,122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66,234</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292,132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(632 )</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(629 )</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(5,225 )</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(5,225 )</w:t>
            </w:r>
          </w:p>
        </w:tc>
        <w:tc>
          <w:tcPr>
            <w:tcW w:w="0" w:type="dxa"/>
            <w:vAlign w:val="bottom"/>
          </w:tcPr>
          <w:p>
            <w:pPr>
              <w:spacing w:after="0"/>
              <w:rPr>
                <w:sz w:val="1"/>
                <w:szCs w:val="1"/>
                <w:color w:val="auto"/>
              </w:rPr>
            </w:pPr>
          </w:p>
        </w:tc>
      </w:tr>
      <w:tr>
        <w:trPr>
          <w:trHeight w:val="23"/>
        </w:trPr>
        <w:tc>
          <w:tcPr>
            <w:tcW w:w="418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FY 2021: Balances, January 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15,876,171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(62,169 )</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option plan</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103,799</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(69 )</w:t>
            </w:r>
          </w:p>
        </w:tc>
        <w:tc>
          <w:tcPr>
            <w:tcW w:w="0" w:type="dxa"/>
            <w:vAlign w:val="bottom"/>
          </w:tcPr>
          <w:p>
            <w:pPr>
              <w:spacing w:after="0"/>
              <w:rPr>
                <w:sz w:val="1"/>
                <w:szCs w:val="1"/>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(7,547 )</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(7,547 )</w:t>
            </w:r>
          </w:p>
        </w:tc>
        <w:tc>
          <w:tcPr>
            <w:tcW w:w="0" w:type="dxa"/>
            <w:vAlign w:val="bottom"/>
          </w:tcPr>
          <w:p>
            <w:pPr>
              <w:spacing w:after="0"/>
              <w:rPr>
                <w:sz w:val="1"/>
                <w:szCs w:val="1"/>
                <w:color w:val="auto"/>
              </w:rPr>
            </w:pPr>
          </w:p>
        </w:tc>
      </w:tr>
      <w:tr>
        <w:trPr>
          <w:trHeight w:val="23"/>
        </w:trPr>
        <w:tc>
          <w:tcPr>
            <w:tcW w:w="4180" w:type="dxa"/>
            <w:vAlign w:val="bottom"/>
            <w:shd w:val="clear" w:color="auto" w:fill="CFF0F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FY 2022: Balances, December 31, 2022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15,989,662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 $</w:t>
            </w:r>
          </w:p>
        </w:tc>
        <w:tc>
          <w:tcPr>
            <w:tcW w:w="12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(69,716 ) $</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-1062355</wp:posOffset>
            </wp:positionV>
            <wp:extent cx="7747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-1062355</wp:posOffset>
            </wp:positionV>
            <wp:extent cx="7747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-1062355</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-1062355</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-1062355</wp:posOffset>
            </wp:positionV>
            <wp:extent cx="685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-179070</wp:posOffset>
            </wp:positionV>
            <wp:extent cx="7747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-179070</wp:posOffset>
            </wp:positionV>
            <wp:extent cx="7747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-179070</wp:posOffset>
            </wp:positionV>
            <wp:extent cx="685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685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-179070</wp:posOffset>
            </wp:positionV>
            <wp:extent cx="6858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18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175"/>
        </w:trPr>
        <w:tc>
          <w:tcPr>
            <w:tcW w:w="7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center"/>
              <w:ind w:right="4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(7,547 )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(5,225 )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60" w:type="dxa"/>
            <w:vAlign w:val="bottom"/>
          </w:tcPr>
          <w:p>
            <w:pPr>
              <w:spacing w:after="0"/>
              <w:rPr>
                <w:sz w:val="20"/>
                <w:szCs w:val="20"/>
                <w:color w:val="auto"/>
              </w:rPr>
            </w:pPr>
          </w:p>
        </w:tc>
        <w:tc>
          <w:tcPr>
            <w:tcW w:w="1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(2,497 )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(433 )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(3,106 )</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(3,019 )</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(397 )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(341 )</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(1,185 )</w:t>
            </w: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(143 )</w:t>
            </w: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Payable to related party</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(612 )</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(744 )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warranty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(89 )</w:t>
            </w: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(886 )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(1,076 )</w:t>
            </w: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(129 )</w:t>
            </w: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FF0FC"/>
          </w:tcPr>
          <w:p>
            <w:pPr>
              <w:spacing w:after="0"/>
              <w:rPr>
                <w:sz w:val="21"/>
                <w:szCs w:val="2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(9,519 )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(286 )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(213 )</w:t>
            </w: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paid for business combination, net</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(5,343 )</w:t>
            </w:r>
          </w:p>
        </w:tc>
      </w:tr>
      <w:tr>
        <w:trPr>
          <w:trHeight w:val="20"/>
        </w:trPr>
        <w:tc>
          <w:tcPr>
            <w:tcW w:w="77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(286 )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(5,556 )</w:t>
            </w: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60" w:type="dxa"/>
            <w:vAlign w:val="bottom"/>
          </w:tcPr>
          <w:p>
            <w:pPr>
              <w:spacing w:after="0"/>
              <w:rPr>
                <w:sz w:val="20"/>
                <w:szCs w:val="20"/>
                <w:color w:val="auto"/>
              </w:rPr>
            </w:pPr>
          </w:p>
        </w:tc>
        <w:tc>
          <w:tcPr>
            <w:tcW w:w="1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Proceeds for stock option exercise</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(629 )</w:t>
            </w: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60" w:type="dxa"/>
            <w:vAlign w:val="bottom"/>
          </w:tcPr>
          <w:p>
            <w:pPr>
              <w:spacing w:after="0"/>
              <w:rPr>
                <w:sz w:val="20"/>
                <w:szCs w:val="20"/>
                <w:color w:val="auto"/>
              </w:rPr>
            </w:pPr>
          </w:p>
        </w:tc>
        <w:tc>
          <w:tcPr>
            <w:tcW w:w="1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(9,930</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11,626</w:t>
            </w:r>
          </w:p>
        </w:tc>
        <w:tc>
          <w:tcPr>
            <w:tcW w:w="100" w:type="dxa"/>
            <w:vAlign w:val="bottom"/>
          </w:tcPr>
          <w:p>
            <w:pPr>
              <w:spacing w:after="0"/>
              <w:rPr>
                <w:sz w:val="20"/>
                <w:szCs w:val="20"/>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3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inventory to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ROU assets obtained with the modification of operating lease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-3179445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-2545080</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-1593850</wp:posOffset>
            </wp:positionV>
            <wp:extent cx="6858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-950595</wp:posOffset>
            </wp:positionV>
            <wp:extent cx="1251585"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51585" cy="17970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Iridex Corporation (“Iridex,” the “Company,” “we,” “us” or “our”) is a leading worldwide provider of therapeutic based laser systems, delivery devices and consumable instrumentation used to treat sight-threatening eye diseases in ophthalmology. Our ophthalmology products are sold in the United States and Germany predominantly through a direct sales force and internationally (aside from Germany) primarily through independent distributors.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Iridex and our wholly owned subsidiaries. All significant intercompany accounts and transactions have been eliminated in consolidation.</w:t>
      </w:r>
    </w:p>
    <w:p>
      <w:pPr>
        <w:spacing w:after="0" w:line="5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closest to December 31. Fiscal 2022 ended on December 31, 2022 (“FY 2022”) and Fiscal 2021 ended on January 1, 2022 (“FY 2021”). Fiscal years 2022 and 2021 each included 52 weeks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consider all highly liquid debt instruments with insignificant interest rate risk and an original maturity of three months or less when purchased to be cash equivalents. Our cash equivalents consist primarily of cash deposits in money market funds that are available for withdrawal without restriction.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 and Allowance for Doubtful Accounts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When determining the transaction price, we estimate the variable consideration as the most likely amount to which we expect to be entitled, and we include the estimated amounts in the transaction price to the extent it is probable that a significant reversal of cumulative revenue will not occur when the uncertainty associated with the variable consideration is resolved. Material differences may result in the amount and timing of our revenue for any period if management made different judgments or utilized different estimates. Our provision for sales returns is recorded net of the associated costs. There was no provision for sales returns as of December 31, 2022 and January 1, 2022.</w:t>
      </w:r>
    </w:p>
    <w:p>
      <w:pPr>
        <w:spacing w:after="0" w:line="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Similarly management must make estimates regarding the uncollectibility of accounts receivable. We are exposed to credit risk in the event of non-payment by customers to the extent of amounts recorded on the consolidated balance sheets. As sales levels change, the level of accounts receivable would likely also change. In addition, in the event that customers were to delay their payments to us, the levels of accounts receivable would likely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7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our allowance for doubtful accounts balances for the years ended December 31, 2022 and January 1, 2022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8"/>
        </w:trPr>
        <w:tc>
          <w:tcPr>
            <w:tcW w:w="11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End of</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220" w:type="dxa"/>
            <w:vAlign w:val="bottom"/>
          </w:tcPr>
          <w:p>
            <w:pPr>
              <w:spacing w:after="0"/>
              <w:rPr>
                <w:sz w:val="16"/>
                <w:szCs w:val="16"/>
                <w:color w:val="auto"/>
              </w:rPr>
            </w:pPr>
          </w:p>
        </w:tc>
        <w:tc>
          <w:tcPr>
            <w:tcW w:w="12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period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5"/>
        </w:trPr>
        <w:tc>
          <w:tcPr>
            <w:tcW w:w="1140" w:type="dxa"/>
            <w:vAlign w:val="bottom"/>
          </w:tcPr>
          <w:p>
            <w:pPr>
              <w:spacing w:after="0"/>
              <w:rPr>
                <w:sz w:val="17"/>
                <w:szCs w:val="17"/>
                <w:color w:val="auto"/>
              </w:rPr>
            </w:pPr>
          </w:p>
        </w:tc>
        <w:tc>
          <w:tcPr>
            <w:tcW w:w="3280" w:type="dxa"/>
            <w:vAlign w:val="bottom"/>
            <w:tcBorders>
              <w:top w:val="single" w:sz="8" w:color="auto"/>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Allowance for doubtful accounts Years</w:t>
            </w: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48"/>
        </w:trPr>
        <w:tc>
          <w:tcPr>
            <w:tcW w:w="114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ended</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w w:val="96"/>
              </w:rPr>
              <w:t>268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2022</w:t>
            </w: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6"/>
              </w:rPr>
              <w:t>244</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$1.9 million and $2.0 million and the accumulated amortization was $1.7 million and $1.7 million as of December 31, 2022 and January 1, 2022, respectively. The net book value of demos and loaners is charged to cost of revenues if and when such demos or loaners are sold.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are calculated on a straight–line basis over the estimated useful lives of the assets, which is generally three year. Leasehold improvements are amortized over the lesser of their estimated useful lives or the lease term. Repairs and maintenance costs are expensed as incurred.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ind w:right="500" w:firstLine="509"/>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net and Operating lease liabilities in our consolidated balance sheets. As of December 31, 2022, the Company was not a party to finance lease arrangements.</w:t>
      </w:r>
    </w:p>
    <w:p>
      <w:pPr>
        <w:spacing w:after="0" w:line="54"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Operating lease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Valuation of Goodwill and Intangible Assets</w:t>
      </w:r>
    </w:p>
    <w:p>
      <w:pPr>
        <w:spacing w:after="0" w:line="119"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2022 and determined that its goodwill was not impaired. As of December 31, 2022, we had not identified any factors that indicated there was an impairment of our goodwill and determined that no additional impairment analysis was then required.</w:t>
      </w:r>
    </w:p>
    <w:p>
      <w:pPr>
        <w:spacing w:after="0" w:line="7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Standards Codification (“ASC”) 350, “Intangibles – Goodwill and Other” (“ASC 350”).</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ASC 606, “Revenue from Contracts with Customers.”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the following revenue transaction types: (1) Product Sale Only, (2) Service Contracts, (3) System Repairs (outside of warranty),</w:t>
      </w:r>
    </w:p>
    <w:p>
      <w:pPr>
        <w:spacing w:after="0" w:line="27"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and (5) Exclusive Distribution Rights.</w:t>
      </w:r>
    </w:p>
    <w:p>
      <w:pPr>
        <w:spacing w:after="0" w:line="9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75" w:lineRule="exact"/>
        <w:rPr>
          <w:rFonts w:ascii="Times New Roman" w:cs="Times New Roman" w:eastAsia="Times New Roman" w:hAnsi="Times New Roman"/>
          <w:sz w:val="18"/>
          <w:szCs w:val="18"/>
          <w:color w:val="auto"/>
        </w:rPr>
      </w:pPr>
    </w:p>
    <w:p>
      <w:pPr>
        <w:ind w:left="10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product sale at a point in time subject to the allocation of transaction price to additional performance obligations, if any.</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3" w:right="399" w:bottom="1440" w:gutter="0" w:footer="0" w:header="0"/>
        </w:sectPr>
      </w:pPr>
    </w:p>
    <w:bookmarkStart w:id="56" w:name="page57"/>
    <w:bookmarkEnd w:id="56"/>
    <w:p>
      <w:pPr>
        <w:ind w:left="1020" w:right="580"/>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54" w:lineRule="exact"/>
        <w:rPr>
          <w:sz w:val="20"/>
          <w:szCs w:val="20"/>
          <w:color w:val="auto"/>
        </w:rPr>
      </w:pPr>
    </w:p>
    <w:p>
      <w:pPr>
        <w:ind w:left="1540" w:right="140" w:hanging="513"/>
        <w:spacing w:after="0" w:line="261" w:lineRule="auto"/>
        <w:tabs>
          <w:tab w:leader="none" w:pos="15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1" w:lineRule="exact"/>
        <w:rPr>
          <w:rFonts w:ascii="Times New Roman" w:cs="Times New Roman" w:eastAsia="Times New Roman" w:hAnsi="Times New Roman"/>
          <w:sz w:val="18"/>
          <w:szCs w:val="18"/>
          <w:color w:val="auto"/>
        </w:rPr>
      </w:pPr>
    </w:p>
    <w:p>
      <w:pPr>
        <w:ind w:left="1540" w:right="20" w:hanging="513"/>
        <w:spacing w:after="0" w:line="255" w:lineRule="auto"/>
        <w:tabs>
          <w:tab w:leader="none" w:pos="15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80"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the Company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102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The Company has royalty agreements with four customers related to sale of the Company’s intellectual property. Under the terms of these agreements, three customers are to remit a percentage of sales to the Company as the sales occur and one customer made an upfront prepayment for royalties.</w:t>
      </w:r>
    </w:p>
    <w:p>
      <w:pPr>
        <w:spacing w:after="0" w:line="6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with three customers are for sales-based licenses of intellectual property, for which the guidance in paragraph ASC 606-</w:t>
      </w:r>
    </w:p>
    <w:p>
      <w:pPr>
        <w:spacing w:after="0" w:line="27" w:lineRule="exact"/>
        <w:rPr>
          <w:rFonts w:ascii="Times New Roman" w:cs="Times New Roman" w:eastAsia="Times New Roman" w:hAnsi="Times New Roman"/>
          <w:sz w:val="18"/>
          <w:szCs w:val="18"/>
          <w:color w:val="auto"/>
        </w:rPr>
      </w:pPr>
    </w:p>
    <w:p>
      <w:pPr>
        <w:ind w:left="102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10-55-65 applies. Therefore, the Company recognizes revenue at a point in time,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spacing w:after="0" w:line="81" w:lineRule="exact"/>
        <w:rPr>
          <w:rFonts w:ascii="Times New Roman" w:cs="Times New Roman" w:eastAsia="Times New Roman" w:hAnsi="Times New Roman"/>
          <w:sz w:val="18"/>
          <w:szCs w:val="18"/>
          <w:color w:val="auto"/>
        </w:rPr>
      </w:pPr>
    </w:p>
    <w:p>
      <w:pPr>
        <w:ind w:left="1040" w:hanging="470"/>
        <w:spacing w:after="0" w:line="252" w:lineRule="auto"/>
        <w:tabs>
          <w:tab w:leader="none" w:pos="10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Rights: In March 2021, the Company entered into a distribution agreement with Topcon,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10-year period for each region, commencing on the date that regulatory approval is obtained for each region, based on the SSP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During fiscal years ended 2022 and 2021, $1.3 million and $0.6 million in revenue related to the exclusive distribution rights was recorded,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Revenue Contracts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December 31, 2022 and January 1, 2022, we recognized deferred costs incurred to obtain revenue contracts with customers, net of accumulated amortization, of $0.2 million and $0, respectively, and included these amounts in Prepaid expenses and other current assets and Other long-term assets 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right="200"/>
        <w:spacing w:after="0" w:line="282" w:lineRule="auto"/>
        <w:rPr>
          <w:sz w:val="20"/>
          <w:szCs w:val="20"/>
          <w:color w:val="auto"/>
        </w:rPr>
      </w:pPr>
      <w:r>
        <w:rPr>
          <w:rFonts w:ascii="Times New Roman" w:cs="Times New Roman" w:eastAsia="Times New Roman" w:hAnsi="Times New Roman"/>
          <w:sz w:val="18"/>
          <w:szCs w:val="18"/>
          <w:color w:val="auto"/>
        </w:rPr>
        <w:t>Company’s consolidated balance sheets. Amortization expense was $36 thousand and $0, respectively, for the fiscal years ended December 31, 2022 and January 1, 2022. There were no impairment expenses for both the fiscal years ended December 31, 2022 and January 1, 2022, respectively.</w:t>
      </w:r>
    </w:p>
    <w:p>
      <w:pPr>
        <w:spacing w:after="0" w:line="54"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December 31, 2022 and January 1, 2022, we recognized deferred costs incurred to fulfill a contract with a customer, net of accumulated amortization, of $0.8 million and $0.3 million, respectively, and included these amounts in Prepaid expenses and other current assets and Other long-term assets in the Company’s consolidated balance sheets. Amortization expense was $62 thousand and $0, respectively, for the fiscal years ended December 31, 2022 and January 1, 2022. There were no impairment expenses for both the fiscal years ended December 31, 2022 and January 1, 2022,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recognized on a net basis in the accompanying consolidated statements of operations as well as accrued expenses to the degree which is appropriate.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Deferred revenue represents contract liabilities. Revenue related to extended service contracts is deferred and recognized on a straight-line basis over the period of the applicable service period. Costs associated with these service arrangements are recognized as incurred.</w:t>
      </w:r>
    </w:p>
    <w:p>
      <w:pPr>
        <w:spacing w:after="0" w:line="5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our deferred revenue balances for the years ended December 31, 2022 and January 1, 2022 are as follows (in thousands):</w:t>
      </w:r>
    </w:p>
    <w:p>
      <w:pPr>
        <w:sectPr>
          <w:pgSz w:w="11900" w:h="16838" w:orient="portrait"/>
          <w:cols w:equalWidth="0" w:num="1">
            <w:col w:w="11200"/>
          </w:cols>
          <w:pgMar w:left="320" w:top="445" w:right="379" w:bottom="1440" w:gutter="0" w:footer="0" w:header="0"/>
        </w:sectPr>
      </w:pP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FY 2020: Balance as of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Additions to deferral</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FY 2021: Balance as of January 1, 2022</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Additions to deferral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FY 2022: 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122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1,227</w:t>
      </w:r>
    </w:p>
    <w:p>
      <w:pPr>
        <w:spacing w:after="0" w:line="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14,503</w:t>
      </w:r>
    </w:p>
    <w:p>
      <w:pPr>
        <w:spacing w:after="0" w:line="3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(2,445 )</w:t>
      </w:r>
    </w:p>
    <w:p>
      <w:pPr>
        <w:spacing w:after="0" w:line="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8"/>
          <w:szCs w:val="18"/>
          <w:color w:val="auto"/>
        </w:rPr>
        <w:t>13,285</w:t>
      </w:r>
      <w:r>
        <w:rPr>
          <w:sz w:val="1"/>
          <w:szCs w:val="1"/>
          <w:color w:val="auto"/>
        </w:rPr>
        <w:drawing>
          <wp:inline distT="0" distB="0" distL="0" distR="0">
            <wp:extent cx="60325" cy="1625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62560"/>
                    </a:xfrm>
                    <a:prstGeom prst="rect">
                      <a:avLst/>
                    </a:prstGeom>
                    <a:noFill/>
                    <a:ln>
                      <a:noFill/>
                    </a:ln>
                  </pic:spPr>
                </pic:pic>
              </a:graphicData>
            </a:graphic>
          </wp:inline>
        </w:drawing>
      </w:r>
    </w:p>
    <w:p>
      <w:pPr>
        <w:ind w:left="2240"/>
        <w:spacing w:after="0"/>
        <w:rPr>
          <w:sz w:val="20"/>
          <w:szCs w:val="20"/>
          <w:color w:val="auto"/>
        </w:rPr>
      </w:pPr>
      <w:r>
        <w:rPr>
          <w:rFonts w:ascii="Times New Roman" w:cs="Times New Roman" w:eastAsia="Times New Roman" w:hAnsi="Times New Roman"/>
          <w:sz w:val="18"/>
          <w:szCs w:val="18"/>
          <w:color w:val="auto"/>
        </w:rPr>
        <w:t>4,051</w:t>
      </w:r>
    </w:p>
    <w:p>
      <w:pPr>
        <w:spacing w:after="0" w:line="3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(3,183 )</w:t>
      </w:r>
    </w:p>
    <w:p>
      <w:pPr>
        <w:spacing w:after="0" w:line="50"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14,153</w:t>
      </w:r>
    </w:p>
    <w:p>
      <w:pPr>
        <w:spacing w:after="0" w:line="200" w:lineRule="exact"/>
        <w:rPr>
          <w:sz w:val="20"/>
          <w:szCs w:val="20"/>
          <w:color w:val="auto"/>
        </w:rPr>
      </w:pPr>
    </w:p>
    <w:p>
      <w:pPr>
        <w:sectPr>
          <w:pgSz w:w="11900" w:h="16838" w:orient="portrait"/>
          <w:cols w:equalWidth="0" w:num="2">
            <w:col w:w="7200" w:space="720"/>
            <w:col w:w="3280"/>
          </w:cols>
          <w:pgMar w:left="320" w:top="445" w:right="379" w:bottom="1440" w:gutter="0" w:footer="0" w:header="0"/>
          <w:type w:val="continuous"/>
        </w:sect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type w:val="continuous"/>
        </w:sectPr>
      </w:pPr>
    </w:p>
    <w:bookmarkStart w:id="58" w:name="page59"/>
    <w:bookmarkEnd w:id="58"/>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each of the twelve months ended December 31, 2022 and January 1, 2022, approximately $2.3 million and $0.9 million were recognized pertaining to amounts deferred as of January 1, 2022 and January 2, 2021,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The Company’s warranty policy is applicable to products which are considered defective in their performance or fail to meet the product specifications. Additionally, from time to time, specific warranty accruals may be made if unforeseen technical problems arise. If estimates are determined to be greater than the actual amounts necessary, we may reverse a portion of such provisions in future periods. Warranty costs are reflected in the consolidated statements of operations as costs of revenues.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changes in our warranty liability for the years ended December 31, 2022 and January 1, 2022 are as follows (in thousands):</w:t>
      </w:r>
    </w:p>
    <w:p>
      <w:pPr>
        <w:sectPr>
          <w:pgSz w:w="11900" w:h="16838" w:orient="portrait"/>
          <w:cols w:equalWidth="0" w:num="1">
            <w:col w:w="11240"/>
          </w:cols>
          <w:pgMar w:left="320" w:top="337" w:right="339" w:bottom="1440" w:gutter="0" w:footer="0" w:header="0"/>
        </w:sectPr>
      </w:pP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FY 2020: Balance as of January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Accruals for product warranties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Cost of warranty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Adjustment to pre-existing warranties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FY 2021: Balance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Accruals for product warranties</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Cost of warranty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Adjustment to pre-existing warranties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FY 2022: Balance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20"/>
                <w:szCs w:val="20"/>
                <w:color w:val="auto"/>
              </w:rPr>
            </w:pPr>
          </w:p>
        </w:tc>
      </w:tr>
      <w:tr>
        <w:trPr>
          <w:trHeight w:val="243"/>
        </w:trPr>
        <w:tc>
          <w:tcPr>
            <w:tcW w:w="1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1"/>
                <w:szCs w:val="21"/>
                <w:color w:val="auto"/>
              </w:rPr>
            </w:pPr>
          </w:p>
        </w:tc>
      </w:tr>
      <w:tr>
        <w:trPr>
          <w:trHeight w:val="243"/>
        </w:trPr>
        <w:tc>
          <w:tcPr>
            <w:tcW w:w="12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50"/>
        </w:trPr>
        <w:tc>
          <w:tcPr>
            <w:tcW w:w="12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4"/>
        </w:trPr>
        <w:tc>
          <w:tcPr>
            <w:tcW w:w="1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0"/>
                <w:szCs w:val="20"/>
                <w:color w:val="auto"/>
              </w:rPr>
            </w:pPr>
          </w:p>
        </w:tc>
      </w:tr>
      <w:tr>
        <w:trPr>
          <w:trHeight w:val="238"/>
        </w:trPr>
        <w:tc>
          <w:tcPr>
            <w:tcW w:w="1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0"/>
                <w:szCs w:val="20"/>
                <w:color w:val="auto"/>
              </w:rPr>
            </w:pPr>
          </w:p>
        </w:tc>
      </w:tr>
      <w:tr>
        <w:trPr>
          <w:trHeight w:val="243"/>
        </w:trPr>
        <w:tc>
          <w:tcPr>
            <w:tcW w:w="124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50"/>
        </w:trPr>
        <w:tc>
          <w:tcPr>
            <w:tcW w:w="1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1"/>
                <w:szCs w:val="21"/>
                <w:color w:val="auto"/>
              </w:rPr>
            </w:pPr>
          </w:p>
        </w:tc>
      </w:tr>
      <w:tr>
        <w:trPr>
          <w:trHeight w:val="239"/>
        </w:trPr>
        <w:tc>
          <w:tcPr>
            <w:tcW w:w="1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20"/>
                <w:szCs w:val="20"/>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120" w:space="720"/>
            <w:col w:w="3400"/>
          </w:cols>
          <w:pgMar w:left="320" w:top="33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Our shipping and handling costs billed to customers are included in revenues and the associated expense is recorded in cost of revenues for all periods presented. Shipping and handling costs billed to customers amounted to $0.3 million and $0.3 million during fiscal years 2022 and 2021,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expenditures are charged to operations as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Advertising and promotion costs are expensed as they are incurred; such costs were approximately $0.4 million in 2022 and $0.2 million in 2021 and are included in sales and marketing expenses in the accompanying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December 31, 2022, based on the Company's recent history of losses and its forecasted losses, management believes on the more likely than not basis that a full valuation allowance is required. Accordingly, as of December 31, 2022, the Company provided a full valuation allowance on its federal and states deferred tax assets.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December 31, 2022 and January 1,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We account for stock-based compensation granted to employees and directors, including employees stock option awards and restricted stock units in accordance with ASC 718, “Compensation – Stock Compensation” (“ASC 718”). Accordingly, stock-based compensation cost is measured at grant date, based on the fair value of the award. Stock-based compensation is recognized as expense on a ratable basis over the requisite service period of the award.</w:t>
      </w:r>
    </w:p>
    <w:p>
      <w:pPr>
        <w:spacing w:after="0" w:line="50"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 ended December 31, 2022, one customer, Topcon, accounted for greater than 10% of total revenues, representing 28%. For the year ended January 1, 2022, one customer, Topcon, accounted for greater than 10% of total revenues, representing 21%. For the year ended December 31, 2022, one customer, Topcon, accounted for over 10% of our accounts receivable, representing 37%. As of January 1, 2022, two customers, including Topcon, accounted for over 10% of our accounts receivable, representing 31% and 11%, respectively.</w:t>
      </w:r>
    </w:p>
    <w:p>
      <w:pPr>
        <w:spacing w:after="0" w:line="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 adverse impact on our business, results of operations and financial condition.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Reliance on Certain Suppliers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18 - Computation of Basic and Diluted Net Loss Per Common Share.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consolidated financial statements included in these consolidated financial statements to conform to the current year presentation. The reclassifications had no impact on previously reported net loss, accumulated deficit, total assets, or total liabilities.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the Company’s Consolidated Balance Sheets in the stockholders’ equity section as a component of accumulated other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Costs Incurred in a Cloud Computing Service Arrangement</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Company is currently implementing a new enterprise resource planning (“ERP”) system. The new ERP system operates in a cloud-based environment. The Company concluded that this cloud computing arrangement does not include a license, and therefore, will account for this arrangement as one that is a service contract. As of December 31, 2022, the Company capitalized $0.7 million in implementation costs, included in Prepaid expenses and other current assets and Other long-term assets in the Company’s condensed consolidated balance sheets. The Company will amortize the capitalized implementation costs over 5 years on a straight-line basis once the ERP system is ready for use. There were no amortization expenses for the fiscal year ended December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Transactions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March 2, 2021, the Company entered into a series of strategic transactions with Topcon, headquartered in Tokyo, Japan, in which (i) the Company purchased substantially all of the tangible and intangible assets of Topcon Medical Laser Systems, Inc. (“TMLS”) related to laser products previously manufactured and sold by TMLS, including the Pattern Scanning Laser (“PASCAL”) products, under the tradename “PASCAL” (altogether, the “PASCAL Business”); (ii) Topcon acquired an equity interest in the Company, comprised of the issuance of 1,618,122 shares of the Company’s common stock at $6.18 per share (as determined based on the average of the Nasdaq Official Closing Price of the Company’s common stock for the five trading days immediately preceding March 2, 2021); (iii) the Company granted Topcon the exclusive right to distribute certain of its products (including the PASCAL products) in certain international regions (the “Exclusive Distribution Rights”) and (iv) Topcon and the Company entered into the Manufacturing Services Agreement regarding transition of regulatory authorizations relating to, and manufacturing and supply of, the PASCAL products for a specified post-closing transition period. The transaction is expected to result in net proceeds to the Company of approximately $19.5 million (of which $17.5 million was received on March 10, 2021 with the remaining $2.0 million received on January 31, 2022. The net proceeds have been allocated on a fair value basis as follows (in thousands):</w:t>
      </w:r>
    </w:p>
    <w:p>
      <w:pPr>
        <w:spacing w:after="0" w:line="210"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w:t>
            </w: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(before issuance costs)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21"/>
                <w:szCs w:val="21"/>
                <w:color w:val="auto"/>
              </w:rPr>
            </w:pP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of exclusive distribution rights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0" w:type="dxa"/>
            <w:vAlign w:val="bottom"/>
          </w:tcPr>
          <w:p>
            <w:pPr>
              <w:spacing w:after="0"/>
              <w:rPr>
                <w:sz w:val="20"/>
                <w:szCs w:val="20"/>
                <w:color w:val="auto"/>
              </w:rPr>
            </w:pPr>
          </w:p>
        </w:tc>
      </w:tr>
      <w:tr>
        <w:trPr>
          <w:trHeight w:val="252"/>
        </w:trPr>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w:t>
            </w:r>
          </w:p>
        </w:tc>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tangible and intangible assets</w:t>
            </w:r>
          </w:p>
        </w:tc>
        <w:tc>
          <w:tcPr>
            <w:tcW w:w="380" w:type="dxa"/>
            <w:vAlign w:val="bottom"/>
            <w:shd w:val="clear" w:color="auto" w:fill="CFF0FC"/>
          </w:tcPr>
          <w:p>
            <w:pPr>
              <w:spacing w:after="0"/>
              <w:rPr>
                <w:sz w:val="21"/>
                <w:szCs w:val="21"/>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(5,343 )</w:t>
            </w:r>
          </w:p>
        </w:tc>
        <w:tc>
          <w:tcPr>
            <w:tcW w:w="20" w:type="dxa"/>
            <w:vAlign w:val="bottom"/>
          </w:tcPr>
          <w:p>
            <w:pPr>
              <w:spacing w:after="0"/>
              <w:rPr>
                <w:sz w:val="21"/>
                <w:szCs w:val="21"/>
                <w:color w:val="auto"/>
              </w:rPr>
            </w:pPr>
          </w:p>
        </w:tc>
      </w:tr>
      <w:tr>
        <w:trPr>
          <w:trHeight w:val="237"/>
        </w:trPr>
        <w:tc>
          <w:tcPr>
            <w:tcW w:w="180" w:type="dxa"/>
            <w:vAlign w:val="bottom"/>
            <w:tcBorders>
              <w:top w:val="single" w:sz="8" w:color="CFF0FC"/>
            </w:tcBorders>
          </w:tcPr>
          <w:p>
            <w:pPr>
              <w:spacing w:after="0"/>
              <w:rPr>
                <w:sz w:val="20"/>
                <w:szCs w:val="20"/>
                <w:color w:val="auto"/>
              </w:rPr>
            </w:pPr>
          </w:p>
        </w:tc>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7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purchase of tangible and intangible assets has been recognized as an acquisition of a business with the relative fair value of the net consideration allocated to the tangible and intangible assets based on their preliminary estimated fair values as of the acquisition date.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for the recognition of revenue under ASC 606 for the grant of exclusive distribution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substantially all of TMLS’ assets including the rights to the PASCAL product.</w:t>
      </w:r>
    </w:p>
    <w:p>
      <w:pPr>
        <w:spacing w:after="0" w:line="119"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On March 10, 2021, the Company completed the purchase of substantially all of the tangible and intangible assets of TMLS, which was an established leader in manufacturing and selling laser products under the tradename “PASCAL.”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61" w:name="page62"/>
    <w:bookmarkEnd w:id="61"/>
    <w:p>
      <w:pPr>
        <w:ind w:right="460"/>
        <w:spacing w:after="0" w:line="282" w:lineRule="auto"/>
        <w:rPr>
          <w:sz w:val="20"/>
          <w:szCs w:val="20"/>
          <w:color w:val="auto"/>
        </w:rPr>
      </w:pPr>
      <w:r>
        <w:rPr>
          <w:rFonts w:ascii="Times New Roman" w:cs="Times New Roman" w:eastAsia="Times New Roman" w:hAnsi="Times New Roman"/>
          <w:sz w:val="18"/>
          <w:szCs w:val="18"/>
          <w:color w:val="auto"/>
        </w:rPr>
        <w:t>acquisition has been recognized as an acquisition of a business and the purchase price (approximately $5.3 million) has been allocated to tangible and identified intangible assets acquired based on their estimated fair values.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preliminary allocation of the total purchase price:</w:t>
      </w:r>
    </w:p>
    <w:p>
      <w:pPr>
        <w:spacing w:after="0" w:line="22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60" w:type="dxa"/>
            <w:vAlign w:val="bottom"/>
          </w:tcPr>
          <w:p>
            <w:pPr>
              <w:spacing w:after="0"/>
              <w:rPr>
                <w:sz w:val="13"/>
                <w:szCs w:val="13"/>
                <w:color w:val="auto"/>
              </w:rPr>
            </w:pPr>
          </w:p>
        </w:tc>
      </w:tr>
      <w:tr>
        <w:trPr>
          <w:trHeight w:val="148"/>
        </w:trPr>
        <w:tc>
          <w:tcPr>
            <w:tcW w:w="5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2"/>
                <w:szCs w:val="12"/>
                <w:color w:val="auto"/>
              </w:rPr>
            </w:pPr>
          </w:p>
        </w:tc>
      </w:tr>
      <w:tr>
        <w:trPr>
          <w:trHeight w:val="187"/>
        </w:trPr>
        <w:tc>
          <w:tcPr>
            <w:tcW w:w="5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r>
      <w:tr>
        <w:trPr>
          <w:trHeight w:val="23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60" w:type="dxa"/>
            <w:vAlign w:val="bottom"/>
            <w:shd w:val="clear" w:color="auto" w:fill="CFF0FC"/>
          </w:tcPr>
          <w:p>
            <w:pPr>
              <w:spacing w:after="0"/>
              <w:rPr>
                <w:sz w:val="20"/>
                <w:szCs w:val="20"/>
                <w:color w:val="auto"/>
              </w:rPr>
            </w:pP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Office Equipment</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FF0FC"/>
          </w:tcPr>
          <w:p>
            <w:pPr>
              <w:spacing w:after="0"/>
              <w:rPr>
                <w:sz w:val="21"/>
                <w:szCs w:val="21"/>
                <w:color w:val="auto"/>
              </w:rPr>
            </w:pP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tangible assets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shd w:val="clear" w:color="auto" w:fill="CFF0FC"/>
          </w:tcPr>
          <w:p>
            <w:pPr>
              <w:spacing w:after="0"/>
              <w:rPr>
                <w:sz w:val="21"/>
                <w:szCs w:val="21"/>
                <w:color w:val="auto"/>
              </w:rPr>
            </w:pP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 (IPR&amp;D)</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p>
        </w:tc>
      </w:tr>
      <w:tr>
        <w:trPr>
          <w:trHeight w:val="247"/>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shd w:val="clear" w:color="auto" w:fill="CFF0FC"/>
          </w:tcPr>
          <w:p>
            <w:pPr>
              <w:spacing w:after="0"/>
              <w:rPr>
                <w:sz w:val="21"/>
                <w:szCs w:val="21"/>
                <w:color w:val="auto"/>
              </w:rPr>
            </w:pPr>
          </w:p>
        </w:tc>
      </w:tr>
      <w:tr>
        <w:trPr>
          <w:trHeight w:val="23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p>
        </w:tc>
      </w:tr>
      <w:tr>
        <w:trPr>
          <w:trHeight w:val="247"/>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5,343</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3429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Developed technology relates to PASCAL products, a pattern scanning laser used for retinal treatments, and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is estimated to be seven years, as determined based on the technology cycle related to the developed technology, and the estimated cash flows over the forecast period.</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IPR&amp;D pertains to an upcoming release of PASCAL products and has been valued using the multi-period excess earnings method under the income approach.</w:t>
      </w:r>
    </w:p>
    <w:p>
      <w:pPr>
        <w:spacing w:after="0" w:line="54"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Trade names and Trademarks pertain to the “PASCAL” trade name, and the fair value was determined by applying the relief-from-royalty method under the income approach. The economic useful life is estimated to be nine years, based on the expected life of the trade name and the cash flows anticipated over the forecast period.</w:t>
      </w:r>
    </w:p>
    <w:p>
      <w:pPr>
        <w:spacing w:after="0" w:line="68"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Customer relationships represent the fair value of future projected revenue that will be derived from sales of products to existing customers of the PASCAL Business, with an estimated useful life of seven years.</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assembled workforce and anticipated synergies and economies of scale expected from the integration of the PASCAL Business. Substantially all goodwill is deductible for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 Topcon</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Topcon holds a 10.1% voting interest in the Company, which qualifies it to be a principal owner considered a related party, even though it currently does not have significant influence over the Company’s operations.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Topcon resells certain of our products as our exclusive distributor in certain international regions. At the same time, the Company also purchases certain raw materials from Topcon. During fiscal year 2022, the Company’s revenues related to Topcon amounted to approximately $15.9 million, including $1.3 million recognized exclusive distribution rights revenue. During fiscal year 2021, the Company’s revenues related to Topcon amounted to approximately $11.1 million, including $0.6 million recognized exclusive distribution rights revenue. The Company’s purchases from Topcon during fiscal year 2022 and 2021 amounted to $1.0 million and $1.1 million, respectively. As of December 31, 2022, the amounts receivable from and payable to Topcon were $3.5 million and $15 thousand, respectively. As of January 1, 2022, the amounts receivable from and payable to Topcon were $3.1 million and $0.6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9" w:lineRule="exact"/>
        <w:rPr>
          <w:sz w:val="20"/>
          <w:szCs w:val="20"/>
          <w:color w:val="auto"/>
        </w:rPr>
      </w:pPr>
    </w:p>
    <w:p>
      <w:pPr>
        <w:ind w:left="5540" w:right="1540" w:hanging="5023"/>
        <w:spacing w:after="0" w:line="532" w:lineRule="auto"/>
        <w:tabs>
          <w:tab w:leader="none" w:pos="10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5"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our financial assets and liabilities, including cash and cash equivalents, accounts receivable, accounts payable, and accrued expenses as of December 31, 2022 and January 1, 2022, approximate fair value because of the short maturity of these instruments.</w:t>
      </w:r>
    </w:p>
    <w:p>
      <w:pPr>
        <w:spacing w:after="0" w:line="54"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January 1, 2022, financial assets and liabilities measured and recognized at fair value on a recurring basis and classified under the appropriate level of the fair value hierarchy as described above was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1, 2022</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4"/>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12,496</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12,496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23,359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23,359</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inventories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components of our property and equipment are as follows (in thousands):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7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8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(13,559 )</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(13,386 )</w:t>
            </w: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4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-1687830</wp:posOffset>
            </wp:positionV>
            <wp:extent cx="51435"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-1687830</wp:posOffset>
            </wp:positionV>
            <wp:extent cx="431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5143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$257 thousand and $640 thousand for the fiscal years 2022 and 2021,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goodwill was $965 thousand as of both December 31, 2022 and January 1,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2021, the Company recorded approximately $0.4 million goodwill in connection with its purchase of the PASCAL Business.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2022 and determined that its goodwill was not impaired. The determination of whether any potential impairment of goodwill exists is based upon an impairment test performed in accordance with ASC 350. There was no impairment of goodwill recognized during fiscal years 2022 and 2021.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purchased intangible assets as of December 31, 2022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2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50"/>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 Years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4.21 Years</w:t>
            </w:r>
          </w:p>
        </w:tc>
        <w:tc>
          <w:tcPr>
            <w:tcW w:w="0" w:type="dxa"/>
            <w:vAlign w:val="bottom"/>
          </w:tcPr>
          <w:p>
            <w:pPr>
              <w:spacing w:after="0"/>
              <w:rPr>
                <w:sz w:val="1"/>
                <w:szCs w:val="1"/>
                <w:color w:val="auto"/>
              </w:rPr>
            </w:pPr>
          </w:p>
        </w:tc>
      </w:tr>
      <w:tr>
        <w:trPr>
          <w:trHeight w:val="25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7 Years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6.10 Years</w:t>
            </w:r>
          </w:p>
        </w:tc>
        <w:tc>
          <w:tcPr>
            <w:tcW w:w="0" w:type="dxa"/>
            <w:vAlign w:val="bottom"/>
          </w:tcPr>
          <w:p>
            <w:pPr>
              <w:spacing w:after="0"/>
              <w:rPr>
                <w:sz w:val="1"/>
                <w:szCs w:val="1"/>
                <w:color w:val="auto"/>
              </w:rPr>
            </w:pPr>
          </w:p>
        </w:tc>
      </w:tr>
      <w:tr>
        <w:trPr>
          <w:trHeight w:val="263"/>
        </w:trPr>
        <w:tc>
          <w:tcPr>
            <w:tcW w:w="2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3"/>
              </w:rPr>
              <w:t>9 Years</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FF0FC"/>
          </w:tcPr>
          <w:p>
            <w:pPr>
              <w:spacing w:after="0"/>
              <w:rPr>
                <w:sz w:val="22"/>
                <w:szCs w:val="22"/>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7.17 Years</w:t>
            </w:r>
          </w:p>
        </w:tc>
        <w:tc>
          <w:tcPr>
            <w:tcW w:w="0" w:type="dxa"/>
            <w:vAlign w:val="bottom"/>
          </w:tcPr>
          <w:p>
            <w:pPr>
              <w:spacing w:after="0"/>
              <w:rPr>
                <w:sz w:val="1"/>
                <w:szCs w:val="1"/>
                <w:color w:val="auto"/>
              </w:rPr>
            </w:pP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Varies</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Varies</w:t>
            </w:r>
          </w:p>
        </w:tc>
        <w:tc>
          <w:tcPr>
            <w:tcW w:w="0" w:type="dxa"/>
            <w:vAlign w:val="bottom"/>
          </w:tcPr>
          <w:p>
            <w:pPr>
              <w:spacing w:after="0"/>
              <w:rPr>
                <w:sz w:val="1"/>
                <w:szCs w:val="1"/>
                <w:color w:val="auto"/>
              </w:rPr>
            </w:pPr>
          </w:p>
        </w:tc>
      </w:tr>
      <w:tr>
        <w:trPr>
          <w:trHeight w:val="272"/>
        </w:trPr>
        <w:tc>
          <w:tcPr>
            <w:tcW w:w="21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4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633"/>
        </w:trPr>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-513715</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-496570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-513715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-496570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-513715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-496570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-513715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-496570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4" w:name="page65"/>
    <w:bookmarkEnd w:id="64"/>
    <w:p>
      <w:pPr>
        <w:ind w:left="520"/>
        <w:spacing w:after="0"/>
        <w:rPr>
          <w:sz w:val="20"/>
          <w:szCs w:val="20"/>
          <w:color w:val="auto"/>
        </w:rPr>
      </w:pPr>
      <w:r>
        <w:rPr>
          <w:rFonts w:ascii="Times New Roman" w:cs="Times New Roman" w:eastAsia="Times New Roman" w:hAnsi="Times New Roman"/>
          <w:sz w:val="18"/>
          <w:szCs w:val="18"/>
          <w:color w:val="auto"/>
        </w:rPr>
        <w:t>The components of our purchased intangible assets as of January 1, 2022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50"/>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15 Years</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5.08 Years</w:t>
            </w:r>
          </w:p>
        </w:tc>
        <w:tc>
          <w:tcPr>
            <w:tcW w:w="0" w:type="dxa"/>
            <w:vAlign w:val="bottom"/>
          </w:tcPr>
          <w:p>
            <w:pPr>
              <w:spacing w:after="0"/>
              <w:rPr>
                <w:sz w:val="1"/>
                <w:szCs w:val="1"/>
                <w:color w:val="auto"/>
              </w:rPr>
            </w:pPr>
          </w:p>
        </w:tc>
      </w:tr>
      <w:tr>
        <w:trPr>
          <w:trHeight w:val="25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6.17 Years</w:t>
            </w:r>
          </w:p>
        </w:tc>
        <w:tc>
          <w:tcPr>
            <w:tcW w:w="0" w:type="dxa"/>
            <w:vAlign w:val="bottom"/>
          </w:tcPr>
          <w:p>
            <w:pPr>
              <w:spacing w:after="0"/>
              <w:rPr>
                <w:sz w:val="1"/>
                <w:szCs w:val="1"/>
                <w:color w:val="auto"/>
              </w:rPr>
            </w:pPr>
          </w:p>
        </w:tc>
      </w:tr>
      <w:tr>
        <w:trPr>
          <w:trHeight w:val="26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9 Years</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8.17 Years</w:t>
            </w: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47"/>
        </w:trPr>
        <w:tc>
          <w:tcPr>
            <w:tcW w:w="2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Varies</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Varies</w:t>
            </w:r>
          </w:p>
        </w:tc>
        <w:tc>
          <w:tcPr>
            <w:tcW w:w="0" w:type="dxa"/>
            <w:vAlign w:val="bottom"/>
          </w:tcPr>
          <w:p>
            <w:pPr>
              <w:spacing w:after="0"/>
              <w:rPr>
                <w:sz w:val="1"/>
                <w:szCs w:val="1"/>
                <w:color w:val="auto"/>
              </w:rPr>
            </w:pPr>
          </w:p>
        </w:tc>
      </w:tr>
      <w:tr>
        <w:trPr>
          <w:trHeight w:val="232"/>
        </w:trPr>
        <w:tc>
          <w:tcPr>
            <w:tcW w:w="2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-187960</wp:posOffset>
            </wp:positionV>
            <wp:extent cx="76835"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-187960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Aggregate amortization expense for fiscal years 2022 and 2021 were $228 thousand and $163 thousand, respectively. The amortization of developed technology was charged to research and development expense and the amortization of customer relations and trade names was charged to sales and marketing expense. We started amortization of in-process R&amp;D in the fourth fiscal quarter of 2022, as it was related to the release of a new system.</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future amortization expense for purchased intangible assets is as follows (in thousands):</w:t>
      </w:r>
    </w:p>
    <w:p>
      <w:pPr>
        <w:spacing w:after="0" w:line="243"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7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6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20"/>
                <w:szCs w:val="20"/>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shd w:val="clear" w:color="auto" w:fill="CFF0FC"/>
          </w:tcPr>
          <w:p>
            <w:pPr>
              <w:spacing w:after="0"/>
              <w:rPr>
                <w:sz w:val="21"/>
                <w:szCs w:val="2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Pr>
          <w:p>
            <w:pPr>
              <w:spacing w:after="0"/>
              <w:rPr>
                <w:sz w:val="20"/>
                <w:szCs w:val="20"/>
                <w:color w:val="auto"/>
              </w:rPr>
            </w:pPr>
          </w:p>
        </w:tc>
      </w:tr>
      <w:tr>
        <w:trPr>
          <w:trHeight w:val="24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60" w:type="dxa"/>
            <w:vAlign w:val="bottom"/>
          </w:tcPr>
          <w:p>
            <w:pPr>
              <w:spacing w:after="0"/>
              <w:rPr>
                <w:sz w:val="20"/>
                <w:szCs w:val="20"/>
                <w:color w:val="auto"/>
              </w:rPr>
            </w:pPr>
          </w:p>
        </w:tc>
      </w:tr>
      <w:tr>
        <w:trPr>
          <w:trHeight w:val="20"/>
        </w:trPr>
        <w:tc>
          <w:tcPr>
            <w:tcW w:w="4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Current Liabilities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accrued expenses and other current liabilities are as follows (in thousands):</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FY 2021</w:t>
            </w:r>
          </w:p>
        </w:tc>
        <w:tc>
          <w:tcPr>
            <w:tcW w:w="80" w:type="dxa"/>
            <w:vAlign w:val="bottom"/>
          </w:tcPr>
          <w:p>
            <w:pPr>
              <w:spacing w:after="0"/>
              <w:rPr>
                <w:sz w:val="15"/>
                <w:szCs w:val="15"/>
                <w:color w:val="auto"/>
              </w:rPr>
            </w:pPr>
          </w:p>
        </w:tc>
      </w:tr>
      <w:tr>
        <w:trPr>
          <w:trHeight w:val="187"/>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r>
      <w:tr>
        <w:trPr>
          <w:trHeight w:val="23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20"/>
                <w:szCs w:val="20"/>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Temporary help and consulting</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shd w:val="clear" w:color="auto" w:fill="CFF0FC"/>
          </w:tcPr>
          <w:p>
            <w:pPr>
              <w:spacing w:after="0"/>
              <w:rPr>
                <w:sz w:val="21"/>
                <w:szCs w:val="2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r>
      <w:tr>
        <w:trPr>
          <w:trHeight w:val="247"/>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FF0FC"/>
          </w:tcPr>
          <w:p>
            <w:pPr>
              <w:spacing w:after="0"/>
              <w:rPr>
                <w:sz w:val="21"/>
                <w:szCs w:val="21"/>
                <w:color w:val="auto"/>
              </w:rPr>
            </w:pPr>
          </w:p>
        </w:tc>
      </w:t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20"/>
                <w:szCs w:val="20"/>
                <w:color w:val="auto"/>
              </w:rPr>
            </w:pPr>
          </w:p>
        </w:tc>
      </w:tr>
      <w:tr>
        <w:trPr>
          <w:trHeight w:val="27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74"/>
        </w:trPr>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FY 2021</w:t>
            </w:r>
          </w:p>
        </w:tc>
        <w:tc>
          <w:tcPr>
            <w:tcW w:w="80" w:type="dxa"/>
            <w:vAlign w:val="bottom"/>
          </w:tcPr>
          <w:p>
            <w:pPr>
              <w:spacing w:after="0"/>
              <w:rPr>
                <w:sz w:val="24"/>
                <w:szCs w:val="24"/>
                <w:color w:val="auto"/>
              </w:rPr>
            </w:pPr>
          </w:p>
        </w:tc>
      </w:tr>
      <w:tr>
        <w:trPr>
          <w:trHeight w:val="226"/>
        </w:trPr>
        <w:tc>
          <w:tcPr>
            <w:tcW w:w="4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9"/>
                <w:szCs w:val="19"/>
                <w:color w:val="auto"/>
              </w:rPr>
            </w:pPr>
          </w:p>
        </w:tc>
      </w:tr>
      <w:tr>
        <w:trPr>
          <w:trHeight w:val="232"/>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FF0FC"/>
            </w:tcBorders>
          </w:tcPr>
          <w:p>
            <w:pPr>
              <w:spacing w:after="0"/>
              <w:rPr>
                <w:sz w:val="20"/>
                <w:szCs w:val="20"/>
                <w:color w:val="auto"/>
              </w:rPr>
            </w:pPr>
          </w:p>
        </w:tc>
      </w:tr>
      <w:tr>
        <w:trPr>
          <w:trHeight w:val="27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-831215</wp:posOffset>
            </wp:positionV>
            <wp:extent cx="1268730" cy="831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68730" cy="83185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Paycheck Protection Program (“PPP”) Loan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April 23, 2020, the Company qualified for and received a loan pursuant to the PPP, a program implemented by the U.S. Small Business Administration (the “SBA”) under the Coronavirus Aid, Relief, and Economic Security Act, from a qualified lender (the “PPP Lender”), for an aggregate principal amount of approximately $2.5 million (the "PPP Loan"). The PPP Loan bears interest at a fixed rate of 1.0% per annum, with the first six months of interest deferred, has a term of two years, and is unsecured and guaranteed by the U.S. Small Business Administration. The principal amount of the PPP Loan is subject to forgiveness under the Paycheck Protection Program upon the Company’s request to the extent that the PPP Loan proceeds are used to pay expenses permitted by the Paycheck Protection Program, including payroll costs, covered rent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mortgage obligations, and covered utility payments incurred by the Company. On September 22, 2020, the Company submitted the PPP Loan forgiveness application for the entire amount of approximately $2.5 million.</w:t>
      </w:r>
    </w:p>
    <w:p>
      <w:pPr>
        <w:spacing w:after="0" w:line="54"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June 2021, the Company was notified by Silicon Valley Bank that its PPP Loan, including accrued interest, has been fully forgiven by the SBA. We recognized a $2.5 million gain on PPP Loan forgiveness, included in Other income, net in the consolidated statements of operations for the fiscal year ended January 1,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Commitments.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lease our operating facilities in Mountain View, California, under a non-cancelable operating lease through August 31, 2024. There are no further options or rights to extend the term of this lease.</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operating lease commitments consist of facility and office equipment leases. Operating lease expense for fiscal years 2022 and 2021 was approximately $1.0 million and $1.1 million, respectively. The weighted average discount rate used in calculating the present value of lease payments was 4.9%. As of December 31, 2022, the weighted average remaining lease term for our operating leases was 1.7 years.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31, 2022 (in thousands):</w:t>
      </w:r>
    </w:p>
    <w:p>
      <w:pPr>
        <w:spacing w:after="0" w:line="24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87"/>
        </w:trPr>
        <w:tc>
          <w:tcPr>
            <w:tcW w:w="4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0" w:type="dxa"/>
            <w:vAlign w:val="bottom"/>
          </w:tcPr>
          <w:p>
            <w:pPr>
              <w:spacing w:after="0"/>
              <w:rPr>
                <w:sz w:val="1"/>
                <w:szCs w:val="1"/>
                <w:color w:val="auto"/>
              </w:rPr>
            </w:pPr>
          </w:p>
        </w:tc>
      </w:tr>
      <w:tr>
        <w:trPr>
          <w:trHeight w:val="237"/>
        </w:trPr>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purchase commitments consist primarily of non-cancellable purchase orders with vendors to manufacture certain components and ophthalmic instruments. As of December 31, 2022, our future minimum payments through fiscal year 2024 for our purchase commitments were approximately $20.6 million, with $2.1 million committed for the next 12 months.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obligated to pay royalties equivalent to 1% to 5% of sales on certain products under certain license agreements with termination dates through the end of 2033. Royalty expense, charged to cost of revenues, was approximately $0.4 million and $0.4 million for fiscal years 2022 and 2021,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Arrangements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In general, management believes that ordinary course of business matters will not have a material adverse effect on our financial position or results of operations and are adequately covered by our liability insurance. However, it is possible that consolidated cash flows or results of operations could be materially affected in any particular period by the unfavorable resolution of one of</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more of these contingencies or because of the diversion of management’s attention and the incurrence of significant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June 11, 2008, the shareholders approved the adoption of the 2008 Equity Incentive Plan, (the “Incentive Plan”). There are no material changes in the Incentive Plan from the 1998 Plan. In 2014, 2017, 2018, 2019 and 2021,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is 4,850,000 shares plus any shares subject to stock options or similar awards granted under the 1998 Plan that expire or otherwise terminate without having been exercised in full and shares issued pursuant to awards granted under the 1998 Stock Plan (the “1998 Plan”) that are forfeited to us on or after February 23, 2008, which was the date the 1998 Plan expired.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the shares activity and the total number of shares available for grant under the Incentive Plan:</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r>
      <w:tr>
        <w:trPr>
          <w:trHeight w:val="148"/>
        </w:trPr>
        <w:tc>
          <w:tcPr>
            <w:tcW w:w="736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Available</w:t>
            </w:r>
          </w:p>
        </w:tc>
      </w:tr>
      <w:tr>
        <w:trPr>
          <w:trHeight w:val="187"/>
        </w:trPr>
        <w:tc>
          <w:tcPr>
            <w:tcW w:w="73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3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January 2,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478,022</w:t>
            </w:r>
          </w:p>
        </w:tc>
        <w:tc>
          <w:tcPr>
            <w:tcW w:w="80" w:type="dxa"/>
            <w:vAlign w:val="bottom"/>
            <w:shd w:val="clear" w:color="auto" w:fill="CFF0FC"/>
          </w:tcPr>
          <w:p>
            <w:pPr>
              <w:spacing w:after="0"/>
              <w:rPr>
                <w:sz w:val="20"/>
                <w:szCs w:val="20"/>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shares reserved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0"/>
                <w:szCs w:val="20"/>
                <w:color w:val="auto"/>
              </w:rPr>
            </w:pPr>
          </w:p>
        </w:tc>
      </w:tr>
      <w:tr>
        <w:trPr>
          <w:trHeight w:val="247"/>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(348,363 )</w:t>
            </w: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granted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(257,397 )</w:t>
            </w:r>
          </w:p>
        </w:tc>
      </w:tr>
      <w:tr>
        <w:trPr>
          <w:trHeight w:val="247"/>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159,048</w:t>
            </w:r>
          </w:p>
        </w:tc>
        <w:tc>
          <w:tcPr>
            <w:tcW w:w="80" w:type="dxa"/>
            <w:vAlign w:val="bottom"/>
            <w:shd w:val="clear" w:color="auto" w:fill="CFF0FC"/>
          </w:tcPr>
          <w:p>
            <w:pPr>
              <w:spacing w:after="0"/>
              <w:rPr>
                <w:sz w:val="21"/>
                <w:szCs w:val="21"/>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Awards 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91,071</w:t>
            </w:r>
          </w:p>
        </w:tc>
        <w:tc>
          <w:tcPr>
            <w:tcW w:w="80" w:type="dxa"/>
            <w:vAlign w:val="bottom"/>
          </w:tcPr>
          <w:p>
            <w:pPr>
              <w:spacing w:after="0"/>
              <w:rPr>
                <w:sz w:val="20"/>
                <w:szCs w:val="20"/>
                <w:color w:val="auto"/>
              </w:rPr>
            </w:pPr>
          </w:p>
        </w:tc>
      </w:tr>
      <w:tr>
        <w:trPr>
          <w:trHeight w:val="241"/>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January 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1,122,381</w:t>
            </w:r>
          </w:p>
        </w:tc>
        <w:tc>
          <w:tcPr>
            <w:tcW w:w="80" w:type="dxa"/>
            <w:vAlign w:val="bottom"/>
            <w:shd w:val="clear" w:color="auto" w:fill="CFF0FC"/>
          </w:tcPr>
          <w:p>
            <w:pPr>
              <w:spacing w:after="0"/>
              <w:rPr>
                <w:sz w:val="20"/>
                <w:szCs w:val="20"/>
                <w:color w:val="auto"/>
              </w:rPr>
            </w:pP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(577,613 )</w:t>
            </w:r>
          </w:p>
        </w:tc>
      </w:tr>
      <w:tr>
        <w:trPr>
          <w:trHeight w:val="247"/>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granted</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(547,305 )</w:t>
            </w:r>
          </w:p>
        </w:tc>
      </w:tr>
      <w:tr>
        <w:trPr>
          <w:trHeight w:val="23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107,575</w:t>
            </w:r>
          </w:p>
        </w:tc>
        <w:tc>
          <w:tcPr>
            <w:tcW w:w="8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Awards cancelled</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114,995</w:t>
            </w:r>
          </w:p>
        </w:tc>
        <w:tc>
          <w:tcPr>
            <w:tcW w:w="8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10" w:lineRule="exact"/>
        <w:rPr>
          <w:sz w:val="20"/>
          <w:szCs w:val="20"/>
          <w:color w:val="auto"/>
        </w:rPr>
      </w:pPr>
    </w:p>
    <w:p>
      <w:pPr>
        <w:jc w:val="both"/>
        <w:ind w:left="520" w:right="80"/>
        <w:spacing w:after="0" w:line="266" w:lineRule="auto"/>
        <w:rPr>
          <w:sz w:val="20"/>
          <w:szCs w:val="20"/>
          <w:color w:val="auto"/>
        </w:rPr>
      </w:pPr>
      <w:r>
        <w:rPr>
          <w:rFonts w:ascii="Times New Roman" w:cs="Times New Roman" w:eastAsia="Times New Roman" w:hAnsi="Times New Roman"/>
          <w:sz w:val="18"/>
          <w:szCs w:val="18"/>
          <w:color w:val="auto"/>
        </w:rPr>
        <w:t>Awards (RSU, PSU, RSA) with a per share or unit purchase price lower than 100% of the fair market value of the Company's common stock on the date of grant under the 2008 Equity Incentive Plan, as amended, are counted against shares authorized under the plan as one and one-half shares of common stock for each share. When cancelled, these shares are added back to the Plan as one and one-half shares.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expenses by functional area in the consolidated statements of operations for 2022 and 2021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80" w:type="dxa"/>
            <w:vAlign w:val="bottom"/>
          </w:tcPr>
          <w:p>
            <w:pPr>
              <w:spacing w:after="0"/>
              <w:rPr>
                <w:sz w:val="15"/>
                <w:szCs w:val="15"/>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r>
      <w:tr>
        <w:trPr>
          <w:trHeight w:val="187"/>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FF0FC"/>
          </w:tcPr>
          <w:p>
            <w:pPr>
              <w:spacing w:after="0"/>
              <w:rPr>
                <w:sz w:val="20"/>
                <w:szCs w:val="20"/>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FF0FC"/>
          </w:tcPr>
          <w:p>
            <w:pPr>
              <w:spacing w:after="0"/>
              <w:rPr>
                <w:sz w:val="21"/>
                <w:szCs w:val="21"/>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20"/>
                <w:szCs w:val="20"/>
                <w:color w:val="auto"/>
              </w:rPr>
            </w:pPr>
          </w:p>
        </w:tc>
      </w:tr>
      <w:tr>
        <w:trPr>
          <w:trHeight w:val="27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2022 and 2021.</w:t>
      </w:r>
    </w:p>
    <w:p>
      <w:pPr>
        <w:spacing w:after="0" w:line="117"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$2.7 million of total unrecognized compensation cost related to non-vested share-based compensation arrangements under the Incentive Plan. The cost is expected to be recognized over a weighted-average period of 1.79 years.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Summary of Stock Options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regarding activity in our stock option plans during the fiscal years ended 2022 and 2021 (in thousands except share and per share data):</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6"/>
                <w:szCs w:val="16"/>
                <w:color w:val="auto"/>
              </w:rPr>
            </w:pPr>
          </w:p>
        </w:tc>
        <w:tc>
          <w:tcPr>
            <w:tcW w:w="10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January 2,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1,649,540</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348,363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(66,234 )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(159,048 )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January 1, 2022</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1,772,621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577,613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(9,692 )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(107,575 )</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2,232,967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31,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vMerge w:val="restart"/>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ind w:right="215"/>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$1.82 - $2.12</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30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$2.13 - $2.13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349,585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224,545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$2.18 - $2.27</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54,667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44,240</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$2.28 - $2.28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461,913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$2.30 - $4.86</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193,648</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84,574</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$4.92 - $4.92</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279,167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$4.98</w:t>
            </w:r>
          </w:p>
        </w:tc>
        <w:tc>
          <w:tcPr>
            <w:tcW w:w="2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$6.57</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194,854</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146,606</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$6.58</w:t>
            </w:r>
          </w:p>
        </w:tc>
        <w:tc>
          <w:tcPr>
            <w:tcW w:w="2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$6.58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238,263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79,575</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$6.67</w:t>
            </w:r>
          </w:p>
        </w:tc>
        <w:tc>
          <w:tcPr>
            <w:tcW w:w="2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$14.61</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100,262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$16.29 - $16.29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$1.82</w:t>
            </w:r>
          </w:p>
        </w:tc>
        <w:tc>
          <w:tcPr>
            <w:tcW w:w="20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$16.29</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2,232,967</w:t>
            </w:r>
          </w:p>
        </w:tc>
        <w:tc>
          <w:tcPr>
            <w:tcW w:w="18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56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tcBorders>
              <w:bottom w:val="single" w:sz="8" w:color="CFF0FC"/>
            </w:tcBorders>
            <w:shd w:val="clear" w:color="auto" w:fill="CFF0FC"/>
          </w:tcPr>
          <w:p>
            <w:pPr>
              <w:spacing w:after="0"/>
              <w:rPr>
                <w:sz w:val="24"/>
                <w:szCs w:val="24"/>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966,593</w:t>
            </w:r>
          </w:p>
        </w:tc>
        <w:tc>
          <w:tcPr>
            <w:tcW w:w="56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-24765</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determination of the fair value of options granted is computed using the Black-Scholes option pricing model with the following weighted average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304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Employee Stock Option Plan</w:t>
            </w:r>
          </w:p>
        </w:tc>
      </w:tr>
      <w:tr>
        <w:trPr>
          <w:trHeight w:val="169"/>
        </w:trPr>
        <w:tc>
          <w:tcPr>
            <w:tcW w:w="6020" w:type="dxa"/>
            <w:vAlign w:val="bottom"/>
          </w:tcPr>
          <w:p>
            <w:pPr>
              <w:spacing w:after="0"/>
              <w:rPr>
                <w:sz w:val="14"/>
                <w:szCs w:val="14"/>
                <w:color w:val="auto"/>
              </w:rPr>
            </w:pPr>
          </w:p>
        </w:tc>
        <w:tc>
          <w:tcPr>
            <w:tcW w:w="1560" w:type="dxa"/>
            <w:vAlign w:val="bottom"/>
            <w:tcBorders>
              <w:top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13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Average risk free interest rate</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4.50 years</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4.45 years</w:t>
            </w:r>
          </w:p>
        </w:tc>
      </w:tr>
      <w:tr>
        <w:trPr>
          <w:trHeight w:val="25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-610870</wp:posOffset>
            </wp:positionV>
            <wp:extent cx="570039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as calculated using the Black-Scholes option pricing was $1.55 and $3.81 per share for the fiscal years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8" w:name="page69"/>
    <w:bookmarkEnd w:id="68"/>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stock options outstanding, exercisable and expected to vest as of December 31, 2022 is summarized below:</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40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460" w:type="dxa"/>
            <w:vAlign w:val="bottom"/>
          </w:tcPr>
          <w:p>
            <w:pPr>
              <w:spacing w:after="0"/>
              <w:rPr>
                <w:sz w:val="16"/>
                <w:szCs w:val="16"/>
                <w:color w:val="auto"/>
              </w:rPr>
            </w:pPr>
          </w:p>
        </w:tc>
        <w:tc>
          <w:tcPr>
            <w:tcW w:w="14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2,232,967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2,116,879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966,593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our closing stock price on the last trading day of fiscal 2022 and the exercise price, multiplied by the number of in-the-money options) that would have been received by the option holders had all option holders exercised their options on December 31, 2022. This amount is subject to change due to changes to the fair market value of our common stock. The total intrinsic value of options exercised for fiscal years 2022 and 2021 were approximately $23 thousand and $251 thousand,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Effective for the 2018 fiscal year and thereafter, each non-employee member of the Board of Directors receives an annual equity award of either restricted stock or RSU, at the election of such Board member, in each case equal to $75 thousand worth of our common stock (determined at the fair market value of the shares at the time such award is granted) under our Incentive Plan. Each equity award vests in full on the earlier of the one-year anniversary of the date of grant or the Company’s next annual meeting of stockholders, provided that the non-employee member continues to serve on the Board through such date.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Restricted Stock Units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We recognize the estimated compensation expense of restricted stock units, net of estimated forfeitures, over the vesting term. The estimated compensation expense is based on the fair value of our common stock on the date of grant.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restricted stock units outstanding, vested and expected to vest as of December 31, 2022 is summarized below:</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4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4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Value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473,029</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vested and expected to vest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434,273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the restricted stock units is calculated based on the closing price of our shares as quoted on the Nasdaq Global Market on the last trading day of the fiscal year, December 31, 2021, of $2.01.</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majority of the restricted stock units that were released in fiscal year 2022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December 31, 2022, 138,964 shares of</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9" w:name="page70"/>
    <w:bookmarkEnd w:id="69"/>
    <w:p>
      <w:pPr>
        <w:ind w:right="560"/>
        <w:spacing w:after="0" w:line="282" w:lineRule="auto"/>
        <w:rPr>
          <w:sz w:val="20"/>
          <w:szCs w:val="20"/>
          <w:color w:val="auto"/>
        </w:rPr>
      </w:pPr>
      <w:r>
        <w:rPr>
          <w:rFonts w:ascii="Times New Roman" w:cs="Times New Roman" w:eastAsia="Times New Roman" w:hAnsi="Times New Roman"/>
          <w:sz w:val="18"/>
          <w:szCs w:val="18"/>
          <w:color w:val="auto"/>
        </w:rPr>
        <w:t>restricted stock units were released with an intrinsic value of approximately $372 thousand. We withheld 35,165 shares to satisfy approximately $94 thousand of employees’ minimum tax obligation on the released restricted stock units.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RSU activity during the years ended December 31, 2022 and January 1, 2022 is summarized below:</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4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1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1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2, 2021</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524,851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released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(381,974 )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(60,714 )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January 1, 2022</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253,761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released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(138,964 )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(6,638 )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473,029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-25400</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awarded 364,870 restricted stock units at a weighted average grant date fair value of $2.45 per share. During the year ended December 31, 2021, the Company awarded 171,598 restricted stock units at a weighted average grant date fair value of $6.78 per share. Of this amount, 5,000 performance-based shares that are subject to service and performance vesting conditions with a weighted average grant date fair value of $8.34 per share.</w:t>
      </w:r>
    </w:p>
    <w:p>
      <w:pPr>
        <w:spacing w:after="0" w:line="72"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2021, 56,900 stock awards were modified to clarify the performance condition. The total incremental expense for these modifications resulted in an additional stock-based compensation expense of $0.4 million recorded within cost of sales and operating expenses on the consolidated statements of operations for the fiscal year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Company. In 2022, the Company made $230 thousand worth of total matching contributions. In 2021, the Company made $201 thousand worth of total matching contributions.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Loss from operations before provision for income taxes was comprised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20" w:type="dxa"/>
            <w:vAlign w:val="bottom"/>
          </w:tcPr>
          <w:p>
            <w:pPr>
              <w:spacing w:after="0"/>
              <w:rPr>
                <w:sz w:val="15"/>
                <w:szCs w:val="15"/>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5"/>
                <w:szCs w:val="15"/>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56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7"/>
        </w:trPr>
        <w:tc>
          <w:tcPr>
            <w:tcW w:w="1140" w:type="dxa"/>
            <w:vAlign w:val="bottom"/>
          </w:tcPr>
          <w:p>
            <w:pPr>
              <w:spacing w:after="0"/>
              <w:rPr>
                <w:sz w:val="24"/>
                <w:szCs w:val="24"/>
                <w:color w:val="auto"/>
              </w:rPr>
            </w:pPr>
          </w:p>
        </w:tc>
        <w:tc>
          <w:tcPr>
            <w:tcW w:w="2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spacing w:after="0"/>
              <w:rPr>
                <w:sz w:val="24"/>
                <w:szCs w:val="24"/>
                <w:color w:val="auto"/>
              </w:rPr>
            </w:pPr>
          </w:p>
        </w:tc>
      </w:tr>
      <w:tr>
        <w:trPr>
          <w:trHeight w:val="633"/>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5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-521970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-504825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0" w:name="page71"/>
    <w:bookmarkEnd w:id="70"/>
    <w:p>
      <w:pPr>
        <w:ind w:left="520"/>
        <w:spacing w:after="0"/>
        <w:rPr>
          <w:sz w:val="20"/>
          <w:szCs w:val="20"/>
          <w:color w:val="auto"/>
        </w:rPr>
      </w:pPr>
      <w:r>
        <w:rPr>
          <w:rFonts w:ascii="Times New Roman" w:cs="Times New Roman" w:eastAsia="Times New Roman" w:hAnsi="Times New Roman"/>
          <w:sz w:val="18"/>
          <w:szCs w:val="18"/>
          <w:color w:val="auto"/>
        </w:rPr>
        <w:t>The provision for income taxes includes: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20" w:type="dxa"/>
            <w:vAlign w:val="bottom"/>
          </w:tcPr>
          <w:p>
            <w:pPr>
              <w:spacing w:after="0"/>
              <w:rPr>
                <w:sz w:val="15"/>
                <w:szCs w:val="15"/>
                <w:color w:val="auto"/>
              </w:rPr>
            </w:pPr>
          </w:p>
        </w:tc>
        <w:tc>
          <w:tcPr>
            <w:tcW w:w="14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80" w:type="dxa"/>
            <w:vAlign w:val="bottom"/>
          </w:tcPr>
          <w:p>
            <w:pPr>
              <w:spacing w:after="0"/>
              <w:rPr>
                <w:sz w:val="15"/>
                <w:szCs w:val="15"/>
                <w:color w:val="auto"/>
              </w:rPr>
            </w:pPr>
          </w:p>
        </w:tc>
      </w:tr>
      <w:tr>
        <w:trPr>
          <w:trHeight w:val="175"/>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5"/>
                <w:szCs w:val="15"/>
                <w:color w:val="auto"/>
              </w:rPr>
            </w:pPr>
          </w:p>
        </w:tc>
        <w:tc>
          <w:tcPr>
            <w:tcW w:w="14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r>
      <w:tr>
        <w:trPr>
          <w:trHeight w:val="187"/>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4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r>
      <w:tr>
        <w:trPr>
          <w:trHeight w:val="237"/>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r>
      <w:tr>
        <w:trPr>
          <w:trHeight w:val="237"/>
        </w:trPr>
        <w:tc>
          <w:tcPr>
            <w:tcW w:w="5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r>
      <w:tr>
        <w:trPr>
          <w:trHeight w:val="23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 w:type="dxa"/>
            <w:vAlign w:val="bottom"/>
          </w:tcPr>
          <w:p>
            <w:pPr>
              <w:spacing w:after="0"/>
              <w:rPr>
                <w:sz w:val="20"/>
                <w:szCs w:val="20"/>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37"/>
        </w:trPr>
        <w:tc>
          <w:tcPr>
            <w:tcW w:w="5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-822325</wp:posOffset>
            </wp:positionV>
            <wp:extent cx="5969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-822325</wp:posOffset>
            </wp:positionV>
            <wp:extent cx="51435"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5969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differs from the statutory federal income tax rate as shown in the following schedule:</w:t>
      </w: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174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201"/>
        </w:trPr>
        <w:tc>
          <w:tcPr>
            <w:tcW w:w="5180" w:type="dxa"/>
            <w:vAlign w:val="bottom"/>
          </w:tcPr>
          <w:p>
            <w:pPr>
              <w:spacing w:after="0"/>
              <w:rPr>
                <w:sz w:val="17"/>
                <w:szCs w:val="17"/>
                <w:color w:val="auto"/>
              </w:rPr>
            </w:pPr>
          </w:p>
        </w:tc>
        <w:tc>
          <w:tcPr>
            <w:tcW w:w="2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74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5180" w:type="dxa"/>
            <w:vAlign w:val="bottom"/>
          </w:tcPr>
          <w:p>
            <w:pPr>
              <w:spacing w:after="0"/>
              <w:rPr>
                <w:sz w:val="16"/>
                <w:szCs w:val="16"/>
                <w:color w:val="auto"/>
              </w:rPr>
            </w:pPr>
          </w:p>
        </w:tc>
        <w:tc>
          <w:tcPr>
            <w:tcW w:w="2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740" w:type="dxa"/>
            <w:vAlign w:val="bottom"/>
            <w:gridSpan w:val="2"/>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2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17.1 %</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Federal rate change impact</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1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(24.0 )%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4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(0.1 )%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20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-1422400</wp:posOffset>
            </wp:positionV>
            <wp:extent cx="570039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-1113790</wp:posOffset>
            </wp:positionV>
            <wp:extent cx="570039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-805180</wp:posOffset>
            </wp:positionV>
            <wp:extent cx="570039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-179070</wp:posOffset>
            </wp:positionV>
            <wp:extent cx="5700395"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net deferred tax assets are presented below (in thousands):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220" w:type="dxa"/>
            <w:vAlign w:val="bottom"/>
          </w:tcPr>
          <w:p>
            <w:pPr>
              <w:spacing w:after="0"/>
              <w:rPr>
                <w:sz w:val="15"/>
                <w:szCs w:val="15"/>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176"/>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5"/>
                <w:szCs w:val="15"/>
                <w:color w:val="auto"/>
              </w:rPr>
            </w:pPr>
          </w:p>
        </w:tc>
        <w:tc>
          <w:tcPr>
            <w:tcW w:w="156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56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80" w:type="dxa"/>
            <w:vAlign w:val="bottom"/>
            <w:shd w:val="clear" w:color="auto" w:fill="CFF0FC"/>
          </w:tcPr>
          <w:p>
            <w:pPr>
              <w:spacing w:after="0"/>
              <w:rPr>
                <w:sz w:val="21"/>
                <w:szCs w:val="21"/>
                <w:color w:val="auto"/>
              </w:rPr>
            </w:pPr>
          </w:p>
        </w:tc>
      </w:tr>
      <w:tr>
        <w:trPr>
          <w:trHeight w:val="23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21"/>
                <w:szCs w:val="21"/>
                <w:color w:val="auto"/>
              </w:rPr>
            </w:pPr>
          </w:p>
        </w:tc>
      </w:tr>
      <w:tr>
        <w:trPr>
          <w:trHeight w:val="23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FF0FC"/>
          </w:tcPr>
          <w:p>
            <w:pPr>
              <w:spacing w:after="0"/>
              <w:rPr>
                <w:sz w:val="21"/>
                <w:szCs w:val="21"/>
                <w:color w:val="auto"/>
              </w:rPr>
            </w:pPr>
          </w:p>
        </w:tc>
      </w:tr>
      <w:tr>
        <w:trPr>
          <w:trHeight w:val="23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174 research and experimental expenditures capitalization</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shd w:val="clear" w:color="auto" w:fill="CFF0FC"/>
          </w:tcPr>
          <w:p>
            <w:pPr>
              <w:spacing w:after="0"/>
              <w:rPr>
                <w:sz w:val="21"/>
                <w:szCs w:val="21"/>
                <w:color w:val="auto"/>
              </w:rPr>
            </w:pPr>
          </w:p>
        </w:tc>
      </w:tr>
      <w:tr>
        <w:trPr>
          <w:trHeight w:val="23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tax credits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1"/>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80" w:type="dxa"/>
            <w:vAlign w:val="bottom"/>
            <w:shd w:val="clear" w:color="auto" w:fill="CFF0FC"/>
          </w:tcPr>
          <w:p>
            <w:pPr>
              <w:spacing w:after="0"/>
              <w:rPr>
                <w:sz w:val="20"/>
                <w:szCs w:val="20"/>
                <w:color w:val="auto"/>
              </w:rPr>
            </w:pPr>
          </w:p>
        </w:tc>
      </w:tr>
      <w:tr>
        <w:trPr>
          <w:trHeight w:val="239"/>
        </w:trPr>
        <w:tc>
          <w:tcPr>
            <w:tcW w:w="5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Pr>
          <w:p>
            <w:pPr>
              <w:spacing w:after="0"/>
              <w:rPr>
                <w:sz w:val="20"/>
                <w:szCs w:val="20"/>
                <w:color w:val="auto"/>
              </w:rPr>
            </w:pP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(23,078 )</w:t>
            </w:r>
          </w:p>
        </w:tc>
        <w:tc>
          <w:tcPr>
            <w:tcW w:w="22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(21,280 )</w:t>
            </w:r>
          </w:p>
        </w:tc>
      </w:tr>
      <w:tr>
        <w:trPr>
          <w:trHeight w:val="241"/>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(104 )</w:t>
            </w: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0" w:type="dxa"/>
            <w:vAlign w:val="bottom"/>
          </w:tcPr>
          <w:p>
            <w:pPr>
              <w:spacing w:after="0"/>
              <w:rPr>
                <w:sz w:val="20"/>
                <w:szCs w:val="20"/>
                <w:color w:val="auto"/>
              </w:rPr>
            </w:pP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76"/>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59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right="140" w:firstLine="515"/>
        <w:spacing w:after="0" w:line="282" w:lineRule="auto"/>
        <w:rPr>
          <w:sz w:val="20"/>
          <w:szCs w:val="20"/>
          <w:color w:val="auto"/>
        </w:rPr>
      </w:pPr>
      <w:r>
        <w:rPr>
          <w:rFonts w:ascii="Times New Roman" w:cs="Times New Roman" w:eastAsia="Times New Roman" w:hAnsi="Times New Roman"/>
          <w:sz w:val="18"/>
          <w:szCs w:val="18"/>
          <w:color w:val="auto"/>
        </w:rPr>
        <w:t>Our accounting for deferred taxes involves the evaluation of a number of factors concerning the realizability of our deferred tax assets. Assessing the realizability of deferred tax assets is dependent upon several factors, including the</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71" w:name="page72"/>
    <w:bookmarkEnd w:id="71"/>
    <w:p>
      <w:pPr>
        <w:spacing w:after="0" w:line="281" w:lineRule="auto"/>
        <w:rPr>
          <w:sz w:val="20"/>
          <w:szCs w:val="20"/>
          <w:color w:val="auto"/>
        </w:rPr>
      </w:pPr>
      <w:r>
        <w:rPr>
          <w:rFonts w:ascii="Times New Roman" w:cs="Times New Roman" w:eastAsia="Times New Roman" w:hAnsi="Times New Roman"/>
          <w:sz w:val="17"/>
          <w:szCs w:val="17"/>
          <w:color w:val="auto"/>
        </w:rPr>
        <w:t>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56" w:lineRule="exact"/>
        <w:rPr>
          <w:sz w:val="20"/>
          <w:szCs w:val="20"/>
          <w:color w:val="auto"/>
        </w:rPr>
      </w:pPr>
    </w:p>
    <w:p>
      <w:pPr>
        <w:ind w:right="20" w:firstLine="515"/>
        <w:spacing w:after="0" w:line="261" w:lineRule="auto"/>
        <w:rPr>
          <w:sz w:val="20"/>
          <w:szCs w:val="20"/>
          <w:color w:val="auto"/>
        </w:rPr>
      </w:pPr>
      <w:r>
        <w:rPr>
          <w:rFonts w:ascii="Times New Roman" w:cs="Times New Roman" w:eastAsia="Times New Roman" w:hAnsi="Times New Roman"/>
          <w:sz w:val="18"/>
          <w:szCs w:val="18"/>
          <w:color w:val="auto"/>
        </w:rPr>
        <w:t>As of December 31, 2022, based on the Company's recent history of losses and its forecasted losses, management believes on the more likely than not basis that a full valuation allowance is required. Accordingly, in the fourth quarter of fiscal year 2022, the Company provided a full valuation allowance on its federal and state deferred tax assets. As of December 31, 2022, the Company had federal and state net operating loss (“NOL”) carry forwards of $44.6 million and $55.4 million, respectively. The federal NOL will begin to expire in 2033 and the state NOL will begin to expire in 2032.</w:t>
      </w:r>
    </w:p>
    <w:p>
      <w:pPr>
        <w:spacing w:after="0" w:line="72" w:lineRule="exact"/>
        <w:rPr>
          <w:sz w:val="20"/>
          <w:szCs w:val="20"/>
          <w:color w:val="auto"/>
        </w:rPr>
      </w:pPr>
    </w:p>
    <w:p>
      <w:pPr>
        <w:jc w:val="both"/>
        <w:ind w:right="40" w:firstLine="515"/>
        <w:spacing w:after="0" w:line="266" w:lineRule="auto"/>
        <w:rPr>
          <w:sz w:val="20"/>
          <w:szCs w:val="20"/>
          <w:color w:val="auto"/>
        </w:rPr>
      </w:pPr>
      <w:r>
        <w:rPr>
          <w:rFonts w:ascii="Times New Roman" w:cs="Times New Roman" w:eastAsia="Times New Roman" w:hAnsi="Times New Roman"/>
          <w:sz w:val="18"/>
          <w:szCs w:val="18"/>
          <w:color w:val="auto"/>
        </w:rPr>
        <w:t>The Company has federal and state research credit carry forwards of approximately $2.4 million and $2.2 million, respectively. The federal research credit will begin to expire in 2023 and the state research credit can be carried forward indefinitely. In the event of a change in ownership as defined by IRC sections 382 and 383, the usage of the above mentioned NOLs and credits may be limited.</w:t>
      </w:r>
    </w:p>
    <w:p>
      <w:pPr>
        <w:spacing w:after="0" w:line="68" w:lineRule="exact"/>
        <w:rPr>
          <w:sz w:val="20"/>
          <w:szCs w:val="20"/>
          <w:color w:val="auto"/>
        </w:rPr>
      </w:pPr>
    </w:p>
    <w:p>
      <w:pPr>
        <w:ind w:right="40" w:firstLine="515"/>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December 31, 2022.</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180" w:type="dxa"/>
            <w:vAlign w:val="bottom"/>
          </w:tcPr>
          <w:p>
            <w:pPr>
              <w:spacing w:after="0"/>
              <w:rPr>
                <w:sz w:val="15"/>
                <w:szCs w:val="15"/>
                <w:color w:val="auto"/>
              </w:rPr>
            </w:pPr>
          </w:p>
        </w:tc>
        <w:tc>
          <w:tcPr>
            <w:tcW w:w="13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80" w:type="dxa"/>
            <w:vAlign w:val="bottom"/>
          </w:tcPr>
          <w:p>
            <w:pPr>
              <w:spacing w:after="0"/>
              <w:rPr>
                <w:sz w:val="15"/>
                <w:szCs w:val="15"/>
                <w:color w:val="auto"/>
              </w:rPr>
            </w:pPr>
          </w:p>
        </w:tc>
      </w:tr>
      <w:tr>
        <w:trPr>
          <w:trHeight w:val="176"/>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13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r>
      <w:tr>
        <w:trPr>
          <w:trHeight w:val="187"/>
        </w:trPr>
        <w:tc>
          <w:tcPr>
            <w:tcW w:w="5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80" w:type="dxa"/>
            <w:vAlign w:val="bottom"/>
          </w:tcPr>
          <w:p>
            <w:pPr>
              <w:spacing w:after="0"/>
              <w:rPr>
                <w:sz w:val="16"/>
                <w:szCs w:val="16"/>
                <w:color w:val="auto"/>
              </w:rPr>
            </w:pPr>
          </w:p>
        </w:tc>
        <w:tc>
          <w:tcPr>
            <w:tcW w:w="13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r>
      <w:tr>
        <w:trPr>
          <w:trHeight w:val="23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80" w:type="dxa"/>
            <w:vAlign w:val="bottom"/>
            <w:shd w:val="clear" w:color="auto" w:fill="CFF0FC"/>
          </w:tcPr>
          <w:p>
            <w:pPr>
              <w:spacing w:after="0"/>
              <w:rPr>
                <w:sz w:val="20"/>
                <w:szCs w:val="20"/>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upon tax positions related to the current year</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0"/>
                <w:szCs w:val="20"/>
                <w:color w:val="auto"/>
              </w:rPr>
            </w:pPr>
          </w:p>
        </w:tc>
      </w:tr>
      <w:tr>
        <w:trPr>
          <w:trHeight w:val="243"/>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based upon tax positions related to the prior year</w:t>
            </w:r>
          </w:p>
        </w:tc>
        <w:tc>
          <w:tcPr>
            <w:tcW w:w="1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37"/>
        </w:trPr>
        <w:tc>
          <w:tcPr>
            <w:tcW w:w="5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tcBorders>
              <w:top w:val="single" w:sz="8" w:color="CFF0FC"/>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-187960</wp:posOffset>
            </wp:positionV>
            <wp:extent cx="5969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If the ending balance of $1.4 million of unrecognized tax benefits as of December 31, 2022 were recognized, $0 of the recognition would affect the 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5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U.S. federal and state returns. The tax years 2012 to 2022 remain open in several jurisdictions, none of which have individual significance.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Loan and Security Agreement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2016, the Company entered into a Loan and Security Agreement (“Loan Agreement”) with Silicon Valley Bank providing for up to $15.0 million secured revolving loan facility (“Revolving Loan Facility”), with availability subject to an accounts receivable borrowing base formula. Borrowings under the Revolving Loan Facility accrue interest at a per annum rate equal to the Wall Street Journal Prime Rate as in effect from time to time, plus 1.5%. The Loan Agreement does not include any financial covenants. The Loan Agreement expired on November 2, 2019 and was amended (First Amendment to the Loan Agreement) to extend through January 1, 2020.</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January 2020, the Company reduced the credit line to match its expected borrowing base, which is reflected in the Second Amendment to the Loan Agreement providing for up to $8.0 million Revolving Loan Facility through January 1, 2021. The Third Amendment to the Loan Agreement was executed in December 2020 to extend the term through April 1, 2022. The Fourth Amendment to the Loan Agreement was executed in March 2022 to extend the term through May 31, 2022. The Fifth Amendment to the Loan Agreement was executed in June 2022 to extend the term through December 1, 2023.</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and January 1, 2022, there were no amounts outstanding.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17. Business Segments and Geographical Information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operate in one segment, ophthalmology. Substantially all of our long-term assets are located in the U.S. We develop, manufacture and market medical devices. Our revenues arise from the sale of consoles, delivery devices, consumables, service and support activities.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information shown by product is as follows (in thousands):</w:t>
      </w: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74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w w:val="99"/>
              </w:rPr>
              <w:t>FY 2021</w:t>
            </w:r>
          </w:p>
        </w:tc>
        <w:tc>
          <w:tcPr>
            <w:tcW w:w="80" w:type="dxa"/>
            <w:vAlign w:val="bottom"/>
          </w:tcPr>
          <w:p>
            <w:pPr>
              <w:spacing w:after="0"/>
              <w:rPr>
                <w:sz w:val="16"/>
                <w:szCs w:val="16"/>
                <w:color w:val="auto"/>
              </w:rPr>
            </w:pPr>
          </w:p>
        </w:tc>
      </w:tr>
      <w:tr>
        <w:trPr>
          <w:trHeight w:val="255"/>
        </w:trPr>
        <w:tc>
          <w:tcPr>
            <w:tcW w:w="4060" w:type="dxa"/>
            <w:vAlign w:val="bottom"/>
          </w:tcPr>
          <w:p>
            <w:pPr>
              <w:spacing w:after="0"/>
              <w:rPr>
                <w:sz w:val="22"/>
                <w:szCs w:val="22"/>
                <w:color w:val="auto"/>
              </w:rPr>
            </w:pPr>
          </w:p>
        </w:tc>
        <w:tc>
          <w:tcPr>
            <w:tcW w:w="174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80" w:type="dxa"/>
            <w:vAlign w:val="bottom"/>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22"/>
                <w:szCs w:val="22"/>
                <w:color w:val="auto"/>
              </w:rPr>
            </w:pPr>
          </w:p>
        </w:tc>
      </w:tr>
      <w:tr>
        <w:trPr>
          <w:trHeight w:val="187"/>
        </w:trPr>
        <w:tc>
          <w:tcPr>
            <w:tcW w:w="4060" w:type="dxa"/>
            <w:vAlign w:val="bottom"/>
          </w:tcPr>
          <w:p>
            <w:pPr>
              <w:spacing w:after="0"/>
              <w:rPr>
                <w:sz w:val="16"/>
                <w:szCs w:val="16"/>
                <w:color w:val="auto"/>
              </w:rPr>
            </w:pPr>
          </w:p>
        </w:tc>
        <w:tc>
          <w:tcPr>
            <w:tcW w:w="174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r>
      <w:tr>
        <w:trPr>
          <w:trHeight w:val="237"/>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Cyclo G6</w:t>
            </w:r>
          </w:p>
        </w:tc>
        <w:tc>
          <w:tcPr>
            <w:tcW w:w="1740" w:type="dxa"/>
            <w:vAlign w:val="bottom"/>
            <w:shd w:val="clear" w:color="auto" w:fill="CFF0FC"/>
          </w:tcPr>
          <w:p>
            <w:pPr>
              <w:jc w:val="right"/>
              <w:ind w:right="156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80" w:type="dxa"/>
            <w:vAlign w:val="bottom"/>
            <w:shd w:val="clear" w:color="auto" w:fill="CFF0FC"/>
          </w:tcPr>
          <w:p>
            <w:pPr>
              <w:spacing w:after="0"/>
              <w:rPr>
                <w:sz w:val="20"/>
                <w:szCs w:val="20"/>
                <w:color w:val="auto"/>
              </w:rPr>
            </w:pPr>
          </w:p>
        </w:tc>
      </w:tr>
      <w:tr>
        <w:trPr>
          <w:trHeight w:val="23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1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80" w:type="dxa"/>
            <w:vAlign w:val="bottom"/>
          </w:tcPr>
          <w:p>
            <w:pPr>
              <w:spacing w:after="0"/>
              <w:rPr>
                <w:sz w:val="20"/>
                <w:szCs w:val="20"/>
                <w:color w:val="auto"/>
              </w:rPr>
            </w:pPr>
          </w:p>
        </w:tc>
      </w:tr>
      <w:tr>
        <w:trPr>
          <w:trHeight w:val="243"/>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Other(1)</w:t>
            </w:r>
          </w:p>
        </w:tc>
        <w:tc>
          <w:tcPr>
            <w:tcW w:w="17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40" w:type="dxa"/>
            <w:vAlign w:val="bottom"/>
          </w:tcPr>
          <w:p>
            <w:pPr>
              <w:jc w:val="right"/>
              <w:ind w:right="156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53,903</w:t>
            </w:r>
          </w:p>
        </w:tc>
        <w:tc>
          <w:tcPr>
            <w:tcW w:w="80" w:type="dxa"/>
            <w:vAlign w:val="bottom"/>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-187960</wp:posOffset>
            </wp:positionV>
            <wp:extent cx="603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83" w:lineRule="exact"/>
        <w:rPr>
          <w:sz w:val="20"/>
          <w:szCs w:val="20"/>
          <w:color w:val="auto"/>
        </w:rPr>
      </w:pPr>
    </w:p>
    <w:p>
      <w:pPr>
        <w:jc w:val="both"/>
        <w:ind w:firstLine="8"/>
        <w:spacing w:after="0" w:line="266"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 contract revenues of $1,509 thousand and $1,386 thousand recognized during fiscal years 2022 and 2021, respectively. Includes $1,348 thousand and $615 thousand recognized revenue related to the exclusive distribution rights during fiscal years 2022 and 2021. Other also includes revenues from paid service, royalty, freight and legacy G probes.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information shown by geographic region is as follows (in thousands):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17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FY 2021</w:t>
            </w:r>
          </w:p>
        </w:tc>
        <w:tc>
          <w:tcPr>
            <w:tcW w:w="80" w:type="dxa"/>
            <w:vAlign w:val="bottom"/>
          </w:tcPr>
          <w:p>
            <w:pPr>
              <w:spacing w:after="0"/>
              <w:rPr>
                <w:sz w:val="16"/>
                <w:szCs w:val="16"/>
                <w:color w:val="auto"/>
              </w:rPr>
            </w:pPr>
          </w:p>
        </w:tc>
      </w:tr>
      <w:tr>
        <w:trPr>
          <w:trHeight w:val="188"/>
        </w:trPr>
        <w:tc>
          <w:tcPr>
            <w:tcW w:w="3980" w:type="dxa"/>
            <w:vAlign w:val="bottom"/>
          </w:tcPr>
          <w:p>
            <w:pPr>
              <w:spacing w:after="0"/>
              <w:rPr>
                <w:sz w:val="16"/>
                <w:szCs w:val="16"/>
                <w:color w:val="auto"/>
              </w:rPr>
            </w:pPr>
          </w:p>
        </w:tc>
        <w:tc>
          <w:tcPr>
            <w:tcW w:w="17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jc w:val="center"/>
              <w:ind w:right="31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6"/>
                <w:szCs w:val="16"/>
                <w:color w:val="auto"/>
              </w:rPr>
            </w:pPr>
          </w:p>
        </w:tc>
      </w:tr>
      <w:tr>
        <w:trPr>
          <w:trHeight w:val="187"/>
        </w:trPr>
        <w:tc>
          <w:tcPr>
            <w:tcW w:w="3980" w:type="dxa"/>
            <w:vAlign w:val="bottom"/>
          </w:tcPr>
          <w:p>
            <w:pPr>
              <w:spacing w:after="0"/>
              <w:rPr>
                <w:sz w:val="16"/>
                <w:szCs w:val="16"/>
                <w:color w:val="auto"/>
              </w:rPr>
            </w:pPr>
          </w:p>
        </w:tc>
        <w:tc>
          <w:tcPr>
            <w:tcW w:w="178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80" w:type="dxa"/>
            <w:vAlign w:val="bottom"/>
          </w:tcPr>
          <w:p>
            <w:pPr>
              <w:spacing w:after="0"/>
              <w:rPr>
                <w:sz w:val="16"/>
                <w:szCs w:val="16"/>
                <w:color w:val="auto"/>
              </w:rPr>
            </w:pPr>
          </w:p>
        </w:tc>
      </w:tr>
      <w:tr>
        <w:trPr>
          <w:trHeight w:val="23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780" w:type="dxa"/>
            <w:vAlign w:val="bottom"/>
            <w:shd w:val="clear" w:color="auto" w:fill="CFF0FC"/>
          </w:tcPr>
          <w:p>
            <w:pPr>
              <w:jc w:val="right"/>
              <w:ind w:right="16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80" w:type="dxa"/>
            <w:vAlign w:val="bottom"/>
            <w:shd w:val="clear" w:color="auto" w:fill="CFF0FC"/>
          </w:tcPr>
          <w:p>
            <w:pPr>
              <w:spacing w:after="0"/>
              <w:rPr>
                <w:sz w:val="20"/>
                <w:szCs w:val="20"/>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7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80" w:type="dxa"/>
            <w:vAlign w:val="bottom"/>
          </w:tcPr>
          <w:p>
            <w:pPr>
              <w:spacing w:after="0"/>
              <w:rPr>
                <w:sz w:val="20"/>
                <w:szCs w:val="20"/>
                <w:color w:val="auto"/>
              </w:rPr>
            </w:pPr>
          </w:p>
        </w:tc>
      </w:tr>
      <w:tr>
        <w:trPr>
          <w:trHeight w:val="24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Asia/Pacific Rim</w:t>
            </w:r>
          </w:p>
        </w:tc>
        <w:tc>
          <w:tcPr>
            <w:tcW w:w="17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80" w:type="dxa"/>
            <w:vAlign w:val="bottom"/>
            <w:shd w:val="clear" w:color="auto" w:fill="CFF0FC"/>
          </w:tcPr>
          <w:p>
            <w:pPr>
              <w:spacing w:after="0"/>
              <w:rPr>
                <w:sz w:val="21"/>
                <w:szCs w:val="21"/>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Americas, excluding the U.S.</w:t>
            </w:r>
          </w:p>
        </w:tc>
        <w:tc>
          <w:tcPr>
            <w:tcW w:w="17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80" w:type="dxa"/>
            <w:vAlign w:val="bottom"/>
          </w:tcPr>
          <w:p>
            <w:pPr>
              <w:spacing w:after="0"/>
              <w:rPr>
                <w:sz w:val="20"/>
                <w:szCs w:val="20"/>
                <w:color w:val="auto"/>
              </w:rPr>
            </w:pPr>
          </w:p>
        </w:tc>
      </w:tr>
      <w:tr>
        <w:trPr>
          <w:trHeight w:val="277"/>
        </w:trPr>
        <w:tc>
          <w:tcPr>
            <w:tcW w:w="398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jc w:val="right"/>
              <w:ind w:right="160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attributed to countries based on location of end customers.</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Other than the United States, The Netherlands accounted for more than 10% of the Company’s revenues during fiscal year 2022, representing 11.8%. The United States accounted for 51.2% of revenues in 2022. Other than the United States, Japan accounted for more than 10% of the Company’s revenues during fiscal year 2021, representing 13.5%. The United States accounted for 46.3% of revenues in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Computation of Basic and Diluted Net Loss Per Common Share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 (in thousands, except per share amounts):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7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FY 2022</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FY 2021</w:t>
            </w:r>
          </w:p>
        </w:tc>
      </w:tr>
      <w:tr>
        <w:trPr>
          <w:trHeight w:val="188"/>
        </w:trPr>
        <w:tc>
          <w:tcPr>
            <w:tcW w:w="4020" w:type="dxa"/>
            <w:vAlign w:val="bottom"/>
          </w:tcPr>
          <w:p>
            <w:pPr>
              <w:spacing w:after="0"/>
              <w:rPr>
                <w:sz w:val="16"/>
                <w:szCs w:val="16"/>
                <w:color w:val="auto"/>
              </w:rPr>
            </w:pPr>
          </w:p>
        </w:tc>
        <w:tc>
          <w:tcPr>
            <w:tcW w:w="17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2"/>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4020" w:type="dxa"/>
            <w:vAlign w:val="bottom"/>
          </w:tcPr>
          <w:p>
            <w:pPr>
              <w:spacing w:after="0"/>
              <w:rPr>
                <w:sz w:val="16"/>
                <w:szCs w:val="16"/>
                <w:color w:val="auto"/>
              </w:rPr>
            </w:pPr>
          </w:p>
        </w:tc>
        <w:tc>
          <w:tcPr>
            <w:tcW w:w="17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2"/>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January 1, 2022</w:t>
            </w:r>
          </w:p>
        </w:tc>
      </w:tr>
      <w:tr>
        <w:trPr>
          <w:trHeight w:val="23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40" w:type="dxa"/>
            <w:vAlign w:val="bottom"/>
            <w:tcBorders>
              <w:top w:val="single" w:sz="8" w:color="auto"/>
            </w:tcBorders>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Pr>
          <w:p>
            <w:pPr>
              <w:jc w:val="right"/>
              <w:ind w:right="158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(7,547 )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(5,225 )</w:t>
            </w:r>
          </w:p>
        </w:tc>
      </w:tr>
      <w:tr>
        <w:trPr>
          <w:trHeight w:val="20"/>
        </w:trPr>
        <w:tc>
          <w:tcPr>
            <w:tcW w:w="40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80" w:type="dxa"/>
            <w:vAlign w:val="bottom"/>
          </w:tcPr>
          <w:p>
            <w:pPr>
              <w:spacing w:after="0"/>
              <w:rPr>
                <w:sz w:val="20"/>
                <w:szCs w:val="20"/>
                <w:color w:val="auto"/>
              </w:rPr>
            </w:pPr>
          </w:p>
        </w:tc>
      </w:tr>
      <w:tr>
        <w:trPr>
          <w:trHeight w:val="250"/>
        </w:trPr>
        <w:tc>
          <w:tcPr>
            <w:tcW w:w="40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15,421</w:t>
            </w:r>
          </w:p>
        </w:tc>
        <w:tc>
          <w:tcPr>
            <w:tcW w:w="80" w:type="dxa"/>
            <w:vAlign w:val="bottom"/>
          </w:tcPr>
          <w:p>
            <w:pPr>
              <w:spacing w:after="0"/>
              <w:rPr>
                <w:sz w:val="20"/>
                <w:szCs w:val="20"/>
                <w:color w:val="auto"/>
              </w:rPr>
            </w:pPr>
          </w:p>
        </w:tc>
      </w:tr>
      <w:tr>
        <w:trPr>
          <w:trHeight w:val="25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740" w:type="dxa"/>
            <w:vAlign w:val="bottom"/>
          </w:tcPr>
          <w:p>
            <w:pPr>
              <w:jc w:val="right"/>
              <w:ind w:right="158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(0.47 )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0"/>
        </w:trPr>
        <w:tc>
          <w:tcPr>
            <w:tcW w:w="40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40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740" w:type="dxa"/>
            <w:vAlign w:val="bottom"/>
            <w:tcBorders>
              <w:bottom w:val="single" w:sz="8" w:color="auto"/>
            </w:tcBorders>
            <w:shd w:val="clear" w:color="auto" w:fill="CFF0FC"/>
          </w:tcPr>
          <w:p>
            <w:pPr>
              <w:jc w:val="right"/>
              <w:ind w:right="158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03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and January 1, 2022, stock options, restricted stock units and restricted stock awards of 1,834,930 and 1,655,218 shares, respectively, were excluded from the computation of diluted weighted average shares outstanding because to do so would have been anti-dilutive.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concluded that, as of December 31,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December 31, 2022.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Based on our assessment using those criteria, our management concluded that, as of December 31, 2022, our internal control over financial reporting is effective.</w:t>
      </w:r>
    </w:p>
    <w:p>
      <w:pPr>
        <w:spacing w:after="0" w:line="8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of fiscal year 2022 that has materially affected, or is reasonably likely to materially affect, our internal control over financial reporting, as defined in Rule 13a-15(f) and 15(d)-15(f) under the Exchange Act.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5" w:name="page76"/>
    <w:bookmarkEnd w:id="7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to be filed with the SEC in connection with our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of Stockholders (the “Proxy Statement”), which is expected to be filed not later than 120 days after the end of our fiscal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is incorporated in this report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3" w:right="499" w:bottom="1440" w:gutter="0" w:footer="0" w:header="0"/>
        </w:sectPr>
      </w:pPr>
    </w:p>
    <w:bookmarkStart w:id="76" w:name="page77"/>
    <w:bookmarkEnd w:id="76"/>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540" w:right="3199" w:hanging="5023"/>
        <w:spacing w:after="0" w:line="532" w:lineRule="auto"/>
        <w:tabs>
          <w:tab w:leader="none" w:pos="10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in Part II of this Annual Report on Form 10-K: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77" w:name="page78"/>
    <w:bookmarkEnd w:id="77"/>
    <w:tbl>
      <w:tblPr>
        <w:tblLayout w:type="fixed"/>
        <w:tblInd w:w="1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in</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 10-K</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0" w:type="dxa"/>
            <w:vAlign w:val="bottom"/>
          </w:tcPr>
          <w:p>
            <w:pPr>
              <w:spacing w:after="0"/>
              <w:rPr>
                <w:sz w:val="1"/>
                <w:szCs w:val="1"/>
                <w:color w:val="auto"/>
              </w:rPr>
            </w:pPr>
          </w:p>
        </w:tc>
      </w:tr>
      <w:tr>
        <w:trPr>
          <w:trHeight w:val="23"/>
        </w:trPr>
        <w:tc>
          <w:tcPr>
            <w:tcW w:w="1024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Index to Financial Statements</w:t>
            </w: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0240" w:type="dxa"/>
            <w:vAlign w:val="bottom"/>
            <w:gridSpan w:val="8"/>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207)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6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2022 and January 1, 2022</w:t>
            </w:r>
          </w:p>
        </w:tc>
        <w:tc>
          <w:tcPr>
            <w:tcW w:w="20" w:type="dxa"/>
            <w:vAlign w:val="bottom"/>
            <w:tcBorders>
              <w:bottom w:val="single" w:sz="8" w:color="0000EE"/>
            </w:tcBorders>
          </w:tcPr>
          <w:p>
            <w:pPr>
              <w:spacing w:after="0"/>
              <w:rPr>
                <w:sz w:val="24"/>
                <w:szCs w:val="24"/>
                <w:color w:val="auto"/>
              </w:rPr>
            </w:pPr>
          </w:p>
        </w:tc>
        <w:tc>
          <w:tcPr>
            <w:tcW w:w="476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439"/>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2022 and January 1, 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40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4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years ended December 31, 2022 and January 1, 2022</w:t>
            </w:r>
          </w:p>
        </w:tc>
        <w:tc>
          <w:tcPr>
            <w:tcW w:w="23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439"/>
        </w:trPr>
        <w:tc>
          <w:tcPr>
            <w:tcW w:w="102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2022 and January 1, 2022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439"/>
        </w:trPr>
        <w:tc>
          <w:tcPr>
            <w:tcW w:w="794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2022 and January 1, 2022</w:t>
            </w:r>
          </w:p>
        </w:tc>
        <w:tc>
          <w:tcPr>
            <w:tcW w:w="23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439"/>
        </w:trPr>
        <w:tc>
          <w:tcPr>
            <w:tcW w:w="726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8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 Schedule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they are either not required, not applicable, or the required information is included in the consolidated financial statements or notes thereto.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444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69"/>
        </w:trPr>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40" w:type="dxa"/>
            <w:vAlign w:val="bottom"/>
            <w:tcBorders>
              <w:bottom w:val="single" w:sz="8" w:color="auto"/>
            </w:tcBorders>
            <w:gridSpan w:val="1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 (P)</w:t>
            </w:r>
          </w:p>
        </w:tc>
        <w:tc>
          <w:tcPr>
            <w:tcW w:w="4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SB-2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333-00320-LA</w:t>
            </w:r>
          </w:p>
        </w:tc>
        <w:tc>
          <w:tcPr>
            <w:tcW w:w="7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15, 1996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Registrant.</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3.2</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Amended and Restated Bylaws of Registrant.</w:t>
              </w:r>
            </w:hyperlink>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2019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4.1</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Investor Rights Agreement, dated as of August 31, 2007, by</w:t>
              </w:r>
            </w:hyperlink>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7, 2007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and among the Registrant, BlueLine Capital Partners, LP;</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BlueLine Capital Partners III, LP and BlueLine Capital</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Partners II, LP.</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4.2</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Amendment No. 1 to Investor Rights Agreement, dated as of</w:t>
              </w:r>
            </w:hyperlink>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6, 2009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March 31, 2009.</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4.3</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Description of Capital Stock.</w:t>
              </w:r>
            </w:hyperlink>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spacing w:after="0"/>
              <w:rPr>
                <w:sz w:val="24"/>
                <w:szCs w:val="24"/>
                <w:color w:val="auto"/>
              </w:rPr>
            </w:pPr>
          </w:p>
        </w:tc>
        <w:tc>
          <w:tcPr>
            <w:tcW w:w="4440" w:type="dxa"/>
            <w:vAlign w:val="bottom"/>
            <w:gridSpan w:val="15"/>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Fourth Amendment to Lease Agreement dated February 9,</w:t>
              </w:r>
            </w:hyperlink>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2016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jc w:val="right"/>
              <w:ind w:right="552"/>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2016 by and between Zappettini Investment Co. and the</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Registrant.</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10.2</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Indemnification Agreement with directors and</w:t>
              </w:r>
            </w:hyperlink>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2022</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officers.</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10.3</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Lease Agreement dated December 6, 1996 by and between</w:t>
              </w:r>
            </w:hyperlink>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2009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Zappettini Investment Co. and the Registrant, as amended</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pursuant to Amendment No. 1 dated September 15, 2003 and</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Amendment No. 2 dated December 22, 2008.</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10.3.1</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Third Amendment to Lease Agreement dated August 4, 2014</w:t>
              </w:r>
            </w:hyperlink>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2014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w w:val="99"/>
              </w:rPr>
            </w:pPr>
            <w:hyperlink r:id="rId230">
              <w:r>
                <w:rPr>
                  <w:rFonts w:ascii="Times New Roman" w:cs="Times New Roman" w:eastAsia="Times New Roman" w:hAnsi="Times New Roman"/>
                  <w:sz w:val="18"/>
                  <w:szCs w:val="18"/>
                  <w:color w:val="0000FF"/>
                  <w:w w:val="99"/>
                </w:rPr>
                <w:t>by and between Zappettini Investment Co. and the Registrant.</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10.3.2</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Fourth Amendment to Lease Agreement dated January 31,</w:t>
              </w:r>
            </w:hyperlink>
          </w:p>
        </w:tc>
        <w:tc>
          <w:tcPr>
            <w:tcW w:w="60" w:type="dxa"/>
            <w:vAlign w:val="bottom"/>
          </w:tcPr>
          <w:p>
            <w:pPr>
              <w:spacing w:after="0"/>
              <w:rPr>
                <w:sz w:val="24"/>
                <w:szCs w:val="24"/>
                <w:color w:val="auto"/>
              </w:rPr>
            </w:pPr>
          </w:p>
        </w:tc>
        <w:tc>
          <w:tcPr>
            <w:tcW w:w="80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2016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2016 by and between ZIC 1212 Terra Bella LLC and the</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Registrant.</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10.3.3</w:t>
            </w:r>
          </w:p>
        </w:tc>
        <w:tc>
          <w:tcPr>
            <w:tcW w:w="4440" w:type="dxa"/>
            <w:vAlign w:val="bottom"/>
            <w:gridSpan w:val="1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Triple Net Lease dated April 26, 2017 by and between ZIC</w:t>
              </w:r>
            </w:hyperlink>
          </w:p>
        </w:tc>
        <w:tc>
          <w:tcPr>
            <w:tcW w:w="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2017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40" w:type="dxa"/>
            <w:vAlign w:val="bottom"/>
            <w:gridSpan w:val="1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1212 Terra Bella LLC and the Registrant.</w:t>
              </w:r>
            </w:hyperlink>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10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8" w:right="339" w:bottom="100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448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69"/>
        </w:trPr>
        <w:tc>
          <w:tcPr>
            <w:tcW w:w="10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480" w:type="dxa"/>
            <w:vAlign w:val="bottom"/>
            <w:tcBorders>
              <w:bottom w:val="single" w:sz="8" w:color="auto"/>
            </w:tcBorders>
            <w:gridSpan w:val="2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6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10.3.4</w:t>
            </w:r>
          </w:p>
        </w:tc>
        <w:tc>
          <w:tcPr>
            <w:tcW w:w="4480" w:type="dxa"/>
            <w:vAlign w:val="bottom"/>
            <w:gridSpan w:val="26"/>
          </w:tcPr>
          <w:p>
            <w:pPr>
              <w:spacing w:after="0" w:line="182"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First Amendment to Triple Net Lease by and between ZIC</w:t>
              </w:r>
            </w:hyperlink>
          </w:p>
        </w:tc>
        <w:tc>
          <w:tcPr>
            <w:tcW w:w="2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August 12, 2021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1212 Terra Bella LLC and the Registrant, executed on April</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80" w:type="dxa"/>
            <w:vAlign w:val="bottom"/>
          </w:tcPr>
          <w:p>
            <w:pPr>
              <w:spacing w:after="0" w:line="196" w:lineRule="exact"/>
              <w:rPr>
                <w:rFonts w:ascii="Times New Roman" w:cs="Times New Roman" w:eastAsia="Times New Roman" w:hAnsi="Times New Roman"/>
                <w:sz w:val="18"/>
                <w:szCs w:val="18"/>
                <w:color w:val="0000FF"/>
                <w:w w:val="94"/>
              </w:rPr>
            </w:pPr>
            <w:hyperlink r:id="rId234">
              <w:r>
                <w:rPr>
                  <w:rFonts w:ascii="Times New Roman" w:cs="Times New Roman" w:eastAsia="Times New Roman" w:hAnsi="Times New Roman"/>
                  <w:sz w:val="18"/>
                  <w:szCs w:val="18"/>
                  <w:color w:val="0000FF"/>
                  <w:w w:val="94"/>
                </w:rPr>
                <w:t>30, 2021.</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2005 Employee Stock Purchase Plan.</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 14A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2004</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2008 Equity Incentive Plan, as amended.</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 14A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2008 Equity Incentive Plan Option Agreement.</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333-155598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of Stand-Alone Stock Option Agreement.</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 TO-I</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005-48169</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99.(d)(5)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30, 2009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Securities Purchase Agreement, dated August 31, 2007, by</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7, 2007</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and among BlueLine Capital Partners, LP, BlueLine Capital</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Partners III, LP, BlueLine Capital Partners II, LP and the</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Registrant.</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2008 Equity Incentive Plan Restricted Stock Award</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Agreement.</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Form of 2008 Equity Incentive Plan Restricted Stock Unit</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Award Agreement.</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4480" w:type="dxa"/>
            <w:vAlign w:val="bottom"/>
            <w:gridSpan w:val="26"/>
          </w:tcPr>
          <w:p>
            <w:pPr>
              <w:spacing w:after="0"/>
              <w:rPr>
                <w:rFonts w:ascii="Times New Roman" w:cs="Times New Roman" w:eastAsia="Times New Roman" w:hAnsi="Times New Roman"/>
                <w:sz w:val="18"/>
                <w:szCs w:val="18"/>
                <w:color w:val="0000FF"/>
                <w:w w:val="99"/>
              </w:rPr>
            </w:pPr>
            <w:hyperlink r:id="rId242">
              <w:r>
                <w:rPr>
                  <w:rFonts w:ascii="Times New Roman" w:cs="Times New Roman" w:eastAsia="Times New Roman" w:hAnsi="Times New Roman"/>
                  <w:sz w:val="18"/>
                  <w:szCs w:val="18"/>
                  <w:color w:val="0000FF"/>
                  <w:w w:val="99"/>
                </w:rPr>
                <w:t>Loan and Security Agreement, dated as of November 2, 2016,</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 2016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between IRIDEX Corporation and Silicon Valley Bank.</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10.13.1</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First Amendment to Loan and Security Agreement between</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IRIDEX Corporation and Silicon Valley Bank, executed on</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December 3, 2019.</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10.13.2</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Second Amendment to Loan and Security Agreement</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2020</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between IRIDEX Corporation and Silicon Valley Bank,</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executed on January 8, 2020.</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10.13.3</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Third Amendment to Loan and Security Agreement between</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IRIDEX Corporation and Silicon Valley Bank, executed on</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December 31, 2020.</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10.13.4</w:t>
            </w:r>
          </w:p>
        </w:tc>
        <w:tc>
          <w:tcPr>
            <w:tcW w:w="4480" w:type="dxa"/>
            <w:vAlign w:val="bottom"/>
            <w:gridSpan w:val="26"/>
          </w:tcPr>
          <w:p>
            <w:pPr>
              <w:spacing w:after="0"/>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Fourth Amendment to Loan and Security Agreement between</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2022</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IRIDEX Corporation and Silicon Valley Bank, executed on</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March 24, 2022.</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10.13.5</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Fifth Amendment to Loan and Security Agreement between</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2022</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IRIDEX Corporation and Silicon Valley Bank, executed on</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June 15, 2022.</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06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4480" w:type="dxa"/>
            <w:vAlign w:val="bottom"/>
            <w:gridSpan w:val="26"/>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Offer Letter between the Company and Mr. Bruce effective as</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14, 2019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60" w:type="dxa"/>
            <w:vAlign w:val="bottom"/>
            <w:tcBorders>
              <w:right w:val="single" w:sz="8" w:color="0000FF"/>
            </w:tcBorders>
            <w:gridSpan w:val="6"/>
            <w:shd w:val="clear" w:color="auto" w:fill="0000FF"/>
          </w:tcPr>
          <w:p>
            <w:pPr>
              <w:spacing w:after="0" w:line="20" w:lineRule="exact"/>
              <w:rPr>
                <w:sz w:val="1"/>
                <w:szCs w:val="1"/>
                <w:color w:val="auto"/>
              </w:rPr>
            </w:pPr>
          </w:p>
        </w:tc>
        <w:tc>
          <w:tcPr>
            <w:tcW w:w="84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10"/>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of May 20, 2019.</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6"/>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Change in Control Severance Agreement dated as of October</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2019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00" w:type="dxa"/>
            <w:vAlign w:val="bottom"/>
            <w:tcBorders>
              <w:right w:val="single" w:sz="8" w:color="0000FF"/>
            </w:tcBorders>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25, 2019, between the Company and Mr. Bruce.</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4480" w:type="dxa"/>
            <w:vAlign w:val="bottom"/>
            <w:gridSpan w:val="26"/>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Change in Control Severance Agreement dated as of October</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 2019</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00" w:type="dxa"/>
            <w:vAlign w:val="bottom"/>
            <w:tcBorders>
              <w:right w:val="single" w:sz="8" w:color="0000FF"/>
            </w:tcBorders>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92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25, 2019, between the Company and Mr. Mercer.</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4480" w:type="dxa"/>
            <w:vAlign w:val="bottom"/>
            <w:gridSpan w:val="26"/>
          </w:tcPr>
          <w:p>
            <w:pPr>
              <w:spacing w:after="0"/>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Asset Purchase Agreement dated as of March 2, 2021, among</w:t>
              </w:r>
            </w:hyperlink>
          </w:p>
        </w:tc>
        <w:tc>
          <w:tcPr>
            <w:tcW w:w="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00" w:type="dxa"/>
            <w:vAlign w:val="bottom"/>
            <w:tcBorders>
              <w:right w:val="single" w:sz="8" w:color="0000FF"/>
            </w:tcBorders>
            <w:gridSpan w:val="10"/>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tcBorders>
              <w:right w:val="single" w:sz="8" w:color="0000FF"/>
            </w:tcBorders>
            <w:gridSpan w:val="1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4480" w:type="dxa"/>
            <w:vAlign w:val="bottom"/>
            <w:gridSpan w:val="26"/>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the Company, Topcon Medical</w:t>
              </w:r>
            </w:hyperlink>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6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691"/>
              <w:spacing w:after="0"/>
              <w:rPr>
                <w:sz w:val="20"/>
                <w:szCs w:val="20"/>
                <w:color w:val="auto"/>
              </w:rPr>
            </w:pPr>
            <w:r>
              <w:rPr>
                <w:rFonts w:ascii="Times New Roman" w:cs="Times New Roman" w:eastAsia="Times New Roman" w:hAnsi="Times New Roman"/>
                <w:sz w:val="18"/>
                <w:szCs w:val="18"/>
                <w:color w:val="auto"/>
                <w:w w:val="88"/>
              </w:rPr>
              <w:t>79</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7"/>
        </w:trPr>
        <w:tc>
          <w:tcPr>
            <w:tcW w:w="1020" w:type="dxa"/>
            <w:vAlign w:val="bottom"/>
          </w:tcPr>
          <w:p>
            <w:pPr>
              <w:spacing w:after="0"/>
              <w:rPr>
                <w:sz w:val="16"/>
                <w:szCs w:val="16"/>
                <w:color w:val="auto"/>
              </w:rPr>
            </w:pPr>
          </w:p>
        </w:tc>
        <w:tc>
          <w:tcPr>
            <w:tcW w:w="45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69"/>
        </w:trPr>
        <w:tc>
          <w:tcPr>
            <w:tcW w:w="10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520" w:type="dxa"/>
            <w:vAlign w:val="bottom"/>
            <w:tcBorders>
              <w:bottom w:val="single" w:sz="8" w:color="auto"/>
            </w:tcBorders>
            <w:gridSpan w:val="13"/>
            <w:vMerge w:val="continue"/>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520" w:type="dxa"/>
            <w:vAlign w:val="bottom"/>
            <w:gridSpan w:val="13"/>
          </w:tcPr>
          <w:p>
            <w:pPr>
              <w:spacing w:after="0" w:line="169"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Laser Systems, Inc. and Topcon America Corporation.</w:t>
              </w:r>
            </w:hyperlink>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4520" w:type="dxa"/>
            <w:vAlign w:val="bottom"/>
            <w:gridSpan w:val="13"/>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Distribution Agreement dated as of March 2, 2021, by and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between the Company and Topcon Corporation.</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4520" w:type="dxa"/>
            <w:vAlign w:val="bottom"/>
            <w:gridSpan w:val="13"/>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Investment Agreement dated as of March 2, 2021, by and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between the Company and Topcon America Corporation.</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4520" w:type="dxa"/>
            <w:vAlign w:val="bottom"/>
            <w:gridSpan w:val="13"/>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Registration Rights Agreement dated as of March 2, 2021, by</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and between the Company and Topcon America Corporation.</w:t>
              </w:r>
            </w:hyperlink>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 (P)</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Subsidiaries of Registrant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SB-2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333-00320-LA</w:t>
            </w:r>
          </w:p>
        </w:tc>
        <w:tc>
          <w:tcPr>
            <w:tcW w:w="7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15, 1996</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4"/>
                <w:szCs w:val="24"/>
                <w:color w:val="auto"/>
              </w:rPr>
            </w:pPr>
          </w:p>
        </w:tc>
        <w:tc>
          <w:tcPr>
            <w:tcW w:w="3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BPM LLP, Independent Registered Public</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line="20" w:lineRule="exact"/>
              <w:rPr>
                <w:sz w:val="1"/>
                <w:szCs w:val="1"/>
                <w:color w:val="auto"/>
              </w:rPr>
            </w:pPr>
          </w:p>
        </w:tc>
      </w:tr>
      <w:tr>
        <w:trPr>
          <w:trHeight w:val="345"/>
        </w:trPr>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35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460" w:type="dxa"/>
            <w:vAlign w:val="bottom"/>
            <w:gridSpan w:val="2"/>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00" w:type="dxa"/>
            <w:vAlign w:val="bottom"/>
            <w:vMerge w:val="restart"/>
          </w:tcPr>
          <w:p>
            <w:pPr>
              <w:spacing w:after="0"/>
              <w:rPr>
                <w:sz w:val="24"/>
                <w:szCs w:val="24"/>
                <w:color w:val="auto"/>
              </w:rPr>
            </w:pPr>
          </w:p>
        </w:tc>
        <w:tc>
          <w:tcPr>
            <w:tcW w:w="140" w:type="dxa"/>
            <w:vAlign w:val="bottom"/>
            <w:gridSpan w:val="2"/>
            <w:vMerge w:val="restart"/>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4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EE"/>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3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EE"/>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line="20" w:lineRule="exact"/>
              <w:rPr>
                <w:sz w:val="1"/>
                <w:szCs w:val="1"/>
                <w:color w:val="auto"/>
              </w:rPr>
            </w:pPr>
          </w:p>
        </w:tc>
      </w:tr>
      <w:tr>
        <w:trPr>
          <w:trHeight w:val="345"/>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4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1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X</w:t>
            </w: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4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w:t>
            </w:r>
          </w:p>
        </w:tc>
        <w:tc>
          <w:tcPr>
            <w:tcW w:w="38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gridSpan w:val="10"/>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5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21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5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020" w:right="5760" w:hanging="1019"/>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4" w:right="339" w:bottom="1440" w:gutter="0" w:footer="0" w:header="0"/>
        </w:sectPr>
      </w:pPr>
    </w:p>
    <w:bookmarkStart w:id="80" w:name="page81"/>
    <w:bookmarkEnd w:id="80"/>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Print filing.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Annual Report on Form 10-K are the property of their respective owners.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1" w:name="page82"/>
    <w:bookmarkEnd w:id="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9th day of March 2023.</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I. Bruce</w:t>
            </w:r>
          </w:p>
        </w:tc>
      </w:tr>
      <w:tr>
        <w:trPr>
          <w:trHeight w:val="209"/>
        </w:trPr>
        <w:tc>
          <w:tcPr>
            <w:tcW w:w="5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I. Bruce</w:t>
            </w:r>
          </w:p>
        </w:tc>
      </w:tr>
      <w:tr>
        <w:trPr>
          <w:trHeight w:val="236"/>
        </w:trPr>
        <w:tc>
          <w:tcPr>
            <w:tcW w:w="5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79"/>
        </w:trPr>
        <w:tc>
          <w:tcPr>
            <w:tcW w:w="560" w:type="dxa"/>
            <w:vAlign w:val="bottom"/>
          </w:tcPr>
          <w:p>
            <w:pPr>
              <w:spacing w:after="0"/>
              <w:rPr>
                <w:sz w:val="24"/>
                <w:szCs w:val="24"/>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Fuad Ahmad</w:t>
            </w:r>
          </w:p>
        </w:tc>
      </w:tr>
      <w:tr>
        <w:trPr>
          <w:trHeight w:val="209"/>
        </w:trPr>
        <w:tc>
          <w:tcPr>
            <w:tcW w:w="5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Fuad Ahmad</w:t>
            </w:r>
          </w:p>
        </w:tc>
      </w:tr>
      <w:tr>
        <w:trPr>
          <w:trHeight w:val="236"/>
        </w:trPr>
        <w:tc>
          <w:tcPr>
            <w:tcW w:w="5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r>
    </w:tbl>
    <w:p>
      <w:pPr>
        <w:spacing w:after="0" w:line="23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I. Bruce and Fuad Ahmad,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7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in the capacities and on the dates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4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48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3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David I. Bruce</w:t>
            </w:r>
          </w:p>
        </w:tc>
        <w:tc>
          <w:tcPr>
            <w:tcW w:w="120" w:type="dxa"/>
            <w:vAlign w:val="bottom"/>
          </w:tcPr>
          <w:p>
            <w:pPr>
              <w:spacing w:after="0"/>
              <w:rPr>
                <w:sz w:val="24"/>
                <w:szCs w:val="24"/>
                <w:color w:val="auto"/>
              </w:rPr>
            </w:pPr>
          </w:p>
        </w:tc>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34"/>
        </w:trPr>
        <w:tc>
          <w:tcPr>
            <w:tcW w:w="4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I. Bruce)</w:t>
            </w:r>
          </w:p>
        </w:tc>
        <w:tc>
          <w:tcPr>
            <w:tcW w:w="1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Fuad Ahmad</w:t>
            </w:r>
          </w:p>
        </w:tc>
        <w:tc>
          <w:tcPr>
            <w:tcW w:w="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(Fuad Ahmad)</w:t>
            </w:r>
          </w:p>
        </w:tc>
        <w:tc>
          <w:tcPr>
            <w:tcW w:w="1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Scott Shuda</w:t>
            </w:r>
          </w:p>
        </w:tc>
        <w:tc>
          <w:tcPr>
            <w:tcW w:w="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Chairperson of the Board</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Shuda)</w:t>
            </w: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Nandini Devi</w:t>
            </w:r>
          </w:p>
        </w:tc>
        <w:tc>
          <w:tcPr>
            <w:tcW w:w="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(Nandini Devi)</w:t>
            </w: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Grove</w:t>
            </w:r>
          </w:p>
        </w:tc>
        <w:tc>
          <w:tcPr>
            <w:tcW w:w="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Grove)</w:t>
            </w: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Beverly A. Huss</w:t>
            </w:r>
          </w:p>
        </w:tc>
        <w:tc>
          <w:tcPr>
            <w:tcW w:w="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(Beverly A. Huss)</w:t>
            </w: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Kenneth E. Ludlum</w:t>
            </w:r>
          </w:p>
        </w:tc>
        <w:tc>
          <w:tcPr>
            <w:tcW w:w="1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tcPr>
          <w:p>
            <w:pPr>
              <w:spacing w:after="0"/>
              <w:rPr>
                <w:sz w:val="24"/>
                <w:szCs w:val="24"/>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March 9, 2023</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E. Ludlum)</w:t>
            </w:r>
          </w:p>
        </w:tc>
        <w:tc>
          <w:tcPr>
            <w:tcW w:w="1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7"/>
        </w:trPr>
        <w:tc>
          <w:tcPr>
            <w:tcW w:w="4040" w:type="dxa"/>
            <w:vAlign w:val="bottom"/>
          </w:tcPr>
          <w:p>
            <w:pPr>
              <w:spacing w:after="0"/>
              <w:rPr>
                <w:sz w:val="24"/>
                <w:szCs w:val="24"/>
                <w:color w:val="auto"/>
              </w:rPr>
            </w:pPr>
          </w:p>
        </w:tc>
        <w:tc>
          <w:tcPr>
            <w:tcW w:w="5600" w:type="dxa"/>
            <w:vAlign w:val="bottom"/>
            <w:gridSpan w:val="2"/>
          </w:tcPr>
          <w:p>
            <w:pPr>
              <w:jc w:val="right"/>
              <w:ind w:right="3832"/>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(333-257807, 333-213094) and Form S-8 (333-257808, 333-233628, 333-226358, 333-219448, 333-197934, 333-183513, 333-161630, 333-155598, 333-147866, 333-135822, 333-127716, 333-117885, 333-107700, 333-97541, 333-67480, 333-45736, 333-86091, 333-57573, 333-32161) of our report dated March 9, 2023 relating to the consolidated financial statements of IRIDEX Corporation as of December 31, 2022, which appears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I. Bruce, certify that:</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IRIDEX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00" w:hanging="514"/>
        <w:spacing w:after="0" w:line="266"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66" w:lineRule="exact"/>
        <w:rPr>
          <w:sz w:val="20"/>
          <w:szCs w:val="20"/>
          <w:color w:val="auto"/>
        </w:rPr>
      </w:pPr>
    </w:p>
    <w:p>
      <w:pPr>
        <w:ind w:left="594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26035</wp:posOffset>
            </wp:positionV>
            <wp:extent cx="3111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I. Bruce</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Fuad Ahmad, certify that:</w:t>
      </w:r>
    </w:p>
    <w:p>
      <w:pPr>
        <w:spacing w:after="0" w:line="117"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IRIDEX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00" w:hanging="514"/>
        <w:spacing w:after="0" w:line="266"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66" w:lineRule="exact"/>
        <w:rPr>
          <w:sz w:val="20"/>
          <w:szCs w:val="20"/>
          <w:color w:val="auto"/>
        </w:rPr>
      </w:pPr>
    </w:p>
    <w:p>
      <w:pPr>
        <w:ind w:left="594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26035</wp:posOffset>
            </wp:positionV>
            <wp:extent cx="3111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Fuad Ahmad</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3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261620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I, David I. Bruce, pursuant to 18 U.S.C. Section 1350, as adopted pursuant to Section 906 of the Sarbanes-Oxley Act of 2002, certify that the Annual Report of IRIDEX Corporation on Form 10-K for the fiscal year ended December 31, 2022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79" w:lineRule="exact"/>
        <w:rPr>
          <w:sz w:val="20"/>
          <w:szCs w:val="20"/>
          <w:color w:val="auto"/>
        </w:rPr>
      </w:pPr>
    </w:p>
    <w:p>
      <w:pPr>
        <w:ind w:left="5940"/>
        <w:spacing w:after="0"/>
        <w:tabs>
          <w:tab w:leader="none" w:pos="6460" w:val="left"/>
        </w:tabs>
        <w:rPr>
          <w:sz w:val="20"/>
          <w:szCs w:val="20"/>
          <w:color w:val="auto"/>
        </w:rPr>
      </w:pPr>
      <w:r>
        <w:rPr>
          <w:rFonts w:ascii="Times New Roman" w:cs="Times New Roman" w:eastAsia="Times New Roman" w:hAnsi="Times New Roman"/>
          <w:sz w:val="18"/>
          <w:szCs w:val="18"/>
          <w:color w:val="auto"/>
        </w:rPr>
        <w:t>By:</w:t>
        <w:tab/>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6">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I. Bruce</w:t>
      </w:r>
    </w:p>
    <w:p>
      <w:pPr>
        <w:spacing w:after="0" w:line="6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6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 Fuad Ahmad, pursuant to 18 U.S.C. Section 1350, as adopted pursuant to Section 906 of the Sarbanes-Oxley Act of 2002, certify that the Annual Report of IRIDEX Corporation on Form 10-K for the fiscal year ended December 31, 2022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2023</w:t>
      </w:r>
    </w:p>
    <w:p>
      <w:pPr>
        <w:spacing w:after="0" w:line="279" w:lineRule="exact"/>
        <w:rPr>
          <w:sz w:val="20"/>
          <w:szCs w:val="20"/>
          <w:color w:val="auto"/>
        </w:rPr>
      </w:pPr>
    </w:p>
    <w:p>
      <w:pPr>
        <w:ind w:left="5940"/>
        <w:spacing w:after="0"/>
        <w:tabs>
          <w:tab w:leader="none" w:pos="6460" w:val="left"/>
        </w:tabs>
        <w:rPr>
          <w:sz w:val="20"/>
          <w:szCs w:val="20"/>
          <w:color w:val="auto"/>
        </w:rPr>
      </w:pPr>
      <w:r>
        <w:rPr>
          <w:rFonts w:ascii="Times New Roman" w:cs="Times New Roman" w:eastAsia="Times New Roman" w:hAnsi="Times New Roman"/>
          <w:sz w:val="18"/>
          <w:szCs w:val="18"/>
          <w:color w:val="auto"/>
        </w:rPr>
        <w:t>By:</w:t>
        <w:tab/>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8">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Fuad Ahmad</w:t>
      </w:r>
    </w:p>
    <w:p>
      <w:pPr>
        <w:spacing w:after="0" w:line="6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6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2"/>
    </w:lvl>
    <w:lvl w:ilvl="1">
      <w:lvlJc w:val="left"/>
      <w:lvlText w:val="%2."/>
      <w:numFmt w:val="lowerLetter"/>
      <w:start w:val="1"/>
    </w:lvl>
  </w:abstractNum>
  <w:abstractNum w:abstractNumId="24">
    <w:nsid w:val="1E7FF521"/>
    <w:multiLevelType w:val="hybridMultilevel"/>
    <w:lvl w:ilvl="0">
      <w:lvlJc w:val="left"/>
      <w:lvlText w:val="(%1)"/>
      <w:numFmt w:val="decimal"/>
      <w:start w:val="5"/>
    </w:lvl>
  </w:abstractNum>
  <w:abstractNum w:abstractNumId="25">
    <w:nsid w:val="7C3DBD3D"/>
    <w:multiLevelType w:val="hybridMultilevel"/>
    <w:lvl w:ilvl="0">
      <w:lvlJc w:val="left"/>
      <w:lvlText w:val="(%1)"/>
      <w:numFmt w:val="decimal"/>
      <w:start w:val="4"/>
    </w:lvl>
    <w:lvl w:ilvl="1">
      <w:lvlJc w:val="left"/>
      <w:lvlText w:val="(%2)"/>
      <w:numFmt w:val="decimal"/>
      <w:start w:val="1"/>
    </w:lvl>
  </w:abstractNum>
  <w:abstractNum w:abstractNumId="26">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6CEAF087"/>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7" Type="http://schemas.openxmlformats.org/officeDocument/2006/relationships/image" Target="media/image220.png"/><Relationship Id="rId258" Type="http://schemas.openxmlformats.org/officeDocument/2006/relationships/image" Target="media/image221.png"/><Relationship Id="rId259" Type="http://schemas.openxmlformats.org/officeDocument/2006/relationships/image" Target="media/image222.png"/><Relationship Id="rId260" Type="http://schemas.openxmlformats.org/officeDocument/2006/relationships/image" Target="media/image223.png"/><Relationship Id="rId261" Type="http://schemas.openxmlformats.org/officeDocument/2006/relationships/image" Target="media/image224.png"/><Relationship Id="rId262" Type="http://schemas.openxmlformats.org/officeDocument/2006/relationships/image" Target="media/image225.png"/><Relationship Id="rId263" Type="http://schemas.openxmlformats.org/officeDocument/2006/relationships/image" Target="media/image226.png"/><Relationship Id="rId264" Type="http://schemas.openxmlformats.org/officeDocument/2006/relationships/image" Target="media/image227.png"/><Relationship Id="rId265" Type="http://schemas.openxmlformats.org/officeDocument/2006/relationships/image" Target="media/image228.png"/><Relationship Id="rId266" Type="http://schemas.openxmlformats.org/officeDocument/2006/relationships/image" Target="media/image229.png"/><Relationship Id="rId267" Type="http://schemas.openxmlformats.org/officeDocument/2006/relationships/image" Target="media/image230.png"/><Relationship Id="rId268" Type="http://schemas.openxmlformats.org/officeDocument/2006/relationships/image" Target="media/image231.png"/><Relationship Id="rId269" Type="http://schemas.openxmlformats.org/officeDocument/2006/relationships/image" Target="media/image232.png"/><Relationship Id="rId223" Type="http://schemas.openxmlformats.org/officeDocument/2006/relationships/hyperlink" Target="https://www.sec.gov/Archives/edgar/data/1006045/000156459019010390/irix-ex31_7.htm" TargetMode="External"/><Relationship Id="rId224" Type="http://schemas.openxmlformats.org/officeDocument/2006/relationships/hyperlink" Target="https://www.sec.gov/Archives/edgar/data/1006045/000089161807000540/f33502exv4w2.htm" TargetMode="External"/><Relationship Id="rId225" Type="http://schemas.openxmlformats.org/officeDocument/2006/relationships/hyperlink" Target="https://www.sec.gov/Archives/edgar/data/1006045/000119312509073387/dex41.htm" TargetMode="External"/><Relationship Id="rId226" Type="http://schemas.openxmlformats.org/officeDocument/2006/relationships/hyperlink" Target="https://www.sec.gov/Archives/edgar/data/1006045/000156459020010869/irix-ex43_14.htm" TargetMode="External"/><Relationship Id="rId227" Type="http://schemas.openxmlformats.org/officeDocument/2006/relationships/hyperlink" Target="https://www.sec.gov/Archives/edgar/data/1006045/000156459016015763/irix-ex101_303.htm" TargetMode="External"/><Relationship Id="rId228" Type="http://schemas.openxmlformats.org/officeDocument/2006/relationships/hyperlink" Target="https://www.sec.gov/Archives/edgar/data/1006045/000156459022010477/irix-ex102_73.htm" TargetMode="External"/><Relationship Id="rId229" Type="http://schemas.openxmlformats.org/officeDocument/2006/relationships/hyperlink" Target="https://www.sec.gov/Archives/edgar/data/1006045/000119312509070788/dex102.htm" TargetMode="External"/><Relationship Id="rId230" Type="http://schemas.openxmlformats.org/officeDocument/2006/relationships/hyperlink" Target="https://www.sec.gov/Archives/edgar/data/1006045/000156459014004861/irix-ex101_2014092780.htm" TargetMode="External"/><Relationship Id="rId231" Type="http://schemas.openxmlformats.org/officeDocument/2006/relationships/hyperlink" Target="https://www.sec.gov/Archives/edgar/data/1006045/000156459017007969/irix-ex101_6.htm" TargetMode="External"/><Relationship Id="rId234" Type="http://schemas.openxmlformats.org/officeDocument/2006/relationships/hyperlink" Target="https://www.sec.gov/Archives/edgar/data/1006045/000156459021044004/irix-ex101_29.htm" TargetMode="External"/><Relationship Id="rId235" Type="http://schemas.openxmlformats.org/officeDocument/2006/relationships/hyperlink" Target="https://www.sec.gov/Archives/edgar/data/1006045/000095013404006335/f98194dedef14a.htm#075" TargetMode="External"/><Relationship Id="rId236" Type="http://schemas.openxmlformats.org/officeDocument/2006/relationships/hyperlink" Target="https://www.sec.gov/Archives/edgar/data/1006045/000117494721000460/def14a-50502_irix.htm" TargetMode="External"/><Relationship Id="rId237" Type="http://schemas.openxmlformats.org/officeDocument/2006/relationships/hyperlink" Target="https://www.sec.gov/Archives/edgar/data/1006045/000119312508241322/dex991.htm" TargetMode="External"/><Relationship Id="rId238" Type="http://schemas.openxmlformats.org/officeDocument/2006/relationships/hyperlink" Target="https://www.sec.gov/Archives/edgar/data/1006045/000119312509159297/dex99d5.htm" TargetMode="External"/><Relationship Id="rId239" Type="http://schemas.openxmlformats.org/officeDocument/2006/relationships/hyperlink" Target="https://www.sec.gov/Archives/edgar/data/1006045/000089161807000540/f33502exv10w1.htm" TargetMode="External"/><Relationship Id="rId240" Type="http://schemas.openxmlformats.org/officeDocument/2006/relationships/hyperlink" Target="https://www.sec.gov/Archives/edgar/data/1006045/000119312511210538/dex101.htm" TargetMode="External"/><Relationship Id="rId241" Type="http://schemas.openxmlformats.org/officeDocument/2006/relationships/hyperlink" Target="https://www.sec.gov/Archives/edgar/data/1006045/000119312511210538/dex102.htm" TargetMode="External"/><Relationship Id="rId242" Type="http://schemas.openxmlformats.org/officeDocument/2006/relationships/hyperlink" Target="https://www.sec.gov/Archives/edgar/data/1006045/000156459016027421/irix-ex101_40.htm" TargetMode="External"/><Relationship Id="rId243" Type="http://schemas.openxmlformats.org/officeDocument/2006/relationships/hyperlink" Target="https://www.sec.gov/Archives/edgar/data/1006045/000156459020010869/irix-ex10191_57.htm" TargetMode="External"/><Relationship Id="rId244" Type="http://schemas.openxmlformats.org/officeDocument/2006/relationships/hyperlink" Target="https://www.sec.gov/Archives/edgar/data/1006045/000156459020010869/irix-ex10192_58.htm" TargetMode="External"/><Relationship Id="rId245" Type="http://schemas.openxmlformats.org/officeDocument/2006/relationships/hyperlink" Target="https://www.sec.gov/Archives/edgar/data/1006045/000156459021014859/irix-ex10193_10.htm" TargetMode="External"/><Relationship Id="rId246" Type="http://schemas.openxmlformats.org/officeDocument/2006/relationships/hyperlink" Target="https://www.sec.gov/Archives/edgar/data/1006045/000095017022017441/irix-ex10_1.htm" TargetMode="External"/><Relationship Id="rId247" Type="http://schemas.openxmlformats.org/officeDocument/2006/relationships/hyperlink" Target="https://www.sec.gov/Archives/edgar/data/1006045/000095017022017441/irix-ex10_2.htm" TargetMode="External"/><Relationship Id="rId248" Type="http://schemas.openxmlformats.org/officeDocument/2006/relationships/hyperlink" Target="https://www.sec.gov/Archives/edgar/data/1006045/000156459019022508/irix-ex101_6.htm" TargetMode="External"/><Relationship Id="rId249" Type="http://schemas.openxmlformats.org/officeDocument/2006/relationships/hyperlink" Target="https://www.sec.gov/Archives/edgar/data/1006045/000156459019038138/irix-ex101_7.htm" TargetMode="External"/><Relationship Id="rId250" Type="http://schemas.openxmlformats.org/officeDocument/2006/relationships/hyperlink" Target="https://www.sec.gov/Archives/edgar/data/1006045/000156459019038138/irix-ex102_8.htm" TargetMode="External"/><Relationship Id="rId251" Type="http://schemas.openxmlformats.org/officeDocument/2006/relationships/hyperlink" Target="https://www.sec.gov/Archives/edgar/data/1006045/000156459021010940/irix-ex101_11.htm" TargetMode="External"/><Relationship Id="rId254" Type="http://schemas.openxmlformats.org/officeDocument/2006/relationships/hyperlink" Target="https://www.sec.gov/Archives/edgar/data/1006045/000156459021010940/irix-ex102_7.htm" TargetMode="External"/><Relationship Id="rId255" Type="http://schemas.openxmlformats.org/officeDocument/2006/relationships/hyperlink" Target="https://www.sec.gov/Archives/edgar/data/1006045/000156459021010940/irix-ex103_6.htm" TargetMode="External"/><Relationship Id="rId256" Type="http://schemas.openxmlformats.org/officeDocument/2006/relationships/hyperlink" Target="https://www.sec.gov/Archives/edgar/data/1006045/000156459021010940/irix-ex10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2023-03-09T19:13:14Z</dcterms:created>
  <dcterms:modified xsi:type="dcterms:W3CDTF">2023-03-09T19:13:14Z</dcterms:modified>
</cp:coreProperties>
</file>