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50927.htm"/>
      <w:bookmarkStart w:id="1" w:name="ksirix20250927"/>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ind w:left="4320" w:right="4320" w:hanging="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ind w:left="4320" w:right="4320" w:hanging="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pBdr/>
        <w:bidi w:val="0"/>
        <w:ind w:left="0" w:right="0" w:hanging="49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27,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0-27598</w:t>
      </w:r>
    </w:p>
    <w:p>
      <w:pPr>
        <w:pStyle w:val="TextBody"/>
        <w:pBdr>
          <w:bottom w:val="single" w:sz="4" w:space="1" w:color="000000"/>
        </w:pBdr>
        <w:bidi w:val="0"/>
        <w:ind w:left="4320" w:right="4320" w:hanging="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IRIDEX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77-0210467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1212 Terra Bella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94043-1824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(650) 940-4700</w:t>
      </w:r>
    </w:p>
    <w:p>
      <w:pPr>
        <w:pStyle w:val="TextBody"/>
        <w:pBdr>
          <w:bottom w:val="single" w:sz="4" w:space="1" w:color="000000"/>
        </w:pBdr>
        <w:bidi w:val="0"/>
        <w:ind w:left="4320" w:right="4320" w:hanging="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common stock, $0.01 par value, issued and outstanding as of November 6, 2025 was 17,189,981.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
        <w:gridCol w:w="146"/>
        <w:gridCol w:w="8837"/>
        <w:gridCol w:w="512"/>
      </w:tblGrid>
      <w:tr>
        <w:trPr/>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Unaudited Condensed Consolidated Balance Sheets as of September 27, 2025 and December 28,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80"/>
                  <w:sz w:val="20"/>
                  <w:u w:val="single"/>
                </w:rPr>
                <w:t>Unaudited Condensed Consolidated Statements of Operations for the three and nine months ended September 27, 2025 and</w:t>
              </w:r>
            </w:hyperlink>
            <w:hyperlink w:anchor="condensed_consolidated_statements_operat">
              <w:r>
                <w:rPr>
                  <w:rStyle w:val="InternetLink"/>
                  <w:rFonts w:ascii="Times New Roman" w:hAnsi="Times New Roman"/>
                  <w:color w:val="000080"/>
                  <w:sz w:val="20"/>
                  <w:u w:val="single"/>
                </w:rPr>
                <w:t xml:space="preserve"> September 28,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Unaudited Condensed Consolidated Statements of Comprehensive Loss for the three and nine months ended September 27, 2025 and September 28, 2024</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Unaudited Condensed Consolidated Statements of Stockholders’ Equity for the three and nine months ended September 27, 2025 and September 28,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80"/>
                  <w:sz w:val="20"/>
                  <w:u w:val="single"/>
                </w:rPr>
                <w:t>Unaudited Condensed Consolidated Statements of Cash Flows for the nine months ended September 27, 2025</w:t>
              </w:r>
            </w:hyperlink>
            <w:hyperlink w:anchor="condensed_consolidated_statements_compre">
              <w:r>
                <w:rPr>
                  <w:rStyle w:val="InternetLink"/>
                  <w:rFonts w:ascii="Times New Roman" w:hAnsi="Times New Roman"/>
                  <w:color w:val="000080"/>
                  <w:sz w:val="20"/>
                  <w:u w:val="single"/>
                </w:rPr>
                <w:t xml:space="preserve"> and September 28, 2024</w:t>
              </w:r>
            </w:hyperlink>
            <w:r>
              <w:rPr>
                <w:rFonts w:ascii="Times New Roman" w:hAnsi="Times New Roman"/>
                <w:color w:val="0000FF"/>
                <w:sz w:val="20"/>
              </w:rPr>
              <w:t xml:space="preserve">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37"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impact of global pandemics or other public health emergencies or outbreaks, global and geopolitical uncertainty and conflicts, the imposition of various sanctions, trade restrictions and tariffs, inflation concerns, unexpected changes in tax law or policy, and changing interest rates on our business and results of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international sales strategy;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remain in compliance with The Nasdaq Stock Market’s continued listing requirements.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issue additional shares of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ind w:left="360" w:right="0" w:hanging="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As used in this Quarterly Report on Form 10-Q, the terms “Company,” “IRIDEX,” “we,” “us” and “our” refer to IRIDEX Corporation,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condensed_consolidated_financial_"/>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8"/>
        <w:gridCol w:w="146"/>
        <w:gridCol w:w="255"/>
        <w:gridCol w:w="890"/>
        <w:gridCol w:w="166"/>
        <w:gridCol w:w="146"/>
        <w:gridCol w:w="251"/>
        <w:gridCol w:w="879"/>
        <w:gridCol w:w="394"/>
      </w:tblGrid>
      <w:tr>
        <w:trPr/>
        <w:tc>
          <w:tcPr>
            <w:tcW w:w="7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2,000,000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600,000 shares of Series B convertible preferred stock as of September 27, 2025 and 0 as of December 28, 2024, respectively (liquidation preference of $6.1 million as of September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63,500,000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17,049,561 as of September 27, 2025 and 16,636,380 shares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ridex_corporation"/>
      <w:bookmarkEnd w:id="5"/>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0"/>
        <w:gridCol w:w="346"/>
        <w:gridCol w:w="287"/>
        <w:gridCol w:w="922"/>
        <w:gridCol w:w="166"/>
        <w:gridCol w:w="146"/>
        <w:gridCol w:w="287"/>
        <w:gridCol w:w="922"/>
        <w:gridCol w:w="166"/>
        <w:gridCol w:w="146"/>
        <w:gridCol w:w="287"/>
        <w:gridCol w:w="922"/>
        <w:gridCol w:w="166"/>
        <w:gridCol w:w="146"/>
        <w:gridCol w:w="287"/>
        <w:gridCol w:w="922"/>
        <w:gridCol w:w="417"/>
      </w:tblGrid>
      <w:tr>
        <w:trPr/>
        <w:tc>
          <w:tcPr>
            <w:tcW w:w="36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22,057</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8"/>
        <w:gridCol w:w="146"/>
        <w:gridCol w:w="339"/>
        <w:gridCol w:w="1018"/>
        <w:gridCol w:w="166"/>
        <w:gridCol w:w="146"/>
        <w:gridCol w:w="339"/>
        <w:gridCol w:w="1018"/>
        <w:gridCol w:w="166"/>
        <w:gridCol w:w="146"/>
        <w:gridCol w:w="339"/>
        <w:gridCol w:w="1018"/>
        <w:gridCol w:w="166"/>
        <w:gridCol w:w="146"/>
        <w:gridCol w:w="339"/>
        <w:gridCol w:w="1018"/>
        <w:gridCol w:w="217"/>
      </w:tblGrid>
      <w:tr>
        <w:trPr/>
        <w:tc>
          <w:tcPr>
            <w:tcW w:w="3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8" w:name="condensed_consolidated_statements_stockh"/>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center"/>
        <w:rPr/>
      </w:pPr>
      <w:r>
        <w:rPr/>
        <w:t> </w:t>
      </w:r>
    </w:p>
    <w:tbl>
      <w:tblPr>
        <w:tblW w:w="11163" w:type="dxa"/>
        <w:jc w:val="left"/>
        <w:tblInd w:w="0" w:type="dxa"/>
        <w:tblLayout w:type="fixed"/>
        <w:tblCellMar>
          <w:top w:w="28" w:type="dxa"/>
          <w:left w:w="28" w:type="dxa"/>
          <w:bottom w:w="28" w:type="dxa"/>
          <w:right w:w="28" w:type="dxa"/>
        </w:tblCellMar>
      </w:tblPr>
      <w:tblGrid>
        <w:gridCol w:w="1231"/>
        <w:gridCol w:w="146"/>
        <w:gridCol w:w="146"/>
        <w:gridCol w:w="691"/>
        <w:gridCol w:w="146"/>
        <w:gridCol w:w="146"/>
        <w:gridCol w:w="196"/>
        <w:gridCol w:w="511"/>
        <w:gridCol w:w="146"/>
        <w:gridCol w:w="146"/>
        <w:gridCol w:w="146"/>
        <w:gridCol w:w="916"/>
        <w:gridCol w:w="146"/>
        <w:gridCol w:w="146"/>
        <w:gridCol w:w="236"/>
        <w:gridCol w:w="455"/>
        <w:gridCol w:w="146"/>
        <w:gridCol w:w="146"/>
        <w:gridCol w:w="214"/>
        <w:gridCol w:w="657"/>
        <w:gridCol w:w="166"/>
        <w:gridCol w:w="146"/>
        <w:gridCol w:w="439"/>
        <w:gridCol w:w="777"/>
        <w:gridCol w:w="166"/>
        <w:gridCol w:w="146"/>
        <w:gridCol w:w="240"/>
        <w:gridCol w:w="811"/>
        <w:gridCol w:w="166"/>
        <w:gridCol w:w="146"/>
        <w:gridCol w:w="264"/>
        <w:gridCol w:w="772"/>
        <w:gridCol w:w="21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16,814,713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connection to paydown of 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17,049,561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connection to paydown of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conjunction with extinguishment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17,049,561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7"/>
        <w:gridCol w:w="146"/>
        <w:gridCol w:w="146"/>
        <w:gridCol w:w="916"/>
        <w:gridCol w:w="146"/>
        <w:gridCol w:w="146"/>
        <w:gridCol w:w="236"/>
        <w:gridCol w:w="455"/>
        <w:gridCol w:w="146"/>
        <w:gridCol w:w="146"/>
        <w:gridCol w:w="214"/>
        <w:gridCol w:w="657"/>
        <w:gridCol w:w="166"/>
        <w:gridCol w:w="146"/>
        <w:gridCol w:w="439"/>
        <w:gridCol w:w="777"/>
        <w:gridCol w:w="166"/>
        <w:gridCol w:w="146"/>
        <w:gridCol w:w="240"/>
        <w:gridCol w:w="811"/>
        <w:gridCol w:w="166"/>
        <w:gridCol w:w="146"/>
        <w:gridCol w:w="305"/>
        <w:gridCol w:w="894"/>
        <w:gridCol w:w="212"/>
      </w:tblGrid>
      <w:tr>
        <w:trPr/>
        <w:tc>
          <w:tcPr>
            <w:tcW w:w="2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16,449,283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incentive shares under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incentive shares under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6"/>
        <w:gridCol w:w="146"/>
        <w:gridCol w:w="347"/>
        <w:gridCol w:w="1042"/>
        <w:gridCol w:w="166"/>
        <w:gridCol w:w="146"/>
        <w:gridCol w:w="347"/>
        <w:gridCol w:w="1042"/>
        <w:gridCol w:w="613"/>
      </w:tblGrid>
      <w:tr>
        <w:trPr/>
        <w:tc>
          <w:tcPr>
            <w:tcW w:w="6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inventory write-down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for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for stock options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Payments on convertible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Series B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Taxes paid related to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period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shares in conjunction with extinguishment of convertible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incentive shares under 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10" w:name="notes_to_unaudited_condensed_consolidate"/>
      <w:bookmarkEnd w:id="10"/>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28, 2024, which was filed with the SEC on March 27, 2025 (the “Annual Report”). The results of operations for the three and nine months ended September 27, 2025 and September 28, 2024 are not necessarily indicative of the results for the fiscal year ending January 3, 2026 or any future interim period. The three months ended September 27, 2025 and September 28, 2024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bidi w:val="0"/>
        <w:ind w:left="0" w:right="0" w:firstLine="49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significant accounting policies are disclosed in our Annual Report on Form 10-K for the year ended December 28, 2024, which was filed with the SEC on March 27,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our wholly-owned subsidiaries. All significant intercompany accounts and transactions have been eliminated in consolidation.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The Company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the Company’s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manages its operations as a single segment for the purposes of assessing performance and making operating decisions. The Company’s Chief Operating Decision Maker (“CODM”) is its Chief Executive Officer. The CODM allocates resources and evaluates the performance of the Company at the consolidated level using information about its revenues, gross profit, income from operations, and other key financial data. All significant operating decisions are based upon an analysis of the Company as one operating segment, which is the same as its reporting segment.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Company’s revenues arise from the sale of laser consoles, delivery devices, consumables, service, and support activities. The Company also derives its revenue from royalties from third parties, which are typically based on licensees’ net sales of products that utilize our technology. The Company’s revenue is recognized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distributors to market and sell the Company’s products. There is no continuing obligation after shipment is made to these distributors.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sales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w:t>
      </w:r>
      <w:r>
        <w:rPr>
          <w:color w:val="000000"/>
        </w:rPr>
        <w:t xml:space="preserve"> </w:t>
      </w:r>
      <w:r>
        <w:rPr>
          <w:rFonts w:ascii="Times New Roman" w:hAnsi="Times New Roman"/>
          <w:color w:val="000000"/>
          <w:sz w:val="20"/>
        </w:rPr>
        <w:t>periods that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color w:val="000000"/>
        </w:rPr>
        <w:t xml:space="preserve"> </w:t>
      </w:r>
      <w:r>
        <w:rPr>
          <w:rFonts w:ascii="Times New Roman" w:hAnsi="Times New Roman"/>
          <w:color w:val="000000"/>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Royalty Revenue: The Company has royalty agreements with three</w:t>
      </w:r>
      <w:r>
        <w:rPr>
          <w:color w:val="000000"/>
        </w:rPr>
        <w:t xml:space="preserve"> </w:t>
      </w:r>
      <w:r>
        <w:rPr>
          <w:rFonts w:ascii="Times New Roman" w:hAnsi="Times New Roman"/>
          <w:color w:val="000000"/>
          <w:sz w:val="20"/>
        </w:rPr>
        <w:t>customers related to the sale of the Company’s intellectual property. Under the terms of these agreements, two customers are to remit a percentage of sales to the Company as the sales occur and one customer made an upfront prepayment for royalties.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licensees with a quarter in arrears, such revenue is recognized at the time it is reported and paid by the licensees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5. 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September 27, 2025 and September 28, 2024, $0.4 million in revenue related to the exclusive distribution rights were recorded, respectively. For each of the nine months ended September 27, 2025 and September 28, 2024, $1.1 million in revenue related to the exclusive distribution rights were recorded.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June 28, 2025, the Company had fully recognized deferred costs incurred to obtain revenue contracts with customers. Amortization expense was $0 thousand and $23 thousand for the three and nine months ended September 27, 2025, respectively. Amortization expense was $19 thousand and $57 thousand for the three and nine months ended September 28, 2024, respectively. There were no impairment expenses for both of the three and nine months ended September 27, 2025 and September 28,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an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September 27, 2025, the Company recognized deferred costs incurred to fulfill a contract with a customer, net of accumulated amortization, of $0.5 million, and included these amounts in Prepaid expenses and other current assets and Other long-term assets in the Company’s condensed consolidated balance sheets. Amortization expense was $21 thousand and $62 thousand for both of the three and nine months ended September 27, 2025 and September 28, 2024. There were no impairment expenses for each of three and nine months ended September 27, 2025 and September 28,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if an arrangement is a lease at inception. Operating leases are included in Operating lease right-of-use (“ROU”) assets, net and Operating lease liabilities in our condensed consolidated balance sheets. As of September 27, 2025 and December 28, 2024, the Company was not a party to any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the Company’s leases do not provide an implicit rate, the Company uses its incremental borrowing rate based on information available at the commencement date in determining the present value of lease payments. The Company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available practical expedient, the Company accounts for the lease and non-lease components as a single lease component.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markets its products to distributors and end-users throughout the world. Sales to international distributors are generally made on open credit terms and letters of credit. Management performs ongoing credit evaluations of the Company’s customers and maintains a provision for potential credit losses. Historically, the Company has not experienced any significant losses related to individual customers or a group of customers in any particular geographic area. For the three and nine months ended September 27, 2025, one customer, Topcon, accounted for more than 10% of total revenues, representing 31% and 32%, respectively. For the for the three and nine months ended September 28, 2024, one customer, Topcon, accounted for more than 10% of total revenues, representing 33% for each period. As of September 27, 2025 and December 28, 2024, one customer, Topcon, accounted for over 10% of our accounts receivable, representing 25% and 29%,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Taxes collected from customers and remitted to governmental authorities are recognized on a net basis in the accompanying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shipping and handling costs billed to customers are included in revenues and the associated expense is recorded in cost of revenues for all periods presented.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changes in the Company’s deferred revenue balance for the nine months ended September 27, 2025 and September 28, 2024, is as follows:</w:t>
      </w:r>
    </w:p>
    <w:tbl>
      <w:tblPr>
        <w:tblW w:w="7105" w:type="dxa"/>
        <w:jc w:val="left"/>
        <w:tblInd w:w="0" w:type="dxa"/>
        <w:tblLayout w:type="fixed"/>
        <w:tblCellMar>
          <w:top w:w="28" w:type="dxa"/>
          <w:left w:w="28" w:type="dxa"/>
          <w:bottom w:w="28" w:type="dxa"/>
          <w:right w:w="28" w:type="dxa"/>
        </w:tblCellMar>
      </w:tblPr>
      <w:tblGrid>
        <w:gridCol w:w="3346"/>
        <w:gridCol w:w="146"/>
        <w:gridCol w:w="367"/>
        <w:gridCol w:w="1178"/>
        <w:gridCol w:w="166"/>
        <w:gridCol w:w="146"/>
        <w:gridCol w:w="367"/>
        <w:gridCol w:w="1178"/>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nine months ended September 27, 2025 and September 28, 2024, approximately $1.7 million and $1.9 million was recognized pertaining to amounts deferred as of December 28, 2024 and December 30, 2023, respectively. As of September 27, 2025, approximately $7.1 million of the non-current portion of deferred revenue and $1.5 million of the current portion of deferred revenue pertain to exclusivity distribution rights deferred revenue.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warranty reserves do not meet the criteria to have separate captions on the face of the condensed consolidated balance sheet, we removed these captions and included those amounts in other current and long-term liabilities.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Amortization expense was approximately $0.2 million for each of the nine months ended September 27, 2025 and September 28,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Financial Accounting Standards Board (“FASB”) issued ASU 2023-09 “Income Taxes (Topics 740): </w:t>
      </w:r>
      <w:r>
        <w:rPr>
          <w:rFonts w:ascii="Times New Roman" w:hAnsi="Times New Roman"/>
          <w:i/>
          <w:color w:val="000000"/>
          <w:sz w:val="20"/>
        </w:rPr>
        <w:t>Improvements to Income Tax Disclosures</w:t>
      </w:r>
      <w:r>
        <w:rPr>
          <w:rFonts w:ascii="Times New Roman" w:hAnsi="Times New Roman"/>
          <w:color w:val="000000"/>
          <w:sz w:val="20"/>
        </w:rPr>
        <w:t>” to expand the disclosure requirements for income taxes, specifically related to the rate reconciliation and income taxes paid. ASU 2023-09 is effective for the Company’s annual periods after December 15, 2024, with early adoption permitted. The Company is currently evaluating the potential effect that the updated standard will have on its consolidated financial statement disclosures.</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In September 2025, the FASB issued ASU 2025-05 “Financial Instruments—Credit Losses (Topic 326): Measurement of Credit Losses for Accounts Receivable and Contract Assets”, providing a practical expedient available for all entities to assume that current conditions as of the balance sheet date remain unchanged for the asset’s remaining life. This update will be effective for fiscal years beginning after December 15, 2025, and interim periods within those annual reporting periods. Early adoption is permitted. The Company does not expect that the adoption of this accounting standard to have a material impact on the Company’s consolidated financial statements.</w:t>
      </w:r>
    </w:p>
    <w:p>
      <w:pPr>
        <w:pStyle w:val="TextBody"/>
        <w:bidi w:val="0"/>
        <w:ind w:left="0" w:right="0" w:firstLine="72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3. 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The Company assesses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While the Company believes it has exercised prudent judgment and applied reasonable assumptions, there can be no assurance that in the future, changes in economic conditions or other factors would not cause changes in the financial health of its customers. If the financial health of the Company’s customers deteriorates, the timing and level of payments received could be impacted and therefore, could result in a change to our estimated losses.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nine months ended September 27, 2025 (in thousands):</w:t>
      </w:r>
    </w:p>
    <w:tbl>
      <w:tblPr>
        <w:tblW w:w="5996" w:type="dxa"/>
        <w:jc w:val="left"/>
        <w:tblInd w:w="0" w:type="dxa"/>
        <w:tblLayout w:type="fixed"/>
        <w:tblCellMar>
          <w:top w:w="28" w:type="dxa"/>
          <w:left w:w="28" w:type="dxa"/>
          <w:bottom w:w="28" w:type="dxa"/>
          <w:right w:w="28" w:type="dxa"/>
        </w:tblCellMar>
      </w:tblPr>
      <w:tblGrid>
        <w:gridCol w:w="2491"/>
        <w:gridCol w:w="146"/>
        <w:gridCol w:w="233"/>
        <w:gridCol w:w="533"/>
        <w:gridCol w:w="166"/>
        <w:gridCol w:w="146"/>
        <w:gridCol w:w="325"/>
        <w:gridCol w:w="741"/>
        <w:gridCol w:w="166"/>
        <w:gridCol w:w="146"/>
        <w:gridCol w:w="211"/>
        <w:gridCol w:w="48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4. Related Party - Topcon</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As of September 27, 2025, Topcon holds a 10% voting interest in the Company, which qualifies it to be a principal owner and considered a related party, even though it does not have significant influence over the Company’s operations.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Topcon resells certain of our products as our exclusive distributor in certain international regions. At the same time, the Company also purchases certain raw materials from Topcon. During the three and nine months ended September 27, 2025, the Company’s revenues related to Topcon amounted to approximately $3.9 million and $12.0 million, respectively, including $0.4 million and $1.1 million, respectively, in recognized exclusive distribution rights revenue. During the three and nine months ended September 28, 2024, the Company’s revenues related to Topcon amounted to approximately $3.8 million and $12.0 million, respectively, including $0.4 million and $1.1 million, respectively, in recognized exclusive distribution rights revenue. The Company’s purchases from Topcon during the three and nine months ended September 27, 2025 amounted to approximately $0.1 million and $0.4 million, respectively. As of September 27, 2025, the amounts receivable from and payable to Topcon were $2.4 million and $0.2 million, respectively. As of December 28, 2024, the amounts receivable from and payable to Topcon were $2.5 million and $0.6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the Company’s inventories as of September 27, 2025 and December 28, 2024 are as follows:</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516"/>
        <w:gridCol w:w="146"/>
        <w:gridCol w:w="417"/>
        <w:gridCol w:w="1128"/>
        <w:gridCol w:w="146"/>
        <w:gridCol w:w="146"/>
        <w:gridCol w:w="357"/>
        <w:gridCol w:w="114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wrote down approximately $0.8 million of finished goods inventory in the third fiscal quarter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$1.0 million as of both September 27, 2025 and December 28,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the price of its common stock is an important component of the fair value calculation. If the Company’s common stock price continues to experience significant price and volume fluctuations, it will impact the fair value of the reporting unit and can lead to potential impairment in future periods. The Company performed its annual impairment test during the second quarter of fiscal year 2025 and determined that its goodwill was not impaired. </w:t>
      </w:r>
    </w:p>
    <w:p>
      <w:pPr>
        <w:pStyle w:val="TextBody"/>
        <w:bidi w:val="0"/>
        <w:spacing w:before="120" w:after="283"/>
        <w:jc w:val="left"/>
        <w:rPr>
          <w:rFonts w:ascii="Times New Roman" w:hAnsi="Times New Roman"/>
          <w:sz w:val="20"/>
        </w:rPr>
      </w:pPr>
      <w:r>
        <w:rPr>
          <w:rFonts w:ascii="Times New Roman" w:hAnsi="Times New Roman"/>
          <w:i/>
          <w:color w:val="000000"/>
          <w:sz w:val="20"/>
        </w:rPr>
        <w:t>Intangi</w:t>
      </w:r>
      <w:r>
        <w:rPr>
          <w:rFonts w:ascii="Times New Roman" w:hAnsi="Times New Roman"/>
          <w:color w:val="000000"/>
          <w:sz w:val="20"/>
        </w:rPr>
        <w:t>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components of gross and net of intangible assets carrying amounts (in thousands):</w:t>
      </w:r>
    </w:p>
    <w:tbl>
      <w:tblPr>
        <w:tblW w:w="10190" w:type="dxa"/>
        <w:jc w:val="left"/>
        <w:tblInd w:w="0" w:type="dxa"/>
        <w:tblLayout w:type="fixed"/>
        <w:tblCellMar>
          <w:top w:w="28" w:type="dxa"/>
          <w:left w:w="28" w:type="dxa"/>
          <w:bottom w:w="28" w:type="dxa"/>
          <w:right w:w="28" w:type="dxa"/>
        </w:tblCellMar>
      </w:tblPr>
      <w:tblGrid>
        <w:gridCol w:w="1981"/>
        <w:gridCol w:w="146"/>
        <w:gridCol w:w="211"/>
        <w:gridCol w:w="571"/>
        <w:gridCol w:w="146"/>
        <w:gridCol w:w="146"/>
        <w:gridCol w:w="291"/>
        <w:gridCol w:w="790"/>
        <w:gridCol w:w="146"/>
        <w:gridCol w:w="146"/>
        <w:gridCol w:w="211"/>
        <w:gridCol w:w="571"/>
        <w:gridCol w:w="146"/>
        <w:gridCol w:w="146"/>
        <w:gridCol w:w="976"/>
        <w:gridCol w:w="146"/>
        <w:gridCol w:w="211"/>
        <w:gridCol w:w="571"/>
        <w:gridCol w:w="146"/>
        <w:gridCol w:w="146"/>
        <w:gridCol w:w="291"/>
        <w:gridCol w:w="790"/>
        <w:gridCol w:w="146"/>
        <w:gridCol w:w="146"/>
        <w:gridCol w:w="211"/>
        <w:gridCol w:w="57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Amortization expense for the nine months ended September 27, 2025 and September 28, 2024 was $243 thousand and $251 thousand,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 </w:t>
      </w:r>
    </w:p>
    <w:p>
      <w:pPr>
        <w:pStyle w:val="TextBody"/>
        <w:bidi w:val="0"/>
        <w:jc w:val="left"/>
        <w:rPr/>
      </w:pPr>
      <w:r>
        <w:rPr/>
        <w:t> </w:t>
      </w:r>
    </w:p>
    <w:tbl>
      <w:tblPr>
        <w:tblW w:w="4215" w:type="dxa"/>
        <w:jc w:val="left"/>
        <w:tblInd w:w="0" w:type="dxa"/>
        <w:tblLayout w:type="fixed"/>
        <w:tblCellMar>
          <w:top w:w="28" w:type="dxa"/>
          <w:left w:w="28" w:type="dxa"/>
          <w:bottom w:w="28" w:type="dxa"/>
          <w:right w:w="28" w:type="dxa"/>
        </w:tblCellMar>
      </w:tblPr>
      <w:tblGrid>
        <w:gridCol w:w="2896"/>
        <w:gridCol w:w="146"/>
        <w:gridCol w:w="211"/>
        <w:gridCol w:w="571"/>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 (three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accounts receivable, accounts payable, and accrued expenses as of September 27, 2025 and December 28, 2024, approximate fair value because of the short maturity of these instruments.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September 27, 2025 and December 28, 2024, financial assets measured and recognized at fair value on a recurring basis and classified under the appropriate level of the fair value hierarchy as described above were as follows (in thousands):</w:t>
      </w:r>
    </w:p>
    <w:p>
      <w:pPr>
        <w:pStyle w:val="TextBody"/>
        <w:bidi w:val="0"/>
        <w:jc w:val="left"/>
        <w:rPr/>
      </w:pPr>
      <w:r>
        <w:rPr/>
        <w:t> </w:t>
      </w:r>
    </w:p>
    <w:tbl>
      <w:tblPr>
        <w:tblW w:w="9630" w:type="dxa"/>
        <w:jc w:val="left"/>
        <w:tblInd w:w="0" w:type="dxa"/>
        <w:tblLayout w:type="fixed"/>
        <w:tblCellMar>
          <w:top w:w="28" w:type="dxa"/>
          <w:left w:w="28" w:type="dxa"/>
          <w:bottom w:w="28" w:type="dxa"/>
          <w:right w:w="28" w:type="dxa"/>
        </w:tblCellMar>
      </w:tblPr>
      <w:tblGrid>
        <w:gridCol w:w="2001"/>
        <w:gridCol w:w="146"/>
        <w:gridCol w:w="211"/>
        <w:gridCol w:w="421"/>
        <w:gridCol w:w="146"/>
        <w:gridCol w:w="146"/>
        <w:gridCol w:w="239"/>
        <w:gridCol w:w="391"/>
        <w:gridCol w:w="146"/>
        <w:gridCol w:w="146"/>
        <w:gridCol w:w="239"/>
        <w:gridCol w:w="391"/>
        <w:gridCol w:w="146"/>
        <w:gridCol w:w="146"/>
        <w:gridCol w:w="211"/>
        <w:gridCol w:w="421"/>
        <w:gridCol w:w="146"/>
        <w:gridCol w:w="146"/>
        <w:gridCol w:w="211"/>
        <w:gridCol w:w="421"/>
        <w:gridCol w:w="146"/>
        <w:gridCol w:w="146"/>
        <w:gridCol w:w="239"/>
        <w:gridCol w:w="391"/>
        <w:gridCol w:w="146"/>
        <w:gridCol w:w="146"/>
        <w:gridCol w:w="239"/>
        <w:gridCol w:w="391"/>
        <w:gridCol w:w="146"/>
        <w:gridCol w:w="146"/>
        <w:gridCol w:w="211"/>
        <w:gridCol w:w="42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28,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ind w:left="0" w:right="0" w:firstLine="49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operating leases consist of facility and office equipment leases. Operating lease expenses for each of the nine months ended September 27, 2025 and September 28, 2024 was $0.8 million. Cash paid for operating leases totaled $0.8 million for each of the nine months ended September 27, 2025 and September 28, 2024. The weighted average discount rate used in calculating the present value of lease payments was 4.7%. As of September 27, 2025, the weighted average remaining lease term for our operating leases was 1.2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September 27, 2025 (in thousands):</w:t>
      </w:r>
    </w:p>
    <w:tbl>
      <w:tblPr>
        <w:tblW w:w="4843" w:type="dxa"/>
        <w:jc w:val="left"/>
        <w:tblInd w:w="0" w:type="dxa"/>
        <w:tblLayout w:type="fixed"/>
        <w:tblCellMar>
          <w:top w:w="28" w:type="dxa"/>
          <w:left w:w="28" w:type="dxa"/>
          <w:bottom w:w="28" w:type="dxa"/>
          <w:right w:w="28" w:type="dxa"/>
        </w:tblCellMar>
      </w:tblPr>
      <w:tblGrid>
        <w:gridCol w:w="3226"/>
        <w:gridCol w:w="146"/>
        <w:gridCol w:w="338"/>
        <w:gridCol w:w="922"/>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purchase commitments consist primarily of non-cancellable purchase commitments with vendors to manufacture certain components and ophthalmic instrumentation. As of September 27, 2025, the Company’s future minimum payments through fiscal year 2027 for its purchase commitments were approximately $20.7 million, with $12.4 million committed for the next 12 months.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Indemnities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parties (generally the Company’s business partners or customers) in connection with any trade secret, copyright, patent or other intellectual property infringement claim by any third-party with respect to the Company’s products. The term of these indemnification agreements is generally perpetual any time after the execution of the agreement. The maximum potential amount of future payments that the Company could be required to make under these agreements is not determinable. The Company has never incurred costs to defend lawsuits or settle claims related to these indemnification agreements. As a result, the Company believes the estimated fair value of these agreements is minimal.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the Company to obtain directors and officers insurance. The Company currently has directors and officers liability insurance.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 involved in legal proceedings arising in the ordinary course of business. Although the results of litigation and claims cannot be predicted with certainty, the Company currently believes that the final outcome of these ordinary course matters will not have a material adverse effect on our business, condensed consolidated operating results, financial condition or cash flows. Regardless of the outcome, litigation can have an adverse impact on the Company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9. </w:t>
      </w:r>
      <w:r>
        <w:rPr>
          <w:rFonts w:ascii="Times New Roman" w:hAnsi="Times New Roman"/>
          <w:b/>
          <w:color w:val="000000"/>
          <w:sz w:val="20"/>
        </w:rPr>
        <w:t>Convertible Preferred Shares and Convertible 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18, 2025, the Company filed a Certificate of Designation, Preferences and Rights of the Series B Preferred Stock (the “Series B Certificate of Designation”) authorizing the Company to issue up to 1,000,000 shares of authorized undesignated preferred stock as shares of Series B Preferred stock, par value $0.01 per share (the “Series B Preferred Stock”). At the Company’s annual meeting of stockholders held on June 11, 2025 (the “Annual Meeting”), the Company’s stockholders approved an amendment and restatement of the Company’s Amended and Restated Certificate of Incorporation (the “Charter”) in the form of the Amended and Restated Certificate of Incorporation (the “Restated Charter”) which, among other matters, authorized 1,000,000 shares are designated as Series B Preferred Stock and 1,000,000 shares of undesignated preferred stock, for a total of 2,000,000 shares of preferred stock and reestablished the designations, powers, preferences and relative and other special rights and the qualifications, limitations and restrictions of the preferred stock, including the Company’s Series B Preferred Stock, which, with respect to the Series B Preferred Stock and except as noted in the Company’s definitive proxy statement filed with the SEC on April 28, 2025 as supplemented by its definitive additional materials filed with the SEC on May 20, 2025 and June 2, 2025, are substantially the same rights for the Series B Preferred Stock as are provided for pursuant to the Series B Certificate of Designation. Following the stockholders’ approval of the form of Restated Charter, the Company filed the Restated Charter with the Secretary of State of the State of Delaware on June 11, 2025. Also, with the approval of the Restated Charter, certain provisions related to the Series B Preferred Stock were revised, allowing the Series B Preferred Stock to meet the definition of permanent equity from an accounting perspective. As a result, the Company reclassified the Series B Preferred Stock from mezzanine equity to permanent equity in the second fiscal quarter of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19, 2025, the Company entered into a securities purchase agreement (the “Novel Securities Agreement”) and a Note Purchase Agreement (the “Novel Note Purchase Agreement”) with Novel Inspirational International Co., Ltd. (“Novel”). Pursuant to the Novel Securities Agreement and the Novel Note Purchase Agreement, the Company issued 600,000 shares of its Series B Preferred Stock at $10.00 per share, initially convertible into 3,000,000 shares of the Company’s common stock, par value $0.01 per share and an initial convertible promissory note in an aggregate principal amount of $4,000,000 (the “Initial Novel Note” and together with the Novel Growth Notes (as defined below), the “Novel Notes”). The Initial Novel Note is convertible into 400,000 shares of the Company’s Series B Preferred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Concurrently with the purchase of the shares of Series B Preferred Stock and the Initial Novel Note, the Company also entered into an Investor Rights Agreement and an amendment to the Investor Rights Agreement (together,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thresholds), the right to appoint and maintain two individuals to the Company’s board of directors; and (iii) the right to approve certain corporate actions of the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Initial Novel Note has a 36-month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 In addition, the Company incurred $0.4 million in debt issuance costs. For the three and nine months ended September 27, 2025, debt issuance costs of $30 thousand and $64 thousand, respectively, were recorded on a straight-line basis over the term of the loan. The accretion of debt issuance costs under that under method is deemed materially consistent with the effective interest rate method.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the payments of notes payable as of September 27, 2025 (in thousands):</w:t>
      </w:r>
    </w:p>
    <w:p>
      <w:pPr>
        <w:pStyle w:val="TextBody"/>
        <w:bidi w:val="0"/>
        <w:jc w:val="left"/>
        <w:rPr/>
      </w:pPr>
      <w:r>
        <w:rPr/>
        <w:t> </w:t>
      </w:r>
    </w:p>
    <w:tbl>
      <w:tblPr>
        <w:tblW w:w="4044" w:type="dxa"/>
        <w:jc w:val="left"/>
        <w:tblInd w:w="0" w:type="dxa"/>
        <w:tblLayout w:type="fixed"/>
        <w:tblCellMar>
          <w:top w:w="28" w:type="dxa"/>
          <w:left w:w="28" w:type="dxa"/>
          <w:bottom w:w="28" w:type="dxa"/>
          <w:right w:w="28" w:type="dxa"/>
        </w:tblCellMar>
      </w:tblPr>
      <w:tblGrid>
        <w:gridCol w:w="2896"/>
        <w:gridCol w:w="146"/>
        <w:gridCol w:w="218"/>
        <w:gridCol w:w="593"/>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w:t>
      </w:r>
    </w:p>
    <w:p>
      <w:pPr>
        <w:pStyle w:val="TextBody"/>
        <w:bidi w:val="0"/>
        <w:spacing w:before="120" w:after="283"/>
        <w:ind w:left="0" w:right="0" w:firstLine="490"/>
        <w:jc w:val="left"/>
        <w:rPr>
          <w:rFonts w:ascii="Times New Roman" w:hAnsi="Times New Roman"/>
          <w:color w:val="212529"/>
          <w:sz w:val="20"/>
        </w:rPr>
      </w:pPr>
      <w:r>
        <w:rPr>
          <w:rFonts w:ascii="Times New Roman" w:hAnsi="Times New Roman"/>
          <w:color w:val="212529"/>
          <w:sz w:val="20"/>
        </w:rPr>
        <w:t>On March 18, 2025, the Company also entered into that certain repayment notice (the “Repayment Notice”) with Lind Global Asset Management IX LLC (“Lind”). Pursuant to the Repayment Notice and upon the subsequent delivery of a cash payment to Lind,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 (the “Lind Note”). As a result of the early repayment of the Lind Note on March 19, 2025, the Company recognized a loss of $1.3 million on the extinguishment of the convertible note payable, reflected in the condensed consolidated statements of operations as other expense, net.</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 accounts for stock-based compensation granted to employees and directors, including stock option awards, restricted stock and restricted stock units (“RSUs”) in accordance with FASB ASC Topic 718</w:t>
      </w:r>
      <w:r>
        <w:rPr>
          <w:rFonts w:ascii="Times New Roman" w:hAnsi="Times New Roman"/>
          <w:i/>
          <w:color w:val="000000"/>
          <w:sz w:val="20"/>
        </w:rPr>
        <w:t>, “Compensation – Stock Compensation”</w:t>
      </w:r>
      <w:r>
        <w:rPr>
          <w:rFonts w:ascii="Times New Roman" w:hAnsi="Times New Roman"/>
          <w:color w:val="000000"/>
          <w:sz w:val="20"/>
        </w:rPr>
        <w:t xml:space="preserve">.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 as amended.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stockholders approved an amendment to the Amended and Restated 2008 Equity Incentive Plan (the “Plan”) at the annual stockholders’ meeting in June 2025, which among other things, added 1,000,000 shares to the plan and extended the term of the Plan. The terms of awards granted during the nine months ended September 27, 2025 were consistent with those described in the consolidated financial statements included in our Annual Report on Form 10-K for the year ended December 28,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stock-based compensation expense included in the condensed consolidated statements of operations for the three and nine months ended September 27, 2025 and September 28, 2024 (in thousands): </w:t>
      </w:r>
    </w:p>
    <w:p>
      <w:pPr>
        <w:pStyle w:val="TextBody"/>
        <w:bidi w:val="0"/>
        <w:spacing w:before="12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3147"/>
        <w:gridCol w:w="146"/>
        <w:gridCol w:w="482"/>
        <w:gridCol w:w="967"/>
        <w:gridCol w:w="168"/>
        <w:gridCol w:w="147"/>
        <w:gridCol w:w="482"/>
        <w:gridCol w:w="967"/>
        <w:gridCol w:w="166"/>
        <w:gridCol w:w="146"/>
        <w:gridCol w:w="482"/>
        <w:gridCol w:w="967"/>
        <w:gridCol w:w="146"/>
        <w:gridCol w:w="146"/>
        <w:gridCol w:w="482"/>
        <w:gridCol w:w="967"/>
        <w:gridCol w:w="197"/>
      </w:tblGrid>
      <w:tr>
        <w:trPr/>
        <w:tc>
          <w:tcPr>
            <w:tcW w:w="3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the nine months ended September 27, 2025 and September 28,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September 27, 2025, there was $1.2 million of total unrecognized compensation cost, net of expected forfeitures, related to non-vested stock-based compensation arrangements. The cost is expected to be recognized over a weighted average period of 2.00 years.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options information during the nine months ended September 27, 2025:</w:t>
      </w:r>
    </w:p>
    <w:p>
      <w:pPr>
        <w:pStyle w:val="TextBody"/>
        <w:bidi w:val="0"/>
        <w:jc w:val="left"/>
        <w:rPr/>
      </w:pPr>
      <w:r>
        <w:rPr/>
        <w:t> </w:t>
      </w:r>
    </w:p>
    <w:tbl>
      <w:tblPr>
        <w:tblW w:w="7299" w:type="dxa"/>
        <w:jc w:val="left"/>
        <w:tblInd w:w="0" w:type="dxa"/>
        <w:tblLayout w:type="fixed"/>
        <w:tblCellMar>
          <w:top w:w="28" w:type="dxa"/>
          <w:left w:w="28" w:type="dxa"/>
          <w:bottom w:w="28" w:type="dxa"/>
          <w:right w:w="28" w:type="dxa"/>
        </w:tblCellMar>
      </w:tblPr>
      <w:tblGrid>
        <w:gridCol w:w="3211"/>
        <w:gridCol w:w="146"/>
        <w:gridCol w:w="146"/>
        <w:gridCol w:w="931"/>
        <w:gridCol w:w="166"/>
        <w:gridCol w:w="146"/>
        <w:gridCol w:w="350"/>
        <w:gridCol w:w="775"/>
        <w:gridCol w:w="146"/>
        <w:gridCol w:w="146"/>
        <w:gridCol w:w="314"/>
        <w:gridCol w:w="63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the options granted was $0.51 and $1.66 per share for the nine months ended September 27, 2025 and September 28, 2024,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option-pricing model to estimate the fair value of stock-based awards (options) with the following weighted-average assumptions: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5"/>
        <w:gridCol w:w="146"/>
        <w:gridCol w:w="360"/>
        <w:gridCol w:w="1158"/>
        <w:gridCol w:w="271"/>
        <w:gridCol w:w="146"/>
        <w:gridCol w:w="360"/>
        <w:gridCol w:w="1158"/>
        <w:gridCol w:w="271"/>
        <w:gridCol w:w="146"/>
        <w:gridCol w:w="360"/>
        <w:gridCol w:w="1158"/>
        <w:gridCol w:w="271"/>
        <w:gridCol w:w="146"/>
        <w:gridCol w:w="360"/>
        <w:gridCol w:w="1158"/>
        <w:gridCol w:w="321"/>
      </w:tblGrid>
      <w:tr>
        <w:trPr/>
        <w:tc>
          <w:tcPr>
            <w:tcW w:w="2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stock options outstanding, vested, expected to vest, and exercisable as of September 27, 2025 is summarized below:</w:t>
      </w:r>
    </w:p>
    <w:p>
      <w:pPr>
        <w:pStyle w:val="TextBody"/>
        <w:bidi w:val="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389"/>
        <w:gridCol w:w="78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w:t>
              <w:br/>
              <w:t>Intrinsic</w:t>
            </w:r>
            <w:r>
              <w:rPr>
                <w:rFonts w:ascii="Times New Roman" w:hAnsi="Times New Roman"/>
                <w:color w:val="000000"/>
                <w:sz w:val="16"/>
              </w:rPr>
              <w:t xml:space="preserve"> </w:t>
            </w:r>
            <w:r>
              <w:rPr>
                <w:rFonts w:ascii="Times New Roman" w:hAnsi="Times New Roman"/>
                <w:b/>
                <w:color w:val="000000"/>
                <w:sz w:val="16"/>
              </w:rP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pre-tax intrinsic value, based on the Company’s closing price as of September 27, 2025, that would have been received by option holders had all option holders exercised their stock options as of that date. This amount changes based on the fair market value of the Company’s common stock. The total intrinsic value of options exercised was immaterial for each of the nine months ended September 27, 2025 and September 28,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RSUs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RSUs activity for the nine months ended September 27, 2025 is summarized below:</w:t>
      </w:r>
    </w:p>
    <w:p>
      <w:pPr>
        <w:pStyle w:val="TextBody"/>
        <w:bidi w:val="0"/>
        <w:spacing w:before="120" w:after="283"/>
        <w:ind w:left="0" w:right="0" w:firstLine="490"/>
        <w:jc w:val="left"/>
        <w:rPr/>
      </w:pPr>
      <w:r>
        <w:rPr/>
        <w:t> </w:t>
      </w:r>
    </w:p>
    <w:tbl>
      <w:tblPr>
        <w:tblW w:w="4555" w:type="dxa"/>
        <w:jc w:val="left"/>
        <w:tblInd w:w="0" w:type="dxa"/>
        <w:tblLayout w:type="fixed"/>
        <w:tblCellMar>
          <w:top w:w="28" w:type="dxa"/>
          <w:left w:w="28" w:type="dxa"/>
          <w:bottom w:w="28" w:type="dxa"/>
          <w:right w:w="28" w:type="dxa"/>
        </w:tblCellMar>
      </w:tblPr>
      <w:tblGrid>
        <w:gridCol w:w="3211"/>
        <w:gridCol w:w="146"/>
        <w:gridCol w:w="146"/>
        <w:gridCol w:w="841"/>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at the Company’s Annual Meeting held on June 11, 2025, the Company’s stockholders approved an amendment and restatement of the Company’s Restated Charter, among other matters, to increase the number of authorized shares of the Company’s common stock from 30,000,000 to 63,500,000 shares.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Income Tax</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calculates its interim tax provision in accordance with the provisions of ASC Topic 740-270, </w:t>
      </w:r>
      <w:r>
        <w:rPr>
          <w:rFonts w:ascii="Times New Roman" w:hAnsi="Times New Roman"/>
          <w:i/>
          <w:color w:val="000000"/>
          <w:sz w:val="20"/>
        </w:rPr>
        <w:t>Income Taxes; Interim Reporting</w:t>
      </w:r>
      <w:r>
        <w:rPr>
          <w:rFonts w:ascii="Times New Roman" w:hAnsi="Times New Roman"/>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$37 thousand and $74 thousand for the nine months ended September 27, 2025 and September 28,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third quarter of fiscal year 2025, based on the Company’s recent history of losses and its forecasted losses, management believes it is more likely than not that a full valuation allowance is required. Accordingly, the Company continues to provide a full valuation allowance on its federal and states deferred tax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its uncertain tax positions in accordance with ASC 740. As of December 28, 2024, the Company had $1.4 million of unrecognized tax benefits, none of the unrecognized tax benefits would result in a change in the Company’s effective tax rate if recognized in future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U.S./domestic research and development costs. The impact on current and deferred taxes for tax law changes is reported in continuing operations in the interim period that includes the enactment date. The Company has done a preliminary analysis of the changes impacting its business and has determined that the aggregate impact, assuming various state tax legislation conforms to the OBBB, would not have a material impact to the Company due to its valuation allowance. The Company will continue to assess the tax accounting impacts, as well as the various state legislation and conformity rules, as more information becomes available and will record the tax impact, if any, in the third quarter of 2025. The Company is not aware of any other uncertain tax positions that could result in significant additional payments, accruals, or other material deviation in this estimate during the fiscal 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subject to United States federal income tax as well as to income taxes in state jurisdictions. The Company’s federal and state income tax returns are open to examination by tax authorities for three years and three to five years,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Computation of Basic and Diluted Net Loss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the Company incurs a net loss or if the exercise price of such options is greater than the average market price of our common stock for the period as their effect would be anti-dilutive. Common stock equivalents consist of incremental common shares issuable upon conversion of convertible debt and preferred shares are calculated under the if-converted method. Common stock equivalent shares from convertible debt and preferred shares are excluded from the computation for periods in which the Company incurs a net loss or if their effect would be anti-dilutive.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three months ended September 27, 2025 and September 28, 2024, potential shares from stock options and RSUs totaling 2,858,889 and 2,640,263 shares, respectively, were excluded from the computation of diluted weighted average shares outstanding. For the nine months ended September 27, 2025 and September 28, 2024, potential shares from stock options and RSUs totaling 2,485,995 and 2,800,477 shares, respectively, were excluded from the computation of diluted weighted average shares outstanding.</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For both the three and nine months ended September 27, 2025 and September 28, 2024, potential shares from the conversion of convertible debt and preferred stock totaling 5,000,000 and 0, respectively, were excluded from the computation of diluted weighted average shares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numerator and denominator of basic and diluted net loss per common share is provided as follows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4"/>
        <w:gridCol w:w="146"/>
        <w:gridCol w:w="264"/>
        <w:gridCol w:w="848"/>
        <w:gridCol w:w="166"/>
        <w:gridCol w:w="211"/>
        <w:gridCol w:w="146"/>
        <w:gridCol w:w="146"/>
        <w:gridCol w:w="264"/>
        <w:gridCol w:w="848"/>
        <w:gridCol w:w="166"/>
        <w:gridCol w:w="146"/>
        <w:gridCol w:w="264"/>
        <w:gridCol w:w="848"/>
        <w:gridCol w:w="746"/>
        <w:gridCol w:w="440"/>
        <w:gridCol w:w="306"/>
        <w:gridCol w:w="146"/>
        <w:gridCol w:w="264"/>
        <w:gridCol w:w="848"/>
        <w:gridCol w:w="618"/>
      </w:tblGrid>
      <w:tr>
        <w:trPr/>
        <w:tc>
          <w:tcPr>
            <w:tcW w:w="2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7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gridSpan w:val="2"/>
            <w:tcBorders/>
            <w:shd w:fill="CFF0FC"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7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37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Business Segments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operates in one segment: ophthalmology. The Company develops, manufactures and markets medical devices. Our revenues arise from the sale of consoles, delivery devices, consumables, service, and support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group is as follows (in thousands):</w:t>
      </w:r>
    </w:p>
    <w:tbl>
      <w:tblPr>
        <w:tblW w:w="8714" w:type="dxa"/>
        <w:jc w:val="left"/>
        <w:tblInd w:w="0" w:type="dxa"/>
        <w:tblLayout w:type="fixed"/>
        <w:tblCellMar>
          <w:top w:w="28" w:type="dxa"/>
          <w:left w:w="28" w:type="dxa"/>
          <w:bottom w:w="28" w:type="dxa"/>
          <w:right w:w="28" w:type="dxa"/>
        </w:tblCellMar>
      </w:tblPr>
      <w:tblGrid>
        <w:gridCol w:w="1321"/>
        <w:gridCol w:w="146"/>
        <w:gridCol w:w="367"/>
        <w:gridCol w:w="1178"/>
        <w:gridCol w:w="146"/>
        <w:gridCol w:w="146"/>
        <w:gridCol w:w="367"/>
        <w:gridCol w:w="1178"/>
        <w:gridCol w:w="146"/>
        <w:gridCol w:w="146"/>
        <w:gridCol w:w="367"/>
        <w:gridCol w:w="1178"/>
        <w:gridCol w:w="146"/>
        <w:gridCol w:w="146"/>
        <w:gridCol w:w="367"/>
        <w:gridCol w:w="1178"/>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(1) Includes service contract revenues of $0.4 million and $47 thousand, and $1.0 million and $0.4 million recognized during the three and nine months ended September 27, 2025 and September 28, 2024, respectively. Includes $0.4 million and $1.1 million recognized revenue related to the exclusive distribution rights during both of the three and nine months ended September 27, 2025 and September 28, 2024, respectively. Other also includes revenues from paid service, royalty, freight and legacy G probes.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based on the sales destination, is as follows (in thousands):</w:t>
      </w:r>
    </w:p>
    <w:p>
      <w:pPr>
        <w:pStyle w:val="TextBody"/>
        <w:bidi w:val="0"/>
        <w:jc w:val="left"/>
        <w:rPr/>
      </w:pPr>
      <w:r>
        <w:rPr/>
        <w:t> </w:t>
      </w:r>
    </w:p>
    <w:tbl>
      <w:tblPr>
        <w:tblW w:w="10064" w:type="dxa"/>
        <w:jc w:val="left"/>
        <w:tblInd w:w="0" w:type="dxa"/>
        <w:tblLayout w:type="fixed"/>
        <w:tblCellMar>
          <w:top w:w="28" w:type="dxa"/>
          <w:left w:w="28" w:type="dxa"/>
          <w:bottom w:w="28" w:type="dxa"/>
          <w:right w:w="28" w:type="dxa"/>
        </w:tblCellMar>
      </w:tblPr>
      <w:tblGrid>
        <w:gridCol w:w="2671"/>
        <w:gridCol w:w="146"/>
        <w:gridCol w:w="367"/>
        <w:gridCol w:w="1178"/>
        <w:gridCol w:w="146"/>
        <w:gridCol w:w="146"/>
        <w:gridCol w:w="367"/>
        <w:gridCol w:w="1178"/>
        <w:gridCol w:w="146"/>
        <w:gridCol w:w="146"/>
        <w:gridCol w:w="367"/>
        <w:gridCol w:w="1178"/>
        <w:gridCol w:w="146"/>
        <w:gridCol w:w="146"/>
        <w:gridCol w:w="367"/>
        <w:gridCol w:w="117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the location of end customers.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than the United States, the Netherlands accounted for at least 10% of the Company’s revenues during the three and nine months ended September 27, 2025, representing 22.6% and 15.7%, respectively. Other than the United States, the Netherlands accounted for at least 10% of the Company’s revenues during the three and nine months ended September 28, 2024, representing 13.1% and 15.2%, respectively. The United States accounted for 44.8% and 47.2% of revenues for the three months ended September 27, 2025 and September 28, 2024, respectively, and 43.8% and 45.5% for the nine months ended September 27, 2025 and September 28,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propriety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are sold in the United States and Germany predominantly through a direct sales force and internationally (aside from Germany, Italy, UK (Glaucoma), India, and other smaller markets) primarily through Topcon Corporation (“Topcon”) and other independent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the Company’s products, the Company is responsible for the cost of the fully assembled product that is manufactured by a third-party.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inflation concerns, tariffs and retaliatory responses, trade wars, lapse in government funding, healthcare reform initiatives, heightened interest rates as a result of government actions to combat inflation, and uncertainty in the global banking and financial services market, as well as other geopolitical developments, have impacted and may continue to impact business spending and the economy as a whole. As a result, the Company has seen customers extend purchase decision cycles. If the U.S. dollar strengthens again, the Company could experience some demand softness due to pricing effects from the strength of the U.S. dollar.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sections titled “Risk Factors” in Item 1A of Part I of our Annual Report on Form 10-K for the year ended December 28,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certain operating data as a percentage of 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3"/>
        <w:gridCol w:w="146"/>
        <w:gridCol w:w="258"/>
        <w:gridCol w:w="1014"/>
        <w:gridCol w:w="306"/>
        <w:gridCol w:w="146"/>
        <w:gridCol w:w="258"/>
        <w:gridCol w:w="1014"/>
        <w:gridCol w:w="306"/>
        <w:gridCol w:w="146"/>
        <w:gridCol w:w="258"/>
        <w:gridCol w:w="1014"/>
        <w:gridCol w:w="306"/>
        <w:gridCol w:w="146"/>
        <w:gridCol w:w="258"/>
        <w:gridCol w:w="1014"/>
        <w:gridCol w:w="362"/>
      </w:tblGrid>
      <w:tr>
        <w:trPr/>
        <w:tc>
          <w:tcPr>
            <w:tcW w:w="3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The following comparisons are between the three months ended September 27, 2025 and September 28, 2024</w:t>
      </w:r>
      <w:r>
        <w:rPr>
          <w:rFonts w:ascii="Times New Roman" w:hAnsi="Times New Roman"/>
          <w:color w:val="000000"/>
          <w:sz w:val="20"/>
        </w:rPr>
        <w:t xml:space="preserve"> </w:t>
      </w:r>
      <w:r>
        <w:rPr>
          <w:rFonts w:ascii="Times New Roman" w:hAnsi="Times New Roman"/>
          <w:b/>
          <w:color w:val="000000"/>
          <w:sz w:val="20"/>
        </w:rPr>
        <w:t>(in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7774" w:type="dxa"/>
        <w:jc w:val="left"/>
        <w:tblInd w:w="0" w:type="dxa"/>
        <w:tblLayout w:type="fixed"/>
        <w:tblCellMar>
          <w:top w:w="28" w:type="dxa"/>
          <w:left w:w="28" w:type="dxa"/>
          <w:bottom w:w="28" w:type="dxa"/>
          <w:right w:w="28" w:type="dxa"/>
        </w:tblCellMar>
      </w:tblPr>
      <w:tblGrid>
        <w:gridCol w:w="1321"/>
        <w:gridCol w:w="146"/>
        <w:gridCol w:w="367"/>
        <w:gridCol w:w="1178"/>
        <w:gridCol w:w="146"/>
        <w:gridCol w:w="146"/>
        <w:gridCol w:w="367"/>
        <w:gridCol w:w="1178"/>
        <w:gridCol w:w="146"/>
        <w:gridCol w:w="146"/>
        <w:gridCol w:w="324"/>
        <w:gridCol w:w="651"/>
        <w:gridCol w:w="146"/>
        <w:gridCol w:w="146"/>
        <w:gridCol w:w="249"/>
        <w:gridCol w:w="801"/>
        <w:gridCol w:w="31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Our total revenues increased by $0.9 million, or 7.8%, from $11.6 million to $12.5 million. All of our product groups increased, led by probe sales in the glaucoma product group and system sales in the retina product groups.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including those from ongoing geopolitical uncertainty, tariffs and trade wars.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decreased $0.3 million, or 7.2% from $4.3 million to $4.0 million. Gross margin decreased by 5.2% from 37.3% to 32.1%. The decrease in gross margin was driven by a $0.8 million loss on inventory write down, partially offset by shift to more favorable geographic and product mix.</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including tariffs and trade wars,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decreased by $0.3 million, or 25.2% from $1.3 million to $1.0 million. The decrease was related to our cost savings measures we implemented, resulting in lower headcount expenses. Spending on investment in new and expanded products was also curtailed.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remained relatively flat, though we continued realizing cost savings from lower headcount and being disciplined with our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decreased by $0.4 million, or 20.2% from $2.2 million to $1.8 million. The decrease was a primarily due to a decrease in consulting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was $158 thousand for the three months ended September 27, 2025 compared to $46 thousand for the three months ended September 28, 2024. Other expense, net, consisted primarily of interest income or expense and foreign currency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recorded an income tax provision of $4 thousand and $17 thousand for the three months ended September 27, 2025 and September 28, 2024, respectively.</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comparisons are between the nine months ended September 27, 2025 and September 28, 2024 (in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7774" w:type="dxa"/>
        <w:jc w:val="left"/>
        <w:tblInd w:w="0" w:type="dxa"/>
        <w:tblLayout w:type="fixed"/>
        <w:tblCellMar>
          <w:top w:w="28" w:type="dxa"/>
          <w:left w:w="28" w:type="dxa"/>
          <w:bottom w:w="28" w:type="dxa"/>
          <w:right w:w="28" w:type="dxa"/>
        </w:tblCellMar>
      </w:tblPr>
      <w:tblGrid>
        <w:gridCol w:w="1321"/>
        <w:gridCol w:w="146"/>
        <w:gridCol w:w="367"/>
        <w:gridCol w:w="1178"/>
        <w:gridCol w:w="146"/>
        <w:gridCol w:w="146"/>
        <w:gridCol w:w="367"/>
        <w:gridCol w:w="1178"/>
        <w:gridCol w:w="146"/>
        <w:gridCol w:w="146"/>
        <w:gridCol w:w="263"/>
        <w:gridCol w:w="712"/>
        <w:gridCol w:w="146"/>
        <w:gridCol w:w="146"/>
        <w:gridCol w:w="302"/>
        <w:gridCol w:w="748"/>
        <w:gridCol w:w="31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Our total revenues increased by $2.0 million, or 5.5%, from $36.0 million to $38.0 million. All of our product groups increased, led by probe sales in the glaucoma product group and system sales in the retina product groups.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discussed above.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decreased $0.1 million, or 1.2%, from $13.9 million to $13.8 million. Gross margin decreased by 2.5% from 38.7% to 36.2%. The decrease in gross margin was driven by a $0.8 million loss on inventory write down, partially offset by shift to more favorable geographic and product mix.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including tariffs and trade wars,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decreased by $1.6 million, or 37.3%, from $4.3 million to $2.7 million. The decrease was related to our cost savings measures we implemented, resulting in lower headcount expenses. Spending on investment in new and expanded products was also curtailed.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decreased by $2.2 million, or 22.6%, from $9.9 million to $7.6 million. The decrease was related to our cost savings measures, resulting in lower headcount expenses, consulting expenses, travel expenses, tradeshows and public relations expenses, and clinical studies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decreased by $1.6 million, or 20.8%, from $7.5 million to $5.9 million. The decrease was a primarily due to a decrease in consulting costs and deal related legal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was $1.7 million for the nine months ended September 27, 2025, driven primarily by the costs associated with the settlement of the Lind Note. Other expense, net, was $0.2 million for the nine months ended September 28, 2024, consisting of interest and amortization of loan expenses related to the Lind Note transaction and foreign currency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recorded an income tax provision of $37 thousand and $74 thousand for the nine months ended September 27, 2025 and September 28, 2024,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 Capital Resources and Management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September 27, 2025, the Company had cash and cash equivalents of $5.6 million and working capital of $11.7 million compared to cash and cash equivalents of $2.4 million and working capital of $7.0 million as of December 28,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operating activities was $2.7 million in the nine months ended September 27, 2025 compared to net cash used in operating activities of $6.0 million in the nine months ended September 28, 2024. The decrease in net cash used in operating activities was primarily due to reduction in net loss and reduction in inventory, offset by decreases in collections of accounts receivable and a paydown of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nine months ended September 27, 2025 and September 28, 2024, net cash used in investing activities was $37 thousand and $4 thousand, respectively, which consisted of capital expenditures.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nine months ended September 27, 2025, net cash provided by financing activities was $6.0 million. The Company received $10 million in issuance of convertible preferred shares and convertible debt, offset by $4.0 million in early prepayment of convertible debt and taxes paid related to net share settlements of equity awards. For the nine months ended September 28, 2024, net cash $2.8 million was provided by financing activities of issuance of convertible notes,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historically funded our operations primarily through sales of our products to customers, sales of our common stock and borrowing arrangements. As of September 27, 2025, our principal sources of liquidity consisted of cash and cash equivalents of $5.6 million. The Company has incurred net losses over the last several years, and as of September 27, 2025, have an accumulated deficit of approximately $92.3 million.</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Company’s purchase commitments consist primarily of non-cancellable purchase commitments with vendors to manufacture certain components and ophthalmic instrumentation. As of September 27, 2025, the Company’s future minimum payments through fiscal year 2027 for its purchase commitments were approximately $20.7 million, with $12.4 million committed for the next 12 months.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19, 2025, the Company entered into the Novel Securities Agreement and the Novel Note Purchase Agreement with Novel. Pursuant to the Novel Securities Agreement and the Novel Note Purchase Agreement, Novel has the right to purchase additional convertible promissory notes (the “Growth Notes”) in an aggregate principal amount of $10,000,000. The Growth Notes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issuable in three installments, with one third of the aggregate principal amount issuable upon each yearly anniversary after March 19,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believes its existing cash and cash equivalents will be sufficient to meet its anticipated cash needs over the next 12 months. The Company’s future capital requirements will depend on many factors, including its growth rate, the timing and extent of its spending to support research and development activities, the timing and cost of establishing additional sales and marketing capabilities, the introduction of new and enhanced products and its costs to implement new manufacturing technologies. Any debt financing obtained by the Company in the future could also involve restrictive covenants relating to its capital-raising activities and other financial and operational matters, which may make it more difficult for the Company to obtain additional capital and to pursue business opportunities, including potential acquisitions. Additionally, if the Company raises additional funds through further issuances of equity, its existing stockholders could suffer significant dilution in their percentage ownership of the Company, and any new equity securities the Company issues could have rights, preferences and privileges senior to those of holders of our common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does not have any off-balance sheet arrangements that have or are reasonably likely to have a material current or future effect on its financial condition, changes in financial condition, revenues or expenses, results of operations, liquidity, capital expenditures or capital resources.</w:t>
      </w:r>
    </w:p>
    <w:p>
      <w:pPr>
        <w:pStyle w:val="TextBody"/>
        <w:bidi w:val="0"/>
        <w:ind w:left="0" w:right="0" w:firstLine="49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 about Market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the Company is not required to provide the information called for by this Item.</w:t>
      </w:r>
    </w:p>
    <w:p>
      <w:pPr>
        <w:pStyle w:val="TextBody"/>
        <w:bidi w:val="0"/>
        <w:spacing w:before="12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September 27, 2025. Based on the foregoing, our Principal Executive Officer and our Principal Financial Officer concluded that our disclosure controls and procedures were effective at the reasonable assurance level.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part_ii_or_information"/>
      <w:bookmarkEnd w:id="14"/>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in our Annual Report on Form 10-K for the year ended December 28, 2024, which was filed with the SEC on March 27, 2025, a description of certain risks and uncertainties that could affect our business, future performance or financial condition (the “Risk Factors”). There have been no material changes from the disclosure provided in the Form 10-K with respect to the Risk Factors.</w:t>
      </w:r>
    </w:p>
    <w:p>
      <w:pPr>
        <w:pStyle w:val="TextBody"/>
        <w:bidi w:val="0"/>
        <w:ind w:left="0" w:right="0" w:firstLine="490"/>
        <w:jc w:val="left"/>
        <w:rPr/>
      </w:pPr>
      <w:r>
        <w:rPr/>
        <w:t> </w:t>
      </w:r>
    </w:p>
    <w:p>
      <w:pPr>
        <w:pStyle w:val="TextBody"/>
        <w:bidi w:val="0"/>
        <w:ind w:left="0" w:right="0" w:firstLine="490"/>
        <w:jc w:val="left"/>
        <w:rPr/>
      </w:pPr>
      <w:r>
        <w:rPr/>
        <w:t> </w:t>
      </w:r>
    </w:p>
    <w:p>
      <w:pPr>
        <w:pStyle w:val="TextBody"/>
        <w:bidi w:val="0"/>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September 27, 2025, the Company did not adopt or terminate, and no directors or officers,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1"/>
        <w:gridCol w:w="146"/>
        <w:gridCol w:w="5938"/>
        <w:gridCol w:w="511"/>
        <w:gridCol w:w="626"/>
        <w:gridCol w:w="631"/>
        <w:gridCol w:w="657"/>
        <w:gridCol w:w="965"/>
      </w:tblGrid>
      <w:tr>
        <w:trPr/>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93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c>
          <w:tcPr>
            <w:tcW w:w="5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Form</w:t>
            </w:r>
          </w:p>
        </w:tc>
        <w:tc>
          <w:tcPr>
            <w:tcW w:w="6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Filing No.</w:t>
            </w:r>
          </w:p>
        </w:tc>
        <w:tc>
          <w:tcPr>
            <w:tcW w:w="6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657"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Filing Date</w:t>
            </w:r>
          </w:p>
        </w:tc>
        <w:tc>
          <w:tcPr>
            <w:tcW w:w="96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Filed Herewith</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tcBorders/>
            <w:tcMar>
              <w:top w:w="0" w:type="dxa"/>
              <w:left w:w="0" w:type="dxa"/>
              <w:bottom w:w="0" w:type="dxa"/>
              <w:right w:w="0" w:type="dxa"/>
            </w:tcMar>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*Indicates a management contract or compensatory plan or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Trademark Acknowledgments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 532, Cyclo G6, and TxCell are our registered trademarks. All other trademarks or trade names appearing in this Quarterly Report on Form 10-Q are the property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120" w:type="dxa"/>
        <w:jc w:val="left"/>
        <w:tblInd w:w="0" w:type="dxa"/>
        <w:tblLayout w:type="fixed"/>
        <w:tblCellMar>
          <w:top w:w="28" w:type="dxa"/>
          <w:left w:w="28" w:type="dxa"/>
          <w:bottom w:w="28" w:type="dxa"/>
          <w:right w:w="28" w:type="dxa"/>
        </w:tblCellMar>
      </w:tblPr>
      <w:tblGrid>
        <w:gridCol w:w="2206"/>
        <w:gridCol w:w="146"/>
        <w:gridCol w:w="406"/>
        <w:gridCol w:w="146"/>
        <w:gridCol w:w="631"/>
        <w:gridCol w:w="109"/>
        <w:gridCol w:w="247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IRIDEX Corporation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8716" w:type="dxa"/>
        <w:jc w:val="left"/>
        <w:tblInd w:w="0" w:type="dxa"/>
        <w:tblLayout w:type="fixed"/>
        <w:tblCellMar>
          <w:top w:w="28" w:type="dxa"/>
          <w:left w:w="28" w:type="dxa"/>
          <w:bottom w:w="28" w:type="dxa"/>
          <w:right w:w="28" w:type="dxa"/>
        </w:tblCellMar>
      </w:tblPr>
      <w:tblGrid>
        <w:gridCol w:w="2206"/>
        <w:gridCol w:w="109"/>
        <w:gridCol w:w="406"/>
        <w:gridCol w:w="109"/>
        <w:gridCol w:w="631"/>
        <w:gridCol w:w="109"/>
        <w:gridCol w:w="514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irix-ex31_1.htm"/>
      <w:bookmarkStart w:id="24" w:name="ksirix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Patrick Mercer,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2025</w:t>
      </w:r>
    </w:p>
    <w:p>
      <w:pPr>
        <w:pStyle w:val="TextBody"/>
        <w:bidi w:val="0"/>
        <w:jc w:val="left"/>
        <w:rPr/>
      </w:pPr>
      <w:r>
        <w:rPr/>
        <w:t> </w:t>
      </w:r>
    </w:p>
    <w:tbl>
      <w:tblPr>
        <w:tblW w:w="3122" w:type="dxa"/>
        <w:jc w:val="left"/>
        <w:tblInd w:w="0" w:type="dxa"/>
        <w:tblLayout w:type="fixed"/>
        <w:tblCellMar>
          <w:top w:w="28" w:type="dxa"/>
          <w:left w:w="28" w:type="dxa"/>
          <w:bottom w:w="28" w:type="dxa"/>
          <w:right w:w="28" w:type="dxa"/>
        </w:tblCellMar>
      </w:tblPr>
      <w:tblGrid>
        <w:gridCol w:w="6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right"/>
        <w:rPr/>
      </w:pPr>
      <w:bookmarkStart w:id="25" w:name="doc_1_3"/>
      <w:bookmarkEnd w:id="25"/>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irix-ex31_2.htm"/>
      <w:bookmarkStart w:id="27" w:name="ksirixex31_2"/>
      <w:bookmarkEnd w:id="26"/>
      <w:bookmarkEnd w:id="2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Romeo R. Dizon,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2025</w:t>
      </w:r>
    </w:p>
    <w:p>
      <w:pPr>
        <w:pStyle w:val="TextBody"/>
        <w:bidi w:val="0"/>
        <w:jc w:val="left"/>
        <w:rPr/>
      </w:pPr>
      <w:r>
        <w:rPr/>
        <w:t> </w:t>
      </w:r>
    </w:p>
    <w:tbl>
      <w:tblPr>
        <w:tblW w:w="5792" w:type="dxa"/>
        <w:jc w:val="left"/>
        <w:tblInd w:w="0" w:type="dxa"/>
        <w:tblLayout w:type="fixed"/>
        <w:tblCellMar>
          <w:top w:w="28" w:type="dxa"/>
          <w:left w:w="28" w:type="dxa"/>
          <w:bottom w:w="28" w:type="dxa"/>
          <w:right w:w="28" w:type="dxa"/>
        </w:tblCellMar>
      </w:tblPr>
      <w:tblGrid>
        <w:gridCol w:w="646"/>
        <w:gridCol w:w="5146"/>
      </w:tblGrid>
      <w:tr>
        <w:trPr/>
        <w:tc>
          <w:tcPr>
            <w:tcW w:w="6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right"/>
        <w:rPr/>
      </w:pPr>
      <w:bookmarkStart w:id="28" w:name="doc_1_7"/>
      <w:bookmarkStart w:id="29" w:name="doc_1_4"/>
      <w:bookmarkStart w:id="30" w:name="gmnh1doc_1_4"/>
      <w:bookmarkEnd w:id="28"/>
      <w:bookmarkEnd w:id="29"/>
      <w:bookmarkEnd w:id="30"/>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irix-ex32_1.htm"/>
      <w:bookmarkStart w:id="32" w:name="ksirix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Patrick Mercer, pursuant to 18 U.S.C. Section 1350, as adopted pursuant to Section 906 of the Sarbanes-Oxley Act of 2002, certify that the Quarterly Report of IRIDEX Corporation on Form 10-Q for the fiscal quarter ended September 27, 2025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2025</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161"/>
        <w:gridCol w:w="631"/>
        <w:gridCol w:w="247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bookmarkStart w:id="33" w:name="doc_1_8"/>
      <w:bookmarkStart w:id="34" w:name="doc_1_5"/>
      <w:bookmarkEnd w:id="33"/>
      <w:bookmarkEnd w:id="34"/>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irix-ex32_2.htm"/>
      <w:bookmarkStart w:id="36" w:name="ksirixex32_2"/>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Romeo R. Dizon, pursuant to 18 U.S.C. Section 1350, as adopted pursuant to Section 906 of the Sarbanes-Oxley Act of 2002, certify that the Quarterly Report of IRIDEX Corporation on Form 10-Q for the fiscal quarter ended September 27, 2025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2025</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161"/>
        <w:gridCol w:w="631"/>
        <w:gridCol w:w="514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bookmarkStart w:id="37" w:name="doc_1_51"/>
      <w:bookmarkStart w:id="38" w:name="doc_1_81"/>
      <w:bookmarkEnd w:id="37"/>
      <w:bookmarkEnd w:id="38"/>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16986</Words>
  <Characters>94025</Characters>
  <CharactersWithSpaces>111815</CharactersWithSpaces>
  <Paragraphs>4870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