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9"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9"/>
          <w:szCs w:val="29"/>
          <w:b w:val="1"/>
          <w:bCs w:val="1"/>
          <w:color w:val="auto"/>
        </w:rPr>
        <w:t>FORM SD</w:t>
      </w:r>
    </w:p>
    <w:p>
      <w:pPr>
        <w:spacing w:after="0" w:line="249"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7"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40"/>
          <w:szCs w:val="40"/>
          <w:b w:val="1"/>
          <w:bCs w:val="1"/>
          <w:color w:val="auto"/>
        </w:rPr>
        <w:t>IRIDEX CORPORATION</w:t>
      </w:r>
    </w:p>
    <w:p>
      <w:pPr>
        <w:spacing w:after="0" w:line="3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09" w:lineRule="exact"/>
        <w:rPr>
          <w:sz w:val="24"/>
          <w:szCs w:val="24"/>
          <w:color w:val="auto"/>
        </w:rPr>
      </w:pPr>
    </w:p>
    <w:tbl>
      <w:tblPr>
        <w:tblLayout w:type="fixed"/>
        <w:tblInd w:w="960" w:type="dxa"/>
        <w:tblCellMar>
          <w:top w:w="0" w:type="dxa"/>
          <w:left w:w="0" w:type="dxa"/>
          <w:bottom w:w="0" w:type="dxa"/>
          <w:right w:w="0" w:type="dxa"/>
        </w:tblCellMar>
      </w:tblPr>
      <w:tr>
        <w:trPr>
          <w:trHeight w:val="214"/>
        </w:trPr>
        <w:tc>
          <w:tcPr>
            <w:tcW w:w="238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68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9"/>
              </w:rPr>
              <w:t>000-27598</w:t>
            </w:r>
          </w:p>
        </w:tc>
        <w:tc>
          <w:tcPr>
            <w:tcW w:w="2060" w:type="dxa"/>
            <w:vAlign w:val="bottom"/>
          </w:tcPr>
          <w:p>
            <w:pPr>
              <w:jc w:val="center"/>
              <w:ind w:left="542"/>
              <w:spacing w:after="0"/>
              <w:rPr>
                <w:sz w:val="20"/>
                <w:szCs w:val="20"/>
                <w:color w:val="auto"/>
              </w:rPr>
            </w:pPr>
            <w:r>
              <w:rPr>
                <w:rFonts w:ascii="Times New Roman" w:cs="Times New Roman" w:eastAsia="Times New Roman" w:hAnsi="Times New Roman"/>
                <w:sz w:val="18"/>
                <w:szCs w:val="18"/>
                <w:b w:val="1"/>
                <w:bCs w:val="1"/>
                <w:color w:val="auto"/>
              </w:rPr>
              <w:t>77-0210467</w:t>
            </w:r>
          </w:p>
        </w:tc>
        <w:tc>
          <w:tcPr>
            <w:tcW w:w="0" w:type="dxa"/>
            <w:vAlign w:val="bottom"/>
          </w:tcPr>
          <w:p>
            <w:pPr>
              <w:spacing w:after="0"/>
              <w:rPr>
                <w:sz w:val="1"/>
                <w:szCs w:val="1"/>
                <w:color w:val="auto"/>
              </w:rPr>
            </w:pPr>
          </w:p>
        </w:tc>
      </w:tr>
      <w:tr>
        <w:trPr>
          <w:trHeight w:val="148"/>
        </w:trPr>
        <w:tc>
          <w:tcPr>
            <w:tcW w:w="2380" w:type="dxa"/>
            <w:vAlign w:val="bottom"/>
          </w:tcPr>
          <w:p>
            <w:pPr>
              <w:jc w:val="center"/>
              <w:ind w:right="4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68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060" w:type="dxa"/>
            <w:vAlign w:val="bottom"/>
          </w:tcPr>
          <w:p>
            <w:pPr>
              <w:jc w:val="center"/>
              <w:ind w:left="5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38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680" w:type="dxa"/>
            <w:vAlign w:val="bottom"/>
            <w:vMerge w:val="restart"/>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1212 Terra Bella Avenue</w:t>
            </w:r>
          </w:p>
        </w:tc>
        <w:tc>
          <w:tcPr>
            <w:tcW w:w="206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177"/>
        </w:trPr>
        <w:tc>
          <w:tcPr>
            <w:tcW w:w="2380" w:type="dxa"/>
            <w:vAlign w:val="bottom"/>
          </w:tcPr>
          <w:p>
            <w:pPr>
              <w:spacing w:after="0"/>
              <w:rPr>
                <w:sz w:val="15"/>
                <w:szCs w:val="15"/>
                <w:color w:val="auto"/>
              </w:rPr>
            </w:pPr>
          </w:p>
        </w:tc>
        <w:tc>
          <w:tcPr>
            <w:tcW w:w="4680" w:type="dxa"/>
            <w:vAlign w:val="bottom"/>
            <w:vMerge w:val="continue"/>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380" w:type="dxa"/>
            <w:vAlign w:val="bottom"/>
          </w:tcPr>
          <w:p>
            <w:pPr>
              <w:spacing w:after="0"/>
              <w:rPr>
                <w:sz w:val="18"/>
                <w:szCs w:val="18"/>
                <w:color w:val="auto"/>
              </w:rPr>
            </w:pPr>
          </w:p>
        </w:tc>
        <w:tc>
          <w:tcPr>
            <w:tcW w:w="46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Mountain View, California 94043</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380" w:type="dxa"/>
            <w:vAlign w:val="bottom"/>
          </w:tcPr>
          <w:p>
            <w:pPr>
              <w:spacing w:after="0"/>
              <w:rPr>
                <w:sz w:val="16"/>
                <w:szCs w:val="16"/>
                <w:color w:val="auto"/>
              </w:rPr>
            </w:pPr>
          </w:p>
        </w:tc>
        <w:tc>
          <w:tcPr>
            <w:tcW w:w="46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2380" w:type="dxa"/>
            <w:vAlign w:val="bottom"/>
          </w:tcPr>
          <w:p>
            <w:pPr>
              <w:spacing w:after="0"/>
              <w:rPr>
                <w:sz w:val="24"/>
                <w:szCs w:val="24"/>
                <w:color w:val="auto"/>
              </w:rPr>
            </w:pPr>
          </w:p>
        </w:tc>
        <w:tc>
          <w:tcPr>
            <w:tcW w:w="46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(650) 940-4700</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380" w:type="dxa"/>
            <w:vAlign w:val="bottom"/>
          </w:tcPr>
          <w:p>
            <w:pPr>
              <w:spacing w:after="0"/>
              <w:rPr>
                <w:sz w:val="16"/>
                <w:szCs w:val="16"/>
                <w:color w:val="auto"/>
              </w:rPr>
            </w:pPr>
          </w:p>
        </w:tc>
        <w:tc>
          <w:tcPr>
            <w:tcW w:w="46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to indicate the rule pursuant to which this form is being filed, and provide the period to which the information in this form applies:</w:t>
      </w:r>
    </w:p>
    <w:p>
      <w:pPr>
        <w:spacing w:after="0" w:line="14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Rule 13p-1 under the Securities Exchange Act (17 CFR 240.13p-1) for the reporting period from January 1 to December 31, 2025.</w:t>
      </w:r>
    </w:p>
    <w:p>
      <w:pPr>
        <w:spacing w:after="0" w:line="76" w:lineRule="exact"/>
        <w:rPr>
          <w:sz w:val="24"/>
          <w:szCs w:val="24"/>
          <w:color w:val="auto"/>
        </w:rPr>
      </w:pPr>
    </w:p>
    <w:p>
      <w:pPr>
        <w:spacing w:after="0" w:line="196" w:lineRule="exact"/>
        <w:tabs>
          <w:tab w:leader="none" w:pos="340" w:val="left"/>
        </w:tabs>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Rule 13q-1 under the Securities Exchange Act (17 CFR 240.13q-1) for the fiscal year ended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792480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1262" w:right="1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Form SD of Iridex Corporation (“Iridex”) is filed pursuant to Rule 13p-1 promulgated under the Securities Exchange Act of 1934, as amended, for the reporting period January 1, 2025 to December 31, 2025.</w:t>
      </w:r>
    </w:p>
    <w:p>
      <w:pPr>
        <w:spacing w:after="0" w:line="16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 copy of Iridex’s Conflict Minerals Report is provided as Exhibit 1.01 to this Form SD, and is publicly available under the “Governance Documents” heading on the Corporate Governance page of the Company’s website, which can be reached through the following link: https://iridex.gcs-web.com/corporate-governance-highlights.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specified in Item 1.01 of this Form SD, the Company is hereby filing its Conflict Minerals Report as Exhibit 1.01 to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00" w:lineRule="exact"/>
        <w:rPr>
          <w:sz w:val="20"/>
          <w:szCs w:val="20"/>
          <w:color w:val="auto"/>
        </w:rPr>
      </w:pPr>
    </w:p>
    <w:p>
      <w:pPr>
        <w:spacing w:after="0" w:line="241" w:lineRule="exact"/>
        <w:rPr>
          <w:sz w:val="20"/>
          <w:szCs w:val="20"/>
          <w:color w:val="auto"/>
        </w:rPr>
      </w:pPr>
    </w:p>
    <w:p>
      <w:pPr>
        <w:ind w:left="180"/>
        <w:spacing w:after="0"/>
        <w:tabs>
          <w:tab w:leader="none" w:pos="108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Description</w:t>
      </w:r>
    </w:p>
    <w:p>
      <w:pPr>
        <w:spacing w:after="0" w:line="360" w:lineRule="exact"/>
        <w:rPr>
          <w:sz w:val="20"/>
          <w:szCs w:val="20"/>
          <w:color w:val="auto"/>
        </w:rPr>
      </w:pPr>
    </w:p>
    <w:p>
      <w:pPr>
        <w:ind w:left="280"/>
        <w:spacing w:after="0"/>
        <w:tabs>
          <w:tab w:leader="none" w:pos="10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FF"/>
        </w:rPr>
        <w:t>Conflict Minerals Report for the year ended December 31, 2025.</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5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Romeo R. Dizon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Romeo R. Dizon</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 2026</w:t>
      </w:r>
    </w:p>
    <w:p>
      <w:pPr>
        <w:spacing w:after="0" w:line="2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927" w:right="939" w:bottom="1440" w:gutter="0" w:footer="0" w:header="0"/>
        </w:sectPr>
      </w:pPr>
    </w:p>
    <w:bookmarkStart w:id="3" w:name="page4"/>
    <w:bookmarkEnd w:id="3"/>
    <w:p>
      <w:pPr>
        <w:ind w:left="10400"/>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Conflict Minerals Report</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 Ended December 31,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Introduction</w:t>
      </w:r>
    </w:p>
    <w:p>
      <w:pPr>
        <w:spacing w:after="0" w:line="237" w:lineRule="exact"/>
        <w:rPr>
          <w:sz w:val="20"/>
          <w:szCs w:val="20"/>
          <w:color w:val="auto"/>
        </w:rPr>
      </w:pPr>
    </w:p>
    <w:p>
      <w:pPr>
        <w:jc w:val="both"/>
        <w:ind w:firstLine="975"/>
        <w:spacing w:after="0" w:line="271" w:lineRule="auto"/>
        <w:rPr>
          <w:sz w:val="20"/>
          <w:szCs w:val="20"/>
          <w:color w:val="auto"/>
        </w:rPr>
      </w:pPr>
      <w:r>
        <w:rPr>
          <w:rFonts w:ascii="Times New Roman" w:cs="Times New Roman" w:eastAsia="Times New Roman" w:hAnsi="Times New Roman"/>
          <w:sz w:val="16"/>
          <w:szCs w:val="16"/>
          <w:color w:val="auto"/>
        </w:rPr>
        <w:t>This is the Conflict Minerals Report of Iridex Corporation (the “Company”, “Iridex”, “we” or “our”), filed with the United States Securities and Exchange Commission (“SEC”) pursuant to Rule 13p-1 under the Securities Exchange Act of 1934, as amended, for the reporting period from January 1, 2025 to December 31, 2025. Rule 13p-1 was adopted by the SEC to implement reporting and disclosure requirements related to conflict minerals as directed by the Dodd-Frank Wall Street Reform and Consumer Protection Act of 2010. Rule 13p-1 imposes certain reporting obligations on SEC registrants whose manufactured products contain conflict minerals which are necessary to the functionality or production of their products. For the purposes of this Report, “conflict minerals” means cassiterite, columbite-tantalite, gold, wolframite, and their derivatives, which are limited to tin, tantalum, tungsten, and gold.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Supply Chain and Product Overview</w:t>
      </w:r>
    </w:p>
    <w:p>
      <w:pPr>
        <w:spacing w:after="0" w:line="237" w:lineRule="exact"/>
        <w:rPr>
          <w:sz w:val="20"/>
          <w:szCs w:val="20"/>
          <w:color w:val="auto"/>
        </w:rPr>
      </w:pPr>
    </w:p>
    <w:p>
      <w:pPr>
        <w:jc w:val="both"/>
        <w:ind w:right="20" w:firstLine="975"/>
        <w:spacing w:after="0" w:line="298" w:lineRule="auto"/>
        <w:rPr>
          <w:sz w:val="20"/>
          <w:szCs w:val="20"/>
          <w:color w:val="auto"/>
        </w:rPr>
      </w:pPr>
      <w:r>
        <w:rPr>
          <w:rFonts w:ascii="Times New Roman" w:cs="Times New Roman" w:eastAsia="Times New Roman" w:hAnsi="Times New Roman"/>
          <w:sz w:val="16"/>
          <w:szCs w:val="16"/>
          <w:color w:val="auto"/>
        </w:rPr>
        <w:t>We are a leading worldwide provider of therapeutic-based laser systems, delivery devices and consumable instrumentation used to treat sight-threatening eye diseases in ophthalmology.</w:t>
      </w:r>
    </w:p>
    <w:p>
      <w:pPr>
        <w:spacing w:after="0" w:line="164" w:lineRule="exact"/>
        <w:rPr>
          <w:sz w:val="20"/>
          <w:szCs w:val="20"/>
          <w:color w:val="auto"/>
        </w:rPr>
      </w:pPr>
    </w:p>
    <w:p>
      <w:pPr>
        <w:jc w:val="both"/>
        <w:ind w:firstLine="975"/>
        <w:spacing w:after="0" w:line="269" w:lineRule="auto"/>
        <w:rPr>
          <w:sz w:val="20"/>
          <w:szCs w:val="20"/>
          <w:color w:val="auto"/>
        </w:rPr>
      </w:pPr>
      <w:r>
        <w:rPr>
          <w:rFonts w:ascii="Times New Roman" w:cs="Times New Roman" w:eastAsia="Times New Roman" w:hAnsi="Times New Roman"/>
          <w:sz w:val="16"/>
          <w:szCs w:val="16"/>
          <w:color w:val="auto"/>
        </w:rPr>
        <w:t>We rely on third parties to manufacture substantially all of the components used in our products. We assemble critical subassemblies and substantially all of our final products at our facility in Mountain View, California. Materials, components and subassemblies provided by our suppliers and external manufacturers and included in our products are sourced from a global supply base, over which we exercise little, if any, control. We do not directly engage in any mining operations, nor do we purchase raw ore or unrefined conflict minerals. Given our position in the supply chain, we rely on the responses of our suppliers, who in turn rely on the responses of their respective suppliers to identify the mines, smelters and refiners that source the Conflict Minerals. We purchase no components that are integrated directly into or used in the manufacture of our products from any covered country. “Covered countries” means the Democratic Republic of Congo and its adjoining countries, including the Republic of the Congo, the Central African Republic, South Sudan, Uganda, Rwanda, Burundi, Tanzania, Zambia and Angola.</w:t>
      </w:r>
    </w:p>
    <w:p>
      <w:pPr>
        <w:spacing w:after="0" w:line="190" w:lineRule="exact"/>
        <w:rPr>
          <w:sz w:val="20"/>
          <w:szCs w:val="20"/>
          <w:color w:val="auto"/>
        </w:rPr>
      </w:pPr>
    </w:p>
    <w:p>
      <w:pPr>
        <w:jc w:val="both"/>
        <w:ind w:firstLine="975"/>
        <w:spacing w:after="0" w:line="272" w:lineRule="auto"/>
        <w:rPr>
          <w:sz w:val="20"/>
          <w:szCs w:val="20"/>
          <w:color w:val="auto"/>
        </w:rPr>
      </w:pPr>
      <w:r>
        <w:rPr>
          <w:rFonts w:ascii="Times New Roman" w:cs="Times New Roman" w:eastAsia="Times New Roman" w:hAnsi="Times New Roman"/>
          <w:sz w:val="16"/>
          <w:szCs w:val="16"/>
          <w:color w:val="auto"/>
        </w:rPr>
        <w:t>Our senior management consulted with our procurement department to determine, based on, among other things, product lists and documentation provided by suppliers, which of our products would reasonably be expected to contain conflict minerals that are necessary to the functionality or production of those products. Based upon the results of this internal inquiry, we determined that the fabricated anodized or coated metal components, electronic circuit boards, electronic cables, probes or optical lenses in our Glaucoma, Medical Retina and Surgical Retina products (collectively, the “Covered Products”) may contain conflict minerals and that those components are necessary to the functionality or production of those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Due Diligence Program</w:t>
      </w:r>
    </w:p>
    <w:p>
      <w:pPr>
        <w:spacing w:after="0" w:line="237" w:lineRule="exact"/>
        <w:rPr>
          <w:sz w:val="20"/>
          <w:szCs w:val="20"/>
          <w:color w:val="auto"/>
        </w:rPr>
      </w:pPr>
    </w:p>
    <w:p>
      <w:pPr>
        <w:jc w:val="both"/>
        <w:ind w:firstLine="975"/>
        <w:spacing w:after="0" w:line="281" w:lineRule="auto"/>
        <w:rPr>
          <w:sz w:val="20"/>
          <w:szCs w:val="20"/>
          <w:color w:val="auto"/>
        </w:rPr>
      </w:pPr>
      <w:r>
        <w:rPr>
          <w:rFonts w:ascii="Times New Roman" w:cs="Times New Roman" w:eastAsia="Times New Roman" w:hAnsi="Times New Roman"/>
          <w:sz w:val="16"/>
          <w:szCs w:val="16"/>
          <w:color w:val="auto"/>
        </w:rPr>
        <w:t>Our due diligence processes and efforts have been developed in conjunction with the second edition of the Organisation for Economic Co-operation and Development (“OECD”) Due Diligence Guidance for Responsible Supply Chains for Minerals from Conflict-Affected and High-Risk Areas and the related Supplements on gold, tin, tantalum and tungsten (the “Framework”). We designed our due diligence process to conform in all material respects with these OECD guidelines.</w:t>
      </w:r>
    </w:p>
    <w:p>
      <w:pPr>
        <w:spacing w:after="0" w:line="175" w:lineRule="exact"/>
        <w:rPr>
          <w:sz w:val="20"/>
          <w:szCs w:val="20"/>
          <w:color w:val="auto"/>
        </w:rPr>
      </w:pPr>
    </w:p>
    <w:p>
      <w:pPr>
        <w:ind w:left="200" w:hanging="177"/>
        <w:spacing w:after="0"/>
        <w:tabs>
          <w:tab w:leader="none" w:pos="2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Establishment of Strong Company Management Systems</w:t>
      </w:r>
    </w:p>
    <w:p>
      <w:pPr>
        <w:spacing w:after="0" w:line="237" w:lineRule="exact"/>
        <w:rPr>
          <w:sz w:val="20"/>
          <w:szCs w:val="20"/>
          <w:color w:val="auto"/>
        </w:rPr>
      </w:pPr>
    </w:p>
    <w:p>
      <w:pPr>
        <w:jc w:val="both"/>
        <w:ind w:firstLine="975"/>
        <w:spacing w:after="0" w:line="281" w:lineRule="auto"/>
        <w:rPr>
          <w:sz w:val="20"/>
          <w:szCs w:val="20"/>
          <w:color w:val="auto"/>
        </w:rPr>
      </w:pPr>
      <w:r>
        <w:rPr>
          <w:rFonts w:ascii="Times New Roman" w:cs="Times New Roman" w:eastAsia="Times New Roman" w:hAnsi="Times New Roman"/>
          <w:sz w:val="16"/>
          <w:szCs w:val="16"/>
          <w:color w:val="auto"/>
        </w:rPr>
        <w:t xml:space="preserve">Our due diligence process was conducted by a cross-functional team comprised of senior executives and supply-chain personnel. The cross-functional team was required to be familiar with our policy with respect to the sourcing of conflict minerals which can be found on the Corporate Governance page of our Web site at </w:t>
      </w:r>
      <w:r>
        <w:rPr>
          <w:rFonts w:ascii="Times New Roman" w:cs="Times New Roman" w:eastAsia="Times New Roman" w:hAnsi="Times New Roman"/>
          <w:sz w:val="16"/>
          <w:szCs w:val="16"/>
          <w:i w:val="1"/>
          <w:iCs w:val="1"/>
          <w:color w:val="auto"/>
        </w:rPr>
        <w:t>www.iridex.com</w:t>
      </w:r>
      <w:r>
        <w:rPr>
          <w:rFonts w:ascii="Times New Roman" w:cs="Times New Roman" w:eastAsia="Times New Roman" w:hAnsi="Times New Roman"/>
          <w:sz w:val="16"/>
          <w:szCs w:val="16"/>
          <w:color w:val="auto"/>
        </w:rPr>
        <w:t>. (The content of any website referred to in this report is included for general information only and is not incorporated by reference in this Report.)</w:t>
      </w:r>
    </w:p>
    <w:p>
      <w:pPr>
        <w:spacing w:after="0" w:line="175" w:lineRule="exact"/>
        <w:rPr>
          <w:sz w:val="20"/>
          <w:szCs w:val="20"/>
          <w:color w:val="auto"/>
        </w:rPr>
      </w:pPr>
    </w:p>
    <w:p>
      <w:pPr>
        <w:ind w:left="200" w:hanging="177"/>
        <w:spacing w:after="0"/>
        <w:tabs>
          <w:tab w:leader="none" w:pos="2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Identification and Assessment of Risks in the Supply Chain</w:t>
      </w:r>
    </w:p>
    <w:p>
      <w:pPr>
        <w:spacing w:after="0" w:line="237" w:lineRule="exact"/>
        <w:rPr>
          <w:sz w:val="20"/>
          <w:szCs w:val="20"/>
          <w:color w:val="auto"/>
        </w:rPr>
      </w:pPr>
    </w:p>
    <w:p>
      <w:pPr>
        <w:jc w:val="both"/>
        <w:ind w:firstLine="975"/>
        <w:spacing w:after="0" w:line="281" w:lineRule="auto"/>
        <w:rPr>
          <w:sz w:val="20"/>
          <w:szCs w:val="20"/>
          <w:color w:val="auto"/>
        </w:rPr>
      </w:pPr>
      <w:r>
        <w:rPr>
          <w:rFonts w:ascii="Times New Roman" w:cs="Times New Roman" w:eastAsia="Times New Roman" w:hAnsi="Times New Roman"/>
          <w:sz w:val="16"/>
          <w:szCs w:val="16"/>
          <w:color w:val="auto"/>
        </w:rPr>
        <w:t>We performed in good faith a reasonable country of origin inquiry (“RCOI”) on conflict minerals that were in our supply chain after January 1, 2025, which inquiry was reasonably designed to determine whether suppliers of components of our Covered Products containing conflict minerals sourced them from any covered country or from recycled or scrap sources.</w:t>
      </w:r>
    </w:p>
    <w:p>
      <w:pPr>
        <w:spacing w:after="0" w:line="164" w:lineRule="exact"/>
        <w:rPr>
          <w:sz w:val="20"/>
          <w:szCs w:val="20"/>
          <w:color w:val="auto"/>
        </w:rPr>
      </w:pPr>
    </w:p>
    <w:p>
      <w:pPr>
        <w:jc w:val="both"/>
        <w:ind w:firstLine="975"/>
        <w:spacing w:after="0" w:line="269" w:lineRule="auto"/>
        <w:rPr>
          <w:sz w:val="20"/>
          <w:szCs w:val="20"/>
          <w:color w:val="auto"/>
        </w:rPr>
      </w:pPr>
      <w:r>
        <w:rPr>
          <w:rFonts w:ascii="Times New Roman" w:cs="Times New Roman" w:eastAsia="Times New Roman" w:hAnsi="Times New Roman"/>
          <w:sz w:val="16"/>
          <w:szCs w:val="16"/>
          <w:color w:val="auto"/>
        </w:rPr>
        <w:t>In order to make the RCOI determination, we solicited information from our suppliers regarding the source of the conflict minerals supplied to us during the year ended December 31, 2025, using the template developed jointly by the companies of Electronic Industry Citizenship Coalition (“EICC”) and the Global e-Sustainability Initiative (“GeSI”), known as the CFSI Reporting Template (the “Template”). The Template was developed to facilitate disclosure and communication of information regarding smelters that provide material to a company’s supply chain. It includes questions regarding a company’s conflict-free policy, engagement with its direct suppliers, and the smelters the company and its suppliers use. In addition, the template contains questions about the origin of conflict minerals included in their products, as well as supplier due diligence. Alternatively, we requested that suppliers provide a Smelter/Refiner Certification certifying that (1) conflict minerals produced by the supplier for us were obtained from a conflict-free area, (2) the supplier has processes in place to trace materials and products to ensure that conflict minerals contained in products were not mined in conditions of armed conflict and human rights abuses and (3) the supplier maintains a Conflict Minerals Statement/Policy, and a copy of such policy.</w:t>
      </w:r>
    </w:p>
    <w:p>
      <w:pPr>
        <w:spacing w:after="0" w:line="173" w:lineRule="exact"/>
        <w:rPr>
          <w:sz w:val="20"/>
          <w:szCs w:val="20"/>
          <w:color w:val="auto"/>
        </w:rPr>
      </w:pPr>
    </w:p>
    <w:p>
      <w:pPr>
        <w:jc w:val="both"/>
        <w:ind w:right="20" w:firstLine="973"/>
        <w:spacing w:after="0" w:line="298" w:lineRule="auto"/>
        <w:rPr>
          <w:sz w:val="20"/>
          <w:szCs w:val="20"/>
          <w:color w:val="auto"/>
        </w:rPr>
      </w:pPr>
      <w:r>
        <w:rPr>
          <w:rFonts w:ascii="Times New Roman" w:cs="Times New Roman" w:eastAsia="Times New Roman" w:hAnsi="Times New Roman"/>
          <w:sz w:val="16"/>
          <w:szCs w:val="16"/>
          <w:color w:val="auto"/>
        </w:rPr>
        <w:t>We determined that 27 of our suppliers were within the scope of our external RCOI and due diligence inquiry because the parts or components that they supply to us potentially contain conflict minerals. We sent the Template to each of these suppliers, and received responses from 26 of the 27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854710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4" w:name="page5"/>
    <w:bookmarkEnd w:id="4"/>
    <w:p>
      <w:pPr>
        <w:jc w:val="both"/>
        <w:spacing w:after="0" w:line="269" w:lineRule="auto"/>
        <w:rPr>
          <w:sz w:val="20"/>
          <w:szCs w:val="20"/>
          <w:color w:val="auto"/>
        </w:rPr>
      </w:pPr>
      <w:r>
        <w:rPr>
          <w:rFonts w:ascii="Times New Roman" w:cs="Times New Roman" w:eastAsia="Times New Roman" w:hAnsi="Times New Roman"/>
          <w:sz w:val="16"/>
          <w:szCs w:val="16"/>
          <w:color w:val="auto"/>
        </w:rPr>
        <w:t>contacted. With the exception of one of our suppliers, our suppliers’ responses to the Template indicated that no conflict minerals that were necessary for the functionality or production of our Covered Products had originated in a covered country. One supplier indicated to us that they had insufficient information to determine the source of the conflict minerals that it supplied to us. As part of our assessment to determine the source of conflict materials that suppliers supply to us,, we sought to identify the smelters from which conflict minerals were obtained by such suppliers and to compare those smelters against the list of smelter facilities that have been identified as “conflict free” by the EICC-GeSI Conflict Free Sourcing (“CFS”) program. The CFS program is a voluntary program whereby an independent third party evaluates smelter procurement activities to determine whether a smelter has sufficiently demonstrated that all materials processed by that smelter originated from sources that do not directly or indirectly finance or benefit armed groups in a covered country. The results of this inquiry are presented below in the Section titled – “Smelters and Refiners”.</w:t>
      </w:r>
    </w:p>
    <w:p>
      <w:pPr>
        <w:spacing w:after="0" w:line="188" w:lineRule="exact"/>
        <w:rPr>
          <w:sz w:val="20"/>
          <w:szCs w:val="20"/>
          <w:color w:val="auto"/>
        </w:rPr>
      </w:pPr>
    </w:p>
    <w:p>
      <w:pPr>
        <w:ind w:left="200" w:hanging="177"/>
        <w:spacing w:after="0"/>
        <w:tabs>
          <w:tab w:leader="none" w:pos="2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Designing and implementing a strategy to respond to identified risks</w:t>
      </w:r>
    </w:p>
    <w:p>
      <w:pPr>
        <w:spacing w:after="0" w:line="237" w:lineRule="exact"/>
        <w:rPr>
          <w:sz w:val="20"/>
          <w:szCs w:val="20"/>
          <w:color w:val="auto"/>
        </w:rPr>
      </w:pPr>
    </w:p>
    <w:p>
      <w:pPr>
        <w:ind w:right="660" w:firstLine="975"/>
        <w:spacing w:after="0" w:line="298" w:lineRule="auto"/>
        <w:rPr>
          <w:sz w:val="20"/>
          <w:szCs w:val="20"/>
          <w:color w:val="auto"/>
        </w:rPr>
      </w:pPr>
      <w:r>
        <w:rPr>
          <w:rFonts w:ascii="Times New Roman" w:cs="Times New Roman" w:eastAsia="Times New Roman" w:hAnsi="Times New Roman"/>
          <w:sz w:val="16"/>
          <w:szCs w:val="16"/>
          <w:color w:val="auto"/>
        </w:rPr>
        <w:t>We have taken or intend to take the following steps to improve the due diligence process and to gather additional information which will assist us to determine whether the conflict minerals we utilize benefit armed groups contributing to human rights violations:</w:t>
      </w:r>
    </w:p>
    <w:p>
      <w:pPr>
        <w:spacing w:after="0" w:line="164" w:lineRule="exact"/>
        <w:rPr>
          <w:sz w:val="20"/>
          <w:szCs w:val="20"/>
          <w:color w:val="auto"/>
        </w:rPr>
      </w:pPr>
    </w:p>
    <w:p>
      <w:pPr>
        <w:ind w:left="1080" w:hanging="533"/>
        <w:spacing w:after="0"/>
        <w:tabs>
          <w:tab w:leader="none" w:pos="108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and report annually on supply chain due diligence for the applicable conflict minerals;</w:t>
      </w:r>
    </w:p>
    <w:p>
      <w:pPr>
        <w:spacing w:after="0" w:line="221" w:lineRule="exact"/>
        <w:rPr>
          <w:rFonts w:ascii="Times New Roman" w:cs="Times New Roman" w:eastAsia="Times New Roman" w:hAnsi="Times New Roman"/>
          <w:sz w:val="16"/>
          <w:szCs w:val="16"/>
          <w:color w:val="auto"/>
        </w:rPr>
      </w:pPr>
    </w:p>
    <w:p>
      <w:pPr>
        <w:ind w:left="1060" w:hanging="513"/>
        <w:spacing w:after="0"/>
        <w:tabs>
          <w:tab w:leader="none" w:pos="106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examine the possibility of establishing new terms and conditions in supplier contracts that stipulate responses to conflict mineral related inquiries; and</w:t>
      </w:r>
    </w:p>
    <w:p>
      <w:pPr>
        <w:spacing w:after="0" w:line="221" w:lineRule="exact"/>
        <w:rPr>
          <w:rFonts w:ascii="Times New Roman" w:cs="Times New Roman" w:eastAsia="Times New Roman" w:hAnsi="Times New Roman"/>
          <w:sz w:val="16"/>
          <w:szCs w:val="16"/>
          <w:color w:val="auto"/>
        </w:rPr>
      </w:pPr>
    </w:p>
    <w:p>
      <w:pPr>
        <w:ind w:left="1080" w:hanging="533"/>
        <w:spacing w:after="0"/>
        <w:tabs>
          <w:tab w:leader="none" w:pos="108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attempt to validate supplier responses using information collected via independent conflict free smelter validation programs such as the CFS program.</w:t>
      </w:r>
    </w:p>
    <w:p>
      <w:pPr>
        <w:spacing w:after="0" w:line="219" w:lineRule="exact"/>
        <w:rPr>
          <w:rFonts w:ascii="Times New Roman" w:cs="Times New Roman" w:eastAsia="Times New Roman" w:hAnsi="Times New Roman"/>
          <w:sz w:val="16"/>
          <w:szCs w:val="16"/>
          <w:color w:val="auto"/>
        </w:rPr>
      </w:pPr>
    </w:p>
    <w:p>
      <w:pPr>
        <w:ind w:left="200" w:hanging="177"/>
        <w:spacing w:after="0"/>
        <w:tabs>
          <w:tab w:leader="none" w:pos="2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Carrying Out Independent Third-Party Audit of Supply Chain Due Diligence at Identified Points in the Supply Chain</w:t>
      </w:r>
    </w:p>
    <w:p>
      <w:pPr>
        <w:spacing w:after="0" w:line="237" w:lineRule="exact"/>
        <w:rPr>
          <w:sz w:val="20"/>
          <w:szCs w:val="20"/>
          <w:color w:val="auto"/>
        </w:rPr>
      </w:pPr>
    </w:p>
    <w:p>
      <w:pPr>
        <w:jc w:val="both"/>
        <w:ind w:firstLine="975"/>
        <w:spacing w:after="0" w:line="275" w:lineRule="auto"/>
        <w:rPr>
          <w:sz w:val="20"/>
          <w:szCs w:val="20"/>
          <w:color w:val="auto"/>
        </w:rPr>
      </w:pPr>
      <w:r>
        <w:rPr>
          <w:rFonts w:ascii="Times New Roman" w:cs="Times New Roman" w:eastAsia="Times New Roman" w:hAnsi="Times New Roman"/>
          <w:sz w:val="16"/>
          <w:szCs w:val="16"/>
          <w:color w:val="auto"/>
        </w:rPr>
        <w:t>We do not have a direct business relationship with any smelters or refiners in our supply chain and, as a result, we do not directly conduct or request audits. Instead, we supported the development and implementation of independent third party audits of smelters such as the CFSI by encouraging our suppliers to purchase materials from audited, conflict-free smelters and determine whether the smelters that were used to process these minerals were validated as conflict-free as part of the CFSI. We monitor smelters or refiners certification status with CFSI.</w:t>
      </w:r>
    </w:p>
    <w:p>
      <w:pPr>
        <w:spacing w:after="0" w:line="181" w:lineRule="exact"/>
        <w:rPr>
          <w:sz w:val="20"/>
          <w:szCs w:val="20"/>
          <w:color w:val="auto"/>
        </w:rPr>
      </w:pPr>
    </w:p>
    <w:p>
      <w:pPr>
        <w:ind w:left="200" w:hanging="177"/>
        <w:spacing w:after="0"/>
        <w:tabs>
          <w:tab w:leader="none" w:pos="2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Reporting on Supply Chain Due Diligence</w:t>
      </w:r>
    </w:p>
    <w:p>
      <w:pPr>
        <w:spacing w:after="0" w:line="237" w:lineRule="exact"/>
        <w:rPr>
          <w:sz w:val="20"/>
          <w:szCs w:val="20"/>
          <w:color w:val="auto"/>
        </w:rPr>
      </w:pPr>
    </w:p>
    <w:p>
      <w:pPr>
        <w:ind w:right="40" w:firstLine="975"/>
        <w:spacing w:after="0" w:line="298" w:lineRule="auto"/>
        <w:rPr>
          <w:sz w:val="20"/>
          <w:szCs w:val="20"/>
          <w:color w:val="auto"/>
        </w:rPr>
      </w:pPr>
      <w:r>
        <w:rPr>
          <w:rFonts w:ascii="Times New Roman" w:cs="Times New Roman" w:eastAsia="Times New Roman" w:hAnsi="Times New Roman"/>
          <w:sz w:val="16"/>
          <w:szCs w:val="16"/>
          <w:color w:val="auto"/>
        </w:rPr>
        <w:t xml:space="preserve">In 2026, we publicly filed the Form SD along with this Report with the SEC, and a copy of this Report and the Form SD are publicly available on the Corporate Governance page of our Web site at </w:t>
      </w:r>
      <w:r>
        <w:rPr>
          <w:rFonts w:ascii="Times New Roman" w:cs="Times New Roman" w:eastAsia="Times New Roman" w:hAnsi="Times New Roman"/>
          <w:sz w:val="16"/>
          <w:szCs w:val="16"/>
          <w:i w:val="1"/>
          <w:iCs w:val="1"/>
          <w:color w:val="auto"/>
        </w:rPr>
        <w:t>www.iridex.com</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Smelters and Refiners</w:t>
      </w:r>
    </w:p>
    <w:p>
      <w:pPr>
        <w:spacing w:after="0" w:line="237" w:lineRule="exact"/>
        <w:rPr>
          <w:sz w:val="20"/>
          <w:szCs w:val="20"/>
          <w:color w:val="auto"/>
        </w:rPr>
      </w:pPr>
    </w:p>
    <w:p>
      <w:pPr>
        <w:jc w:val="both"/>
        <w:ind w:firstLine="975"/>
        <w:spacing w:after="0" w:line="269" w:lineRule="auto"/>
        <w:rPr>
          <w:sz w:val="20"/>
          <w:szCs w:val="20"/>
          <w:color w:val="auto"/>
        </w:rPr>
      </w:pPr>
      <w:r>
        <w:rPr>
          <w:rFonts w:ascii="Times New Roman" w:cs="Times New Roman" w:eastAsia="Times New Roman" w:hAnsi="Times New Roman"/>
          <w:sz w:val="16"/>
          <w:szCs w:val="16"/>
          <w:color w:val="auto"/>
        </w:rPr>
        <w:t>Based on the responses in the Templates we determined that we had a total of 483 facilities and smelters that were used by our suppliers to fulfill our demands for conflict minerals. Of these 482 facilities and smelters, we have identified 228 facilities or smelters that are deemed CFSP Compliant, indicating that these smelters or refiners are compliant with the Conflict Free Smelter Program assessment protocols. There are eight more smelters or refiners that are deemed CFSP Active - Smelters and Refiners on the Active list that have committed to undergo a CFSP audit or are participating in one of the cross-recognized certification programs: LBMA Responsible Gold Certification or Responsible Jewelry Program Chain-of-Custody Certification. The remaining 246 facilities or smelters listed have not yet been confirmed as Conflict-Free. We base this assessment exclusively on the fact that we could not find these smelters on the CFSI lists for compliant or active smelters. We have assessed these 246 facilities and determined that most of these are of low risk due to their geographic location. There are six smelters or refiners that may be considered at greater risk, since they are geographically located in Africa.</w:t>
      </w:r>
    </w:p>
    <w:p>
      <w:pPr>
        <w:spacing w:after="0" w:line="186" w:lineRule="exact"/>
        <w:rPr>
          <w:sz w:val="20"/>
          <w:szCs w:val="20"/>
          <w:color w:val="auto"/>
        </w:rPr>
      </w:pPr>
    </w:p>
    <w:p>
      <w:pPr>
        <w:jc w:val="both"/>
        <w:ind w:firstLine="975"/>
        <w:spacing w:after="0" w:line="271" w:lineRule="auto"/>
        <w:rPr>
          <w:sz w:val="20"/>
          <w:szCs w:val="20"/>
          <w:color w:val="auto"/>
        </w:rPr>
      </w:pPr>
      <w:r>
        <w:rPr>
          <w:rFonts w:ascii="Times New Roman" w:cs="Times New Roman" w:eastAsia="Times New Roman" w:hAnsi="Times New Roman"/>
          <w:sz w:val="16"/>
          <w:szCs w:val="16"/>
          <w:color w:val="auto"/>
        </w:rPr>
        <w:t>Some of our suppliers provided information at a part number level and we were able to specifically identify the smelters from which their necessary conflict minerals were procured. The remainder of our suppliers provided their complete list of smelters, but we were unable to identify the specific smelters from which the conflict minerals used for our products were procured. As many of the reports we received are company-wide and not product specific, we believe these reports may include smelters and refiners that do not provide the necessary conflict minerals that are used in our products. Due to the many company-wide reports and the multiple levels of suppliers in our supply chain we are unable to determine with certainty at this time a complete list of smelters and refiners listed in the reports that actually provide the specific necessary conflict minerals used in our products.</w:t>
      </w:r>
    </w:p>
    <w:p>
      <w:pPr>
        <w:spacing w:after="0" w:line="184" w:lineRule="exact"/>
        <w:rPr>
          <w:sz w:val="20"/>
          <w:szCs w:val="20"/>
          <w:color w:val="auto"/>
        </w:rPr>
      </w:pPr>
    </w:p>
    <w:p>
      <w:pPr>
        <w:jc w:val="both"/>
        <w:ind w:firstLine="975"/>
        <w:spacing w:after="0" w:line="269" w:lineRule="auto"/>
        <w:rPr>
          <w:sz w:val="20"/>
          <w:szCs w:val="20"/>
          <w:color w:val="auto"/>
        </w:rPr>
      </w:pPr>
      <w:r>
        <w:rPr>
          <w:rFonts w:ascii="Times New Roman" w:cs="Times New Roman" w:eastAsia="Times New Roman" w:hAnsi="Times New Roman"/>
          <w:sz w:val="16"/>
          <w:szCs w:val="16"/>
          <w:color w:val="auto"/>
        </w:rPr>
        <w:t>However, based upon our suppliers’ responses to the Template, we believe that most of the facilities that were used to process the conflict minerals contained in our Covered Products include the smelters and refiners listed in the table below. The table below includes only facilities that are listed in the EICC-GeSI template as “known smelters or refineries.” An indication of “Compliant” in the far-right column of the table indicates that the smelter or refinery has received a “conflict free” designation from an independent third party audit program as of May 20, 2026. An indication of “Active” in the far-right column of the table indicated that the smelter or refinery has committed to undergo a CFSP audit or are participating in one of the cross-recognized certification programs: LBMA Responsible Gold Certification or Responsible Jewelry Program Chain-of-Custody Certification. An indication of “Indeterminable” in the far-right column of the table indicates that the smelter or refinery was not included in the CFSI compliant or active lists and thus, the facility’s designation is indeterminable.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10"/>
        </w:trPr>
        <w:tc>
          <w:tcPr>
            <w:tcW w:w="840" w:type="dxa"/>
            <w:vAlign w:val="bottom"/>
            <w:tcBorders>
              <w:top w:val="single" w:sz="8" w:color="auto"/>
              <w:left w:val="single" w:sz="8" w:color="auto"/>
              <w:right w:val="single" w:sz="8" w:color="auto"/>
            </w:tcBorders>
          </w:tcPr>
          <w:p>
            <w:pPr>
              <w:spacing w:after="0"/>
              <w:rPr>
                <w:sz w:val="18"/>
                <w:szCs w:val="18"/>
                <w:color w:val="auto"/>
              </w:rPr>
            </w:pPr>
          </w:p>
        </w:tc>
        <w:tc>
          <w:tcPr>
            <w:tcW w:w="4840" w:type="dxa"/>
            <w:vAlign w:val="bottom"/>
            <w:tcBorders>
              <w:top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spacing w:after="0"/>
              <w:rPr>
                <w:sz w:val="18"/>
                <w:szCs w:val="18"/>
                <w:color w:val="auto"/>
              </w:rPr>
            </w:pPr>
          </w:p>
        </w:tc>
        <w:tc>
          <w:tcPr>
            <w:tcW w:w="266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Compliant,</w:t>
            </w: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840" w:type="dxa"/>
            <w:vAlign w:val="bottom"/>
            <w:tcBorders>
              <w:right w:val="single" w:sz="8" w:color="auto"/>
            </w:tcBorders>
            <w:vMerge w:val="restart"/>
          </w:tcPr>
          <w:p>
            <w:pPr>
              <w:ind w:left="184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178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2660" w:type="dxa"/>
            <w:vAlign w:val="bottom"/>
            <w:tcBorders>
              <w:right w:val="single" w:sz="8" w:color="auto"/>
            </w:tcBorders>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Smelter Identification</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Active, or</w:t>
            </w:r>
          </w:p>
        </w:tc>
        <w:tc>
          <w:tcPr>
            <w:tcW w:w="0" w:type="dxa"/>
            <w:vAlign w:val="bottom"/>
          </w:tcPr>
          <w:p>
            <w:pPr>
              <w:spacing w:after="0"/>
              <w:rPr>
                <w:sz w:val="1"/>
                <w:szCs w:val="1"/>
                <w:color w:val="auto"/>
              </w:rPr>
            </w:pPr>
          </w:p>
        </w:tc>
      </w:tr>
      <w:tr>
        <w:trPr>
          <w:trHeight w:val="130"/>
        </w:trPr>
        <w:tc>
          <w:tcPr>
            <w:tcW w:w="840" w:type="dxa"/>
            <w:vAlign w:val="bottom"/>
            <w:tcBorders>
              <w:left w:val="single" w:sz="8" w:color="auto"/>
              <w:right w:val="single" w:sz="8" w:color="auto"/>
            </w:tcBorders>
            <w:vMerge w:val="continue"/>
          </w:tcPr>
          <w:p>
            <w:pPr>
              <w:spacing w:after="0"/>
              <w:rPr>
                <w:sz w:val="11"/>
                <w:szCs w:val="11"/>
                <w:color w:val="auto"/>
              </w:rPr>
            </w:pPr>
          </w:p>
        </w:tc>
        <w:tc>
          <w:tcPr>
            <w:tcW w:w="4840" w:type="dxa"/>
            <w:vAlign w:val="bottom"/>
            <w:tcBorders>
              <w:right w:val="single" w:sz="8" w:color="auto"/>
            </w:tcBorders>
            <w:vMerge w:val="continue"/>
          </w:tcPr>
          <w:p>
            <w:pPr>
              <w:spacing w:after="0"/>
              <w:rPr>
                <w:sz w:val="11"/>
                <w:szCs w:val="11"/>
                <w:color w:val="auto"/>
              </w:rPr>
            </w:pPr>
          </w:p>
        </w:tc>
        <w:tc>
          <w:tcPr>
            <w:tcW w:w="1780" w:type="dxa"/>
            <w:vAlign w:val="bottom"/>
            <w:tcBorders>
              <w:right w:val="single" w:sz="8" w:color="auto"/>
            </w:tcBorders>
            <w:vMerge w:val="continue"/>
          </w:tcPr>
          <w:p>
            <w:pPr>
              <w:spacing w:after="0"/>
              <w:rPr>
                <w:sz w:val="11"/>
                <w:szCs w:val="11"/>
                <w:color w:val="auto"/>
              </w:rPr>
            </w:pPr>
          </w:p>
        </w:tc>
        <w:tc>
          <w:tcPr>
            <w:tcW w:w="266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Indeterminab</w:t>
            </w:r>
          </w:p>
        </w:tc>
        <w:tc>
          <w:tcPr>
            <w:tcW w:w="0" w:type="dxa"/>
            <w:vAlign w:val="bottom"/>
          </w:tcPr>
          <w:p>
            <w:pPr>
              <w:spacing w:after="0"/>
              <w:rPr>
                <w:sz w:val="1"/>
                <w:szCs w:val="1"/>
                <w:color w:val="auto"/>
              </w:rPr>
            </w:pPr>
          </w:p>
        </w:tc>
      </w:tr>
      <w:tr>
        <w:trPr>
          <w:trHeight w:val="86"/>
        </w:trPr>
        <w:tc>
          <w:tcPr>
            <w:tcW w:w="840" w:type="dxa"/>
            <w:vAlign w:val="bottom"/>
            <w:tcBorders>
              <w:left w:val="single" w:sz="8" w:color="auto"/>
              <w:right w:val="single" w:sz="8" w:color="auto"/>
            </w:tcBorders>
          </w:tcPr>
          <w:p>
            <w:pPr>
              <w:spacing w:after="0"/>
              <w:rPr>
                <w:sz w:val="7"/>
                <w:szCs w:val="7"/>
                <w:color w:val="auto"/>
              </w:rPr>
            </w:pPr>
          </w:p>
        </w:tc>
        <w:tc>
          <w:tcPr>
            <w:tcW w:w="4840" w:type="dxa"/>
            <w:vAlign w:val="bottom"/>
            <w:tcBorders>
              <w:right w:val="single" w:sz="8" w:color="auto"/>
            </w:tcBorders>
          </w:tcPr>
          <w:p>
            <w:pPr>
              <w:spacing w:after="0"/>
              <w:rPr>
                <w:sz w:val="7"/>
                <w:szCs w:val="7"/>
                <w:color w:val="auto"/>
              </w:rPr>
            </w:pPr>
          </w:p>
        </w:tc>
        <w:tc>
          <w:tcPr>
            <w:tcW w:w="1780" w:type="dxa"/>
            <w:vAlign w:val="bottom"/>
            <w:tcBorders>
              <w:right w:val="single" w:sz="8" w:color="auto"/>
            </w:tcBorders>
          </w:tcPr>
          <w:p>
            <w:pPr>
              <w:spacing w:after="0"/>
              <w:rPr>
                <w:sz w:val="7"/>
                <w:szCs w:val="7"/>
                <w:color w:val="auto"/>
              </w:rPr>
            </w:pPr>
          </w:p>
        </w:tc>
        <w:tc>
          <w:tcPr>
            <w:tcW w:w="266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4840" w:type="dxa"/>
            <w:vAlign w:val="bottom"/>
            <w:tcBorders>
              <w:bottom w:val="single" w:sz="8" w:color="auto"/>
              <w:right w:val="single" w:sz="8" w:color="auto"/>
            </w:tcBorders>
          </w:tcPr>
          <w:p>
            <w:pPr>
              <w:spacing w:after="0"/>
              <w:rPr>
                <w:sz w:val="22"/>
                <w:szCs w:val="22"/>
                <w:color w:val="auto"/>
              </w:rPr>
            </w:pPr>
          </w:p>
        </w:tc>
        <w:tc>
          <w:tcPr>
            <w:tcW w:w="1780" w:type="dxa"/>
            <w:vAlign w:val="bottom"/>
            <w:tcBorders>
              <w:bottom w:val="single" w:sz="8" w:color="auto"/>
              <w:right w:val="single" w:sz="8" w:color="auto"/>
            </w:tcBorders>
          </w:tcPr>
          <w:p>
            <w:pPr>
              <w:spacing w:after="0"/>
              <w:rPr>
                <w:sz w:val="22"/>
                <w:szCs w:val="22"/>
                <w:color w:val="auto"/>
              </w:rPr>
            </w:pPr>
          </w:p>
        </w:tc>
        <w:tc>
          <w:tcPr>
            <w:tcW w:w="26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le</w:t>
            </w:r>
          </w:p>
        </w:tc>
        <w:tc>
          <w:tcPr>
            <w:tcW w:w="0" w:type="dxa"/>
            <w:vAlign w:val="bottom"/>
          </w:tcPr>
          <w:p>
            <w:pPr>
              <w:spacing w:after="0"/>
              <w:rPr>
                <w:sz w:val="1"/>
                <w:szCs w:val="1"/>
                <w:color w:val="auto"/>
              </w:rPr>
            </w:pPr>
          </w:p>
        </w:tc>
      </w:tr>
      <w:tr>
        <w:trPr>
          <w:trHeight w:val="193"/>
        </w:trPr>
        <w:tc>
          <w:tcPr>
            <w:tcW w:w="84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8853 S.p.A.</w:t>
            </w:r>
          </w:p>
        </w:tc>
        <w:tc>
          <w:tcPr>
            <w:tcW w:w="178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ITALY</w:t>
            </w:r>
          </w:p>
        </w:tc>
        <w:tc>
          <w:tcPr>
            <w:tcW w:w="266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CID002763</w:t>
            </w:r>
          </w:p>
        </w:tc>
        <w:tc>
          <w:tcPr>
            <w:tcW w:w="11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ABC Refinery Pty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CID002920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63"/>
        </w:trPr>
        <w:tc>
          <w:tcPr>
            <w:tcW w:w="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CID002708</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62"/>
        </w:trPr>
        <w:tc>
          <w:tcPr>
            <w:tcW w:w="840" w:type="dxa"/>
            <w:vAlign w:val="bottom"/>
            <w:tcBorders>
              <w:bottom w:val="single" w:sz="8" w:color="auto"/>
              <w:right w:val="single" w:sz="8" w:color="auto"/>
            </w:tcBorders>
          </w:tcPr>
          <w:p>
            <w:pPr>
              <w:spacing w:after="0"/>
              <w:rPr>
                <w:sz w:val="14"/>
                <w:szCs w:val="14"/>
                <w:color w:val="auto"/>
              </w:rPr>
            </w:pPr>
          </w:p>
        </w:tc>
        <w:tc>
          <w:tcPr>
            <w:tcW w:w="484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Advanced Chemical Company</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CID000015</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62"/>
        </w:trPr>
        <w:tc>
          <w:tcPr>
            <w:tcW w:w="840" w:type="dxa"/>
            <w:vAlign w:val="bottom"/>
            <w:tcBorders>
              <w:bottom w:val="single" w:sz="8" w:color="auto"/>
              <w:right w:val="single" w:sz="8" w:color="auto"/>
            </w:tcBorders>
          </w:tcPr>
          <w:p>
            <w:pPr>
              <w:spacing w:after="0"/>
              <w:rPr>
                <w:sz w:val="14"/>
                <w:szCs w:val="14"/>
                <w:color w:val="auto"/>
              </w:rPr>
            </w:pPr>
          </w:p>
        </w:tc>
        <w:tc>
          <w:tcPr>
            <w:tcW w:w="484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African Gold Refinery</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UGANDA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CID003185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Agosi AG</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CID000035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CID000019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91"/>
        </w:trPr>
        <w:tc>
          <w:tcPr>
            <w:tcW w:w="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UNITED ARAB</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CID002560</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40" w:type="dxa"/>
            <w:vAlign w:val="bottom"/>
            <w:tcBorders>
              <w:right w:val="single" w:sz="8" w:color="auto"/>
            </w:tcBorders>
            <w:vMerge w:val="continue"/>
          </w:tcPr>
          <w:p>
            <w:pPr>
              <w:spacing w:after="0"/>
              <w:rPr>
                <w:sz w:val="10"/>
                <w:szCs w:val="10"/>
                <w:color w:val="auto"/>
              </w:rPr>
            </w:pPr>
          </w:p>
        </w:tc>
        <w:tc>
          <w:tcPr>
            <w:tcW w:w="48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EMIRATES</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40" w:type="dxa"/>
            <w:vAlign w:val="bottom"/>
            <w:tcBorders>
              <w:bottom w:val="single" w:sz="8" w:color="auto"/>
              <w:right w:val="single" w:sz="8" w:color="auto"/>
            </w:tcBorders>
          </w:tcPr>
          <w:p>
            <w:pPr>
              <w:spacing w:after="0"/>
              <w:rPr>
                <w:sz w:val="9"/>
                <w:szCs w:val="9"/>
                <w:color w:val="auto"/>
              </w:rPr>
            </w:pPr>
          </w:p>
        </w:tc>
        <w:tc>
          <w:tcPr>
            <w:tcW w:w="48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Al Ghaith Gold</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UNITED ARAB</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CID002899</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40" w:type="dxa"/>
            <w:vAlign w:val="bottom"/>
            <w:tcBorders>
              <w:right w:val="single" w:sz="8" w:color="auto"/>
            </w:tcBorders>
            <w:vMerge w:val="continue"/>
          </w:tcPr>
          <w:p>
            <w:pPr>
              <w:spacing w:after="0"/>
              <w:rPr>
                <w:sz w:val="10"/>
                <w:szCs w:val="10"/>
                <w:color w:val="auto"/>
              </w:rPr>
            </w:pPr>
          </w:p>
        </w:tc>
        <w:tc>
          <w:tcPr>
            <w:tcW w:w="48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EMIRATES</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40" w:type="dxa"/>
            <w:vAlign w:val="bottom"/>
            <w:tcBorders>
              <w:bottom w:val="single" w:sz="8" w:color="auto"/>
              <w:right w:val="single" w:sz="8" w:color="auto"/>
            </w:tcBorders>
          </w:tcPr>
          <w:p>
            <w:pPr>
              <w:spacing w:after="0"/>
              <w:rPr>
                <w:sz w:val="9"/>
                <w:szCs w:val="9"/>
                <w:color w:val="auto"/>
              </w:rPr>
            </w:pPr>
          </w:p>
        </w:tc>
        <w:tc>
          <w:tcPr>
            <w:tcW w:w="48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Albino Mountinho Lda.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PORTUGAL</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CID002760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63"/>
        </w:trPr>
        <w:tc>
          <w:tcPr>
            <w:tcW w:w="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Alexy Metals</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CID003500</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62"/>
        </w:trPr>
        <w:tc>
          <w:tcPr>
            <w:tcW w:w="840" w:type="dxa"/>
            <w:vAlign w:val="bottom"/>
            <w:tcBorders>
              <w:bottom w:val="single" w:sz="8" w:color="auto"/>
              <w:right w:val="single" w:sz="8" w:color="auto"/>
            </w:tcBorders>
          </w:tcPr>
          <w:p>
            <w:pPr>
              <w:spacing w:after="0"/>
              <w:rPr>
                <w:sz w:val="14"/>
                <w:szCs w:val="14"/>
                <w:color w:val="auto"/>
              </w:rPr>
            </w:pPr>
          </w:p>
        </w:tc>
        <w:tc>
          <w:tcPr>
            <w:tcW w:w="484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UZBEKISTAN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CID000041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CID000058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Argor-Heraeus S.A.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CID000077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91"/>
        </w:trPr>
        <w:tc>
          <w:tcPr>
            <w:tcW w:w="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ARY Aurum Plus</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UNITED ARAB</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CID002596</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40" w:type="dxa"/>
            <w:vAlign w:val="bottom"/>
            <w:tcBorders>
              <w:right w:val="single" w:sz="8" w:color="auto"/>
            </w:tcBorders>
            <w:vMerge w:val="continue"/>
          </w:tcPr>
          <w:p>
            <w:pPr>
              <w:spacing w:after="0"/>
              <w:rPr>
                <w:sz w:val="10"/>
                <w:szCs w:val="10"/>
                <w:color w:val="auto"/>
              </w:rPr>
            </w:pPr>
          </w:p>
        </w:tc>
        <w:tc>
          <w:tcPr>
            <w:tcW w:w="48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EMIRATES</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40" w:type="dxa"/>
            <w:vAlign w:val="bottom"/>
            <w:tcBorders>
              <w:bottom w:val="single" w:sz="8" w:color="auto"/>
              <w:right w:val="single" w:sz="8" w:color="auto"/>
            </w:tcBorders>
          </w:tcPr>
          <w:p>
            <w:pPr>
              <w:spacing w:after="0"/>
              <w:rPr>
                <w:sz w:val="9"/>
                <w:szCs w:val="9"/>
                <w:color w:val="auto"/>
              </w:rPr>
            </w:pPr>
          </w:p>
        </w:tc>
        <w:tc>
          <w:tcPr>
            <w:tcW w:w="48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Asahi Pretec Corp.</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CID000082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Asahi Refining Canada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CID000924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63"/>
        </w:trPr>
        <w:tc>
          <w:tcPr>
            <w:tcW w:w="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Asahi Refining USA Inc.</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CID000920</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62"/>
        </w:trPr>
        <w:tc>
          <w:tcPr>
            <w:tcW w:w="840" w:type="dxa"/>
            <w:vAlign w:val="bottom"/>
            <w:tcBorders>
              <w:bottom w:val="single" w:sz="8" w:color="auto"/>
              <w:right w:val="single" w:sz="8" w:color="auto"/>
            </w:tcBorders>
          </w:tcPr>
          <w:p>
            <w:pPr>
              <w:spacing w:after="0"/>
              <w:rPr>
                <w:sz w:val="14"/>
                <w:szCs w:val="14"/>
                <w:color w:val="auto"/>
              </w:rPr>
            </w:pPr>
          </w:p>
        </w:tc>
        <w:tc>
          <w:tcPr>
            <w:tcW w:w="484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Asaka Riken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CID000090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Atasay Kuyumculuk Sanayi Ve Ticaret A.S.</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TURKEY</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CID000103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Attero Recycling Pvt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CID004697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 Traders and Refiners</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CID002850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CID003461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Aurubis AG</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CID000113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Bangalore Refinery</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CID002863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PHILIPPINES</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CID000128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Boliden Ronnskar</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SWEDEN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CID000157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 Hafner GmbH + Co. KG</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CID000176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Caridad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CID000180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CID000185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Cendres + Metaux S.A.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CID000189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CGR Metalloys Pvt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CID003382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Chimet S.p.A.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CID000233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Chugai Mining</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CID000264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Coimpa Industrial LTDA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CID004010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CID000343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CID002867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91"/>
        </w:trPr>
        <w:tc>
          <w:tcPr>
            <w:tcW w:w="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Dijllah Gold Refinery FZC</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UNITED ARAB</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CID003348</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40" w:type="dxa"/>
            <w:vAlign w:val="bottom"/>
            <w:tcBorders>
              <w:right w:val="single" w:sz="8" w:color="auto"/>
            </w:tcBorders>
            <w:vMerge w:val="continue"/>
          </w:tcPr>
          <w:p>
            <w:pPr>
              <w:spacing w:after="0"/>
              <w:rPr>
                <w:sz w:val="10"/>
                <w:szCs w:val="10"/>
                <w:color w:val="auto"/>
              </w:rPr>
            </w:pPr>
          </w:p>
        </w:tc>
        <w:tc>
          <w:tcPr>
            <w:tcW w:w="48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EMIRATES</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40" w:type="dxa"/>
            <w:vAlign w:val="bottom"/>
            <w:tcBorders>
              <w:bottom w:val="single" w:sz="8" w:color="auto"/>
              <w:right w:val="single" w:sz="8" w:color="auto"/>
            </w:tcBorders>
          </w:tcPr>
          <w:p>
            <w:pPr>
              <w:spacing w:after="0"/>
              <w:rPr>
                <w:sz w:val="9"/>
                <w:szCs w:val="9"/>
                <w:color w:val="auto"/>
              </w:rPr>
            </w:pPr>
          </w:p>
        </w:tc>
        <w:tc>
          <w:tcPr>
            <w:tcW w:w="48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Dongwu Gold Group</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CID003663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Dowa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CID000401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91"/>
        </w:trPr>
        <w:tc>
          <w:tcPr>
            <w:tcW w:w="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DSC (Do Sung Corporation)</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KOREA, REPUBLIC</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CID000359</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40" w:type="dxa"/>
            <w:vAlign w:val="bottom"/>
            <w:tcBorders>
              <w:right w:val="single" w:sz="8" w:color="auto"/>
            </w:tcBorders>
            <w:vMerge w:val="continue"/>
          </w:tcPr>
          <w:p>
            <w:pPr>
              <w:spacing w:after="0"/>
              <w:rPr>
                <w:sz w:val="10"/>
                <w:szCs w:val="10"/>
                <w:color w:val="auto"/>
              </w:rPr>
            </w:pPr>
          </w:p>
        </w:tc>
        <w:tc>
          <w:tcPr>
            <w:tcW w:w="48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08"/>
        </w:trPr>
        <w:tc>
          <w:tcPr>
            <w:tcW w:w="840" w:type="dxa"/>
            <w:vAlign w:val="bottom"/>
            <w:tcBorders>
              <w:bottom w:val="single" w:sz="8" w:color="auto"/>
              <w:right w:val="single" w:sz="8" w:color="auto"/>
            </w:tcBorders>
          </w:tcPr>
          <w:p>
            <w:pPr>
              <w:spacing w:after="0"/>
              <w:rPr>
                <w:sz w:val="9"/>
                <w:szCs w:val="9"/>
                <w:color w:val="auto"/>
              </w:rPr>
            </w:pPr>
          </w:p>
        </w:tc>
        <w:tc>
          <w:tcPr>
            <w:tcW w:w="48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CID000425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CID003424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404"/>
        </w:trPr>
        <w:tc>
          <w:tcPr>
            <w:tcW w:w="84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1" w:right="339" w:bottom="784"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49"/>
        </w:trPr>
        <w:tc>
          <w:tcPr>
            <w:tcW w:w="8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17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CID003425</w:t>
            </w:r>
          </w:p>
        </w:tc>
        <w:tc>
          <w:tcPr>
            <w:tcW w:w="11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47"/>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Elite Industech Co., Ltd.</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CID004755</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OF CHINA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CID003487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CID003488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CID003489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CID003490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Emirates Gold DMCC</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UNITED ARAB</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CID002561</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60" w:type="dxa"/>
            <w:vAlign w:val="bottom"/>
            <w:tcBorders>
              <w:right w:val="single" w:sz="8" w:color="auto"/>
            </w:tcBorders>
            <w:vMerge w:val="continue"/>
          </w:tcPr>
          <w:p>
            <w:pPr>
              <w:spacing w:after="0"/>
              <w:rPr>
                <w:sz w:val="10"/>
                <w:szCs w:val="10"/>
                <w:color w:val="auto"/>
              </w:rPr>
            </w:pPr>
          </w:p>
        </w:tc>
        <w:tc>
          <w:tcPr>
            <w:tcW w:w="48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EMIRATES</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ZIMBABWE</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CID002515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Fujairah Gold FZC</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UNITED ARAB</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CID002584</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60" w:type="dxa"/>
            <w:vAlign w:val="bottom"/>
            <w:tcBorders>
              <w:right w:val="single" w:sz="8" w:color="auto"/>
            </w:tcBorders>
            <w:vMerge w:val="continue"/>
          </w:tcPr>
          <w:p>
            <w:pPr>
              <w:spacing w:after="0"/>
              <w:rPr>
                <w:sz w:val="10"/>
                <w:szCs w:val="10"/>
                <w:color w:val="auto"/>
              </w:rPr>
            </w:pPr>
          </w:p>
        </w:tc>
        <w:tc>
          <w:tcPr>
            <w:tcW w:w="48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EMIRATES</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Gasabo Gold Refinery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RWANDA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CID005006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63"/>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Geib Refining Corporation</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CID002459</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GG Refinery Ltd.</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TANZANIA, UNITED</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CID004506</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REPUBLIC OF</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CID002852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 by Gold Colombia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COLOMBIA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CID003641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 Coast Refinery</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GHANA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CID003186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CID002243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CID001909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Guangdong Hua Jian Trade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CID000605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Guangdong Jinding Gold Limited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CID002312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Guoda Safina High-Tech Environmental Refinery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CID000651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Hang Seng Technology</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CID000670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CID000671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Heimerle + Meule GmbH</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CID000694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Henan Yuguang Gold &amp; Lead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CID002519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CID000711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CID000707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House of Currency of Brazil (Casa da Moeda do Brazil)</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CID002601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CID000767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Hunan Guiyang yinxing Nonferrous Smelting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CID000773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Hung Cheong Metal Manufacturing Limited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CID002904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HwaSeong CJ CO., LTD.</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KOREA, REPUBLIC</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CID000778</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60" w:type="dxa"/>
            <w:vAlign w:val="bottom"/>
            <w:tcBorders>
              <w:right w:val="single" w:sz="8" w:color="auto"/>
            </w:tcBorders>
            <w:vMerge w:val="continue"/>
          </w:tcPr>
          <w:p>
            <w:pPr>
              <w:spacing w:after="0"/>
              <w:rPr>
                <w:sz w:val="10"/>
                <w:szCs w:val="10"/>
                <w:color w:val="auto"/>
              </w:rPr>
            </w:pPr>
          </w:p>
        </w:tc>
        <w:tc>
          <w:tcPr>
            <w:tcW w:w="48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CID004714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Impala Refineries – Base Metals Refinery (BMR)</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CID004604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Inca One (Chala One Plant)</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PERU</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CID004704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Inca One (Koricancha Plant)</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PERU</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CID004705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Industrial Refining Company</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CID002587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Inner Mongolia Qiankun Gold and Silver Refinery Share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CID000801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UNITED ARAB</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CID002562</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60" w:type="dxa"/>
            <w:vAlign w:val="bottom"/>
            <w:tcBorders>
              <w:right w:val="single" w:sz="8" w:color="auto"/>
            </w:tcBorders>
            <w:vMerge w:val="continue"/>
          </w:tcPr>
          <w:p>
            <w:pPr>
              <w:spacing w:after="0"/>
              <w:rPr>
                <w:sz w:val="10"/>
                <w:szCs w:val="10"/>
                <w:color w:val="auto"/>
              </w:rPr>
            </w:pPr>
          </w:p>
        </w:tc>
        <w:tc>
          <w:tcPr>
            <w:tcW w:w="48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EMIRATES</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CID000807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Istanbul Gold Refinery</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TURKEY</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CID000814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Italpreziosi</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CID002765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JALAN &amp; Company</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CID002893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 Mint</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CID000823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Copper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CID000855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Jinlong Copper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CID000909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404"/>
        </w:trPr>
        <w:tc>
          <w:tcPr>
            <w:tcW w:w="86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14"/>
        </w:trPr>
        <w:tc>
          <w:tcPr>
            <w:tcW w:w="84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JSC Ekaterinburg Non-Ferrous Metal Processing Plant</w:t>
            </w:r>
          </w:p>
        </w:tc>
        <w:tc>
          <w:tcPr>
            <w:tcW w:w="17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w:t>
            </w:r>
          </w:p>
        </w:tc>
        <w:tc>
          <w:tcPr>
            <w:tcW w:w="266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CID000927</w:t>
            </w:r>
          </w:p>
        </w:tc>
        <w:tc>
          <w:tcPr>
            <w:tcW w:w="11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840" w:type="dxa"/>
            <w:vAlign w:val="bottom"/>
            <w:tcBorders>
              <w:left w:val="single" w:sz="8" w:color="auto"/>
              <w:right w:val="single" w:sz="8" w:color="auto"/>
            </w:tcBorders>
            <w:vMerge w:val="continue"/>
          </w:tcPr>
          <w:p>
            <w:pPr>
              <w:spacing w:after="0"/>
              <w:rPr>
                <w:sz w:val="10"/>
                <w:szCs w:val="10"/>
                <w:color w:val="auto"/>
              </w:rPr>
            </w:pPr>
          </w:p>
        </w:tc>
        <w:tc>
          <w:tcPr>
            <w:tcW w:w="48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FEDERATION</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25"/>
        </w:trPr>
        <w:tc>
          <w:tcPr>
            <w:tcW w:w="840" w:type="dxa"/>
            <w:vAlign w:val="bottom"/>
            <w:tcBorders>
              <w:left w:val="single" w:sz="8" w:color="auto"/>
              <w:bottom w:val="single" w:sz="8" w:color="auto"/>
              <w:right w:val="single" w:sz="8" w:color="auto"/>
            </w:tcBorders>
          </w:tcPr>
          <w:p>
            <w:pPr>
              <w:spacing w:after="0"/>
              <w:rPr>
                <w:sz w:val="10"/>
                <w:szCs w:val="10"/>
                <w:color w:val="auto"/>
              </w:rPr>
            </w:pPr>
          </w:p>
        </w:tc>
        <w:tc>
          <w:tcPr>
            <w:tcW w:w="484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vMerge w:val="continue"/>
          </w:tcPr>
          <w:p>
            <w:pPr>
              <w:spacing w:after="0"/>
              <w:rPr>
                <w:sz w:val="10"/>
                <w:szCs w:val="10"/>
                <w:color w:val="auto"/>
              </w:rPr>
            </w:pPr>
          </w:p>
        </w:tc>
        <w:tc>
          <w:tcPr>
            <w:tcW w:w="266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JSC Uralelectromed</w:t>
            </w:r>
          </w:p>
        </w:tc>
        <w:tc>
          <w:tcPr>
            <w:tcW w:w="178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RUSSIAN</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CID000929</w:t>
            </w:r>
          </w:p>
        </w:tc>
        <w:tc>
          <w:tcPr>
            <w:tcW w:w="1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840" w:type="dxa"/>
            <w:vAlign w:val="bottom"/>
            <w:tcBorders>
              <w:right w:val="single" w:sz="8" w:color="auto"/>
            </w:tcBorders>
            <w:vMerge w:val="continue"/>
          </w:tcPr>
          <w:p>
            <w:pPr>
              <w:spacing w:after="0"/>
              <w:rPr>
                <w:sz w:val="10"/>
                <w:szCs w:val="10"/>
                <w:color w:val="auto"/>
              </w:rPr>
            </w:pPr>
          </w:p>
        </w:tc>
        <w:tc>
          <w:tcPr>
            <w:tcW w:w="48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FEDERATION</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40" w:type="dxa"/>
            <w:vAlign w:val="bottom"/>
            <w:tcBorders>
              <w:bottom w:val="single" w:sz="8" w:color="auto"/>
              <w:right w:val="single" w:sz="8" w:color="auto"/>
            </w:tcBorders>
          </w:tcPr>
          <w:p>
            <w:pPr>
              <w:spacing w:after="0"/>
              <w:rPr>
                <w:sz w:val="9"/>
                <w:szCs w:val="9"/>
                <w:color w:val="auto"/>
              </w:rPr>
            </w:pPr>
          </w:p>
        </w:tc>
        <w:tc>
          <w:tcPr>
            <w:tcW w:w="48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CID000937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 Rasmussen</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NORWAY</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CID003497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91"/>
        </w:trPr>
        <w:tc>
          <w:tcPr>
            <w:tcW w:w="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Kaloti Precious Metals</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UNITED ARAB</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CID002563</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40" w:type="dxa"/>
            <w:vAlign w:val="bottom"/>
            <w:tcBorders>
              <w:right w:val="single" w:sz="8" w:color="auto"/>
            </w:tcBorders>
            <w:vMerge w:val="continue"/>
          </w:tcPr>
          <w:p>
            <w:pPr>
              <w:spacing w:after="0"/>
              <w:rPr>
                <w:sz w:val="10"/>
                <w:szCs w:val="10"/>
                <w:color w:val="auto"/>
              </w:rPr>
            </w:pPr>
          </w:p>
        </w:tc>
        <w:tc>
          <w:tcPr>
            <w:tcW w:w="48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EMIRATES</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40" w:type="dxa"/>
            <w:vAlign w:val="bottom"/>
            <w:tcBorders>
              <w:bottom w:val="single" w:sz="8" w:color="auto"/>
              <w:right w:val="single" w:sz="8" w:color="auto"/>
            </w:tcBorders>
          </w:tcPr>
          <w:p>
            <w:pPr>
              <w:spacing w:after="0"/>
              <w:rPr>
                <w:sz w:val="9"/>
                <w:szCs w:val="9"/>
                <w:color w:val="auto"/>
              </w:rPr>
            </w:pPr>
          </w:p>
        </w:tc>
        <w:tc>
          <w:tcPr>
            <w:tcW w:w="48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Kazakhmys Smelting LLC</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CID000956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Kazzinc</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CID000957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63"/>
        </w:trPr>
        <w:tc>
          <w:tcPr>
            <w:tcW w:w="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Kennecott Utah Copper LLC</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CID000969</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62"/>
        </w:trPr>
        <w:tc>
          <w:tcPr>
            <w:tcW w:w="840" w:type="dxa"/>
            <w:vAlign w:val="bottom"/>
            <w:tcBorders>
              <w:bottom w:val="single" w:sz="8" w:color="auto"/>
              <w:right w:val="single" w:sz="8" w:color="auto"/>
            </w:tcBorders>
          </w:tcPr>
          <w:p>
            <w:pPr>
              <w:spacing w:after="0"/>
              <w:rPr>
                <w:sz w:val="14"/>
                <w:szCs w:val="14"/>
                <w:color w:val="auto"/>
              </w:rPr>
            </w:pPr>
          </w:p>
        </w:tc>
        <w:tc>
          <w:tcPr>
            <w:tcW w:w="484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POLAND</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CID002511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Kojima Chemicals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CID000981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91"/>
        </w:trPr>
        <w:tc>
          <w:tcPr>
            <w:tcW w:w="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Korea Zinc Co., Ltd.</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KOREA, REPUBLIC</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CID002605</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40" w:type="dxa"/>
            <w:vAlign w:val="bottom"/>
            <w:tcBorders>
              <w:right w:val="single" w:sz="8" w:color="auto"/>
            </w:tcBorders>
            <w:vMerge w:val="continue"/>
          </w:tcPr>
          <w:p>
            <w:pPr>
              <w:spacing w:after="0"/>
              <w:rPr>
                <w:sz w:val="10"/>
                <w:szCs w:val="10"/>
                <w:color w:val="auto"/>
              </w:rPr>
            </w:pPr>
          </w:p>
        </w:tc>
        <w:tc>
          <w:tcPr>
            <w:tcW w:w="48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08"/>
        </w:trPr>
        <w:tc>
          <w:tcPr>
            <w:tcW w:w="840" w:type="dxa"/>
            <w:vAlign w:val="bottom"/>
            <w:tcBorders>
              <w:bottom w:val="single" w:sz="8" w:color="auto"/>
              <w:right w:val="single" w:sz="8" w:color="auto"/>
            </w:tcBorders>
          </w:tcPr>
          <w:p>
            <w:pPr>
              <w:spacing w:after="0"/>
              <w:rPr>
                <w:sz w:val="9"/>
                <w:szCs w:val="9"/>
                <w:color w:val="auto"/>
              </w:rPr>
            </w:pPr>
          </w:p>
        </w:tc>
        <w:tc>
          <w:tcPr>
            <w:tcW w:w="48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KP Sanghvi International Pvt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CID004433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Kundan Care Products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CID003463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Kyrgyzaltyn JSC</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KYRGYZSTAN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CID001029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91"/>
        </w:trPr>
        <w:tc>
          <w:tcPr>
            <w:tcW w:w="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CID002865</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40" w:type="dxa"/>
            <w:vAlign w:val="bottom"/>
            <w:tcBorders>
              <w:right w:val="single" w:sz="8" w:color="auto"/>
            </w:tcBorders>
            <w:vMerge w:val="continue"/>
          </w:tcPr>
          <w:p>
            <w:pPr>
              <w:spacing w:after="0"/>
              <w:rPr>
                <w:sz w:val="10"/>
                <w:szCs w:val="10"/>
                <w:color w:val="auto"/>
              </w:rPr>
            </w:pPr>
          </w:p>
        </w:tc>
        <w:tc>
          <w:tcPr>
            <w:tcW w:w="48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FEDERATION</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40" w:type="dxa"/>
            <w:vAlign w:val="bottom"/>
            <w:tcBorders>
              <w:bottom w:val="single" w:sz="8" w:color="auto"/>
              <w:right w:val="single" w:sz="8" w:color="auto"/>
            </w:tcBorders>
          </w:tcPr>
          <w:p>
            <w:pPr>
              <w:spacing w:after="0"/>
              <w:rPr>
                <w:sz w:val="9"/>
                <w:szCs w:val="9"/>
                <w:color w:val="auto"/>
              </w:rPr>
            </w:pPr>
          </w:p>
        </w:tc>
        <w:tc>
          <w:tcPr>
            <w:tcW w:w="48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CID001032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Lingbao Gold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CID001056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Lingbao Jinyuan Tonghui Refinery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CID001058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L'Orfebre S.A.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ANDORRA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CID002762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91"/>
        </w:trPr>
        <w:tc>
          <w:tcPr>
            <w:tcW w:w="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LS MnM Inc.</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KOREA, REPUBLIC</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CID001078</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40" w:type="dxa"/>
            <w:vAlign w:val="bottom"/>
            <w:tcBorders>
              <w:right w:val="single" w:sz="8" w:color="auto"/>
            </w:tcBorders>
            <w:vMerge w:val="continue"/>
          </w:tcPr>
          <w:p>
            <w:pPr>
              <w:spacing w:after="0"/>
              <w:rPr>
                <w:sz w:val="10"/>
                <w:szCs w:val="10"/>
                <w:color w:val="auto"/>
              </w:rPr>
            </w:pPr>
          </w:p>
        </w:tc>
        <w:tc>
          <w:tcPr>
            <w:tcW w:w="48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08"/>
        </w:trPr>
        <w:tc>
          <w:tcPr>
            <w:tcW w:w="840" w:type="dxa"/>
            <w:vAlign w:val="bottom"/>
            <w:tcBorders>
              <w:bottom w:val="single" w:sz="8" w:color="auto"/>
              <w:right w:val="single" w:sz="8" w:color="auto"/>
            </w:tcBorders>
          </w:tcPr>
          <w:p>
            <w:pPr>
              <w:spacing w:after="0"/>
              <w:rPr>
                <w:sz w:val="9"/>
                <w:szCs w:val="9"/>
                <w:color w:val="auto"/>
              </w:rPr>
            </w:pPr>
          </w:p>
        </w:tc>
        <w:tc>
          <w:tcPr>
            <w:tcW w:w="48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LT Metal Ltd.</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KOREA, REPUBLIC</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CID000689</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40" w:type="dxa"/>
            <w:vAlign w:val="bottom"/>
            <w:tcBorders>
              <w:right w:val="single" w:sz="8" w:color="auto"/>
            </w:tcBorders>
            <w:vMerge w:val="continue"/>
          </w:tcPr>
          <w:p>
            <w:pPr>
              <w:spacing w:after="0"/>
              <w:rPr>
                <w:sz w:val="10"/>
                <w:szCs w:val="10"/>
                <w:color w:val="auto"/>
              </w:rPr>
            </w:pPr>
          </w:p>
        </w:tc>
        <w:tc>
          <w:tcPr>
            <w:tcW w:w="48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08"/>
        </w:trPr>
        <w:tc>
          <w:tcPr>
            <w:tcW w:w="840" w:type="dxa"/>
            <w:vAlign w:val="bottom"/>
            <w:tcBorders>
              <w:bottom w:val="single" w:sz="8" w:color="auto"/>
              <w:right w:val="single" w:sz="8" w:color="auto"/>
            </w:tcBorders>
          </w:tcPr>
          <w:p>
            <w:pPr>
              <w:spacing w:after="0"/>
              <w:rPr>
                <w:sz w:val="9"/>
                <w:szCs w:val="9"/>
                <w:color w:val="auto"/>
              </w:rPr>
            </w:pPr>
          </w:p>
        </w:tc>
        <w:tc>
          <w:tcPr>
            <w:tcW w:w="48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Luoyang Zijin Yinhui Gold Refinery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CID001093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Marsam Metals</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CID002606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63"/>
        </w:trPr>
        <w:tc>
          <w:tcPr>
            <w:tcW w:w="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Materion</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CID001113</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62"/>
        </w:trPr>
        <w:tc>
          <w:tcPr>
            <w:tcW w:w="840" w:type="dxa"/>
            <w:vAlign w:val="bottom"/>
            <w:tcBorders>
              <w:bottom w:val="single" w:sz="8" w:color="auto"/>
              <w:right w:val="single" w:sz="8" w:color="auto"/>
            </w:tcBorders>
          </w:tcPr>
          <w:p>
            <w:pPr>
              <w:spacing w:after="0"/>
              <w:rPr>
                <w:sz w:val="14"/>
                <w:szCs w:val="14"/>
                <w:color w:val="auto"/>
              </w:rPr>
            </w:pPr>
          </w:p>
        </w:tc>
        <w:tc>
          <w:tcPr>
            <w:tcW w:w="484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Matsuda Sangyo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CID001119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MD Overseas</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CID003548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CID003575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63"/>
        </w:trPr>
        <w:tc>
          <w:tcPr>
            <w:tcW w:w="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Metallix Refining Inc.</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CID003557</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62"/>
        </w:trPr>
        <w:tc>
          <w:tcPr>
            <w:tcW w:w="840" w:type="dxa"/>
            <w:vAlign w:val="bottom"/>
            <w:tcBorders>
              <w:bottom w:val="single" w:sz="8" w:color="auto"/>
              <w:right w:val="single" w:sz="8" w:color="auto"/>
            </w:tcBorders>
          </w:tcPr>
          <w:p>
            <w:pPr>
              <w:spacing w:after="0"/>
              <w:rPr>
                <w:sz w:val="14"/>
                <w:szCs w:val="14"/>
                <w:color w:val="auto"/>
              </w:rPr>
            </w:pPr>
          </w:p>
        </w:tc>
        <w:tc>
          <w:tcPr>
            <w:tcW w:w="484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CID001149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SINGAPORE</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CID001152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CID001147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Metalor Technologies S.A.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CID001153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63"/>
        </w:trPr>
        <w:tc>
          <w:tcPr>
            <w:tcW w:w="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CID001157</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62"/>
        </w:trPr>
        <w:tc>
          <w:tcPr>
            <w:tcW w:w="840" w:type="dxa"/>
            <w:vAlign w:val="bottom"/>
            <w:tcBorders>
              <w:bottom w:val="single" w:sz="8" w:color="auto"/>
              <w:right w:val="single" w:sz="8" w:color="auto"/>
            </w:tcBorders>
          </w:tcPr>
          <w:p>
            <w:pPr>
              <w:spacing w:after="0"/>
              <w:rPr>
                <w:sz w:val="14"/>
                <w:szCs w:val="14"/>
                <w:color w:val="auto"/>
              </w:rPr>
            </w:pPr>
          </w:p>
        </w:tc>
        <w:tc>
          <w:tcPr>
            <w:tcW w:w="484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CID001161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Minera Titan del Peru SRL (MTP) - Belen Plant</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PERU</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CID005014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CID001188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CID001193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MKS PAMP SA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CID001352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MMTC-PAMP India Pvt.,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Modeltech Sdn Bhd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CID002857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Morris and Watson</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ZEALAND</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CID002282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91"/>
        </w:trPr>
        <w:tc>
          <w:tcPr>
            <w:tcW w:w="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Moscow Special Alloys Processing Plant</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CID001204</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40" w:type="dxa"/>
            <w:vAlign w:val="bottom"/>
            <w:tcBorders>
              <w:right w:val="single" w:sz="8" w:color="auto"/>
            </w:tcBorders>
            <w:vMerge w:val="continue"/>
          </w:tcPr>
          <w:p>
            <w:pPr>
              <w:spacing w:after="0"/>
              <w:rPr>
                <w:sz w:val="10"/>
                <w:szCs w:val="10"/>
                <w:color w:val="auto"/>
              </w:rPr>
            </w:pPr>
          </w:p>
        </w:tc>
        <w:tc>
          <w:tcPr>
            <w:tcW w:w="48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FEDERATION</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40" w:type="dxa"/>
            <w:vAlign w:val="bottom"/>
            <w:tcBorders>
              <w:bottom w:val="single" w:sz="8" w:color="auto"/>
              <w:right w:val="single" w:sz="8" w:color="auto"/>
            </w:tcBorders>
          </w:tcPr>
          <w:p>
            <w:pPr>
              <w:spacing w:after="0"/>
              <w:rPr>
                <w:sz w:val="9"/>
                <w:szCs w:val="9"/>
                <w:color w:val="auto"/>
              </w:rPr>
            </w:pPr>
          </w:p>
        </w:tc>
        <w:tc>
          <w:tcPr>
            <w:tcW w:w="48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TURKEY</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CID001220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UZBEKISTAN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CID001236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404"/>
        </w:trPr>
        <w:tc>
          <w:tcPr>
            <w:tcW w:w="84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1" w:right="339" w:bottom="784"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14"/>
        </w:trPr>
        <w:tc>
          <w:tcPr>
            <w:tcW w:w="84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NH Recytech Company</w:t>
            </w:r>
          </w:p>
        </w:tc>
        <w:tc>
          <w:tcPr>
            <w:tcW w:w="17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w:t>
            </w:r>
          </w:p>
        </w:tc>
        <w:tc>
          <w:tcPr>
            <w:tcW w:w="266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CID003189</w:t>
            </w:r>
          </w:p>
        </w:tc>
        <w:tc>
          <w:tcPr>
            <w:tcW w:w="11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840" w:type="dxa"/>
            <w:vAlign w:val="bottom"/>
            <w:tcBorders>
              <w:left w:val="single" w:sz="8" w:color="auto"/>
              <w:right w:val="single" w:sz="8" w:color="auto"/>
            </w:tcBorders>
            <w:vMerge w:val="continue"/>
          </w:tcPr>
          <w:p>
            <w:pPr>
              <w:spacing w:after="0"/>
              <w:rPr>
                <w:sz w:val="10"/>
                <w:szCs w:val="10"/>
                <w:color w:val="auto"/>
              </w:rPr>
            </w:pPr>
          </w:p>
        </w:tc>
        <w:tc>
          <w:tcPr>
            <w:tcW w:w="48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25"/>
        </w:trPr>
        <w:tc>
          <w:tcPr>
            <w:tcW w:w="840" w:type="dxa"/>
            <w:vAlign w:val="bottom"/>
            <w:tcBorders>
              <w:left w:val="single" w:sz="8" w:color="auto"/>
              <w:bottom w:val="single" w:sz="8" w:color="auto"/>
              <w:right w:val="single" w:sz="8" w:color="auto"/>
            </w:tcBorders>
          </w:tcPr>
          <w:p>
            <w:pPr>
              <w:spacing w:after="0"/>
              <w:rPr>
                <w:sz w:val="10"/>
                <w:szCs w:val="10"/>
                <w:color w:val="auto"/>
              </w:rPr>
            </w:pPr>
          </w:p>
        </w:tc>
        <w:tc>
          <w:tcPr>
            <w:tcW w:w="484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vMerge w:val="continue"/>
          </w:tcPr>
          <w:p>
            <w:pPr>
              <w:spacing w:after="0"/>
              <w:rPr>
                <w:sz w:val="10"/>
                <w:szCs w:val="10"/>
                <w:color w:val="auto"/>
              </w:rPr>
            </w:pPr>
          </w:p>
        </w:tc>
        <w:tc>
          <w:tcPr>
            <w:tcW w:w="266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84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Nihon Material Co., Ltd.</w:t>
            </w:r>
          </w:p>
        </w:tc>
        <w:tc>
          <w:tcPr>
            <w:tcW w:w="178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CID001259</w:t>
            </w:r>
          </w:p>
        </w:tc>
        <w:tc>
          <w:tcPr>
            <w:tcW w:w="11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64"/>
        </w:trPr>
        <w:tc>
          <w:tcPr>
            <w:tcW w:w="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NOBLE METAL SERVICES</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CID003690</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62"/>
        </w:trPr>
        <w:tc>
          <w:tcPr>
            <w:tcW w:w="840" w:type="dxa"/>
            <w:vAlign w:val="bottom"/>
            <w:tcBorders>
              <w:bottom w:val="single" w:sz="8" w:color="auto"/>
              <w:right w:val="single" w:sz="8" w:color="auto"/>
            </w:tcBorders>
          </w:tcPr>
          <w:p>
            <w:pPr>
              <w:spacing w:after="0"/>
              <w:rPr>
                <w:sz w:val="14"/>
                <w:szCs w:val="14"/>
                <w:color w:val="auto"/>
              </w:rPr>
            </w:pPr>
          </w:p>
        </w:tc>
        <w:tc>
          <w:tcPr>
            <w:tcW w:w="484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Nyrstar</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CID001313</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62"/>
        </w:trPr>
        <w:tc>
          <w:tcPr>
            <w:tcW w:w="840" w:type="dxa"/>
            <w:vAlign w:val="bottom"/>
            <w:tcBorders>
              <w:bottom w:val="single" w:sz="8" w:color="auto"/>
              <w:right w:val="single" w:sz="8" w:color="auto"/>
            </w:tcBorders>
          </w:tcPr>
          <w:p>
            <w:pPr>
              <w:spacing w:after="0"/>
              <w:rPr>
                <w:sz w:val="14"/>
                <w:szCs w:val="14"/>
                <w:color w:val="auto"/>
              </w:rPr>
            </w:pPr>
          </w:p>
        </w:tc>
        <w:tc>
          <w:tcPr>
            <w:tcW w:w="484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Ogussa Osterreichische Gold- und Silber-Scheideanstalt GmbH</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CID002779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CID001325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91"/>
        </w:trPr>
        <w:tc>
          <w:tcPr>
            <w:tcW w:w="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OJSC "The Gulidov Krasnoyarsk Non-Ferrous Metals Plant"</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CID001326</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40" w:type="dxa"/>
            <w:vAlign w:val="bottom"/>
            <w:tcBorders>
              <w:right w:val="single" w:sz="8" w:color="auto"/>
            </w:tcBorders>
            <w:vMerge w:val="continue"/>
          </w:tcPr>
          <w:p>
            <w:pPr>
              <w:spacing w:after="0"/>
              <w:rPr>
                <w:sz w:val="10"/>
                <w:szCs w:val="10"/>
                <w:color w:val="auto"/>
              </w:rPr>
            </w:pPr>
          </w:p>
        </w:tc>
        <w:tc>
          <w:tcPr>
            <w:tcW w:w="4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(OJSC Krastsvetmet)</w:t>
            </w: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FEDERATION</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40" w:type="dxa"/>
            <w:vAlign w:val="bottom"/>
            <w:tcBorders>
              <w:bottom w:val="single" w:sz="8" w:color="auto"/>
              <w:right w:val="single" w:sz="8" w:color="auto"/>
            </w:tcBorders>
          </w:tcPr>
          <w:p>
            <w:pPr>
              <w:spacing w:after="0"/>
              <w:rPr>
                <w:sz w:val="9"/>
                <w:szCs w:val="9"/>
                <w:color w:val="auto"/>
              </w:rPr>
            </w:pPr>
          </w:p>
        </w:tc>
        <w:tc>
          <w:tcPr>
            <w:tcW w:w="4840" w:type="dxa"/>
            <w:vAlign w:val="bottom"/>
            <w:tcBorders>
              <w:bottom w:val="single" w:sz="8" w:color="auto"/>
              <w:right w:val="single" w:sz="8" w:color="auto"/>
            </w:tcBorders>
            <w:vMerge w:val="continue"/>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OJSC Novosibirsk Refinery</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CID000493</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40" w:type="dxa"/>
            <w:vAlign w:val="bottom"/>
            <w:tcBorders>
              <w:right w:val="single" w:sz="8" w:color="auto"/>
            </w:tcBorders>
            <w:vMerge w:val="continue"/>
          </w:tcPr>
          <w:p>
            <w:pPr>
              <w:spacing w:after="0"/>
              <w:rPr>
                <w:sz w:val="10"/>
                <w:szCs w:val="10"/>
                <w:color w:val="auto"/>
              </w:rPr>
            </w:pPr>
          </w:p>
        </w:tc>
        <w:tc>
          <w:tcPr>
            <w:tcW w:w="48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FEDERATION</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40" w:type="dxa"/>
            <w:vAlign w:val="bottom"/>
            <w:tcBorders>
              <w:bottom w:val="single" w:sz="8" w:color="auto"/>
              <w:right w:val="single" w:sz="8" w:color="auto"/>
            </w:tcBorders>
          </w:tcPr>
          <w:p>
            <w:pPr>
              <w:spacing w:after="0"/>
              <w:rPr>
                <w:sz w:val="9"/>
                <w:szCs w:val="9"/>
                <w:color w:val="auto"/>
              </w:rPr>
            </w:pPr>
          </w:p>
        </w:tc>
        <w:tc>
          <w:tcPr>
            <w:tcW w:w="48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Pease &amp; Curren</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CID002872</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62"/>
        </w:trPr>
        <w:tc>
          <w:tcPr>
            <w:tcW w:w="840" w:type="dxa"/>
            <w:vAlign w:val="bottom"/>
            <w:tcBorders>
              <w:bottom w:val="single" w:sz="8" w:color="auto"/>
              <w:right w:val="single" w:sz="8" w:color="auto"/>
            </w:tcBorders>
          </w:tcPr>
          <w:p>
            <w:pPr>
              <w:spacing w:after="0"/>
              <w:rPr>
                <w:sz w:val="14"/>
                <w:szCs w:val="14"/>
                <w:color w:val="auto"/>
              </w:rPr>
            </w:pPr>
          </w:p>
        </w:tc>
        <w:tc>
          <w:tcPr>
            <w:tcW w:w="484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CID001362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CHILE</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CID002919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91"/>
        </w:trPr>
        <w:tc>
          <w:tcPr>
            <w:tcW w:w="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CID001386</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40" w:type="dxa"/>
            <w:vAlign w:val="bottom"/>
            <w:tcBorders>
              <w:right w:val="single" w:sz="8" w:color="auto"/>
            </w:tcBorders>
            <w:vMerge w:val="continue"/>
          </w:tcPr>
          <w:p>
            <w:pPr>
              <w:spacing w:after="0"/>
              <w:rPr>
                <w:sz w:val="10"/>
                <w:szCs w:val="10"/>
                <w:color w:val="auto"/>
              </w:rPr>
            </w:pPr>
          </w:p>
        </w:tc>
        <w:tc>
          <w:tcPr>
            <w:tcW w:w="48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FEDERATION</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40" w:type="dxa"/>
            <w:vAlign w:val="bottom"/>
            <w:tcBorders>
              <w:bottom w:val="single" w:sz="8" w:color="auto"/>
              <w:right w:val="single" w:sz="8" w:color="auto"/>
            </w:tcBorders>
          </w:tcPr>
          <w:p>
            <w:pPr>
              <w:spacing w:after="0"/>
              <w:rPr>
                <w:sz w:val="9"/>
                <w:szCs w:val="9"/>
                <w:color w:val="auto"/>
              </w:rPr>
            </w:pPr>
          </w:p>
        </w:tc>
        <w:tc>
          <w:tcPr>
            <w:tcW w:w="48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CID001397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PX Precinox S.A.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CID001498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63"/>
        </w:trPr>
        <w:tc>
          <w:tcPr>
            <w:tcW w:w="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QG Refining, LLC</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CID003324</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62"/>
        </w:trPr>
        <w:tc>
          <w:tcPr>
            <w:tcW w:w="840" w:type="dxa"/>
            <w:vAlign w:val="bottom"/>
            <w:tcBorders>
              <w:bottom w:val="single" w:sz="8" w:color="auto"/>
              <w:right w:val="single" w:sz="8" w:color="auto"/>
            </w:tcBorders>
          </w:tcPr>
          <w:p>
            <w:pPr>
              <w:spacing w:after="0"/>
              <w:rPr>
                <w:sz w:val="14"/>
                <w:szCs w:val="14"/>
                <w:color w:val="auto"/>
              </w:rPr>
            </w:pPr>
          </w:p>
        </w:tc>
        <w:tc>
          <w:tcPr>
            <w:tcW w:w="484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Rand Refinery (Pty)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CID001512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Refinery of Seemine Gold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CID000522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REMONDIS PMR B.V.</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CID002582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Royal Canadian Mint</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CID001534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SAAMP</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FRANCE</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CID002761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63"/>
        </w:trPr>
        <w:tc>
          <w:tcPr>
            <w:tcW w:w="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Sabin Metal Corp.</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CID001546</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62"/>
        </w:trPr>
        <w:tc>
          <w:tcPr>
            <w:tcW w:w="840" w:type="dxa"/>
            <w:vAlign w:val="bottom"/>
            <w:tcBorders>
              <w:bottom w:val="single" w:sz="8" w:color="auto"/>
              <w:right w:val="single" w:sz="8" w:color="auto"/>
            </w:tcBorders>
          </w:tcPr>
          <w:p>
            <w:pPr>
              <w:spacing w:after="0"/>
              <w:rPr>
                <w:sz w:val="14"/>
                <w:szCs w:val="14"/>
                <w:color w:val="auto"/>
              </w:rPr>
            </w:pPr>
          </w:p>
        </w:tc>
        <w:tc>
          <w:tcPr>
            <w:tcW w:w="484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Safimet S.p.A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CID002973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SAFINA A.S.</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CZECHIA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CID002290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Sai Refinery</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CID002853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91"/>
        </w:trPr>
        <w:tc>
          <w:tcPr>
            <w:tcW w:w="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SAM Precious Metals FZ-LLC</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UNITED ARAB</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CID003666</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40" w:type="dxa"/>
            <w:vAlign w:val="bottom"/>
            <w:tcBorders>
              <w:right w:val="single" w:sz="8" w:color="auto"/>
            </w:tcBorders>
            <w:vMerge w:val="continue"/>
          </w:tcPr>
          <w:p>
            <w:pPr>
              <w:spacing w:after="0"/>
              <w:rPr>
                <w:sz w:val="10"/>
                <w:szCs w:val="10"/>
                <w:color w:val="auto"/>
              </w:rPr>
            </w:pPr>
          </w:p>
        </w:tc>
        <w:tc>
          <w:tcPr>
            <w:tcW w:w="48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EMIRATES</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40" w:type="dxa"/>
            <w:vAlign w:val="bottom"/>
            <w:tcBorders>
              <w:bottom w:val="single" w:sz="8" w:color="auto"/>
              <w:right w:val="single" w:sz="8" w:color="auto"/>
            </w:tcBorders>
          </w:tcPr>
          <w:p>
            <w:pPr>
              <w:spacing w:after="0"/>
              <w:rPr>
                <w:sz w:val="9"/>
                <w:szCs w:val="9"/>
                <w:color w:val="auto"/>
              </w:rPr>
            </w:pPr>
          </w:p>
        </w:tc>
        <w:tc>
          <w:tcPr>
            <w:tcW w:w="48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Samduck Precious Metals</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KOREA, REPUBLIC</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CID001555</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40" w:type="dxa"/>
            <w:vAlign w:val="bottom"/>
            <w:tcBorders>
              <w:right w:val="single" w:sz="8" w:color="auto"/>
            </w:tcBorders>
            <w:vMerge w:val="continue"/>
          </w:tcPr>
          <w:p>
            <w:pPr>
              <w:spacing w:after="0"/>
              <w:rPr>
                <w:sz w:val="10"/>
                <w:szCs w:val="10"/>
                <w:color w:val="auto"/>
              </w:rPr>
            </w:pPr>
          </w:p>
        </w:tc>
        <w:tc>
          <w:tcPr>
            <w:tcW w:w="48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40" w:type="dxa"/>
            <w:vAlign w:val="bottom"/>
            <w:tcBorders>
              <w:bottom w:val="single" w:sz="8" w:color="auto"/>
              <w:right w:val="single" w:sz="8" w:color="auto"/>
            </w:tcBorders>
          </w:tcPr>
          <w:p>
            <w:pPr>
              <w:spacing w:after="0"/>
              <w:rPr>
                <w:sz w:val="9"/>
                <w:szCs w:val="9"/>
                <w:color w:val="auto"/>
              </w:rPr>
            </w:pPr>
          </w:p>
        </w:tc>
        <w:tc>
          <w:tcPr>
            <w:tcW w:w="48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Samwon Metals Corp.</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KOREA, REPUBLIC</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CID001562</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40" w:type="dxa"/>
            <w:vAlign w:val="bottom"/>
            <w:tcBorders>
              <w:right w:val="single" w:sz="8" w:color="auto"/>
            </w:tcBorders>
            <w:vMerge w:val="continue"/>
          </w:tcPr>
          <w:p>
            <w:pPr>
              <w:spacing w:after="0"/>
              <w:rPr>
                <w:sz w:val="10"/>
                <w:szCs w:val="10"/>
                <w:color w:val="auto"/>
              </w:rPr>
            </w:pPr>
          </w:p>
        </w:tc>
        <w:tc>
          <w:tcPr>
            <w:tcW w:w="48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40" w:type="dxa"/>
            <w:vAlign w:val="bottom"/>
            <w:tcBorders>
              <w:bottom w:val="single" w:sz="8" w:color="auto"/>
              <w:right w:val="single" w:sz="8" w:color="auto"/>
            </w:tcBorders>
          </w:tcPr>
          <w:p>
            <w:pPr>
              <w:spacing w:after="0"/>
              <w:rPr>
                <w:sz w:val="9"/>
                <w:szCs w:val="9"/>
                <w:color w:val="auto"/>
              </w:rPr>
            </w:pPr>
          </w:p>
        </w:tc>
        <w:tc>
          <w:tcPr>
            <w:tcW w:w="48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CID001585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Shan Tou Shi Yong Yuan Jin Shu Zai Sheng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CID001605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CID001916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Shandong Hengbang Smelter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CID001612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CID002525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Shandong Tiancheng Biological Gold Industrial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CID001619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Shandong Yanggu Xiangguang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CID002614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CID001622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CID002750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Shenzhen Heng Zhong Industry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CID001692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91"/>
        </w:trPr>
        <w:tc>
          <w:tcPr>
            <w:tcW w:w="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SHENZHEN JINJUNWEI RESOURCE COMPREHENSIVE</w:t>
            </w: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CID004435</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40" w:type="dxa"/>
            <w:vAlign w:val="bottom"/>
            <w:tcBorders>
              <w:right w:val="single" w:sz="8" w:color="auto"/>
            </w:tcBorders>
            <w:vMerge w:val="continue"/>
          </w:tcPr>
          <w:p>
            <w:pPr>
              <w:spacing w:after="0"/>
              <w:rPr>
                <w:sz w:val="10"/>
                <w:szCs w:val="10"/>
                <w:color w:val="auto"/>
              </w:rPr>
            </w:pPr>
          </w:p>
        </w:tc>
        <w:tc>
          <w:tcPr>
            <w:tcW w:w="4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DEVELOPMENT CO., LTD.</w:t>
            </w:r>
          </w:p>
        </w:tc>
        <w:tc>
          <w:tcPr>
            <w:tcW w:w="1780" w:type="dxa"/>
            <w:vAlign w:val="bottom"/>
            <w:tcBorders>
              <w:right w:val="single" w:sz="8" w:color="auto"/>
            </w:tcBorders>
            <w:vMerge w:val="continue"/>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40" w:type="dxa"/>
            <w:vAlign w:val="bottom"/>
            <w:tcBorders>
              <w:bottom w:val="single" w:sz="8" w:color="auto"/>
              <w:right w:val="single" w:sz="8" w:color="auto"/>
            </w:tcBorders>
          </w:tcPr>
          <w:p>
            <w:pPr>
              <w:spacing w:after="0"/>
              <w:rPr>
                <w:sz w:val="9"/>
                <w:szCs w:val="9"/>
                <w:color w:val="auto"/>
              </w:rPr>
            </w:pPr>
          </w:p>
        </w:tc>
        <w:tc>
          <w:tcPr>
            <w:tcW w:w="4840" w:type="dxa"/>
            <w:vAlign w:val="bottom"/>
            <w:tcBorders>
              <w:bottom w:val="single" w:sz="8" w:color="auto"/>
              <w:right w:val="single" w:sz="8" w:color="auto"/>
            </w:tcBorders>
            <w:vMerge w:val="continue"/>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CID002527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Shirpur Gold Refinery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CID002588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CID001736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405"/>
        </w:trPr>
        <w:tc>
          <w:tcPr>
            <w:tcW w:w="84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87"/>
        </w:trPr>
        <w:tc>
          <w:tcPr>
            <w:tcW w:w="86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Singway Technology Co., Ltd.</w:t>
            </w:r>
          </w:p>
        </w:tc>
        <w:tc>
          <w:tcPr>
            <w:tcW w:w="17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w:t>
            </w:r>
          </w:p>
        </w:tc>
        <w:tc>
          <w:tcPr>
            <w:tcW w:w="26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CID002516</w:t>
            </w:r>
          </w:p>
        </w:tc>
        <w:tc>
          <w:tcPr>
            <w:tcW w:w="112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79"/>
        </w:trPr>
        <w:tc>
          <w:tcPr>
            <w:tcW w:w="860" w:type="dxa"/>
            <w:vAlign w:val="bottom"/>
            <w:tcBorders>
              <w:left w:val="single" w:sz="8" w:color="auto"/>
              <w:bottom w:val="single" w:sz="8" w:color="auto"/>
              <w:right w:val="single" w:sz="8" w:color="auto"/>
            </w:tcBorders>
          </w:tcPr>
          <w:p>
            <w:pPr>
              <w:spacing w:after="0"/>
              <w:rPr>
                <w:sz w:val="15"/>
                <w:szCs w:val="15"/>
                <w:color w:val="auto"/>
              </w:rPr>
            </w:pPr>
          </w:p>
        </w:tc>
        <w:tc>
          <w:tcPr>
            <w:tcW w:w="4820" w:type="dxa"/>
            <w:vAlign w:val="bottom"/>
            <w:tcBorders>
              <w:bottom w:val="single" w:sz="8" w:color="auto"/>
              <w:right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line="159" w:lineRule="exact"/>
              <w:rPr>
                <w:sz w:val="20"/>
                <w:szCs w:val="20"/>
                <w:color w:val="auto"/>
              </w:rPr>
            </w:pPr>
            <w:r>
              <w:rPr>
                <w:rFonts w:ascii="Times New Roman" w:cs="Times New Roman" w:eastAsia="Times New Roman" w:hAnsi="Times New Roman"/>
                <w:sz w:val="18"/>
                <w:szCs w:val="18"/>
                <w:color w:val="auto"/>
              </w:rPr>
              <w:t>OF CHINA</w:t>
            </w:r>
          </w:p>
        </w:tc>
        <w:tc>
          <w:tcPr>
            <w:tcW w:w="266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6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Sino-Platinum Metals Co., Ltd.</w:t>
            </w:r>
          </w:p>
        </w:tc>
        <w:tc>
          <w:tcPr>
            <w:tcW w:w="178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CID001745</w:t>
            </w:r>
          </w:p>
        </w:tc>
        <w:tc>
          <w:tcPr>
            <w:tcW w:w="11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CID000197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CID004610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SOE Shyolkovsky Factory of Secondary Precious Metals</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CID001756</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60" w:type="dxa"/>
            <w:vAlign w:val="bottom"/>
            <w:tcBorders>
              <w:right w:val="single" w:sz="8" w:color="auto"/>
            </w:tcBorders>
            <w:vMerge w:val="continue"/>
          </w:tcPr>
          <w:p>
            <w:pPr>
              <w:spacing w:after="0"/>
              <w:rPr>
                <w:sz w:val="10"/>
                <w:szCs w:val="10"/>
                <w:color w:val="auto"/>
              </w:rPr>
            </w:pPr>
          </w:p>
        </w:tc>
        <w:tc>
          <w:tcPr>
            <w:tcW w:w="48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FEDERATION</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CID001761</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OF CHINA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Sovereign Metals</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CID003383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State Research Institute Center for Physical Sciences and</w:t>
            </w: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LITHUANIA</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CID003153</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60" w:type="dxa"/>
            <w:vAlign w:val="bottom"/>
            <w:tcBorders>
              <w:right w:val="single" w:sz="8" w:color="auto"/>
            </w:tcBorders>
            <w:vMerge w:val="continue"/>
          </w:tcPr>
          <w:p>
            <w:pPr>
              <w:spacing w:after="0"/>
              <w:rPr>
                <w:sz w:val="10"/>
                <w:szCs w:val="10"/>
                <w:color w:val="auto"/>
              </w:rPr>
            </w:pPr>
          </w:p>
        </w:tc>
        <w:tc>
          <w:tcPr>
            <w:tcW w:w="4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Technology</w:t>
            </w:r>
          </w:p>
        </w:tc>
        <w:tc>
          <w:tcPr>
            <w:tcW w:w="1780" w:type="dxa"/>
            <w:vAlign w:val="bottom"/>
            <w:tcBorders>
              <w:right w:val="single" w:sz="8" w:color="auto"/>
            </w:tcBorders>
            <w:vMerge w:val="continue"/>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vMerge w:val="continue"/>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Sudan Gold Refinery</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SUDAN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CID002567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CID001798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SungEel HiMetal Co., Ltd.</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KOREA, REPUBLIC</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CID002918</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60" w:type="dxa"/>
            <w:vAlign w:val="bottom"/>
            <w:tcBorders>
              <w:right w:val="single" w:sz="8" w:color="auto"/>
            </w:tcBorders>
            <w:vMerge w:val="continue"/>
          </w:tcPr>
          <w:p>
            <w:pPr>
              <w:spacing w:after="0"/>
              <w:rPr>
                <w:sz w:val="10"/>
                <w:szCs w:val="10"/>
                <w:color w:val="auto"/>
              </w:rPr>
            </w:pPr>
          </w:p>
        </w:tc>
        <w:tc>
          <w:tcPr>
            <w:tcW w:w="48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CID001810</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OF CHINA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T.C.A S.p.A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CID002580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Tanaka Kikinzoku Kogyo K.K.</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CID001875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TITAN COMPANY LIMITED, JEWELLERY DIVISION</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CID004491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Tokuriki Honten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CID001938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Tongling Nonferrous Metals Group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CID001947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TOO Tau-Ken-Altyn</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CID002615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Torecom</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KOREA, REPUBLIC</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CID001955</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60" w:type="dxa"/>
            <w:vAlign w:val="bottom"/>
            <w:tcBorders>
              <w:right w:val="single" w:sz="8" w:color="auto"/>
            </w:tcBorders>
            <w:vMerge w:val="continue"/>
          </w:tcPr>
          <w:p>
            <w:pPr>
              <w:spacing w:after="0"/>
              <w:rPr>
                <w:sz w:val="10"/>
                <w:szCs w:val="10"/>
                <w:color w:val="auto"/>
              </w:rPr>
            </w:pPr>
          </w:p>
        </w:tc>
        <w:tc>
          <w:tcPr>
            <w:tcW w:w="48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CID002314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CID001980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64"/>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CID001993</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Valcambi S.A.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CID002003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Viagra Di precious metals (Zhaoyuan)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CID002009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WEEEREFINING</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FRANCE</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CID003615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CID002030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WIELAND Edelmetalle GmbH</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CID002778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Wuzhong Group</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CID002063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Yamakin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CID002100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Yokohama Metal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CID002129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Yunnan Gold Mining Group Co., Ltd. (YGMG)</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CID002491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Zhe Jiang Guang Yuan Noble Metal Smelting Factory</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CID002205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Zhongkuang Gold Industry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CID002214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Zhongshan Hyper-Toxic Substance Monopolized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CID002219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Zhongshan Poison Material Proprietary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CID002221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CID002224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Zhuhai toxic materials Monopoly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CID002231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Zhuzhou Smelting Group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CID002529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5D Production OU</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ESTONIA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CID003926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AMG Brasil</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CID001076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ANHUI HERRMAN IMPEX CO.</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CID000059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404"/>
        </w:trPr>
        <w:tc>
          <w:tcPr>
            <w:tcW w:w="86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14"/>
        </w:trPr>
        <w:tc>
          <w:tcPr>
            <w:tcW w:w="860" w:type="dxa"/>
            <w:vAlign w:val="bottom"/>
            <w:tcBorders>
              <w:top w:val="single" w:sz="8" w:color="auto"/>
              <w:left w:val="single" w:sz="8" w:color="auto"/>
              <w:right w:val="single" w:sz="8" w:color="auto"/>
            </w:tcBorders>
          </w:tcPr>
          <w:p>
            <w:pPr>
              <w:spacing w:after="0"/>
              <w:rPr>
                <w:sz w:val="18"/>
                <w:szCs w:val="18"/>
                <w:color w:val="auto"/>
              </w:rPr>
            </w:pPr>
          </w:p>
        </w:tc>
        <w:tc>
          <w:tcPr>
            <w:tcW w:w="4820" w:type="dxa"/>
            <w:vAlign w:val="bottom"/>
            <w:tcBorders>
              <w:top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66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8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Avon Specialty Metals Ltd.</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OF GREAT BRITAIN</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CID002705</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860" w:type="dxa"/>
            <w:vAlign w:val="bottom"/>
            <w:tcBorders>
              <w:left w:val="single" w:sz="8" w:color="auto"/>
              <w:right w:val="single" w:sz="8" w:color="auto"/>
            </w:tcBorders>
          </w:tcPr>
          <w:p>
            <w:pPr>
              <w:spacing w:after="0"/>
              <w:rPr>
                <w:sz w:val="12"/>
                <w:szCs w:val="12"/>
                <w:color w:val="auto"/>
              </w:rPr>
            </w:pPr>
          </w:p>
        </w:tc>
        <w:tc>
          <w:tcPr>
            <w:tcW w:w="48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line="144" w:lineRule="exact"/>
              <w:rPr>
                <w:sz w:val="20"/>
                <w:szCs w:val="20"/>
                <w:color w:val="auto"/>
              </w:rPr>
            </w:pPr>
            <w:r>
              <w:rPr>
                <w:rFonts w:ascii="Times New Roman" w:cs="Times New Roman" w:eastAsia="Times New Roman" w:hAnsi="Times New Roman"/>
                <w:sz w:val="16"/>
                <w:szCs w:val="16"/>
                <w:color w:val="auto"/>
              </w:rPr>
              <w:t>AND NORTHERN</w:t>
            </w:r>
          </w:p>
        </w:tc>
        <w:tc>
          <w:tcPr>
            <w:tcW w:w="26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860" w:type="dxa"/>
            <w:vAlign w:val="bottom"/>
            <w:tcBorders>
              <w:left w:val="single" w:sz="8" w:color="auto"/>
              <w:bottom w:val="single" w:sz="8" w:color="auto"/>
              <w:right w:val="single" w:sz="8" w:color="auto"/>
            </w:tcBorders>
          </w:tcPr>
          <w:p>
            <w:pPr>
              <w:spacing w:after="0"/>
              <w:rPr>
                <w:sz w:val="21"/>
                <w:szCs w:val="21"/>
                <w:color w:val="auto"/>
              </w:rPr>
            </w:pPr>
          </w:p>
        </w:tc>
        <w:tc>
          <w:tcPr>
            <w:tcW w:w="4820" w:type="dxa"/>
            <w:vAlign w:val="bottom"/>
            <w:tcBorders>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IRELAND</w:t>
            </w:r>
          </w:p>
        </w:tc>
        <w:tc>
          <w:tcPr>
            <w:tcW w:w="26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93"/>
        </w:trPr>
        <w:tc>
          <w:tcPr>
            <w:tcW w:w="86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Changsha South Tantalum Niobium Co., Ltd.</w:t>
            </w:r>
          </w:p>
        </w:tc>
        <w:tc>
          <w:tcPr>
            <w:tcW w:w="178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CID000211</w:t>
            </w:r>
          </w:p>
        </w:tc>
        <w:tc>
          <w:tcPr>
            <w:tcW w:w="11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CMT Rare Metal Advanced Materials (Hunan)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CID004431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63"/>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 Block Metals, LLC</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CID002504</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CID000460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CID002558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63"/>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CID002557</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CID000291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CID002492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CID002512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Suns Nonferrous Materials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CID004813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CID002842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Jiujiang Janny New Material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CID003191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CID000914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Jiujiang Tanbre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CID000917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KEMET de Mexico</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CID002539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63"/>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Materion Newton Inc.</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CID002548</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CID001163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Mineracao Taboca S.A.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CID001175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CID001192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CID001277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NPM Silmet AS</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ESTONIA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CID001200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PowerX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RWANDA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CID004054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QSIL Metals Hermsdorf GmbH</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64"/>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QuantumClean</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CID001508</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CID002707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RFH Recycling Metals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CID003159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RFH Yancheng Jinye New Material Technology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CID003583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CID000261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64"/>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CID000456</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CID001108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64"/>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CID001115</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CID001541</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OF CHINA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CID001634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CID002556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CID002861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CID001769</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60" w:type="dxa"/>
            <w:vAlign w:val="bottom"/>
            <w:tcBorders>
              <w:right w:val="single" w:sz="8" w:color="auto"/>
            </w:tcBorders>
            <w:vMerge w:val="continue"/>
          </w:tcPr>
          <w:p>
            <w:pPr>
              <w:spacing w:after="0"/>
              <w:rPr>
                <w:sz w:val="10"/>
                <w:szCs w:val="10"/>
                <w:color w:val="auto"/>
              </w:rPr>
            </w:pPr>
          </w:p>
        </w:tc>
        <w:tc>
          <w:tcPr>
            <w:tcW w:w="48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FEDERATION</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Taki Chemical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CID001869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TANIOBIS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TANIOBIS GmbH</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TANIOBIS Japan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404"/>
        </w:trPr>
        <w:tc>
          <w:tcPr>
            <w:tcW w:w="86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49"/>
        </w:trPr>
        <w:tc>
          <w:tcPr>
            <w:tcW w:w="8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17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6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CID002550</w:t>
            </w:r>
          </w:p>
        </w:tc>
        <w:tc>
          <w:tcPr>
            <w:tcW w:w="11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47"/>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Telex Metals</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CID001891</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CID001969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V&amp;D New Materials (Jiangsu)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CID003498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CID000616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XIMEI RESOURCES(GUIZHOU) TECHNOLOGY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CID003973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CID001522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Zhuzhou Cemented Carbide Group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CID002232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63"/>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Alpha</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CID000292</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CID002703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Aurubis Beerse</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CID002773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Aurubis Berango</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CID002774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CID000228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CID003190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 Tin Group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CID001070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Chofu Works</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CID002786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CRM Fundicao De Metais E Comercio De Equipamentos</w:t>
            </w: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BRAZIL</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CID003486</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60" w:type="dxa"/>
            <w:vAlign w:val="bottom"/>
            <w:tcBorders>
              <w:right w:val="single" w:sz="8" w:color="auto"/>
            </w:tcBorders>
            <w:vMerge w:val="continue"/>
          </w:tcPr>
          <w:p>
            <w:pPr>
              <w:spacing w:after="0"/>
              <w:rPr>
                <w:sz w:val="10"/>
                <w:szCs w:val="10"/>
                <w:color w:val="auto"/>
              </w:rPr>
            </w:pPr>
          </w:p>
        </w:tc>
        <w:tc>
          <w:tcPr>
            <w:tcW w:w="4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Eletronicos Do Brasil Ltda</w:t>
            </w:r>
          </w:p>
        </w:tc>
        <w:tc>
          <w:tcPr>
            <w:tcW w:w="1780" w:type="dxa"/>
            <w:vAlign w:val="bottom"/>
            <w:tcBorders>
              <w:right w:val="single" w:sz="8" w:color="auto"/>
            </w:tcBorders>
            <w:vMerge w:val="continue"/>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vMerge w:val="continue"/>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CRM Synergies</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CID003524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CV Ayi Jaya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CID002570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CV Venus Inti Perkasa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CID002455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CID000377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CID003356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Dongguan City Xida Soldering Tin Products Co.</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CID000376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Dowa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CID000402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DS Myanmar</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MYANMAR</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CID003831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Electro-Mechanical Facility of the Cao Bang Minerals &amp;</w:t>
            </w: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VIET NAM</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CID002572</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60" w:type="dxa"/>
            <w:vAlign w:val="bottom"/>
            <w:tcBorders>
              <w:right w:val="single" w:sz="8" w:color="auto"/>
            </w:tcBorders>
            <w:vMerge w:val="continue"/>
          </w:tcPr>
          <w:p>
            <w:pPr>
              <w:spacing w:after="0"/>
              <w:rPr>
                <w:sz w:val="10"/>
                <w:szCs w:val="10"/>
                <w:color w:val="auto"/>
              </w:rPr>
            </w:pPr>
          </w:p>
        </w:tc>
        <w:tc>
          <w:tcPr>
            <w:tcW w:w="4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Metallurgy Joint Stock Company</w:t>
            </w:r>
          </w:p>
        </w:tc>
        <w:tc>
          <w:tcPr>
            <w:tcW w:w="1780" w:type="dxa"/>
            <w:vAlign w:val="bottom"/>
            <w:tcBorders>
              <w:right w:val="single" w:sz="8" w:color="auto"/>
            </w:tcBorders>
            <w:vMerge w:val="continue"/>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vMerge w:val="continue"/>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BOLIVIA</w:t>
            </w:r>
          </w:p>
        </w:tc>
        <w:tc>
          <w:tcPr>
            <w:tcW w:w="26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EM Vinto</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(PLURINATIONAL</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CID000438</w:t>
            </w: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Borders>
              <w:bottom w:val="single" w:sz="8" w:color="auto"/>
              <w:right w:val="single" w:sz="8" w:color="auto"/>
            </w:tcBorders>
          </w:tcPr>
          <w:p>
            <w:pPr>
              <w:spacing w:after="0"/>
              <w:rPr>
                <w:sz w:val="20"/>
                <w:szCs w:val="20"/>
                <w:color w:val="auto"/>
              </w:rPr>
            </w:pPr>
          </w:p>
        </w:tc>
        <w:tc>
          <w:tcPr>
            <w:tcW w:w="48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STATE OF)</w:t>
            </w:r>
          </w:p>
        </w:tc>
        <w:tc>
          <w:tcPr>
            <w:tcW w:w="26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Estanho de Rondonia S.A.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CID000448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CID003582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Feinhutte Halsbrucke GmbH</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CID000466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Fenix Metals</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POLAND</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CID000468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CID003410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CID000538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Gejiu Yunxi Group Corp.</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CID000553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CID001908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CID000555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CID004754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CID003116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GUANGXI HUA TIN GOLD MINUTE FEE,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CID002274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Guangxi Nonferrous Metals Group</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CID000626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Guangxi Zhongshan Jin Yi Smelting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CID000628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Hezhou Jinwei Tin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CID000720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Hongqiao Metals (Kunshan)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CID002635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CID002844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Jean Goldschmidt International (JGI Hydrometal)</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CID000835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 Xi Jia Wang Technology Tin Products Environmental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CID000841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404"/>
        </w:trPr>
        <w:tc>
          <w:tcPr>
            <w:tcW w:w="86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49"/>
        </w:trPr>
        <w:tc>
          <w:tcPr>
            <w:tcW w:w="8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17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CID001231</w:t>
            </w:r>
          </w:p>
        </w:tc>
        <w:tc>
          <w:tcPr>
            <w:tcW w:w="11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93"/>
        </w:trPr>
        <w:tc>
          <w:tcPr>
            <w:tcW w:w="86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Jiangxi Yaosheng Tungsten Co., Ltd.</w:t>
            </w:r>
          </w:p>
        </w:tc>
        <w:tc>
          <w:tcPr>
            <w:tcW w:w="178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CID002819</w:t>
            </w:r>
          </w:p>
        </w:tc>
        <w:tc>
          <w:tcPr>
            <w:tcW w:w="11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Kai Unita Trade Limited Liability Company</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CID000942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LIAN JING</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CID002281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Longnan Chuangyue Environmental Protection Technology</w:t>
            </w: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CID004796</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60" w:type="dxa"/>
            <w:vAlign w:val="bottom"/>
            <w:tcBorders>
              <w:right w:val="single" w:sz="8" w:color="auto"/>
            </w:tcBorders>
            <w:vMerge w:val="continue"/>
          </w:tcPr>
          <w:p>
            <w:pPr>
              <w:spacing w:after="0"/>
              <w:rPr>
                <w:sz w:val="10"/>
                <w:szCs w:val="10"/>
                <w:color w:val="auto"/>
              </w:rPr>
            </w:pPr>
          </w:p>
        </w:tc>
        <w:tc>
          <w:tcPr>
            <w:tcW w:w="4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Development Co., Ltd</w:t>
            </w:r>
          </w:p>
        </w:tc>
        <w:tc>
          <w:tcPr>
            <w:tcW w:w="1780" w:type="dxa"/>
            <w:vAlign w:val="bottom"/>
            <w:tcBorders>
              <w:right w:val="single" w:sz="8" w:color="auto"/>
            </w:tcBorders>
            <w:vMerge w:val="continue"/>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vMerge w:val="continue"/>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Luna Smelter,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RWANDA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CID003387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 An Shan Shu Guang Smelter Corp.</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CID001098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CID002468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CID001105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CID004434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Materials Eco-Refining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CID001112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Melt Metais e Ligas S.A.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Metahub Industries Sdn. Bhd.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CID001136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64"/>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Metallic Resources, Inc.</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CID001142</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Minchali Metal Industry Co., Ltd.</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CID001172</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OF CHINA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Mineracao Taboca S.A.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CID001173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Ming Li Jia smelt Metal Factory</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CID001177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CONGO,</w:t>
            </w:r>
          </w:p>
        </w:tc>
        <w:tc>
          <w:tcPr>
            <w:tcW w:w="26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DEMOCRATIC</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CID004065</w:t>
            </w: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Borders>
              <w:bottom w:val="single" w:sz="8" w:color="auto"/>
              <w:right w:val="single" w:sz="8" w:color="auto"/>
            </w:tcBorders>
          </w:tcPr>
          <w:p>
            <w:pPr>
              <w:spacing w:after="0"/>
              <w:rPr>
                <w:sz w:val="20"/>
                <w:szCs w:val="20"/>
                <w:color w:val="auto"/>
              </w:rPr>
            </w:pPr>
          </w:p>
        </w:tc>
        <w:tc>
          <w:tcPr>
            <w:tcW w:w="48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REPUBLIC OF THE</w:t>
            </w:r>
          </w:p>
        </w:tc>
        <w:tc>
          <w:tcPr>
            <w:tcW w:w="26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Minsur</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PERU</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CID001182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CID001191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Modeltech Sdn Bhd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CID002858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CID002573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Novosibirsk Tin Combine</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CID001305</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60" w:type="dxa"/>
            <w:vAlign w:val="bottom"/>
            <w:tcBorders>
              <w:right w:val="single" w:sz="8" w:color="auto"/>
            </w:tcBorders>
            <w:vMerge w:val="continue"/>
          </w:tcPr>
          <w:p>
            <w:pPr>
              <w:spacing w:after="0"/>
              <w:rPr>
                <w:sz w:val="10"/>
                <w:szCs w:val="10"/>
                <w:color w:val="auto"/>
              </w:rPr>
            </w:pPr>
          </w:p>
        </w:tc>
        <w:tc>
          <w:tcPr>
            <w:tcW w:w="48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FEDERATION</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CID001314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PHILIPPINES</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CID002517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BOLIVIA</w:t>
            </w:r>
          </w:p>
        </w:tc>
        <w:tc>
          <w:tcPr>
            <w:tcW w:w="26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(PLURINATIONAL</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CID001337</w:t>
            </w: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Borders>
              <w:bottom w:val="single" w:sz="8" w:color="auto"/>
              <w:right w:val="single" w:sz="8" w:color="auto"/>
            </w:tcBorders>
          </w:tcPr>
          <w:p>
            <w:pPr>
              <w:spacing w:after="0"/>
              <w:rPr>
                <w:sz w:val="20"/>
                <w:szCs w:val="20"/>
                <w:color w:val="auto"/>
              </w:rPr>
            </w:pPr>
          </w:p>
        </w:tc>
        <w:tc>
          <w:tcPr>
            <w:tcW w:w="48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STATE OF)</w:t>
            </w:r>
          </w:p>
        </w:tc>
        <w:tc>
          <w:tcPr>
            <w:tcW w:w="26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64"/>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 Kay Metal, Inc</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CID005189</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Pongpipat Company Limited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MYANMAR</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CID003208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CID003409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CID000309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Arsed Indonesia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CID005067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Artha Cipta Langgeng</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CID001399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Babel Inti Perkasa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CID001402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CID001406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Bangka Prima Tin</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CID002776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Bangka Serumpun</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CID003205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Bangka Tin Industry</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CID001419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Belitung Industri Sejahtera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CID001421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Bukit Timah</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CID001428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Cipta Persada Mulia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CID002696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Menara Cipta Mulia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CID002835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Mitra Graha Raya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CID004685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Mitra Stania Prima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CID001453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CID003449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404"/>
        </w:trPr>
        <w:tc>
          <w:tcPr>
            <w:tcW w:w="86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49"/>
        </w:trPr>
        <w:tc>
          <w:tcPr>
            <w:tcW w:w="8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Premium Tin Indonesia</w:t>
            </w:r>
          </w:p>
        </w:tc>
        <w:tc>
          <w:tcPr>
            <w:tcW w:w="17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CID000313</w:t>
            </w:r>
          </w:p>
        </w:tc>
        <w:tc>
          <w:tcPr>
            <w:tcW w:w="11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93"/>
        </w:trPr>
        <w:tc>
          <w:tcPr>
            <w:tcW w:w="86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PT Prima Timah Utama</w:t>
            </w:r>
          </w:p>
        </w:tc>
        <w:tc>
          <w:tcPr>
            <w:tcW w:w="178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CID001458</w:t>
            </w:r>
          </w:p>
        </w:tc>
        <w:tc>
          <w:tcPr>
            <w:tcW w:w="11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CID003868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Rajawali Rimba Perkasa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CID003381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Rajehan Ariq</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CID002593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Refined Bangka Tin</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CID001460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Sariwiguna Binasentosa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CID001463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Stanindo Inti Perkasa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CID001468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Sukses Inti Makmur (SIM)</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CID002816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Timah Nusantara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CID001486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Timah Tbk Kundur</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CID001477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Timah Tbk Mentok</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CID001482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Tinindo Inter Nusa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CID001490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Tirus Putra Mandiri</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CID002478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Tommy Utama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CID001493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CID002706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Rian Resources SDN. BHD.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CID003581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RIKAYAA GREENTECH PRIVATE LIMITED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CID004692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63"/>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Rui Da Hung</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CID001539</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OF CHINA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Shan Tou Shi Yong Yuan Jin Shu Zai Sheng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CID001606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Shangrao Xuri Smelting Factory</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CID001648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Shenzhen Hong Chang Metal Manufacturing Factory</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CID001694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Sichuan Guanghan Jiangnan casting smelters</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CID001731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Sigma Tin Alloy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CID002408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CID000315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CID000357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CID001457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CID002428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CID003379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CID003380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Soft Metais Ltda.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CID001758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Super Ligas</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CID002756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Suzhou Nuonengda Chemical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CID001822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Takehara PVD Materials Plant / PVD Materials Division of</w:t>
            </w: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CID004403</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60" w:type="dxa"/>
            <w:vAlign w:val="bottom"/>
            <w:tcBorders>
              <w:right w:val="single" w:sz="8" w:color="auto"/>
            </w:tcBorders>
            <w:vMerge w:val="continue"/>
          </w:tcPr>
          <w:p>
            <w:pPr>
              <w:spacing w:after="0"/>
              <w:rPr>
                <w:sz w:val="10"/>
                <w:szCs w:val="10"/>
                <w:color w:val="auto"/>
              </w:rPr>
            </w:pPr>
          </w:p>
        </w:tc>
        <w:tc>
          <w:tcPr>
            <w:tcW w:w="4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MITSUI MINING &amp; SMELTING CO., LTD.</w:t>
            </w:r>
          </w:p>
        </w:tc>
        <w:tc>
          <w:tcPr>
            <w:tcW w:w="1780" w:type="dxa"/>
            <w:vAlign w:val="bottom"/>
            <w:tcBorders>
              <w:right w:val="single" w:sz="8" w:color="auto"/>
            </w:tcBorders>
            <w:vMerge w:val="continue"/>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vMerge w:val="continue"/>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Thaisarco</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CID001898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 PLATING GEJIU</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CID001932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CID002180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64"/>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CID003325</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Top-Team Technology (Shenzhen)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CID001954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Tratho Metal Química Ltda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CID003474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Tuyen Quang Non-Ferrous Metals Joint Stock Company</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CID002574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CID002015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CID002036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UGANDA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CID004724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WUJIANG CITY LUXE TIN FACTORY</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CID002057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Xin Furukawa Metal ( Wuxi )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CID002090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XURI</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CID002099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Yifeng Tin</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CID002121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Yuecheng Tin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CID002147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CID002158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Yunnan Chengo Electric Smelting Plant</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CID002162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404"/>
        </w:trPr>
        <w:tc>
          <w:tcPr>
            <w:tcW w:w="86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1" w:right="339" w:bottom="1122"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49"/>
        </w:trPr>
        <w:tc>
          <w:tcPr>
            <w:tcW w:w="8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Yunnan Copper Zinc Industry Co., Ltd.</w:t>
            </w:r>
          </w:p>
        </w:tc>
        <w:tc>
          <w:tcPr>
            <w:tcW w:w="17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CID002164</w:t>
            </w:r>
          </w:p>
        </w:tc>
        <w:tc>
          <w:tcPr>
            <w:tcW w:w="11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93"/>
        </w:trPr>
        <w:tc>
          <w:tcPr>
            <w:tcW w:w="86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Yunnan Industrial Co., Ltd.</w:t>
            </w:r>
          </w:p>
        </w:tc>
        <w:tc>
          <w:tcPr>
            <w:tcW w:w="178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CID002173</w:t>
            </w:r>
          </w:p>
        </w:tc>
        <w:tc>
          <w:tcPr>
            <w:tcW w:w="11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Yunnan Malipo Baiyi Kuangye Co.</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CID002309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CID003397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A.L.M.T. Corp.</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CID000004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ACL Metais Eireli</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CID002833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CID003427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Artek LLC</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CID003553</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60" w:type="dxa"/>
            <w:vAlign w:val="bottom"/>
            <w:tcBorders>
              <w:right w:val="single" w:sz="8" w:color="auto"/>
            </w:tcBorders>
            <w:vMerge w:val="continue"/>
          </w:tcPr>
          <w:p>
            <w:pPr>
              <w:spacing w:after="0"/>
              <w:rPr>
                <w:sz w:val="10"/>
                <w:szCs w:val="10"/>
                <w:color w:val="auto"/>
              </w:rPr>
            </w:pPr>
          </w:p>
        </w:tc>
        <w:tc>
          <w:tcPr>
            <w:tcW w:w="48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FEDERATION</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UNITED KINGDOM</w:t>
            </w:r>
          </w:p>
        </w:tc>
        <w:tc>
          <w:tcPr>
            <w:tcW w:w="26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Avon Specialty Metals Ltd.</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OF GREAT BRITAIN</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CID002704</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860" w:type="dxa"/>
            <w:vAlign w:val="bottom"/>
            <w:tcBorders>
              <w:right w:val="single" w:sz="8" w:color="auto"/>
            </w:tcBorders>
          </w:tcPr>
          <w:p>
            <w:pPr>
              <w:spacing w:after="0"/>
              <w:rPr>
                <w:sz w:val="12"/>
                <w:szCs w:val="12"/>
                <w:color w:val="auto"/>
              </w:rPr>
            </w:pPr>
          </w:p>
        </w:tc>
        <w:tc>
          <w:tcPr>
            <w:tcW w:w="48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line="144" w:lineRule="exact"/>
              <w:rPr>
                <w:sz w:val="20"/>
                <w:szCs w:val="20"/>
                <w:color w:val="auto"/>
              </w:rPr>
            </w:pPr>
            <w:r>
              <w:rPr>
                <w:rFonts w:ascii="Times New Roman" w:cs="Times New Roman" w:eastAsia="Times New Roman" w:hAnsi="Times New Roman"/>
                <w:sz w:val="16"/>
                <w:szCs w:val="16"/>
                <w:color w:val="auto"/>
              </w:rPr>
              <w:t>AND NORTHERN</w:t>
            </w:r>
          </w:p>
        </w:tc>
        <w:tc>
          <w:tcPr>
            <w:tcW w:w="26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860" w:type="dxa"/>
            <w:vAlign w:val="bottom"/>
            <w:tcBorders>
              <w:bottom w:val="single" w:sz="8" w:color="auto"/>
              <w:right w:val="single" w:sz="8" w:color="auto"/>
            </w:tcBorders>
          </w:tcPr>
          <w:p>
            <w:pPr>
              <w:spacing w:after="0"/>
              <w:rPr>
                <w:sz w:val="20"/>
                <w:szCs w:val="20"/>
                <w:color w:val="auto"/>
              </w:rPr>
            </w:pPr>
          </w:p>
        </w:tc>
        <w:tc>
          <w:tcPr>
            <w:tcW w:w="48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IRELAND</w:t>
            </w:r>
          </w:p>
        </w:tc>
        <w:tc>
          <w:tcPr>
            <w:tcW w:w="26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CID002641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CID000258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CNMC (Guangxi) PGMA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CID000281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Cronimet Brasil Ltda</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CID003468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DONGKUK INDUSTRIES CO., LTD.</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KOREA, REPUBLIC</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CID004060</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60" w:type="dxa"/>
            <w:vAlign w:val="bottom"/>
            <w:tcBorders>
              <w:right w:val="single" w:sz="8" w:color="auto"/>
            </w:tcBorders>
            <w:vMerge w:val="continue"/>
          </w:tcPr>
          <w:p>
            <w:pPr>
              <w:spacing w:after="0"/>
              <w:rPr>
                <w:sz w:val="10"/>
                <w:szCs w:val="10"/>
                <w:color w:val="auto"/>
              </w:rPr>
            </w:pPr>
          </w:p>
        </w:tc>
        <w:tc>
          <w:tcPr>
            <w:tcW w:w="48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CID003609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Ganzhou Beseem Ferrotungsten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CID002644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Ganzhou Haichuang Tungsten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CID002645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CID002315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CID002494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Ganzhou Sunny Non-Ferrous Metals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CID003580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64"/>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CID000568</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CID000218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H.C. Starck Tungsten GmbH</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HANNAE FOR T Co., Ltd.</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KOREA, REPUBLIC</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CID003978</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60" w:type="dxa"/>
            <w:vAlign w:val="bottom"/>
            <w:tcBorders>
              <w:right w:val="single" w:sz="8" w:color="auto"/>
            </w:tcBorders>
            <w:vMerge w:val="continue"/>
          </w:tcPr>
          <w:p>
            <w:pPr>
              <w:spacing w:after="0"/>
              <w:rPr>
                <w:sz w:val="10"/>
                <w:szCs w:val="10"/>
                <w:color w:val="auto"/>
              </w:rPr>
            </w:pPr>
          </w:p>
        </w:tc>
        <w:tc>
          <w:tcPr>
            <w:tcW w:w="48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CID003417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CID000766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CID000769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Hunan Shizhuyuan Nonferrous Metals Co., Ltd. Chenzhou</w:t>
            </w: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CID002513</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60" w:type="dxa"/>
            <w:vAlign w:val="bottom"/>
            <w:tcBorders>
              <w:bottom w:val="single" w:sz="8" w:color="auto"/>
              <w:right w:val="single" w:sz="8" w:color="auto"/>
            </w:tcBorders>
            <w:vMerge w:val="continue"/>
          </w:tcPr>
          <w:p>
            <w:pPr>
              <w:spacing w:after="0"/>
              <w:rPr>
                <w:sz w:val="20"/>
                <w:szCs w:val="20"/>
                <w:color w:val="auto"/>
              </w:rPr>
            </w:pP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 Products Branch</w:t>
            </w:r>
          </w:p>
        </w:tc>
        <w:tc>
          <w:tcPr>
            <w:tcW w:w="178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vMerge w:val="continue"/>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Hydrometallurg, JSC</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CID002649</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60" w:type="dxa"/>
            <w:vAlign w:val="bottom"/>
            <w:tcBorders>
              <w:right w:val="single" w:sz="8" w:color="auto"/>
            </w:tcBorders>
            <w:vMerge w:val="continue"/>
          </w:tcPr>
          <w:p>
            <w:pPr>
              <w:spacing w:after="0"/>
              <w:rPr>
                <w:sz w:val="10"/>
                <w:szCs w:val="10"/>
                <w:color w:val="auto"/>
              </w:rPr>
            </w:pPr>
          </w:p>
        </w:tc>
        <w:tc>
          <w:tcPr>
            <w:tcW w:w="48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FEDERATION</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 New Metals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CID000825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CID002551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CID002321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CID002313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CID002318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CID002317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CID002316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64"/>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Jing Yuan Tungsten Technology Co., Ltd.</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CID005012</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OF CHINA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CID003408</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60" w:type="dxa"/>
            <w:vAlign w:val="bottom"/>
            <w:tcBorders>
              <w:right w:val="single" w:sz="8" w:color="auto"/>
            </w:tcBorders>
            <w:vMerge w:val="continue"/>
          </w:tcPr>
          <w:p>
            <w:pPr>
              <w:spacing w:after="0"/>
              <w:rPr>
                <w:sz w:val="10"/>
                <w:szCs w:val="10"/>
                <w:color w:val="auto"/>
              </w:rPr>
            </w:pPr>
          </w:p>
        </w:tc>
        <w:tc>
          <w:tcPr>
            <w:tcW w:w="48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FEDERATION</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CID004619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404"/>
        </w:trPr>
        <w:tc>
          <w:tcPr>
            <w:tcW w:w="86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87"/>
        </w:trPr>
        <w:tc>
          <w:tcPr>
            <w:tcW w:w="86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Kennametal Fallon</w:t>
            </w:r>
          </w:p>
        </w:tc>
        <w:tc>
          <w:tcPr>
            <w:tcW w:w="17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CID000966</w:t>
            </w:r>
          </w:p>
        </w:tc>
        <w:tc>
          <w:tcPr>
            <w:tcW w:w="112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79"/>
        </w:trPr>
        <w:tc>
          <w:tcPr>
            <w:tcW w:w="860" w:type="dxa"/>
            <w:vAlign w:val="bottom"/>
            <w:tcBorders>
              <w:left w:val="single" w:sz="8" w:color="auto"/>
              <w:bottom w:val="single" w:sz="8" w:color="auto"/>
              <w:right w:val="single" w:sz="8" w:color="auto"/>
            </w:tcBorders>
          </w:tcPr>
          <w:p>
            <w:pPr>
              <w:spacing w:after="0"/>
              <w:rPr>
                <w:sz w:val="15"/>
                <w:szCs w:val="15"/>
                <w:color w:val="auto"/>
              </w:rPr>
            </w:pPr>
          </w:p>
        </w:tc>
        <w:tc>
          <w:tcPr>
            <w:tcW w:w="4820" w:type="dxa"/>
            <w:vAlign w:val="bottom"/>
            <w:tcBorders>
              <w:bottom w:val="single" w:sz="8" w:color="auto"/>
              <w:right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line="159"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Kennametal Huntsville</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CID000105</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Lianyou Metals Co., Ltd.</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CID003407</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OF CHINA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Lianyou Resources Co., Ltd.</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CID004397</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OF CHINA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LLC Vostok</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CID003643</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60" w:type="dxa"/>
            <w:vAlign w:val="bottom"/>
            <w:tcBorders>
              <w:right w:val="single" w:sz="8" w:color="auto"/>
            </w:tcBorders>
            <w:vMerge w:val="continue"/>
          </w:tcPr>
          <w:p>
            <w:pPr>
              <w:spacing w:after="0"/>
              <w:rPr>
                <w:sz w:val="10"/>
                <w:szCs w:val="10"/>
                <w:color w:val="auto"/>
              </w:rPr>
            </w:pPr>
          </w:p>
        </w:tc>
        <w:tc>
          <w:tcPr>
            <w:tcW w:w="48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FEDERATION</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MALAMET SMELTING SDN. BHD.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CID004056</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CID002319</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Masan High-Tech Materials</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Moliren Ltd.</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CID002845</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60" w:type="dxa"/>
            <w:vAlign w:val="bottom"/>
            <w:tcBorders>
              <w:right w:val="single" w:sz="8" w:color="auto"/>
            </w:tcBorders>
            <w:vMerge w:val="continue"/>
          </w:tcPr>
          <w:p>
            <w:pPr>
              <w:spacing w:after="0"/>
              <w:rPr>
                <w:sz w:val="10"/>
                <w:szCs w:val="10"/>
                <w:color w:val="auto"/>
              </w:rPr>
            </w:pPr>
          </w:p>
        </w:tc>
        <w:tc>
          <w:tcPr>
            <w:tcW w:w="48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FEDERATION</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CID004034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63"/>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Niagara Refining LLC</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CID002589</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NPP Tyazhmetprom LLC</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CID003416</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60" w:type="dxa"/>
            <w:vAlign w:val="bottom"/>
            <w:tcBorders>
              <w:right w:val="single" w:sz="8" w:color="auto"/>
            </w:tcBorders>
            <w:vMerge w:val="continue"/>
          </w:tcPr>
          <w:p>
            <w:pPr>
              <w:spacing w:after="0"/>
              <w:rPr>
                <w:sz w:val="10"/>
                <w:szCs w:val="10"/>
                <w:color w:val="auto"/>
              </w:rPr>
            </w:pPr>
          </w:p>
        </w:tc>
        <w:tc>
          <w:tcPr>
            <w:tcW w:w="48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FEDERATION</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OOO “Technolom” 1</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CID003614</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60" w:type="dxa"/>
            <w:vAlign w:val="bottom"/>
            <w:tcBorders>
              <w:right w:val="single" w:sz="8" w:color="auto"/>
            </w:tcBorders>
            <w:vMerge w:val="continue"/>
          </w:tcPr>
          <w:p>
            <w:pPr>
              <w:spacing w:after="0"/>
              <w:rPr>
                <w:sz w:val="10"/>
                <w:szCs w:val="10"/>
                <w:color w:val="auto"/>
              </w:rPr>
            </w:pPr>
          </w:p>
        </w:tc>
        <w:tc>
          <w:tcPr>
            <w:tcW w:w="48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FEDERATION</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OOO “Technolom” 2</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CID003612</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60" w:type="dxa"/>
            <w:vAlign w:val="bottom"/>
            <w:tcBorders>
              <w:right w:val="single" w:sz="8" w:color="auto"/>
            </w:tcBorders>
            <w:vMerge w:val="continue"/>
          </w:tcPr>
          <w:p>
            <w:pPr>
              <w:spacing w:after="0"/>
              <w:rPr>
                <w:sz w:val="10"/>
                <w:szCs w:val="10"/>
                <w:color w:val="auto"/>
              </w:rPr>
            </w:pPr>
          </w:p>
        </w:tc>
        <w:tc>
          <w:tcPr>
            <w:tcW w:w="48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FEDERATION</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 Bonway Manufacturing Industrial Corporation</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PHILIPPINES</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CID004797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PHILIPPINES</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CID004438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PHILIPPINES</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CID002827</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S.P.T. spol.s r.o.</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CZECHIA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CID005068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CID004430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CID000875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63"/>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CID001116</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AMERICA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CID001181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CID001195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CID001280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CID001371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CID001470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CID001485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64"/>
        </w:trPr>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CID001764</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OF CHINA</w:t>
            </w:r>
          </w:p>
        </w:tc>
        <w:tc>
          <w:tcPr>
            <w:tcW w:w="26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CID001801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CID001901</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CID002235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CID002538</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UZBEKISTAN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CID002660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Tungamoy Metals Inc.</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KOREA, REPUBLIC</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CID005248</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60" w:type="dxa"/>
            <w:vAlign w:val="bottom"/>
            <w:tcBorders>
              <w:right w:val="single" w:sz="8" w:color="auto"/>
            </w:tcBorders>
            <w:vMerge w:val="continue"/>
          </w:tcPr>
          <w:p>
            <w:pPr>
              <w:spacing w:after="0"/>
              <w:rPr>
                <w:sz w:val="10"/>
                <w:szCs w:val="10"/>
                <w:color w:val="auto"/>
              </w:rPr>
            </w:pPr>
          </w:p>
        </w:tc>
        <w:tc>
          <w:tcPr>
            <w:tcW w:w="48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CID003993</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91"/>
        </w:trPr>
        <w:tc>
          <w:tcPr>
            <w:tcW w:w="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1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CID002724</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60" w:type="dxa"/>
            <w:vAlign w:val="bottom"/>
            <w:tcBorders>
              <w:right w:val="single" w:sz="8" w:color="auto"/>
            </w:tcBorders>
            <w:vMerge w:val="continue"/>
          </w:tcPr>
          <w:p>
            <w:pPr>
              <w:spacing w:after="0"/>
              <w:rPr>
                <w:sz w:val="10"/>
                <w:szCs w:val="10"/>
                <w:color w:val="auto"/>
              </w:rPr>
            </w:pPr>
          </w:p>
        </w:tc>
        <w:tc>
          <w:tcPr>
            <w:tcW w:w="48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FEDERATION</w:t>
            </w:r>
          </w:p>
        </w:tc>
        <w:tc>
          <w:tcPr>
            <w:tcW w:w="26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Indeterminable</w:t>
            </w: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AUSTRIA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CID002044</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Xiamen Tungsten (H.C.)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CID002320</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c>
          <w:tcPr>
            <w:tcW w:w="0" w:type="dxa"/>
            <w:vAlign w:val="bottom"/>
          </w:tcPr>
          <w:p>
            <w:pPr>
              <w:spacing w:after="0"/>
              <w:rPr>
                <w:sz w:val="1"/>
                <w:szCs w:val="1"/>
                <w:color w:val="auto"/>
              </w:rPr>
            </w:pPr>
          </w:p>
        </w:tc>
      </w:tr>
      <w:tr>
        <w:trPr>
          <w:trHeight w:val="1404"/>
        </w:trPr>
        <w:tc>
          <w:tcPr>
            <w:tcW w:w="86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49"/>
        </w:trPr>
        <w:tc>
          <w:tcPr>
            <w:tcW w:w="8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Xiamen Tungsten Co., Ltd.</w:t>
            </w:r>
          </w:p>
        </w:tc>
        <w:tc>
          <w:tcPr>
            <w:tcW w:w="17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CID002082</w:t>
            </w:r>
          </w:p>
        </w:tc>
        <w:tc>
          <w:tcPr>
            <w:tcW w:w="11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193"/>
        </w:trPr>
        <w:tc>
          <w:tcPr>
            <w:tcW w:w="86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YUDU ANSHENG TUNGSTEN CO., LTD.</w:t>
            </w:r>
          </w:p>
        </w:tc>
        <w:tc>
          <w:tcPr>
            <w:tcW w:w="178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CID003662</w:t>
            </w:r>
          </w:p>
        </w:tc>
        <w:tc>
          <w:tcPr>
            <w:tcW w:w="11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w w:val="99"/>
              </w:rPr>
              <w:t>Indeterminable</w:t>
            </w:r>
          </w:p>
        </w:tc>
      </w:tr>
      <w:tr>
        <w:trPr>
          <w:trHeight w:val="210"/>
        </w:trPr>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Zhangzhou Chuen Bao Apt Smeltery Co., Ltd.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CID002195</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Indeterminable</w:t>
            </w: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37" w:lineRule="exact"/>
        <w:rPr>
          <w:sz w:val="20"/>
          <w:szCs w:val="20"/>
          <w:color w:val="auto"/>
        </w:rPr>
      </w:pPr>
    </w:p>
    <w:p>
      <w:pPr>
        <w:jc w:val="both"/>
        <w:ind w:firstLine="904"/>
        <w:spacing w:after="0" w:line="281" w:lineRule="auto"/>
        <w:rPr>
          <w:sz w:val="20"/>
          <w:szCs w:val="20"/>
          <w:color w:val="auto"/>
        </w:rPr>
      </w:pPr>
      <w:r>
        <w:rPr>
          <w:rFonts w:ascii="Times New Roman" w:cs="Times New Roman" w:eastAsia="Times New Roman" w:hAnsi="Times New Roman"/>
          <w:sz w:val="16"/>
          <w:szCs w:val="16"/>
          <w:color w:val="auto"/>
        </w:rPr>
        <w:t>Statements relating to further risk mitigation are forward-looking in nature and are based on our current expectations or beliefs. These forward-looking statements are not a guarantee of performance and are subject to a number of uncertainties and other factors that may be outside of our control and which could cause actual events to differ materially from those expressed or implied by the statements made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3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
      <w:numFmt w:val="bullet"/>
      <w:start w:val="1"/>
    </w:lvl>
    <w:lvl w:ilvl="1">
      <w:lvlJc w:val="left"/>
      <w:lvlText w:val="o"/>
      <w:numFmt w:val="bullet"/>
      <w:start w:val="1"/>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2026-06-01T16:16:05Z</dcterms:created>
  <dcterms:modified xsi:type="dcterms:W3CDTF">2026-06-01T16:16:05Z</dcterms:modified>
</cp:coreProperties>
</file>