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894080</wp:posOffset>
            </wp:positionH>
            <wp:positionV relativeFrom="page">
              <wp:posOffset>782955</wp:posOffset>
            </wp:positionV>
            <wp:extent cx="57607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607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99060</wp:posOffset>
            </wp:positionV>
            <wp:extent cx="8229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6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109855</wp:posOffset>
            </wp:positionV>
            <wp:extent cx="8229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80" w:lineRule="exact"/>
        <w:rPr>
          <w:sz w:val="24"/>
          <w:szCs w:val="24"/>
          <w:color w:val="auto"/>
        </w:rPr>
      </w:pPr>
    </w:p>
    <w:p>
      <w:pPr>
        <w:ind w:right="2120" w:firstLine="8"/>
        <w:spacing w:after="0" w:line="277" w:lineRule="auto"/>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 For the fiscal year ended December 28, 2024</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2"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27" w:lineRule="exact"/>
        <w:rPr>
          <w:sz w:val="24"/>
          <w:szCs w:val="24"/>
          <w:color w:val="auto"/>
        </w:rPr>
      </w:pPr>
    </w:p>
    <w:tbl>
      <w:tblPr>
        <w:tblLayout w:type="fixed"/>
        <w:tblInd w:w="2880" w:type="dxa"/>
        <w:tblCellMar>
          <w:top w:w="0" w:type="dxa"/>
          <w:left w:w="0" w:type="dxa"/>
          <w:bottom w:w="0" w:type="dxa"/>
          <w:right w:w="0" w:type="dxa"/>
        </w:tblCellMar>
      </w:tblPr>
      <w:tr>
        <w:trPr>
          <w:trHeight w:val="149"/>
        </w:trPr>
        <w:tc>
          <w:tcPr>
            <w:tcW w:w="1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For the transition period from</w:t>
            </w:r>
          </w:p>
        </w:tc>
        <w:tc>
          <w:tcPr>
            <w:tcW w:w="700" w:type="dxa"/>
            <w:vAlign w:val="bottom"/>
            <w:tcBorders>
              <w:bottom w:val="single" w:sz="8" w:color="auto"/>
            </w:tcBorders>
          </w:tcPr>
          <w:p>
            <w:pPr>
              <w:spacing w:after="0"/>
              <w:rPr>
                <w:sz w:val="12"/>
                <w:szCs w:val="12"/>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w:t>
            </w:r>
          </w:p>
        </w:tc>
        <w:tc>
          <w:tcPr>
            <w:tcW w:w="680" w:type="dxa"/>
            <w:vAlign w:val="bottom"/>
            <w:tcBorders>
              <w:bottom w:val="single" w:sz="8" w:color="auto"/>
            </w:tcBorders>
          </w:tcPr>
          <w:p>
            <w:pPr>
              <w:spacing w:after="0"/>
              <w:rPr>
                <w:sz w:val="12"/>
                <w:szCs w:val="1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0"/>
              </w:rPr>
              <w:t>.</w:t>
            </w:r>
          </w:p>
        </w:tc>
      </w:tr>
      <w:tr>
        <w:trPr>
          <w:trHeight w:val="196"/>
        </w:trPr>
        <w:tc>
          <w:tcPr>
            <w:tcW w:w="3300" w:type="dxa"/>
            <w:vAlign w:val="bottom"/>
            <w:gridSpan w:val="4"/>
          </w:tcPr>
          <w:p>
            <w:pPr>
              <w:ind w:left="660"/>
              <w:spacing w:after="0"/>
              <w:rPr>
                <w:sz w:val="20"/>
                <w:szCs w:val="20"/>
                <w:color w:val="auto"/>
              </w:rPr>
            </w:pPr>
            <w:r>
              <w:rPr>
                <w:rFonts w:ascii="Times New Roman" w:cs="Times New Roman" w:eastAsia="Times New Roman" w:hAnsi="Times New Roman"/>
                <w:sz w:val="13"/>
                <w:szCs w:val="13"/>
                <w:b w:val="1"/>
                <w:bCs w:val="1"/>
                <w:color w:val="auto"/>
              </w:rPr>
              <w:t>Commission File Number 0-27598</w:t>
            </w:r>
          </w:p>
        </w:tc>
        <w:tc>
          <w:tcPr>
            <w:tcW w:w="4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86360</wp:posOffset>
            </wp:positionV>
            <wp:extent cx="8229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9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6"/>
          <w:szCs w:val="36"/>
          <w:b w:val="1"/>
          <w:bCs w:val="1"/>
          <w:color w:val="auto"/>
        </w:rPr>
        <w:t>IRIDEX CORPORATION</w:t>
      </w:r>
    </w:p>
    <w:p>
      <w:pPr>
        <w:spacing w:after="0" w:line="50" w:lineRule="exact"/>
        <w:rPr>
          <w:sz w:val="24"/>
          <w:szCs w:val="24"/>
          <w:color w:val="auto"/>
        </w:rPr>
      </w:pPr>
    </w:p>
    <w:tbl>
      <w:tblPr>
        <w:tblLayout w:type="fixed"/>
        <w:tblInd w:w="400" w:type="dxa"/>
        <w:tblCellMar>
          <w:top w:w="0" w:type="dxa"/>
          <w:left w:w="0" w:type="dxa"/>
          <w:bottom w:w="0" w:type="dxa"/>
          <w:right w:w="0" w:type="dxa"/>
        </w:tblCellMar>
      </w:tblPr>
      <w:tr>
        <w:trPr>
          <w:trHeight w:val="178"/>
        </w:trPr>
        <w:tc>
          <w:tcPr>
            <w:tcW w:w="2440" w:type="dxa"/>
            <w:vAlign w:val="bottom"/>
          </w:tcPr>
          <w:p>
            <w:pPr>
              <w:spacing w:after="0"/>
              <w:rPr>
                <w:sz w:val="15"/>
                <w:szCs w:val="15"/>
                <w:color w:val="auto"/>
              </w:rPr>
            </w:pPr>
          </w:p>
        </w:tc>
        <w:tc>
          <w:tcPr>
            <w:tcW w:w="342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2440" w:type="dxa"/>
            <w:vAlign w:val="bottom"/>
            <w:vMerge w:val="restart"/>
          </w:tcPr>
          <w:p>
            <w:pPr>
              <w:jc w:val="center"/>
              <w:ind w:left="123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0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1640" w:type="dxa"/>
            <w:vAlign w:val="bottom"/>
            <w:vMerge w:val="restart"/>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77-0210467</w:t>
            </w:r>
          </w:p>
        </w:tc>
        <w:tc>
          <w:tcPr>
            <w:tcW w:w="0" w:type="dxa"/>
            <w:vAlign w:val="bottom"/>
          </w:tcPr>
          <w:p>
            <w:pPr>
              <w:spacing w:after="0"/>
              <w:rPr>
                <w:sz w:val="1"/>
                <w:szCs w:val="1"/>
                <w:color w:val="auto"/>
              </w:rPr>
            </w:pPr>
          </w:p>
        </w:tc>
      </w:tr>
      <w:tr>
        <w:trPr>
          <w:trHeight w:val="193"/>
        </w:trPr>
        <w:tc>
          <w:tcPr>
            <w:tcW w:w="244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660" w:type="dxa"/>
            <w:vAlign w:val="bottom"/>
            <w:gridSpan w:val="3"/>
          </w:tcPr>
          <w:p>
            <w:pPr>
              <w:jc w:val="center"/>
              <w:ind w:left="30"/>
              <w:spacing w:after="0"/>
              <w:rPr>
                <w:sz w:val="20"/>
                <w:szCs w:val="20"/>
                <w:color w:val="auto"/>
              </w:rPr>
            </w:pPr>
            <w:r>
              <w:rPr>
                <w:rFonts w:ascii="Times New Roman" w:cs="Times New Roman" w:eastAsia="Times New Roman" w:hAnsi="Times New Roman"/>
                <w:sz w:val="13"/>
                <w:szCs w:val="13"/>
                <w:b w:val="1"/>
                <w:bCs w:val="1"/>
                <w:color w:val="auto"/>
              </w:rPr>
              <w:t>(State or other jurisdiction of incorporation or organization)</w:t>
            </w:r>
          </w:p>
        </w:tc>
        <w:tc>
          <w:tcPr>
            <w:tcW w:w="1140" w:type="dxa"/>
            <w:vAlign w:val="bottom"/>
          </w:tcPr>
          <w:p>
            <w:pPr>
              <w:spacing w:after="0"/>
              <w:rPr>
                <w:sz w:val="15"/>
                <w:szCs w:val="15"/>
                <w:color w:val="auto"/>
              </w:rPr>
            </w:pPr>
          </w:p>
        </w:tc>
        <w:tc>
          <w:tcPr>
            <w:tcW w:w="2700" w:type="dxa"/>
            <w:vAlign w:val="bottom"/>
            <w:gridSpan w:val="2"/>
          </w:tcPr>
          <w:p>
            <w:pPr>
              <w:jc w:val="center"/>
              <w:ind w:left="453"/>
              <w:spacing w:after="0"/>
              <w:rPr>
                <w:sz w:val="20"/>
                <w:szCs w:val="20"/>
                <w:color w:val="auto"/>
              </w:rPr>
            </w:pPr>
            <w:r>
              <w:rPr>
                <w:rFonts w:ascii="Times New Roman" w:cs="Times New Roman" w:eastAsia="Times New Roman" w:hAnsi="Times New Roman"/>
                <w:sz w:val="13"/>
                <w:szCs w:val="13"/>
                <w:b w:val="1"/>
                <w:bCs w:val="1"/>
                <w:color w:val="auto"/>
              </w:rPr>
              <w:t>(I.R.S. Employer Identification No.)</w:t>
            </w:r>
          </w:p>
        </w:tc>
        <w:tc>
          <w:tcPr>
            <w:tcW w:w="0" w:type="dxa"/>
            <w:vAlign w:val="bottom"/>
          </w:tcPr>
          <w:p>
            <w:pPr>
              <w:spacing w:after="0"/>
              <w:rPr>
                <w:sz w:val="1"/>
                <w:szCs w:val="1"/>
                <w:color w:val="auto"/>
              </w:rPr>
            </w:pPr>
          </w:p>
        </w:tc>
      </w:tr>
      <w:tr>
        <w:trPr>
          <w:trHeight w:val="178"/>
        </w:trPr>
        <w:tc>
          <w:tcPr>
            <w:tcW w:w="2440" w:type="dxa"/>
            <w:vAlign w:val="bottom"/>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1212 Terra Bella Avenue</w:t>
            </w: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center"/>
              <w:ind w:right="113"/>
              <w:spacing w:after="0"/>
              <w:rPr>
                <w:sz w:val="20"/>
                <w:szCs w:val="20"/>
                <w:color w:val="auto"/>
              </w:rPr>
            </w:pPr>
            <w:r>
              <w:rPr>
                <w:rFonts w:ascii="Times New Roman" w:cs="Times New Roman" w:eastAsia="Times New Roman" w:hAnsi="Times New Roman"/>
                <w:sz w:val="13"/>
                <w:szCs w:val="13"/>
                <w:b w:val="1"/>
                <w:bCs w:val="1"/>
                <w:color w:val="auto"/>
              </w:rPr>
              <w:t>(650) 940-4700</w:t>
            </w:r>
          </w:p>
        </w:tc>
        <w:tc>
          <w:tcPr>
            <w:tcW w:w="1060" w:type="dxa"/>
            <w:vAlign w:val="bottom"/>
          </w:tcPr>
          <w:p>
            <w:pPr>
              <w:spacing w:after="0"/>
              <w:rPr>
                <w:sz w:val="15"/>
                <w:szCs w:val="15"/>
                <w:color w:val="auto"/>
              </w:rPr>
            </w:pPr>
          </w:p>
        </w:tc>
        <w:tc>
          <w:tcPr>
            <w:tcW w:w="1640" w:type="dxa"/>
            <w:vAlign w:val="bottom"/>
          </w:tcPr>
          <w:p>
            <w:pPr>
              <w:jc w:val="right"/>
              <w:ind w:right="90"/>
              <w:spacing w:after="0"/>
              <w:rPr>
                <w:sz w:val="20"/>
                <w:szCs w:val="20"/>
                <w:color w:val="auto"/>
              </w:rPr>
            </w:pPr>
            <w:r>
              <w:rPr>
                <w:rFonts w:ascii="Times New Roman" w:cs="Times New Roman" w:eastAsia="Times New Roman" w:hAnsi="Times New Roman"/>
                <w:sz w:val="13"/>
                <w:szCs w:val="13"/>
                <w:b w:val="1"/>
                <w:bCs w:val="1"/>
                <w:color w:val="auto"/>
              </w:rPr>
              <w:t>94043</w:t>
            </w:r>
          </w:p>
        </w:tc>
        <w:tc>
          <w:tcPr>
            <w:tcW w:w="0" w:type="dxa"/>
            <w:vAlign w:val="bottom"/>
          </w:tcPr>
          <w:p>
            <w:pPr>
              <w:spacing w:after="0"/>
              <w:rPr>
                <w:sz w:val="1"/>
                <w:szCs w:val="1"/>
                <w:color w:val="auto"/>
              </w:rPr>
            </w:pPr>
          </w:p>
        </w:tc>
      </w:tr>
      <w:tr>
        <w:trPr>
          <w:trHeight w:val="156"/>
        </w:trPr>
        <w:tc>
          <w:tcPr>
            <w:tcW w:w="2440" w:type="dxa"/>
            <w:vAlign w:val="bottom"/>
          </w:tcPr>
          <w:p>
            <w:pPr>
              <w:jc w:val="center"/>
              <w:ind w:right="130"/>
              <w:spacing w:after="0" w:line="157" w:lineRule="exact"/>
              <w:rPr>
                <w:sz w:val="20"/>
                <w:szCs w:val="20"/>
                <w:color w:val="auto"/>
              </w:rPr>
            </w:pPr>
            <w:r>
              <w:rPr>
                <w:rFonts w:ascii="Times New Roman" w:cs="Times New Roman" w:eastAsia="Times New Roman" w:hAnsi="Times New Roman"/>
                <w:sz w:val="14"/>
                <w:szCs w:val="14"/>
                <w:b w:val="1"/>
                <w:bCs w:val="1"/>
                <w:color w:val="auto"/>
              </w:rPr>
              <w:t>Mountain View, CA</w:t>
            </w:r>
          </w:p>
        </w:tc>
        <w:tc>
          <w:tcPr>
            <w:tcW w:w="342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w:t>
            </w:r>
          </w:p>
        </w:tc>
        <w:tc>
          <w:tcPr>
            <w:tcW w:w="1640" w:type="dxa"/>
            <w:vAlign w:val="bottom"/>
          </w:tcPr>
          <w:p>
            <w:pPr>
              <w:jc w:val="center"/>
              <w:ind w:left="910"/>
              <w:spacing w:after="0" w:line="157" w:lineRule="exact"/>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178"/>
        </w:trPr>
        <w:tc>
          <w:tcPr>
            <w:tcW w:w="2440" w:type="dxa"/>
            <w:vAlign w:val="bottom"/>
          </w:tcPr>
          <w:p>
            <w:pPr>
              <w:jc w:val="center"/>
              <w:ind w:right="13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code)</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Title of each class</w:t>
            </w:r>
          </w:p>
        </w:tc>
        <w:tc>
          <w:tcPr>
            <w:tcW w:w="100" w:type="dxa"/>
            <w:vAlign w:val="bottom"/>
          </w:tcPr>
          <w:p>
            <w:pPr>
              <w:spacing w:after="0"/>
              <w:rPr>
                <w:sz w:val="14"/>
                <w:szCs w:val="14"/>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Trading Symbol</w:t>
            </w:r>
          </w:p>
        </w:tc>
        <w:tc>
          <w:tcPr>
            <w:tcW w:w="80" w:type="dxa"/>
            <w:vAlign w:val="bottom"/>
          </w:tcPr>
          <w:p>
            <w:pPr>
              <w:spacing w:after="0"/>
              <w:rPr>
                <w:sz w:val="14"/>
                <w:szCs w:val="14"/>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Name of Exchange on Which Registered</w:t>
            </w:r>
          </w:p>
        </w:tc>
      </w:tr>
      <w:tr>
        <w:trPr>
          <w:trHeight w:val="168"/>
        </w:trPr>
        <w:tc>
          <w:tcPr>
            <w:tcW w:w="35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Common Stock, par value $0.01 per share</w:t>
            </w:r>
          </w:p>
        </w:tc>
        <w:tc>
          <w:tcPr>
            <w:tcW w:w="10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IRIX</w:t>
            </w:r>
          </w:p>
        </w:tc>
        <w:tc>
          <w:tcPr>
            <w:tcW w:w="80" w:type="dxa"/>
            <w:vAlign w:val="bottom"/>
          </w:tcPr>
          <w:p>
            <w:pPr>
              <w:spacing w:after="0"/>
              <w:rPr>
                <w:sz w:val="14"/>
                <w:szCs w:val="1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Nasdaq Capital Market</w:t>
            </w:r>
          </w:p>
        </w:tc>
      </w:tr>
    </w:tbl>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61595</wp:posOffset>
            </wp:positionV>
            <wp:extent cx="8229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87" w:lineRule="exact"/>
        <w:rPr>
          <w:sz w:val="24"/>
          <w:szCs w:val="24"/>
          <w:color w:val="auto"/>
        </w:rPr>
      </w:pPr>
    </w:p>
    <w:p>
      <w:pPr>
        <w:jc w:val="center"/>
        <w:ind w:right="340"/>
        <w:spacing w:after="0" w:line="150" w:lineRule="exact"/>
        <w:tabs>
          <w:tab w:leader="none" w:pos="120" w:val="left"/>
          <w:tab w:leader="none" w:pos="120" w:val="left"/>
        </w:tabs>
        <w:rPr>
          <w:sz w:val="20"/>
          <w:szCs w:val="20"/>
          <w:color w:val="auto"/>
        </w:rPr>
      </w:pPr>
      <w:r>
        <w:rPr>
          <w:rFonts w:ascii="Times New Roman" w:cs="Times New Roman" w:eastAsia="Times New Roman" w:hAnsi="Times New Roman"/>
          <w:sz w:val="13"/>
          <w:szCs w:val="13"/>
          <w:color w:val="auto"/>
        </w:rPr>
        <w:t>Indicate by check mark if the Registrant is a well-known seasoned issuer, as defined in Rule 405 of the Securities Act of 1933.</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71" w:lineRule="exact"/>
        <w:rPr>
          <w:sz w:val="24"/>
          <w:szCs w:val="24"/>
          <w:color w:val="auto"/>
        </w:rPr>
      </w:pPr>
    </w:p>
    <w:p>
      <w:pPr>
        <w:ind w:right="340" w:firstLine="44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Securities Exchange Act of 1934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60" w:firstLine="440"/>
        <w:spacing w:after="0" w:line="239" w:lineRule="auto"/>
        <w:rPr>
          <w:sz w:val="20"/>
          <w:szCs w:val="20"/>
          <w:color w:val="auto"/>
        </w:rPr>
      </w:pPr>
      <w:r>
        <w:rPr>
          <w:rFonts w:ascii="Times New Roman" w:cs="Times New Roman" w:eastAsia="Times New Roman" w:hAnsi="Times New Roman"/>
          <w:sz w:val="13"/>
          <w:szCs w:val="13"/>
          <w:color w:val="auto"/>
        </w:rPr>
        <w:t>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260" w:hanging="252"/>
        <w:spacing w:after="0" w:line="150" w:lineRule="exact"/>
        <w:tabs>
          <w:tab w:leader="none" w:pos="260" w:val="left"/>
        </w:tabs>
        <w:numPr>
          <w:ilvl w:val="0"/>
          <w:numId w:val="3"/>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38" w:lineRule="exact"/>
        <w:rPr>
          <w:sz w:val="24"/>
          <w:szCs w:val="24"/>
          <w:color w:val="auto"/>
        </w:rPr>
      </w:pPr>
    </w:p>
    <w:p>
      <w:pPr>
        <w:ind w:right="160" w:firstLine="440"/>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40" w:lineRule="exact"/>
        <w:rPr>
          <w:sz w:val="24"/>
          <w:szCs w:val="24"/>
          <w:color w:val="auto"/>
        </w:rPr>
      </w:pPr>
    </w:p>
    <w:p>
      <w:pPr>
        <w:ind w:right="160" w:firstLine="440"/>
        <w:spacing w:after="0" w:line="247"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165"/>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168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4220" w:type="dxa"/>
            <w:vAlign w:val="bottom"/>
          </w:tcPr>
          <w:p>
            <w:pPr>
              <w:ind w:left="1400"/>
              <w:spacing w:after="0"/>
              <w:rPr>
                <w:sz w:val="20"/>
                <w:szCs w:val="20"/>
                <w:color w:val="auto"/>
              </w:rPr>
            </w:pPr>
            <w:r>
              <w:rPr>
                <w:rFonts w:ascii="Times New Roman" w:cs="Times New Roman" w:eastAsia="Times New Roman" w:hAnsi="Times New Roman"/>
                <w:sz w:val="13"/>
                <w:szCs w:val="13"/>
                <w:color w:val="auto"/>
              </w:rPr>
              <w:t>Accelerated filer</w:t>
            </w:r>
          </w:p>
        </w:tc>
        <w:tc>
          <w:tcPr>
            <w:tcW w:w="1460" w:type="dxa"/>
            <w:vAlign w:val="bottom"/>
          </w:tcPr>
          <w:p>
            <w:pPr>
              <w:ind w:left="13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49"/>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168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4220" w:type="dxa"/>
            <w:vAlign w:val="bottom"/>
          </w:tcPr>
          <w:p>
            <w:pPr>
              <w:ind w:left="140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460" w:type="dxa"/>
            <w:vAlign w:val="bottom"/>
          </w:tcPr>
          <w:p>
            <w:pPr>
              <w:ind w:left="134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7"/>
        </w:trPr>
        <w:tc>
          <w:tcPr>
            <w:tcW w:w="164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1680" w:type="dxa"/>
            <w:vAlign w:val="bottom"/>
          </w:tcPr>
          <w:p>
            <w:pPr>
              <w:ind w:left="160"/>
              <w:spacing w:after="0" w:line="131" w:lineRule="exact"/>
              <w:rPr>
                <w:sz w:val="20"/>
                <w:szCs w:val="20"/>
                <w:color w:val="auto"/>
              </w:rPr>
            </w:pPr>
            <w:r>
              <w:rPr>
                <w:rFonts w:ascii="MS PGothic" w:cs="MS PGothic" w:eastAsia="MS PGothic" w:hAnsi="MS PGothic"/>
                <w:sz w:val="13"/>
                <w:szCs w:val="13"/>
                <w:color w:val="auto"/>
              </w:rPr>
              <w:t>☐</w:t>
            </w:r>
          </w:p>
        </w:tc>
        <w:tc>
          <w:tcPr>
            <w:tcW w:w="4220" w:type="dxa"/>
            <w:vAlign w:val="bottom"/>
          </w:tcPr>
          <w:p>
            <w:pPr>
              <w:spacing w:after="0"/>
              <w:rPr>
                <w:sz w:val="18"/>
                <w:szCs w:val="18"/>
                <w:color w:val="auto"/>
              </w:rPr>
            </w:pPr>
          </w:p>
        </w:tc>
        <w:tc>
          <w:tcPr>
            <w:tcW w:w="1460" w:type="dxa"/>
            <w:vAlign w:val="bottom"/>
          </w:tcPr>
          <w:p>
            <w:pPr>
              <w:spacing w:after="0"/>
              <w:rPr>
                <w:sz w:val="18"/>
                <w:szCs w:val="18"/>
                <w:color w:val="auto"/>
              </w:rPr>
            </w:pPr>
          </w:p>
        </w:tc>
      </w:tr>
    </w:tbl>
    <w:p>
      <w:pPr>
        <w:ind w:right="160" w:firstLine="440"/>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right="120" w:firstLine="440"/>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40" w:lineRule="exact"/>
        <w:rPr>
          <w:sz w:val="24"/>
          <w:szCs w:val="24"/>
          <w:color w:val="auto"/>
        </w:rPr>
      </w:pPr>
    </w:p>
    <w:p>
      <w:pPr>
        <w:ind w:right="100" w:firstLine="440"/>
        <w:spacing w:after="0" w:line="174"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3" w:lineRule="exact"/>
        <w:rPr>
          <w:sz w:val="24"/>
          <w:szCs w:val="24"/>
          <w:color w:val="auto"/>
        </w:rPr>
      </w:pPr>
    </w:p>
    <w:p>
      <w:pPr>
        <w:ind w:right="120" w:firstLine="440"/>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 w:lineRule="exact"/>
        <w:rPr>
          <w:sz w:val="24"/>
          <w:szCs w:val="24"/>
          <w:color w:val="auto"/>
        </w:rPr>
      </w:pPr>
    </w:p>
    <w:p>
      <w:pPr>
        <w:ind w:left="440"/>
        <w:spacing w:after="0" w:line="150" w:lineRule="exact"/>
        <w:tabs>
          <w:tab w:leader="none" w:pos="6740" w:val="left"/>
          <w:tab w:leader="none" w:pos="728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33" w:lineRule="exact"/>
        <w:rPr>
          <w:sz w:val="24"/>
          <w:szCs w:val="24"/>
          <w:color w:val="auto"/>
        </w:rPr>
      </w:pPr>
    </w:p>
    <w:p>
      <w:pPr>
        <w:ind w:right="20" w:firstLine="440"/>
        <w:spacing w:after="0" w:line="242" w:lineRule="auto"/>
        <w:rPr>
          <w:sz w:val="20"/>
          <w:szCs w:val="20"/>
          <w:color w:val="auto"/>
        </w:rPr>
      </w:pPr>
      <w:r>
        <w:rPr>
          <w:rFonts w:ascii="Times New Roman" w:cs="Times New Roman" w:eastAsia="Times New Roman" w:hAnsi="Times New Roman"/>
          <w:sz w:val="13"/>
          <w:szCs w:val="13"/>
          <w:color w:val="auto"/>
        </w:rPr>
        <w:t>The aggregate market value of the voting common equity held by non-affiliates of the Registrant was approximately $28,330,888 as of June 28, 2024, the last business day of the Registrant’s most recently completed second fiscal quarter, based on the closing price reported for such date on the Nasdaq Capital Market. The registrant did not have any non-voting common equity outstanding. For purposes of this disclosure, shares of common stock held by each executive officer and director and by each holder of 5% or more of the outstanding shares of common stock have been excluded from this calculation, because such persons may be deemed to be affiliates. This determination of affiliate status is not necessarily a conclusive determination for other purposes.</w:t>
      </w:r>
    </w:p>
    <w:p>
      <w:pPr>
        <w:spacing w:after="0" w:line="15"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3"/>
          <w:szCs w:val="13"/>
          <w:color w:val="auto"/>
        </w:rPr>
        <w:t>As of March 21, 2025, Registrant had 16,789,027 shares of common stock outstanding.</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3"/>
          <w:szCs w:val="13"/>
          <w:color w:val="auto"/>
        </w:rPr>
        <w:t>Certain parts of the Proxy Statement for the Registrant’s 2025Annual Meeting of Stockholders (the “Proxy Statement”) are incorporated by reference into Part</w:t>
      </w:r>
    </w:p>
    <w:p>
      <w:pPr>
        <w:spacing w:after="0" w:line="10" w:lineRule="exact"/>
        <w:rPr>
          <w:sz w:val="24"/>
          <w:szCs w:val="24"/>
          <w:color w:val="auto"/>
        </w:rPr>
      </w:pPr>
    </w:p>
    <w:p>
      <w:pPr>
        <w:ind w:right="180" w:firstLine="8"/>
        <w:spacing w:after="0" w:line="255" w:lineRule="auto"/>
        <w:tabs>
          <w:tab w:leader="none" w:pos="169"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this Annual Report on Form 10-K. The 2025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57607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60720" cy="17145"/>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830580</wp:posOffset>
            </wp:positionV>
            <wp:extent cx="703770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305" w:right="141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286" w:lineRule="exact"/>
        <w:rPr>
          <w:sz w:val="20"/>
          <w:szCs w:val="20"/>
          <w:color w:val="auto"/>
        </w:rPr>
      </w:pPr>
    </w:p>
    <w:p>
      <w:pPr>
        <w:ind w:left="880" w:right="100" w:hanging="432"/>
        <w:spacing w:after="0" w:line="266"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67" w:lineRule="exact"/>
        <w:rPr>
          <w:rFonts w:ascii="Times New Roman" w:cs="Times New Roman" w:eastAsia="Times New Roman" w:hAnsi="Times New Roman"/>
          <w:sz w:val="18"/>
          <w:szCs w:val="18"/>
          <w:color w:val="auto"/>
        </w:rPr>
      </w:pPr>
    </w:p>
    <w:p>
      <w:pPr>
        <w:ind w:left="880" w:right="60" w:hanging="432"/>
        <w:spacing w:after="0" w:line="266"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impact of global pandemics or other public health emergencies or outbreaks, global and geopolitical uncertainty and tensions, tariffs, inflation concerns, unexpected changes in tax law or policy, and changing interest rates on our business and results of operations;</w:t>
      </w:r>
    </w:p>
    <w:p>
      <w:pPr>
        <w:spacing w:after="0" w:line="40"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acceptance and purchase of our existing products and new products;</w:t>
      </w:r>
    </w:p>
    <w:p>
      <w:pPr>
        <w:spacing w:after="0" w:line="76"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our customer base;</w:t>
      </w:r>
    </w:p>
    <w:p>
      <w:pPr>
        <w:spacing w:after="0" w:line="76"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products;</w:t>
      </w:r>
    </w:p>
    <w:p>
      <w:pPr>
        <w:spacing w:after="0" w:line="90"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foreign currency exchange rate and interest rate fluctuations on our results and sales;</w:t>
      </w:r>
    </w:p>
    <w:p>
      <w:pPr>
        <w:spacing w:after="0" w:line="76" w:lineRule="exact"/>
        <w:rPr>
          <w:rFonts w:ascii="Times New Roman" w:cs="Times New Roman" w:eastAsia="Times New Roman" w:hAnsi="Times New Roman"/>
          <w:sz w:val="18"/>
          <w:szCs w:val="18"/>
          <w:color w:val="auto"/>
        </w:rPr>
      </w:pPr>
    </w:p>
    <w:p>
      <w:pPr>
        <w:ind w:left="880" w:right="340" w:hanging="432"/>
        <w:spacing w:after="0" w:line="282"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change and innovation in the markets in which we participate and the competitive nature of those markets;</w:t>
      </w:r>
    </w:p>
    <w:p>
      <w:pPr>
        <w:spacing w:after="0" w:line="13"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our plan to build our business;</w:t>
      </w:r>
    </w:p>
    <w:p>
      <w:pPr>
        <w:spacing w:after="0" w:line="90"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76"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strategic partnership with Topcon Corporation;</w:t>
      </w:r>
    </w:p>
    <w:p>
      <w:pPr>
        <w:spacing w:after="0" w:line="76"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costs of manufacturing and reliance on third party manufacturers;</w:t>
      </w:r>
    </w:p>
    <w:p>
      <w:pPr>
        <w:spacing w:after="0" w:line="90"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forecast and meet product demand;</w:t>
      </w:r>
    </w:p>
    <w:p>
      <w:pPr>
        <w:spacing w:after="0" w:line="76"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discover defects in our products and systems;</w:t>
      </w:r>
    </w:p>
    <w:p>
      <w:pPr>
        <w:spacing w:after="0" w:line="76"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expansion and sales strategy;</w:t>
      </w:r>
    </w:p>
    <w:p>
      <w:pPr>
        <w:spacing w:after="0" w:line="90"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and cash flows;</w:t>
      </w:r>
    </w:p>
    <w:p>
      <w:pPr>
        <w:spacing w:after="0" w:line="76"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and objectives for future operations;</w:t>
      </w:r>
    </w:p>
    <w:p>
      <w:pPr>
        <w:spacing w:after="0" w:line="76"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third parties;</w:t>
      </w:r>
    </w:p>
    <w:p>
      <w:pPr>
        <w:spacing w:after="0" w:line="90"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 rights;</w:t>
      </w:r>
    </w:p>
    <w:p>
      <w:pPr>
        <w:spacing w:after="0" w:line="76"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information technology systems and data;</w:t>
      </w:r>
    </w:p>
    <w:p>
      <w:pPr>
        <w:spacing w:after="0" w:line="76"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facilities in good working order;</w:t>
      </w:r>
    </w:p>
    <w:p>
      <w:pPr>
        <w:spacing w:after="0" w:line="90"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recover the carrying value of goodwill;</w:t>
      </w:r>
    </w:p>
    <w:p>
      <w:pPr>
        <w:spacing w:after="0" w:line="76"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expensing stock options and other equity awards;</w:t>
      </w:r>
    </w:p>
    <w:p>
      <w:pPr>
        <w:spacing w:after="0" w:line="76"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defend litigation brought against us;</w:t>
      </w:r>
    </w:p>
    <w:p>
      <w:pPr>
        <w:spacing w:after="0" w:line="90"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indemnify our directors and officers;</w:t>
      </w:r>
    </w:p>
    <w:p>
      <w:pPr>
        <w:spacing w:after="0" w:line="76"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repay indebtedness and have indebtedness forgiven;</w:t>
      </w:r>
    </w:p>
    <w:p>
      <w:pPr>
        <w:spacing w:after="0" w:line="76"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in our existing markets and into new markets;</w:t>
      </w:r>
    </w:p>
    <w:p>
      <w:pPr>
        <w:spacing w:after="0" w:line="90" w:lineRule="exact"/>
        <w:rPr>
          <w:rFonts w:ascii="Times New Roman" w:cs="Times New Roman" w:eastAsia="Times New Roman" w:hAnsi="Times New Roman"/>
          <w:sz w:val="18"/>
          <w:szCs w:val="18"/>
          <w:color w:val="auto"/>
        </w:rPr>
      </w:pPr>
    </w:p>
    <w:p>
      <w:pPr>
        <w:ind w:left="880" w:right="560" w:hanging="432"/>
        <w:spacing w:after="0" w:line="282"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policies, and regulations that currently apply or become applicable to our business both in the United States and internationally;</w:t>
      </w:r>
    </w:p>
    <w:p>
      <w:pPr>
        <w:spacing w:after="0" w:line="13"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key personnel, and source suppliers;</w:t>
      </w:r>
    </w:p>
    <w:p>
      <w:pPr>
        <w:spacing w:after="0" w:line="76"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60"/>
          </w:cols>
          <w:pgMar w:left="1400" w:top="1089" w:right="1439" w:bottom="1440" w:gutter="0" w:footer="0" w:header="0"/>
        </w:sectPr>
      </w:pPr>
    </w:p>
    <w:bookmarkStart w:id="2" w:name="page3"/>
    <w:bookmarkEnd w:id="2"/>
    <w:p>
      <w:pPr>
        <w:ind w:left="880" w:hanging="432"/>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issue additional shares of preferred stock;</w:t>
      </w:r>
    </w:p>
    <w:p>
      <w:pPr>
        <w:spacing w:after="0" w:line="90"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trading prices of our common stock; and</w:t>
      </w:r>
    </w:p>
    <w:p>
      <w:pPr>
        <w:spacing w:after="0" w:line="76" w:lineRule="exact"/>
        <w:rPr>
          <w:rFonts w:ascii="Times New Roman" w:cs="Times New Roman" w:eastAsia="Times New Roman" w:hAnsi="Times New Roman"/>
          <w:sz w:val="18"/>
          <w:szCs w:val="18"/>
          <w:color w:val="auto"/>
        </w:rPr>
      </w:pPr>
    </w:p>
    <w:p>
      <w:pPr>
        <w:ind w:left="880" w:hanging="432"/>
        <w:spacing w:after="0"/>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pay dividends in the future.</w:t>
      </w:r>
    </w:p>
    <w:p>
      <w:pPr>
        <w:spacing w:after="0" w:line="25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9"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8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forward-looking statements made in this Annual Report on Form 10-K relate only to events as of the date on which such statements are made. We undertake no obligation to update any forward-looking statements made in this Annual Report on Form 10-K to reflect events or circumstances after the date of this Annual Report on Form 10-K or to conform such statements to actual results or revised expectations,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8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As used in this Annual Report on Form 10-K, the terms “Company,” “IRIDEX,” “we,” “us” and “our” refer to IRIDEX Corporation, and its consolidated subsidiaries.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161" w:right="1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40" w:type="dxa"/>
            <w:vAlign w:val="bottom"/>
            <w:gridSpan w:val="12"/>
          </w:tcPr>
          <w:p>
            <w:pPr>
              <w:ind w:left="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760" w:type="dxa"/>
            <w:vAlign w:val="bottom"/>
            <w:gridSpan w:val="5"/>
            <w:vMerge w:val="restart"/>
          </w:tcPr>
          <w:p>
            <w:pPr>
              <w:ind w:left="1000"/>
              <w:spacing w:after="0"/>
              <w:rPr>
                <w:sz w:val="20"/>
                <w:szCs w:val="20"/>
                <w:color w:val="auto"/>
              </w:rPr>
            </w:pPr>
            <w:r>
              <w:rPr>
                <w:rFonts w:ascii="Times New Roman" w:cs="Times New Roman" w:eastAsia="Times New Roman" w:hAnsi="Times New Roman"/>
                <w:sz w:val="18"/>
                <w:szCs w:val="18"/>
                <w:color w:val="0000FF"/>
              </w:rPr>
              <w:t>Part I</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760" w:type="dxa"/>
            <w:vAlign w:val="bottom"/>
            <w:gridSpan w:val="5"/>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5</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2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0000FF"/>
              </w:rPr>
              <w:t>1.</w:t>
            </w:r>
          </w:p>
        </w:tc>
        <w:tc>
          <w:tcPr>
            <w:tcW w:w="7540" w:type="dxa"/>
            <w:vAlign w:val="bottom"/>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FF"/>
              </w:rPr>
              <w:t>Business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5</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7740" w:type="dxa"/>
            <w:vAlign w:val="bottom"/>
            <w:gridSpan w:val="24"/>
          </w:tcPr>
          <w:p>
            <w:pPr>
              <w:ind w:left="40"/>
              <w:spacing w:after="0" w:line="196" w:lineRule="exact"/>
              <w:rPr>
                <w:sz w:val="20"/>
                <w:szCs w:val="20"/>
                <w:color w:val="auto"/>
              </w:rPr>
            </w:pPr>
            <w:r>
              <w:rPr>
                <w:rFonts w:ascii="Times New Roman" w:cs="Times New Roman" w:eastAsia="Times New Roman" w:hAnsi="Times New Roman"/>
                <w:sz w:val="18"/>
                <w:szCs w:val="18"/>
                <w:color w:val="0000FF"/>
              </w:rPr>
              <w:t>1A. Risk Factors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17</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7740" w:type="dxa"/>
            <w:vAlign w:val="bottom"/>
            <w:gridSpan w:val="24"/>
          </w:tcPr>
          <w:p>
            <w:pPr>
              <w:ind w:left="40"/>
              <w:spacing w:after="0" w:line="196" w:lineRule="exact"/>
              <w:rPr>
                <w:sz w:val="20"/>
                <w:szCs w:val="20"/>
                <w:color w:val="auto"/>
              </w:rPr>
            </w:pPr>
            <w:r>
              <w:rPr>
                <w:rFonts w:ascii="Times New Roman" w:cs="Times New Roman" w:eastAsia="Times New Roman" w:hAnsi="Times New Roman"/>
                <w:sz w:val="18"/>
                <w:szCs w:val="18"/>
                <w:color w:val="0000FF"/>
              </w:rPr>
              <w:t>1B. Unresolved Staff Comments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36</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7740" w:type="dxa"/>
            <w:vAlign w:val="bottom"/>
            <w:gridSpan w:val="24"/>
          </w:tcPr>
          <w:p>
            <w:pPr>
              <w:ind w:left="40"/>
              <w:spacing w:after="0" w:line="196" w:lineRule="exact"/>
              <w:rPr>
                <w:sz w:val="20"/>
                <w:szCs w:val="20"/>
                <w:color w:val="auto"/>
              </w:rPr>
            </w:pPr>
            <w:r>
              <w:rPr>
                <w:rFonts w:ascii="Times New Roman" w:cs="Times New Roman" w:eastAsia="Times New Roman" w:hAnsi="Times New Roman"/>
                <w:sz w:val="18"/>
                <w:szCs w:val="18"/>
                <w:color w:val="0000FF"/>
              </w:rPr>
              <w:t>1C. Cybersecurity</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36</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2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0000FF"/>
              </w:rPr>
              <w:t>2.</w:t>
            </w:r>
          </w:p>
        </w:tc>
        <w:tc>
          <w:tcPr>
            <w:tcW w:w="7540" w:type="dxa"/>
            <w:vAlign w:val="bottom"/>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37</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2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0000FF"/>
              </w:rPr>
              <w:t>3.</w:t>
            </w:r>
          </w:p>
        </w:tc>
        <w:tc>
          <w:tcPr>
            <w:tcW w:w="7540" w:type="dxa"/>
            <w:vAlign w:val="bottom"/>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37</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2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0000FF"/>
              </w:rPr>
              <w:t>4.</w:t>
            </w:r>
          </w:p>
        </w:tc>
        <w:tc>
          <w:tcPr>
            <w:tcW w:w="7540" w:type="dxa"/>
            <w:vAlign w:val="bottom"/>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37</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tcBorders>
              <w:right w:val="single" w:sz="8" w:color="0000EE"/>
            </w:tcBorders>
            <w:gridSpan w:val="3"/>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5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Part II</w:t>
            </w:r>
          </w:p>
        </w:tc>
        <w:tc>
          <w:tcPr>
            <w:tcW w:w="20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38</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2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0000FF"/>
              </w:rPr>
              <w:t>5.</w:t>
            </w:r>
          </w:p>
        </w:tc>
        <w:tc>
          <w:tcPr>
            <w:tcW w:w="7540" w:type="dxa"/>
            <w:vAlign w:val="bottom"/>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FF"/>
              </w:rPr>
              <w:t>Market for Registrant’s Common Equity and Related Stockholder Matters, and Issuer Purchases of</w:t>
            </w: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7480" w:type="dxa"/>
            <w:vAlign w:val="bottom"/>
            <w:tcBorders>
              <w:top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Equity Securities</w:t>
            </w:r>
          </w:p>
        </w:tc>
        <w:tc>
          <w:tcPr>
            <w:tcW w:w="360" w:type="dxa"/>
            <w:vAlign w:val="bottom"/>
            <w:gridSpan w:val="2"/>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38</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2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0000FF"/>
              </w:rPr>
              <w:t>6.</w:t>
            </w:r>
          </w:p>
        </w:tc>
        <w:tc>
          <w:tcPr>
            <w:tcW w:w="7540" w:type="dxa"/>
            <w:vAlign w:val="bottom"/>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38</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tcBorders>
              <w:right w:val="single" w:sz="8" w:color="0000EE"/>
            </w:tcBorders>
            <w:gridSpan w:val="3"/>
            <w:shd w:val="clear" w:color="auto" w:fill="0000FF"/>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2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0000FF"/>
              </w:rPr>
              <w:t>7.</w:t>
            </w:r>
          </w:p>
        </w:tc>
        <w:tc>
          <w:tcPr>
            <w:tcW w:w="7540" w:type="dxa"/>
            <w:vAlign w:val="bottom"/>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39</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80" w:type="dxa"/>
            <w:vAlign w:val="bottom"/>
            <w:tcBorders>
              <w:right w:val="single" w:sz="8" w:color="0000FF"/>
            </w:tcBorders>
            <w:gridSpan w:val="9"/>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7740" w:type="dxa"/>
            <w:vAlign w:val="bottom"/>
            <w:gridSpan w:val="24"/>
          </w:tcPr>
          <w:p>
            <w:pPr>
              <w:ind w:left="40"/>
              <w:spacing w:after="0" w:line="196" w:lineRule="exact"/>
              <w:rPr>
                <w:sz w:val="20"/>
                <w:szCs w:val="20"/>
                <w:color w:val="auto"/>
              </w:rPr>
            </w:pPr>
            <w:r>
              <w:rPr>
                <w:rFonts w:ascii="Times New Roman" w:cs="Times New Roman" w:eastAsia="Times New Roman" w:hAnsi="Times New Roman"/>
                <w:sz w:val="18"/>
                <w:szCs w:val="18"/>
                <w:color w:val="0000FF"/>
              </w:rPr>
              <w:t>7A. Quantitative and Qualitative Disclosures About Market Risk</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47</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tcBorders>
              <w:right w:val="single" w:sz="8" w:color="0000FF"/>
            </w:tcBorders>
            <w:gridSpan w:val="8"/>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2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0000FF"/>
              </w:rPr>
              <w:t>8.</w:t>
            </w:r>
          </w:p>
        </w:tc>
        <w:tc>
          <w:tcPr>
            <w:tcW w:w="7540" w:type="dxa"/>
            <w:vAlign w:val="bottom"/>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47</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80" w:type="dxa"/>
            <w:vAlign w:val="bottom"/>
            <w:tcBorders>
              <w:right w:val="single" w:sz="8" w:color="0000FF"/>
            </w:tcBorders>
            <w:gridSpan w:val="8"/>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2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0000FF"/>
              </w:rPr>
              <w:t>9.</w:t>
            </w:r>
          </w:p>
        </w:tc>
        <w:tc>
          <w:tcPr>
            <w:tcW w:w="7540" w:type="dxa"/>
            <w:vAlign w:val="bottom"/>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76</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80" w:type="dxa"/>
            <w:vAlign w:val="bottom"/>
            <w:tcBorders>
              <w:right w:val="single" w:sz="8" w:color="0000FF"/>
            </w:tcBorders>
            <w:gridSpan w:val="9"/>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7740" w:type="dxa"/>
            <w:vAlign w:val="bottom"/>
            <w:gridSpan w:val="24"/>
          </w:tcPr>
          <w:p>
            <w:pPr>
              <w:ind w:left="40"/>
              <w:spacing w:after="0" w:line="196" w:lineRule="exact"/>
              <w:rPr>
                <w:sz w:val="20"/>
                <w:szCs w:val="20"/>
                <w:color w:val="auto"/>
              </w:rPr>
            </w:pPr>
            <w:r>
              <w:rPr>
                <w:rFonts w:ascii="Times New Roman" w:cs="Times New Roman" w:eastAsia="Times New Roman" w:hAnsi="Times New Roman"/>
                <w:sz w:val="18"/>
                <w:szCs w:val="18"/>
                <w:color w:val="0000FF"/>
              </w:rPr>
              <w:t>9A. Controls and Procedures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76</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80" w:type="dxa"/>
            <w:vAlign w:val="bottom"/>
            <w:tcBorders>
              <w:right w:val="single" w:sz="8" w:color="0000FF"/>
            </w:tcBorders>
            <w:gridSpan w:val="9"/>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tcBorders>
              <w:left w:val="single" w:sz="8" w:color="0000FF"/>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7740" w:type="dxa"/>
            <w:vAlign w:val="bottom"/>
            <w:gridSpan w:val="24"/>
          </w:tcPr>
          <w:p>
            <w:pPr>
              <w:ind w:left="40"/>
              <w:spacing w:after="0" w:line="196" w:lineRule="exact"/>
              <w:rPr>
                <w:sz w:val="20"/>
                <w:szCs w:val="20"/>
                <w:color w:val="auto"/>
              </w:rPr>
            </w:pPr>
            <w:r>
              <w:rPr>
                <w:rFonts w:ascii="Times New Roman" w:cs="Times New Roman" w:eastAsia="Times New Roman" w:hAnsi="Times New Roman"/>
                <w:sz w:val="18"/>
                <w:szCs w:val="18"/>
                <w:color w:val="0000FF"/>
              </w:rPr>
              <w:t>9B. Other Information</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77</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680" w:type="dxa"/>
            <w:vAlign w:val="bottom"/>
            <w:tcBorders>
              <w:right w:val="single" w:sz="8" w:color="0000EE"/>
            </w:tcBorders>
            <w:gridSpan w:val="9"/>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7740" w:type="dxa"/>
            <w:vAlign w:val="bottom"/>
            <w:gridSpan w:val="24"/>
          </w:tcPr>
          <w:p>
            <w:pPr>
              <w:ind w:left="40"/>
              <w:spacing w:after="0" w:line="196" w:lineRule="exact"/>
              <w:rPr>
                <w:sz w:val="20"/>
                <w:szCs w:val="20"/>
                <w:color w:val="auto"/>
              </w:rPr>
            </w:pPr>
            <w:r>
              <w:rPr>
                <w:rFonts w:ascii="Times New Roman" w:cs="Times New Roman" w:eastAsia="Times New Roman" w:hAnsi="Times New Roman"/>
                <w:sz w:val="18"/>
                <w:szCs w:val="18"/>
                <w:color w:val="0000FF"/>
              </w:rPr>
              <w:t>9C. Disclosure Regarding Foreign Jurisdictions that Prevent Inspections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77</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tcBorders>
              <w:right w:val="single" w:sz="8" w:color="0000EE"/>
            </w:tcBorders>
            <w:gridSpan w:val="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5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Part III</w:t>
            </w:r>
          </w:p>
        </w:tc>
        <w:tc>
          <w:tcPr>
            <w:tcW w:w="20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78</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7740" w:type="dxa"/>
            <w:vAlign w:val="bottom"/>
            <w:gridSpan w:val="24"/>
          </w:tcPr>
          <w:p>
            <w:pPr>
              <w:ind w:left="40"/>
              <w:spacing w:after="0" w:line="196" w:lineRule="exact"/>
              <w:rPr>
                <w:sz w:val="20"/>
                <w:szCs w:val="20"/>
                <w:color w:val="auto"/>
              </w:rPr>
            </w:pPr>
            <w:r>
              <w:rPr>
                <w:rFonts w:ascii="Times New Roman" w:cs="Times New Roman" w:eastAsia="Times New Roman" w:hAnsi="Times New Roman"/>
                <w:sz w:val="18"/>
                <w:szCs w:val="18"/>
                <w:color w:val="0000FF"/>
              </w:rPr>
              <w:t>10. Directors, Executive Officers and Corporate Governance</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78</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140" w:type="dxa"/>
            <w:vAlign w:val="bottom"/>
            <w:tcBorders>
              <w:right w:val="single" w:sz="8" w:color="0000FF"/>
            </w:tcBorders>
            <w:gridSpan w:val="11"/>
            <w:shd w:val="clear" w:color="auto" w:fill="0000FF"/>
          </w:tcPr>
          <w:p>
            <w:pPr>
              <w:spacing w:after="0" w:line="20" w:lineRule="exact"/>
              <w:rPr>
                <w:sz w:val="1"/>
                <w:szCs w:val="1"/>
                <w:color w:val="auto"/>
              </w:rPr>
            </w:pPr>
          </w:p>
        </w:tc>
        <w:tc>
          <w:tcPr>
            <w:tcW w:w="104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7740" w:type="dxa"/>
            <w:vAlign w:val="bottom"/>
            <w:gridSpan w:val="24"/>
          </w:tcPr>
          <w:p>
            <w:pPr>
              <w:ind w:left="40"/>
              <w:spacing w:after="0" w:line="196" w:lineRule="exact"/>
              <w:rPr>
                <w:sz w:val="20"/>
                <w:szCs w:val="20"/>
                <w:color w:val="auto"/>
              </w:rPr>
            </w:pPr>
            <w:r>
              <w:rPr>
                <w:rFonts w:ascii="Times New Roman" w:cs="Times New Roman" w:eastAsia="Times New Roman" w:hAnsi="Times New Roman"/>
                <w:sz w:val="18"/>
                <w:szCs w:val="18"/>
                <w:color w:val="0000FF"/>
              </w:rPr>
              <w:t>11. Executive Compensation</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78</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140" w:type="dxa"/>
            <w:vAlign w:val="bottom"/>
            <w:tcBorders>
              <w:right w:val="single" w:sz="8" w:color="0000EE"/>
            </w:tcBorders>
            <w:gridSpan w:val="11"/>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7740" w:type="dxa"/>
            <w:vAlign w:val="bottom"/>
            <w:gridSpan w:val="24"/>
          </w:tcPr>
          <w:p>
            <w:pPr>
              <w:ind w:left="40"/>
              <w:spacing w:after="0" w:line="196" w:lineRule="exact"/>
              <w:rPr>
                <w:sz w:val="20"/>
                <w:szCs w:val="20"/>
                <w:color w:val="auto"/>
              </w:rPr>
            </w:pPr>
            <w:r>
              <w:rPr>
                <w:rFonts w:ascii="Times New Roman" w:cs="Times New Roman" w:eastAsia="Times New Roman" w:hAnsi="Times New Roman"/>
                <w:sz w:val="18"/>
                <w:szCs w:val="18"/>
                <w:color w:val="0000FF"/>
              </w:rPr>
              <w:t>12. Security Ownership of Certain Beneficial Owners and Management and Related Stockholder Matters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78</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180" w:type="dxa"/>
            <w:vAlign w:val="bottom"/>
            <w:gridSpan w:val="1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7740" w:type="dxa"/>
            <w:vAlign w:val="bottom"/>
            <w:gridSpan w:val="24"/>
          </w:tcPr>
          <w:p>
            <w:pPr>
              <w:ind w:left="40"/>
              <w:spacing w:after="0" w:line="196" w:lineRule="exact"/>
              <w:rPr>
                <w:sz w:val="20"/>
                <w:szCs w:val="20"/>
                <w:color w:val="auto"/>
              </w:rPr>
            </w:pPr>
            <w:r>
              <w:rPr>
                <w:rFonts w:ascii="Times New Roman" w:cs="Times New Roman" w:eastAsia="Times New Roman" w:hAnsi="Times New Roman"/>
                <w:sz w:val="18"/>
                <w:szCs w:val="18"/>
                <w:color w:val="0000FF"/>
              </w:rPr>
              <w:t>13. Certain Relationships and Related Transactions, and Director Independence</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78</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3180" w:type="dxa"/>
            <w:vAlign w:val="bottom"/>
            <w:gridSpan w:val="1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7740" w:type="dxa"/>
            <w:vAlign w:val="bottom"/>
            <w:gridSpan w:val="24"/>
          </w:tcPr>
          <w:p>
            <w:pPr>
              <w:ind w:left="40"/>
              <w:spacing w:after="0" w:line="196" w:lineRule="exact"/>
              <w:rPr>
                <w:sz w:val="20"/>
                <w:szCs w:val="20"/>
                <w:color w:val="auto"/>
              </w:rPr>
            </w:pPr>
            <w:r>
              <w:rPr>
                <w:rFonts w:ascii="Times New Roman" w:cs="Times New Roman" w:eastAsia="Times New Roman" w:hAnsi="Times New Roman"/>
                <w:sz w:val="18"/>
                <w:szCs w:val="18"/>
                <w:color w:val="0000FF"/>
              </w:rPr>
              <w:t>14. Principal Accountant Fees and Services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78</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tcBorders>
              <w:right w:val="single" w:sz="8" w:color="0000EE"/>
            </w:tcBorders>
            <w:gridSpan w:val="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5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Part IV</w:t>
            </w:r>
          </w:p>
        </w:tc>
        <w:tc>
          <w:tcPr>
            <w:tcW w:w="20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79</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w w:val="75"/>
              </w:rPr>
              <w:t>Item</w:t>
            </w:r>
          </w:p>
        </w:tc>
        <w:tc>
          <w:tcPr>
            <w:tcW w:w="7740" w:type="dxa"/>
            <w:vAlign w:val="bottom"/>
            <w:gridSpan w:val="24"/>
          </w:tcPr>
          <w:p>
            <w:pPr>
              <w:ind w:left="40"/>
              <w:spacing w:after="0" w:line="196" w:lineRule="exact"/>
              <w:rPr>
                <w:sz w:val="20"/>
                <w:szCs w:val="20"/>
                <w:color w:val="auto"/>
              </w:rPr>
            </w:pPr>
            <w:r>
              <w:rPr>
                <w:rFonts w:ascii="Times New Roman" w:cs="Times New Roman" w:eastAsia="Times New Roman" w:hAnsi="Times New Roman"/>
                <w:sz w:val="18"/>
                <w:szCs w:val="18"/>
                <w:color w:val="0000FF"/>
              </w:rPr>
              <w:t>15. Exhibits and Financial Statement Schedules</w:t>
            </w: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79</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tcBorders>
              <w:right w:val="single" w:sz="8" w:color="0000EE"/>
            </w:tcBorders>
            <w:gridSpan w:val="3"/>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760" w:type="dxa"/>
            <w:vAlign w:val="bottom"/>
            <w:gridSpan w:val="5"/>
          </w:tcPr>
          <w:p>
            <w:pPr>
              <w:ind w:left="1000"/>
              <w:spacing w:after="0"/>
              <w:rPr>
                <w:sz w:val="20"/>
                <w:szCs w:val="20"/>
                <w:color w:val="auto"/>
              </w:rPr>
            </w:pPr>
            <w:r>
              <w:rPr>
                <w:rFonts w:ascii="Times New Roman" w:cs="Times New Roman" w:eastAsia="Times New Roman" w:hAnsi="Times New Roman"/>
                <w:sz w:val="18"/>
                <w:szCs w:val="18"/>
                <w:color w:val="0000FF"/>
                <w:w w:val="97"/>
              </w:rPr>
              <w:t>Signatures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100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4200" w:type="dxa"/>
            <w:vAlign w:val="bottom"/>
            <w:gridSpan w:val="15"/>
          </w:tcPr>
          <w:p>
            <w:pPr>
              <w:ind w:left="352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89" w:right="4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379" w:firstLine="440"/>
        <w:spacing w:after="0" w:line="266" w:lineRule="auto"/>
        <w:rPr>
          <w:sz w:val="20"/>
          <w:szCs w:val="20"/>
          <w:color w:val="auto"/>
        </w:rPr>
      </w:pPr>
      <w:r>
        <w:rPr>
          <w:rFonts w:ascii="Times New Roman" w:cs="Times New Roman" w:eastAsia="Times New Roman" w:hAnsi="Times New Roman"/>
          <w:sz w:val="18"/>
          <w:szCs w:val="18"/>
          <w:color w:val="auto"/>
        </w:rPr>
        <w:t>IRIDEX Corporation (“IRIDEX”) is an ophthalmic medical technology company focused on the development and commercialization of breakthrough products and procedures used to treat sight-threatening eye conditions, including glaucoma and retinal diseases.</w:t>
      </w:r>
    </w:p>
    <w:p>
      <w:pPr>
        <w:spacing w:after="0" w:line="75" w:lineRule="exact"/>
        <w:rPr>
          <w:sz w:val="20"/>
          <w:szCs w:val="20"/>
          <w:color w:val="auto"/>
        </w:rPr>
      </w:pPr>
    </w:p>
    <w:p>
      <w:pPr>
        <w:ind w:right="39" w:firstLine="440"/>
        <w:spacing w:after="0" w:line="245" w:lineRule="auto"/>
        <w:rPr>
          <w:sz w:val="20"/>
          <w:szCs w:val="20"/>
          <w:color w:val="auto"/>
        </w:rPr>
      </w:pPr>
      <w:r>
        <w:rPr>
          <w:rFonts w:ascii="Times New Roman" w:cs="Times New Roman" w:eastAsia="Times New Roman" w:hAnsi="Times New Roman"/>
          <w:sz w:val="18"/>
          <w:szCs w:val="18"/>
          <w:color w:val="auto"/>
        </w:rPr>
        <w:t>Our propriety MicroPulse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Technology and Endpoint Management™ Technology are used for the treatment of glaucoma and retina disorders. Both technologies are offered as optional treatment modes in select laser consoles in addition to the standard continuous-wave (“CW”) treatment mode. They allow low-energy, subvisible, tissue-sparing laser therapy by different means: MicroPulse technology uses short, microsecond-long laser pulses that allow tissue to cool between pulses giving physicians finer control of thermal elevation to minimize tissue damage. Endpoint Management technology uses a delivery algorithm to titrate the laser energy. CW laser photocoagulation can stabilize vision over the long term but can also result in varying degrees of vision loss. Both MicroPulse and Endpoint Management technologies have demonstrated clinical efficacy with a safer profile compared to standard high-energy CW laser for the treatment of both retinal diseases and glaucoma.</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products consist of laser consoles, delivery devices and consumable probes.</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Our laser consoles consist of the following product lines:</w:t>
      </w:r>
    </w:p>
    <w:p>
      <w:pPr>
        <w:spacing w:after="0" w:line="126" w:lineRule="exact"/>
        <w:rPr>
          <w:sz w:val="20"/>
          <w:szCs w:val="20"/>
          <w:color w:val="auto"/>
        </w:rPr>
      </w:pPr>
    </w:p>
    <w:p>
      <w:pPr>
        <w:ind w:left="880" w:right="139" w:hanging="432"/>
        <w:spacing w:after="0" w:line="233"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Glaucoma </w:t>
      </w:r>
      <w:r>
        <w:rPr>
          <w:rFonts w:ascii="Times New Roman" w:cs="Times New Roman" w:eastAsia="Times New Roman" w:hAnsi="Times New Roman"/>
          <w:sz w:val="18"/>
          <w:szCs w:val="18"/>
          <w:color w:val="auto"/>
        </w:rPr>
        <w:t>– Our primary glaucoma console line is the Cyclo G6</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laser system with MicroPulse technology.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 our medical retina consoles have features supporting glaucoma laser treatments.</w:t>
      </w:r>
    </w:p>
    <w:p>
      <w:pPr>
        <w:spacing w:after="0" w:line="98" w:lineRule="exact"/>
        <w:rPr>
          <w:rFonts w:ascii="Times New Roman" w:cs="Times New Roman" w:eastAsia="Times New Roman" w:hAnsi="Times New Roman"/>
          <w:sz w:val="18"/>
          <w:szCs w:val="18"/>
          <w:color w:val="auto"/>
        </w:rPr>
      </w:pPr>
    </w:p>
    <w:p>
      <w:pPr>
        <w:ind w:left="880" w:right="19" w:hanging="432"/>
        <w:spacing w:after="0" w:line="245"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Medical Retina </w:t>
      </w:r>
      <w:r>
        <w:rPr>
          <w:rFonts w:ascii="Times New Roman" w:cs="Times New Roman" w:eastAsia="Times New Roman" w:hAnsi="Times New Roman"/>
          <w:sz w:val="18"/>
          <w:szCs w:val="18"/>
          <w:color w:val="auto"/>
        </w:rPr>
        <w:t>– Our medical-retina product line includes our portable IQ 532</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IQ 577</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laser systems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MicroPulse technology; and the Pattern Scanning Laser (“PASCAL”) System, an integrated workstation with Endpoint Management technology and MicroPulse technology. These systems are ideal for multispecialty practices because these lasers also can be used to treat glaucoma, i.e., single-spot laser trabeculoplasty using MicroPulse technology, iridotomy, and iridectomy using the IQ lasers; and pattern scanning laser trabeculoplasty (“PSLT”) using the PASCAL laser system.</w:t>
      </w:r>
    </w:p>
    <w:p>
      <w:pPr>
        <w:spacing w:after="0" w:line="92" w:lineRule="exact"/>
        <w:rPr>
          <w:rFonts w:ascii="Times New Roman" w:cs="Times New Roman" w:eastAsia="Times New Roman" w:hAnsi="Times New Roman"/>
          <w:sz w:val="18"/>
          <w:szCs w:val="18"/>
          <w:color w:val="auto"/>
        </w:rPr>
      </w:pPr>
    </w:p>
    <w:p>
      <w:pPr>
        <w:ind w:left="880" w:right="59" w:hanging="432"/>
        <w:spacing w:after="0" w:line="238" w:lineRule="auto"/>
        <w:tabs>
          <w:tab w:leader="none" w:pos="8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Surgical Retina </w:t>
      </w:r>
      <w:r>
        <w:rPr>
          <w:rFonts w:ascii="Times New Roman" w:cs="Times New Roman" w:eastAsia="Times New Roman" w:hAnsi="Times New Roman"/>
          <w:sz w:val="18"/>
          <w:szCs w:val="18"/>
          <w:color w:val="auto"/>
        </w:rPr>
        <w:t>– Our surgical-retina product line includes our OcuLight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TX and OcuLight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SLx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MicroPulse technology) laser photocoagulation systems. These systems are often used in vitrectomy procedures, which are used to treat proliferative diabetic retinopathy, macular holes, retinal tears and detachments.</w:t>
      </w:r>
    </w:p>
    <w:p>
      <w:pPr>
        <w:spacing w:after="0" w:line="92" w:lineRule="exact"/>
        <w:rPr>
          <w:sz w:val="20"/>
          <w:szCs w:val="20"/>
          <w:color w:val="auto"/>
        </w:rPr>
      </w:pPr>
    </w:p>
    <w:p>
      <w:pPr>
        <w:ind w:right="39" w:firstLine="440"/>
        <w:spacing w:after="0" w:line="282" w:lineRule="auto"/>
        <w:rPr>
          <w:sz w:val="20"/>
          <w:szCs w:val="20"/>
          <w:color w:val="auto"/>
        </w:rPr>
      </w:pPr>
      <w:r>
        <w:rPr>
          <w:rFonts w:ascii="Times New Roman" w:cs="Times New Roman" w:eastAsia="Times New Roman" w:hAnsi="Times New Roman"/>
          <w:sz w:val="18"/>
          <w:szCs w:val="18"/>
          <w:color w:val="auto"/>
        </w:rPr>
        <w:t>Our business generates recurring revenues through sales of consumable products, predominantly single-use laser probe devices and other instrumentation, as well as repair, service and extended service contracts for our laser systems.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laser probes consist of the following product lines:</w:t>
      </w:r>
    </w:p>
    <w:p>
      <w:pPr>
        <w:spacing w:after="0" w:line="115" w:lineRule="exact"/>
        <w:rPr>
          <w:sz w:val="20"/>
          <w:szCs w:val="20"/>
          <w:color w:val="auto"/>
        </w:rPr>
      </w:pPr>
    </w:p>
    <w:p>
      <w:pPr>
        <w:ind w:left="880" w:right="599" w:hanging="431"/>
        <w:spacing w:after="0" w:line="287"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Glaucoma </w:t>
      </w:r>
      <w:r>
        <w:rPr>
          <w:rFonts w:ascii="Times New Roman" w:cs="Times New Roman" w:eastAsia="Times New Roman" w:hAnsi="Times New Roman"/>
          <w:sz w:val="18"/>
          <w:szCs w:val="18"/>
          <w:color w:val="auto"/>
        </w:rPr>
        <w:t>– Probes used in our glaucoma product line include our patented single-use delivery devices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MicroPulse P3</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G-Probe®, and G-Probe Illuminate®.</w:t>
      </w:r>
    </w:p>
    <w:p>
      <w:pPr>
        <w:ind w:left="880" w:right="199" w:hanging="431"/>
        <w:spacing w:after="0" w:line="233"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Surgical Retina </w:t>
      </w:r>
      <w:r>
        <w:rPr>
          <w:rFonts w:ascii="Times New Roman" w:cs="Times New Roman" w:eastAsia="Times New Roman" w:hAnsi="Times New Roman"/>
          <w:sz w:val="18"/>
          <w:szCs w:val="18"/>
          <w:color w:val="auto"/>
        </w:rPr>
        <w:t>– Probes used in our surgical retina product line include our family of single-use EndoProbe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handpieces.</w:t>
      </w:r>
    </w:p>
    <w:p>
      <w:pPr>
        <w:spacing w:after="0" w:line="91" w:lineRule="exact"/>
        <w:rPr>
          <w:sz w:val="20"/>
          <w:szCs w:val="20"/>
          <w:color w:val="auto"/>
        </w:rPr>
      </w:pPr>
    </w:p>
    <w:p>
      <w:pPr>
        <w:ind w:right="59" w:firstLine="440"/>
        <w:spacing w:after="0" w:line="230" w:lineRule="auto"/>
        <w:rPr>
          <w:sz w:val="20"/>
          <w:szCs w:val="20"/>
          <w:color w:val="auto"/>
        </w:rPr>
      </w:pPr>
      <w:r>
        <w:rPr>
          <w:rFonts w:ascii="Times New Roman" w:cs="Times New Roman" w:eastAsia="Times New Roman" w:hAnsi="Times New Roman"/>
          <w:sz w:val="18"/>
          <w:szCs w:val="18"/>
          <w:color w:val="auto"/>
        </w:rPr>
        <w:t>Ophthalmologists typically use our laser systems in hospital operating rooms and ambulatory surgical centers, as well as their offices and clinics. In operating rooms and ambulatory surgical centers, ophthalmologists use our laser systems with either an indirect laser ophthalmoscope or a single-use consumable probe, including MicroPulse P3</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G-Probe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G-Probe Illuminate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delivery devices, and EndoProbe handpieces. In the offices and clinics, ophthalmologists use our laser systems with either an indirect laser ophthalmoscope or a slit-lamp adapter.</w:t>
      </w:r>
    </w:p>
    <w:p>
      <w:pPr>
        <w:spacing w:after="0" w:line="91" w:lineRule="exact"/>
        <w:rPr>
          <w:sz w:val="20"/>
          <w:szCs w:val="20"/>
          <w:color w:val="auto"/>
        </w:rPr>
      </w:pPr>
    </w:p>
    <w:p>
      <w:pPr>
        <w:ind w:right="39" w:firstLine="440"/>
        <w:spacing w:after="0" w:line="261" w:lineRule="auto"/>
        <w:rPr>
          <w:sz w:val="20"/>
          <w:szCs w:val="20"/>
          <w:color w:val="auto"/>
        </w:rPr>
      </w:pPr>
      <w:r>
        <w:rPr>
          <w:rFonts w:ascii="Times New Roman" w:cs="Times New Roman" w:eastAsia="Times New Roman" w:hAnsi="Times New Roman"/>
          <w:sz w:val="18"/>
          <w:szCs w:val="18"/>
          <w:color w:val="auto"/>
        </w:rPr>
        <w:t>In 2024 and 2023, our products were sold in the United States and Germany predominantly through a direct sales force and internationally (aside from Germany, Italy, UK (Glaucoma), India, and other smaller markets) primarily through Topcon Corporation (“Topcon”) and other independent distributors. Total revenues in 2024 and 2023 were $48.7 million and $51.9 million, respectively. We generated net losses of $8.9 million and $9.6 million in 2024 and 2023, respectively.</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59"/>
          </w:cols>
          <w:pgMar w:left="1400" w:top="1089" w:right="1440" w:bottom="1440" w:gutter="0" w:footer="0" w:header="0"/>
        </w:sectPr>
      </w:pPr>
    </w:p>
    <w:bookmarkStart w:id="5" w:name="page6"/>
    <w:bookmarkEnd w:id="5"/>
    <w:p>
      <w:pPr>
        <w:ind w:firstLine="440"/>
        <w:spacing w:after="0" w:line="258" w:lineRule="auto"/>
        <w:rPr>
          <w:sz w:val="20"/>
          <w:szCs w:val="20"/>
          <w:color w:val="auto"/>
        </w:rPr>
      </w:pPr>
      <w:r>
        <w:rPr>
          <w:rFonts w:ascii="Times New Roman" w:cs="Times New Roman" w:eastAsia="Times New Roman" w:hAnsi="Times New Roman"/>
          <w:sz w:val="18"/>
          <w:szCs w:val="18"/>
          <w:color w:val="auto"/>
        </w:rPr>
        <w:t>IRIDEX Corporation was incorporated in California in February 1989 as IRIS Medical Instruments, Inc. In January 1996, we changed our name to IRIDEX Corporation and reincorporated in Delaware. Our executive offices are located at 1212 Terra Bella Avenue, Mountain View, California 94043-1824, and our telephone number is (650) 940-4700. We can also be reached at our website at www.Iridex.com; however, the information on, or that can be accessed through, our website is not part of this report.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Macroeconomic Conditions to our Business</w:t>
      </w:r>
    </w:p>
    <w:p>
      <w:pPr>
        <w:spacing w:after="0" w:line="1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Current macroeconomic conditions exhibit challenges that can affect capital equipment purchasing demand and timing, including recessionary fears, inflation concerns, changing interest rates, tariffs, trade wars, unexpected changes in taxes or policies, as well as other geopolitical developments and uncertainty, have impacted and may continue to impact business spending and the economy as a whole. As a result, we have seen customers extend purchase decision cycles. We have also experienced some demand softness due to pricing effects from the strength of the U.S. dollar that have impacted and may continue to impact our operations.</w:t>
      </w:r>
    </w:p>
    <w:p>
      <w:pPr>
        <w:spacing w:after="0" w:line="79"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macroeconomic conditions on our business and operations remain uncertain, and it is not possible for us to predict the duration and extent to which they will affect our business, future results of operations, and financial condition.</w:t>
      </w:r>
    </w:p>
    <w:p>
      <w:pPr>
        <w:spacing w:after="0" w:line="54" w:lineRule="exact"/>
        <w:rPr>
          <w:sz w:val="20"/>
          <w:szCs w:val="20"/>
          <w:color w:val="auto"/>
        </w:rPr>
      </w:pPr>
    </w:p>
    <w:p>
      <w:pPr>
        <w:ind w:right="100" w:firstLine="440"/>
        <w:spacing w:after="0" w:line="289" w:lineRule="auto"/>
        <w:rPr>
          <w:sz w:val="20"/>
          <w:szCs w:val="20"/>
          <w:color w:val="auto"/>
        </w:rPr>
      </w:pPr>
      <w:r>
        <w:rPr>
          <w:rFonts w:ascii="Times New Roman" w:cs="Times New Roman" w:eastAsia="Times New Roman" w:hAnsi="Times New Roman"/>
          <w:sz w:val="17"/>
          <w:szCs w:val="17"/>
          <w:color w:val="auto"/>
        </w:rPr>
        <w:t>For more information on risks associated with the current macroeconomic conditions, see the section titled “Risk Factors” in Item 1A of Part I. For more information on the impact of macroeconomic conditions, on our business, see the section titled “Management’s Discussion and Analysis of Financial Condition and Results of Operation” in Item 7 of Part II.</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global ophthalmology market is experiencing significant growth, driven by the aging population and the increasing prevalence of chronic diseases. Our focus is on the glaucoma and retinal disease markets, which represent a significant portion of this market.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Glaucoma</w:t>
      </w:r>
    </w:p>
    <w:p>
      <w:pPr>
        <w:spacing w:after="0" w:line="119"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Glaucoma is a progressive, chronic disease most recognized by high intraocular pressure (“IOP”). Elevated IOP is often caused by too much aqueous humor (the thin watery fluid that fills the front of the eye) being produced, not enough being drained, or a combination of both. It is a leading cause of blindness worldwide, with an estimated 80-100 million candidates for treatment. Although reducing IOP is the only proven treatment, the traditional options of pharmaceuticals and incisional surgery have significant shortcomings, such as poor patient compliance, financial burden, impact to lifestyle, and side-effects more invasive than MicroPulse laser treatments. These limitations create an unmet medical need in the management of glaucoma patients. Given these limitations, there is a growing interest in alternative approaches that can provide comparable or better outcomes with a better safety profile at a lower cost. Our company is poised to address this unmet medical need and capture a significant market opportunity.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Medical Retina</w:t>
      </w:r>
    </w:p>
    <w:p>
      <w:pPr>
        <w:spacing w:after="0" w:line="119"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Our medical retina business is focused on providing innovative and effective treatments for retinal disorders, which if left untreated, can lead to vision loss and blindness. It is estimated that 463 million people worldwide had diabetes in 2019, and this number is expected to increase to 578 million by 2030 and as many as 700 million by 2045, according to the International Diabetes Federation. Previous clinical studies have shown that 28.5% of diabetic patients may develop some form of diabetic retinopathy.</w:t>
      </w:r>
    </w:p>
    <w:p>
      <w:pPr>
        <w:spacing w:after="0" w:line="75"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For some retinal disorders, traditional treatments such as standard CW laser photocoagulation and injected pharmaceuticals have significant shortcomings. CW laser photocoagulation can stabilize vision over the long term but can also result in varying degrees of vision loss, while pharmaceuticals require repeated painful injections that may cause side effects including an increased risk of eye infections. Furthermore, the repeated injections are demanding on physicians, patients, and the healthcare system in terms of time and cost. As a result, there is a growing interest in alternative approaches that can provide comparable or better patient outcomes with an improved safety profile at lower costs. Our medical retina business is dedicated to developing and providing such innovative and effective treatments for retinal diseases.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60"/>
          </w:cols>
          <w:pgMar w:left="1400" w:top="1201" w:right="1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Our traditional laser technology was developed to perform laser photocoagulation by using a mode that delivers continuously-on laser light, which is referred to as CW mode. Laser photocoagulation generates a local healing response and has been demonstrated to be a safe and effective therapy with long-term benefits for certain ophthalmic procedures. However, use of the CW mode typically leads to local tissue damage and can cause loss of visual function, which limits the applications of the technology.</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solutions build on traditional CW laser and innovative technology, such as:</w:t>
      </w:r>
    </w:p>
    <w:p>
      <w:pPr>
        <w:spacing w:after="0" w:line="117" w:lineRule="exact"/>
        <w:rPr>
          <w:sz w:val="20"/>
          <w:szCs w:val="20"/>
          <w:color w:val="auto"/>
        </w:rPr>
      </w:pPr>
    </w:p>
    <w:p>
      <w:pPr>
        <w:ind w:left="880" w:right="60" w:hanging="431"/>
        <w:spacing w:after="0" w:line="254"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MicroPulse technology chops a CW laser beam into an envelope of repetitive short “ON” pulses with longer “OFF” periods that allow tissue to cool between pulses. CW laser is analogous to holding your hand still over a candle flame; your hand will quickly burn. MicroPulse is analogous to moving your hand quickly in and out of the candle flame; your hand has time to cool between passes to avoid burning. MicroPulse has been clinically proven to be effective and safe for the treatment of glaucoma and retinal diseases, with a growing body of clinical evidence published over the past decade. We have developed three applications of our MicroPulse technology for the treatment of eye diseases, providing a range of options for physicians and patients seeking improved outcomes with reduced risks.</w:t>
      </w:r>
    </w:p>
    <w:p>
      <w:pPr>
        <w:spacing w:after="0" w:line="83" w:lineRule="exact"/>
        <w:rPr>
          <w:rFonts w:ascii="Times New Roman" w:cs="Times New Roman" w:eastAsia="Times New Roman" w:hAnsi="Times New Roman"/>
          <w:sz w:val="18"/>
          <w:szCs w:val="18"/>
          <w:color w:val="auto"/>
        </w:rPr>
      </w:pPr>
    </w:p>
    <w:p>
      <w:pPr>
        <w:ind w:left="880" w:right="200" w:hanging="431"/>
        <w:spacing w:after="0" w:line="261"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Endpoint Management technology allows clinicians to titrate the laser to subvisible, tissue-sparing levels using a proprietary energy delivery algorithm for the treatment of retinal diseases and glaucoma. By use of this formula, heat induced changes in the retina are controlled as Endpoint Management simultaneously modulates the laser power and duration providing linear control over a non-linear process.</w:t>
      </w:r>
    </w:p>
    <w:p>
      <w:pPr>
        <w:spacing w:after="0" w:line="71" w:lineRule="exact"/>
        <w:rPr>
          <w:rFonts w:ascii="Times New Roman" w:cs="Times New Roman" w:eastAsia="Times New Roman" w:hAnsi="Times New Roman"/>
          <w:sz w:val="18"/>
          <w:szCs w:val="18"/>
          <w:color w:val="auto"/>
        </w:rPr>
      </w:pPr>
    </w:p>
    <w:p>
      <w:pPr>
        <w:ind w:left="880" w:right="40" w:hanging="431"/>
        <w:spacing w:after="0" w:line="261" w:lineRule="auto"/>
        <w:tabs>
          <w:tab w:leader="none" w:pos="8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pattern scanning laser technology efficiently delivers large laser patterns reducing treatment time and patient discomfort during treatment. PASCAL represents an improvement in ophthalmic treatment technology and is committed to helping physicians deliver effective results for patients. Ophthalmologists choose PASCAL because of its speed and ease of use.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Opportunities with Iridex's Technology Solutions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197" w:right="14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358"/>
        </w:trPr>
        <w:tc>
          <w:tcPr>
            <w:tcW w:w="1000" w:type="dxa"/>
            <w:vAlign w:val="bottom"/>
            <w:tcBorders>
              <w:right w:val="single" w:sz="8" w:color="auto"/>
            </w:tcBorders>
          </w:tcPr>
          <w:p>
            <w:pPr>
              <w:spacing w:after="0"/>
              <w:rPr>
                <w:sz w:val="24"/>
                <w:szCs w:val="24"/>
                <w:color w:val="auto"/>
              </w:rPr>
            </w:pPr>
          </w:p>
        </w:tc>
        <w:tc>
          <w:tcPr>
            <w:tcW w:w="308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Market Opportunities</w:t>
            </w:r>
          </w:p>
        </w:tc>
        <w:tc>
          <w:tcPr>
            <w:tcW w:w="190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Iridex Technologies</w:t>
            </w:r>
          </w:p>
        </w:tc>
        <w:tc>
          <w:tcPr>
            <w:tcW w:w="408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Laser Systems, Delivery Devices &amp; Overview</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1000" w:type="dxa"/>
            <w:vAlign w:val="bottom"/>
            <w:tcBorders>
              <w:right w:val="single" w:sz="8" w:color="auto"/>
            </w:tcBorders>
          </w:tcPr>
          <w:p>
            <w:pPr>
              <w:spacing w:after="0"/>
              <w:rPr>
                <w:sz w:val="24"/>
                <w:szCs w:val="24"/>
                <w:color w:val="auto"/>
              </w:rPr>
            </w:pPr>
          </w:p>
        </w:tc>
        <w:tc>
          <w:tcPr>
            <w:tcW w:w="3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Glaucoma</w:t>
            </w:r>
          </w:p>
        </w:tc>
        <w:tc>
          <w:tcPr>
            <w:tcW w:w="19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MicroPulse</w:t>
            </w: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Treats glaucoma using our Cyclo G6 laser system</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Borders>
              <w:right w:val="single" w:sz="8" w:color="auto"/>
            </w:tcBorders>
          </w:tcPr>
          <w:p>
            <w:pPr>
              <w:spacing w:after="0"/>
              <w:rPr>
                <w:sz w:val="19"/>
                <w:szCs w:val="19"/>
                <w:color w:val="auto"/>
              </w:rPr>
            </w:pPr>
          </w:p>
        </w:tc>
        <w:tc>
          <w:tcPr>
            <w:tcW w:w="3080" w:type="dxa"/>
            <w:vAlign w:val="bottom"/>
            <w:tcBorders>
              <w:right w:val="single" w:sz="8" w:color="auto"/>
            </w:tcBorders>
          </w:tcPr>
          <w:p>
            <w:pPr>
              <w:spacing w:after="0"/>
              <w:rPr>
                <w:sz w:val="19"/>
                <w:szCs w:val="19"/>
                <w:color w:val="auto"/>
              </w:rPr>
            </w:pPr>
          </w:p>
        </w:tc>
        <w:tc>
          <w:tcPr>
            <w:tcW w:w="19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Increase outflow via</w:t>
            </w: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and MicroPulse P3 delivery device. </w:t>
            </w:r>
            <w:r>
              <w:rPr>
                <w:rFonts w:ascii="Times New Roman" w:cs="Times New Roman" w:eastAsia="Times New Roman" w:hAnsi="Times New Roman"/>
                <w:sz w:val="18"/>
                <w:szCs w:val="18"/>
                <w:color w:val="auto"/>
              </w:rPr>
              <w:t>MicroPulse P3</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000" w:type="dxa"/>
            <w:vAlign w:val="bottom"/>
            <w:tcBorders>
              <w:right w:val="single" w:sz="8" w:color="auto"/>
            </w:tcBorders>
          </w:tcPr>
          <w:p>
            <w:pPr>
              <w:spacing w:after="0"/>
              <w:rPr>
                <w:sz w:val="9"/>
                <w:szCs w:val="9"/>
                <w:color w:val="auto"/>
              </w:rPr>
            </w:pPr>
          </w:p>
        </w:tc>
        <w:tc>
          <w:tcPr>
            <w:tcW w:w="308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vMerge w:val="continue"/>
          </w:tcPr>
          <w:p>
            <w:pPr>
              <w:spacing w:after="0"/>
              <w:rPr>
                <w:sz w:val="9"/>
                <w:szCs w:val="9"/>
                <w:color w:val="auto"/>
              </w:rPr>
            </w:pPr>
          </w:p>
        </w:tc>
        <w:tc>
          <w:tcPr>
            <w:tcW w:w="40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is Iridex’s proprietary, single-use, disposable probe. It</w:t>
            </w: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0" w:type="dxa"/>
            <w:vAlign w:val="bottom"/>
            <w:tcBorders>
              <w:right w:val="single" w:sz="8" w:color="auto"/>
            </w:tcBorders>
          </w:tcPr>
          <w:p>
            <w:pPr>
              <w:spacing w:after="0"/>
              <w:rPr>
                <w:sz w:val="9"/>
                <w:szCs w:val="9"/>
                <w:color w:val="auto"/>
              </w:rPr>
            </w:pPr>
          </w:p>
        </w:tc>
        <w:tc>
          <w:tcPr>
            <w:tcW w:w="308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uveoscleral pathway</w:t>
            </w:r>
          </w:p>
        </w:tc>
        <w:tc>
          <w:tcPr>
            <w:tcW w:w="4080" w:type="dxa"/>
            <w:vAlign w:val="bottom"/>
            <w:tcBorders>
              <w:right w:val="single" w:sz="8" w:color="auto"/>
            </w:tcBorders>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00" w:type="dxa"/>
            <w:vAlign w:val="bottom"/>
            <w:tcBorders>
              <w:right w:val="single" w:sz="8" w:color="auto"/>
            </w:tcBorders>
          </w:tcPr>
          <w:p>
            <w:pPr>
              <w:spacing w:after="0"/>
              <w:rPr>
                <w:sz w:val="10"/>
                <w:szCs w:val="10"/>
                <w:color w:val="auto"/>
              </w:rPr>
            </w:pPr>
          </w:p>
        </w:tc>
        <w:tc>
          <w:tcPr>
            <w:tcW w:w="308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vMerge w:val="continue"/>
          </w:tcPr>
          <w:p>
            <w:pPr>
              <w:spacing w:after="0"/>
              <w:rPr>
                <w:sz w:val="10"/>
                <w:szCs w:val="10"/>
                <w:color w:val="auto"/>
              </w:rPr>
            </w:pPr>
          </w:p>
        </w:tc>
        <w:tc>
          <w:tcPr>
            <w:tcW w:w="40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delivers MicroPulse laser transsclerally (through the</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000" w:type="dxa"/>
            <w:vAlign w:val="bottom"/>
            <w:tcBorders>
              <w:right w:val="single" w:sz="8" w:color="auto"/>
            </w:tcBorders>
          </w:tcPr>
          <w:p>
            <w:pPr>
              <w:spacing w:after="0"/>
              <w:rPr>
                <w:sz w:val="7"/>
                <w:szCs w:val="7"/>
                <w:color w:val="auto"/>
              </w:rPr>
            </w:pPr>
          </w:p>
        </w:tc>
        <w:tc>
          <w:tcPr>
            <w:tcW w:w="308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white of the eye) to target the ciliary body inside the</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eye. The ciliary body controls various ocular</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functions including aqueous humor production, and it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helps facilitate the reduction of aqueous humor via</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outflow channels.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00" w:type="dxa"/>
            <w:vAlign w:val="bottom"/>
            <w:tcBorders>
              <w:right w:val="single" w:sz="8" w:color="auto"/>
            </w:tcBorders>
          </w:tcPr>
          <w:p>
            <w:pPr>
              <w:spacing w:after="0"/>
              <w:rPr>
                <w:sz w:val="24"/>
                <w:szCs w:val="24"/>
                <w:color w:val="auto"/>
              </w:rPr>
            </w:pPr>
          </w:p>
        </w:tc>
        <w:tc>
          <w:tcPr>
            <w:tcW w:w="30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Transscleral laser therapy (“TLT”) using MicroPulse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technology is a non-incisional treatment that is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believed to reduce IOP primarily through uveoscleral</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outflow. Numerous peer-reviewed published clinical</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studies have demonstrated MicroPulse TLT as a safe</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and clinically effective treatment to lower patients’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IOP and reduce the number of topical eye drops and</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oral medications across a wide spectrum of glaucoma</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types and disease severity. Glaucoma specialists and</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comprehensive ophthalmologists incorporate</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MicroPulse TLT prior to, concurrent with, and after</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 surgical therapies. It’s a repeatable procedure</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which doesn’t impact the patient’s quality of life nor</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Borders>
              <w:right w:val="single" w:sz="8" w:color="auto"/>
            </w:tcBorders>
          </w:tcPr>
          <w:p>
            <w:pPr>
              <w:spacing w:after="0"/>
              <w:rPr>
                <w:sz w:val="20"/>
                <w:szCs w:val="20"/>
                <w:color w:val="auto"/>
              </w:rPr>
            </w:pPr>
          </w:p>
        </w:tc>
        <w:tc>
          <w:tcPr>
            <w:tcW w:w="308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40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does it inhibit future interventions.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1000" w:type="dxa"/>
            <w:vAlign w:val="bottom"/>
            <w:tcBorders>
              <w:right w:val="single" w:sz="8" w:color="auto"/>
            </w:tcBorders>
          </w:tcPr>
          <w:p>
            <w:pPr>
              <w:spacing w:after="0"/>
              <w:rPr>
                <w:sz w:val="24"/>
                <w:szCs w:val="24"/>
                <w:color w:val="auto"/>
              </w:rPr>
            </w:pPr>
          </w:p>
        </w:tc>
        <w:tc>
          <w:tcPr>
            <w:tcW w:w="3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Glaucoma</w:t>
            </w:r>
          </w:p>
        </w:tc>
        <w:tc>
          <w:tcPr>
            <w:tcW w:w="19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MicroPulse</w:t>
            </w: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Treats glaucoma with our IQ laser</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Borders>
              <w:right w:val="single" w:sz="8" w:color="auto"/>
            </w:tcBorders>
          </w:tcPr>
          <w:p>
            <w:pPr>
              <w:spacing w:after="0"/>
              <w:rPr>
                <w:sz w:val="19"/>
                <w:szCs w:val="19"/>
                <w:color w:val="auto"/>
              </w:rPr>
            </w:pPr>
          </w:p>
        </w:tc>
        <w:tc>
          <w:tcPr>
            <w:tcW w:w="3080" w:type="dxa"/>
            <w:vAlign w:val="bottom"/>
            <w:tcBorders>
              <w:right w:val="single" w:sz="8" w:color="auto"/>
            </w:tcBorders>
          </w:tcPr>
          <w:p>
            <w:pPr>
              <w:spacing w:after="0"/>
              <w:rPr>
                <w:sz w:val="19"/>
                <w:szCs w:val="19"/>
                <w:color w:val="auto"/>
              </w:rPr>
            </w:pPr>
          </w:p>
        </w:tc>
        <w:tc>
          <w:tcPr>
            <w:tcW w:w="19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Increase outflow via</w:t>
            </w: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systems. </w:t>
            </w:r>
            <w:r>
              <w:rPr>
                <w:rFonts w:ascii="Times New Roman" w:cs="Times New Roman" w:eastAsia="Times New Roman" w:hAnsi="Times New Roman"/>
                <w:sz w:val="18"/>
                <w:szCs w:val="18"/>
                <w:color w:val="auto"/>
              </w:rPr>
              <w:t>MicroPulse laser is delivered through a</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000" w:type="dxa"/>
            <w:vAlign w:val="bottom"/>
            <w:tcBorders>
              <w:right w:val="single" w:sz="8" w:color="auto"/>
            </w:tcBorders>
          </w:tcPr>
          <w:p>
            <w:pPr>
              <w:spacing w:after="0"/>
              <w:rPr>
                <w:sz w:val="9"/>
                <w:szCs w:val="9"/>
                <w:color w:val="auto"/>
              </w:rPr>
            </w:pPr>
          </w:p>
        </w:tc>
        <w:tc>
          <w:tcPr>
            <w:tcW w:w="308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vMerge w:val="continue"/>
          </w:tcPr>
          <w:p>
            <w:pPr>
              <w:spacing w:after="0"/>
              <w:rPr>
                <w:sz w:val="9"/>
                <w:szCs w:val="9"/>
                <w:color w:val="auto"/>
              </w:rPr>
            </w:pPr>
          </w:p>
        </w:tc>
        <w:tc>
          <w:tcPr>
            <w:tcW w:w="40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mechanical and optical delivery device and targets the</w:t>
            </w: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0" w:type="dxa"/>
            <w:vAlign w:val="bottom"/>
            <w:tcBorders>
              <w:right w:val="single" w:sz="8" w:color="auto"/>
            </w:tcBorders>
          </w:tcPr>
          <w:p>
            <w:pPr>
              <w:spacing w:after="0"/>
              <w:rPr>
                <w:sz w:val="9"/>
                <w:szCs w:val="9"/>
                <w:color w:val="auto"/>
              </w:rPr>
            </w:pPr>
          </w:p>
        </w:tc>
        <w:tc>
          <w:tcPr>
            <w:tcW w:w="308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trabecular meshwork</w:t>
            </w:r>
          </w:p>
        </w:tc>
        <w:tc>
          <w:tcPr>
            <w:tcW w:w="4080" w:type="dxa"/>
            <w:vAlign w:val="bottom"/>
            <w:tcBorders>
              <w:right w:val="single" w:sz="8" w:color="auto"/>
            </w:tcBorders>
            <w:vMerge w:val="continue"/>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00" w:type="dxa"/>
            <w:vAlign w:val="bottom"/>
            <w:tcBorders>
              <w:right w:val="single" w:sz="8" w:color="auto"/>
            </w:tcBorders>
          </w:tcPr>
          <w:p>
            <w:pPr>
              <w:spacing w:after="0"/>
              <w:rPr>
                <w:sz w:val="10"/>
                <w:szCs w:val="10"/>
                <w:color w:val="auto"/>
              </w:rPr>
            </w:pPr>
          </w:p>
        </w:tc>
        <w:tc>
          <w:tcPr>
            <w:tcW w:w="308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vMerge w:val="continue"/>
          </w:tcPr>
          <w:p>
            <w:pPr>
              <w:spacing w:after="0"/>
              <w:rPr>
                <w:sz w:val="10"/>
                <w:szCs w:val="10"/>
                <w:color w:val="auto"/>
              </w:rPr>
            </w:pPr>
          </w:p>
        </w:tc>
        <w:tc>
          <w:tcPr>
            <w:tcW w:w="40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trabecular meshwork. Physicians describe the</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000" w:type="dxa"/>
            <w:vAlign w:val="bottom"/>
            <w:tcBorders>
              <w:right w:val="single" w:sz="8" w:color="auto"/>
            </w:tcBorders>
          </w:tcPr>
          <w:p>
            <w:pPr>
              <w:spacing w:after="0"/>
              <w:rPr>
                <w:sz w:val="7"/>
                <w:szCs w:val="7"/>
                <w:color w:val="auto"/>
              </w:rPr>
            </w:pPr>
          </w:p>
        </w:tc>
        <w:tc>
          <w:tcPr>
            <w:tcW w:w="308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technique as MicroPulse Laser Trabeculoplasty</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(“MLT”). It is believed that the MLT procedure</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improves trabecular meshwork outflow and thus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lowers IOP. We believe that the MLT procedure</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provides incremental clinical benefits relative to other</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Borders>
              <w:right w:val="single" w:sz="8" w:color="auto"/>
            </w:tcBorders>
          </w:tcPr>
          <w:p>
            <w:pPr>
              <w:spacing w:after="0"/>
              <w:rPr>
                <w:sz w:val="20"/>
                <w:szCs w:val="20"/>
                <w:color w:val="auto"/>
              </w:rPr>
            </w:pPr>
          </w:p>
        </w:tc>
        <w:tc>
          <w:tcPr>
            <w:tcW w:w="308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40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laser trabeculoplasty procedures such as SLT.</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1000" w:type="dxa"/>
            <w:vAlign w:val="bottom"/>
            <w:tcBorders>
              <w:right w:val="single" w:sz="8" w:color="auto"/>
            </w:tcBorders>
          </w:tcPr>
          <w:p>
            <w:pPr>
              <w:spacing w:after="0"/>
              <w:rPr>
                <w:sz w:val="24"/>
                <w:szCs w:val="24"/>
                <w:color w:val="auto"/>
              </w:rPr>
            </w:pPr>
          </w:p>
        </w:tc>
        <w:tc>
          <w:tcPr>
            <w:tcW w:w="3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Glaucoma</w:t>
            </w:r>
          </w:p>
        </w:tc>
        <w:tc>
          <w:tcPr>
            <w:tcW w:w="19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PSLT</w:t>
            </w: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Pattern Scanning Laser Trabeculoplasty (PSLT) </w:t>
            </w:r>
            <w:r>
              <w:rPr>
                <w:rFonts w:ascii="Times New Roman" w:cs="Times New Roman" w:eastAsia="Times New Roman" w:hAnsi="Times New Roman"/>
                <w:sz w:val="18"/>
                <w:szCs w:val="18"/>
                <w:color w:val="auto"/>
              </w:rPr>
              <w:t>is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 computer-guided therapy that provides precise</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Increase outflow via</w:t>
            </w: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placement of laser patterns along the trabecular</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trabecular meshwork</w:t>
            </w: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meshwork, independent of the visibility of lesions.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PSLT provides rapid, precise, and subvisible</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computer-guided treatment with exact placement of</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Borders>
              <w:right w:val="single" w:sz="8" w:color="auto"/>
            </w:tcBorders>
          </w:tcPr>
          <w:p>
            <w:pPr>
              <w:spacing w:after="0"/>
              <w:rPr>
                <w:sz w:val="20"/>
                <w:szCs w:val="20"/>
                <w:color w:val="auto"/>
              </w:rPr>
            </w:pPr>
          </w:p>
        </w:tc>
        <w:tc>
          <w:tcPr>
            <w:tcW w:w="308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40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patterns for the lowering of IOP.</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1000" w:type="dxa"/>
            <w:vAlign w:val="bottom"/>
            <w:tcBorders>
              <w:right w:val="single" w:sz="8" w:color="auto"/>
            </w:tcBorders>
          </w:tcPr>
          <w:p>
            <w:pPr>
              <w:spacing w:after="0"/>
              <w:rPr>
                <w:sz w:val="24"/>
                <w:szCs w:val="24"/>
                <w:color w:val="auto"/>
              </w:rPr>
            </w:pPr>
          </w:p>
        </w:tc>
        <w:tc>
          <w:tcPr>
            <w:tcW w:w="3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Glaucoma</w:t>
            </w:r>
          </w:p>
        </w:tc>
        <w:tc>
          <w:tcPr>
            <w:tcW w:w="19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CW</w:t>
            </w: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Treats glaucoma using our Cyclo G6 laser system</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Reduce inflow</w:t>
            </w: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and G-Probe or G-Probe Illuminate delivery</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1000" w:type="dxa"/>
            <w:vAlign w:val="bottom"/>
            <w:tcBorders>
              <w:right w:val="single" w:sz="8" w:color="auto"/>
            </w:tcBorders>
          </w:tcPr>
          <w:p>
            <w:pPr>
              <w:spacing w:after="0"/>
              <w:rPr>
                <w:sz w:val="11"/>
                <w:szCs w:val="11"/>
                <w:color w:val="auto"/>
              </w:rPr>
            </w:pPr>
          </w:p>
        </w:tc>
        <w:tc>
          <w:tcPr>
            <w:tcW w:w="308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vMerge w:val="continue"/>
          </w:tcPr>
          <w:p>
            <w:pPr>
              <w:spacing w:after="0"/>
              <w:rPr>
                <w:sz w:val="11"/>
                <w:szCs w:val="11"/>
                <w:color w:val="auto"/>
              </w:rPr>
            </w:pPr>
          </w:p>
        </w:tc>
        <w:tc>
          <w:tcPr>
            <w:tcW w:w="40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device. </w:t>
            </w:r>
            <w:r>
              <w:rPr>
                <w:rFonts w:ascii="Times New Roman" w:cs="Times New Roman" w:eastAsia="Times New Roman" w:hAnsi="Times New Roman"/>
                <w:sz w:val="18"/>
                <w:szCs w:val="18"/>
                <w:color w:val="auto"/>
              </w:rPr>
              <w:t>The Iridex G-Probe is a fiber-optic laser</w:t>
            </w: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1000" w:type="dxa"/>
            <w:vAlign w:val="bottom"/>
            <w:tcBorders>
              <w:right w:val="single" w:sz="8" w:color="auto"/>
            </w:tcBorders>
          </w:tcPr>
          <w:p>
            <w:pPr>
              <w:spacing w:after="0"/>
              <w:rPr>
                <w:sz w:val="7"/>
                <w:szCs w:val="7"/>
                <w:color w:val="auto"/>
              </w:rPr>
            </w:pPr>
          </w:p>
        </w:tc>
        <w:tc>
          <w:tcPr>
            <w:tcW w:w="308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delivery device used to selectively ablate ciliary</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processes in patients who require treatment for</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refractory glaucoma. Delivery is transscleral (through</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white of the eye). The G-Probe Illuminate</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provides built-in transillumination for optimized</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Borders>
              <w:right w:val="single" w:sz="8" w:color="auto"/>
            </w:tcBorders>
          </w:tcPr>
          <w:p>
            <w:pPr>
              <w:spacing w:after="0"/>
              <w:rPr>
                <w:sz w:val="20"/>
                <w:szCs w:val="20"/>
                <w:color w:val="auto"/>
              </w:rPr>
            </w:pPr>
          </w:p>
        </w:tc>
        <w:tc>
          <w:tcPr>
            <w:tcW w:w="308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40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probe placement and therapeutic outcome.</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10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8</w:t>
            </w:r>
          </w:p>
        </w:tc>
        <w:tc>
          <w:tcPr>
            <w:tcW w:w="4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88"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322"/>
        </w:trPr>
        <w:tc>
          <w:tcPr>
            <w:tcW w:w="1000" w:type="dxa"/>
            <w:vAlign w:val="bottom"/>
            <w:tcBorders>
              <w:right w:val="single" w:sz="8" w:color="auto"/>
            </w:tcBorders>
          </w:tcPr>
          <w:p>
            <w:pPr>
              <w:spacing w:after="0"/>
              <w:rPr>
                <w:sz w:val="24"/>
                <w:szCs w:val="24"/>
                <w:color w:val="auto"/>
              </w:rPr>
            </w:pPr>
          </w:p>
        </w:tc>
        <w:tc>
          <w:tcPr>
            <w:tcW w:w="30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Medical Retina</w:t>
            </w:r>
          </w:p>
        </w:tc>
        <w:tc>
          <w:tcPr>
            <w:tcW w:w="190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MicroPulse</w:t>
            </w:r>
          </w:p>
        </w:tc>
        <w:tc>
          <w:tcPr>
            <w:tcW w:w="40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Treats Retinal Disorders with our IQ laser system.</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MicroPulse laser is administered through our TxCell</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Pattern Scanning Slit Lamp Adapter or standard slit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lamp adapter. Studies have demonstrated that for the</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treatment of retinal disorders, MicroPulse laser</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therapy has several competitive advantages over</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alternate therapies with respect to long term vision</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000" w:type="dxa"/>
            <w:vAlign w:val="bottom"/>
            <w:tcBorders>
              <w:right w:val="single" w:sz="8" w:color="auto"/>
            </w:tcBorders>
          </w:tcPr>
          <w:p>
            <w:pPr>
              <w:spacing w:after="0"/>
              <w:rPr>
                <w:sz w:val="21"/>
                <w:szCs w:val="21"/>
                <w:color w:val="auto"/>
              </w:rPr>
            </w:pPr>
          </w:p>
        </w:tc>
        <w:tc>
          <w:tcPr>
            <w:tcW w:w="3080" w:type="dxa"/>
            <w:vAlign w:val="bottom"/>
            <w:tcBorders>
              <w:bottom w:val="single" w:sz="8" w:color="auto"/>
              <w:right w:val="single" w:sz="8" w:color="auto"/>
            </w:tcBorders>
          </w:tcPr>
          <w:p>
            <w:pPr>
              <w:spacing w:after="0"/>
              <w:rPr>
                <w:sz w:val="21"/>
                <w:szCs w:val="21"/>
                <w:color w:val="auto"/>
              </w:rPr>
            </w:pPr>
          </w:p>
        </w:tc>
        <w:tc>
          <w:tcPr>
            <w:tcW w:w="1900" w:type="dxa"/>
            <w:vAlign w:val="bottom"/>
            <w:tcBorders>
              <w:bottom w:val="single" w:sz="8" w:color="auto"/>
              <w:right w:val="single" w:sz="8" w:color="auto"/>
            </w:tcBorders>
          </w:tcPr>
          <w:p>
            <w:pPr>
              <w:spacing w:after="0"/>
              <w:rPr>
                <w:sz w:val="21"/>
                <w:szCs w:val="21"/>
                <w:color w:val="auto"/>
              </w:rPr>
            </w:pPr>
          </w:p>
        </w:tc>
        <w:tc>
          <w:tcPr>
            <w:tcW w:w="40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stability, visual function, and cost effectiveness.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1000" w:type="dxa"/>
            <w:vAlign w:val="bottom"/>
            <w:tcBorders>
              <w:right w:val="single" w:sz="8" w:color="auto"/>
            </w:tcBorders>
          </w:tcPr>
          <w:p>
            <w:pPr>
              <w:spacing w:after="0"/>
              <w:rPr>
                <w:sz w:val="24"/>
                <w:szCs w:val="24"/>
                <w:color w:val="auto"/>
              </w:rPr>
            </w:pPr>
          </w:p>
        </w:tc>
        <w:tc>
          <w:tcPr>
            <w:tcW w:w="3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Medical Retina</w:t>
            </w:r>
          </w:p>
        </w:tc>
        <w:tc>
          <w:tcPr>
            <w:tcW w:w="19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CW</w:t>
            </w: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Treats Retinal Disorders with our PASCAL laser</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Borders>
              <w:right w:val="single" w:sz="8" w:color="auto"/>
            </w:tcBorders>
          </w:tcPr>
          <w:p>
            <w:pPr>
              <w:spacing w:after="0"/>
              <w:rPr>
                <w:sz w:val="19"/>
                <w:szCs w:val="19"/>
                <w:color w:val="auto"/>
              </w:rPr>
            </w:pPr>
          </w:p>
        </w:tc>
        <w:tc>
          <w:tcPr>
            <w:tcW w:w="3080" w:type="dxa"/>
            <w:vAlign w:val="bottom"/>
            <w:tcBorders>
              <w:right w:val="single" w:sz="8" w:color="auto"/>
            </w:tcBorders>
          </w:tcPr>
          <w:p>
            <w:pPr>
              <w:spacing w:after="0"/>
              <w:rPr>
                <w:sz w:val="19"/>
                <w:szCs w:val="19"/>
                <w:color w:val="auto"/>
              </w:rPr>
            </w:pPr>
          </w:p>
        </w:tc>
        <w:tc>
          <w:tcPr>
            <w:tcW w:w="190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Endpoint Management</w:t>
            </w: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system. </w:t>
            </w:r>
            <w:r>
              <w:rPr>
                <w:rFonts w:ascii="Times New Roman" w:cs="Times New Roman" w:eastAsia="Times New Roman" w:hAnsi="Times New Roman"/>
                <w:sz w:val="18"/>
                <w:szCs w:val="18"/>
                <w:color w:val="auto"/>
              </w:rPr>
              <w:t>PASCAL efficiently delivers large laser</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1000" w:type="dxa"/>
            <w:vAlign w:val="bottom"/>
            <w:tcBorders>
              <w:right w:val="single" w:sz="8" w:color="auto"/>
            </w:tcBorders>
          </w:tcPr>
          <w:p>
            <w:pPr>
              <w:spacing w:after="0"/>
              <w:rPr>
                <w:sz w:val="10"/>
                <w:szCs w:val="10"/>
                <w:color w:val="auto"/>
              </w:rPr>
            </w:pPr>
          </w:p>
        </w:tc>
        <w:tc>
          <w:tcPr>
            <w:tcW w:w="3080" w:type="dxa"/>
            <w:vAlign w:val="bottom"/>
            <w:tcBorders>
              <w:right w:val="single" w:sz="8" w:color="auto"/>
            </w:tcBorders>
          </w:tcPr>
          <w:p>
            <w:pPr>
              <w:spacing w:after="0"/>
              <w:rPr>
                <w:sz w:val="10"/>
                <w:szCs w:val="10"/>
                <w:color w:val="auto"/>
              </w:rPr>
            </w:pPr>
          </w:p>
        </w:tc>
        <w:tc>
          <w:tcPr>
            <w:tcW w:w="1900" w:type="dxa"/>
            <w:vAlign w:val="bottom"/>
            <w:tcBorders>
              <w:right w:val="single" w:sz="8" w:color="auto"/>
            </w:tcBorders>
            <w:vMerge w:val="continue"/>
          </w:tcPr>
          <w:p>
            <w:pPr>
              <w:spacing w:after="0"/>
              <w:rPr>
                <w:sz w:val="10"/>
                <w:szCs w:val="10"/>
                <w:color w:val="auto"/>
              </w:rPr>
            </w:pPr>
          </w:p>
        </w:tc>
        <w:tc>
          <w:tcPr>
            <w:tcW w:w="408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patterns reducing treatment time and patient</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000" w:type="dxa"/>
            <w:vAlign w:val="bottom"/>
            <w:tcBorders>
              <w:right w:val="single" w:sz="8" w:color="auto"/>
            </w:tcBorders>
          </w:tcPr>
          <w:p>
            <w:pPr>
              <w:spacing w:after="0"/>
              <w:rPr>
                <w:sz w:val="7"/>
                <w:szCs w:val="7"/>
                <w:color w:val="auto"/>
              </w:rPr>
            </w:pPr>
          </w:p>
        </w:tc>
        <w:tc>
          <w:tcPr>
            <w:tcW w:w="308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4080" w:type="dxa"/>
            <w:vAlign w:val="bottom"/>
            <w:tcBorders>
              <w:right w:val="single" w:sz="8" w:color="auto"/>
            </w:tcBorders>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MicroPulse</w:t>
            </w: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discomfort during treatment of retinal disorders using</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standard CW laser therapy or sub-threshold Endpoint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Borders>
              <w:right w:val="single" w:sz="8" w:color="auto"/>
            </w:tcBorders>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Management.</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00" w:type="dxa"/>
            <w:vAlign w:val="bottom"/>
            <w:tcBorders>
              <w:right w:val="single" w:sz="8" w:color="auto"/>
            </w:tcBorders>
          </w:tcPr>
          <w:p>
            <w:pPr>
              <w:spacing w:after="0"/>
              <w:rPr>
                <w:sz w:val="24"/>
                <w:szCs w:val="24"/>
                <w:color w:val="auto"/>
              </w:rPr>
            </w:pPr>
          </w:p>
        </w:tc>
        <w:tc>
          <w:tcPr>
            <w:tcW w:w="30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MicroPulse laser is administered through the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integrated slit lamp on our PASCAL laser system.</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Studies have demonstrated that for the treatment of</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retinal disorders, MicroPulse laser therapy has several</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competitive advantages over alternate therapies with</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respect to long term vision stability, visual function,</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Borders>
              <w:right w:val="single" w:sz="8" w:color="auto"/>
            </w:tcBorders>
          </w:tcPr>
          <w:p>
            <w:pPr>
              <w:spacing w:after="0"/>
              <w:rPr>
                <w:sz w:val="20"/>
                <w:szCs w:val="20"/>
                <w:color w:val="auto"/>
              </w:rPr>
            </w:pPr>
          </w:p>
        </w:tc>
        <w:tc>
          <w:tcPr>
            <w:tcW w:w="308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40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and cost effectiveness.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1000" w:type="dxa"/>
            <w:vAlign w:val="bottom"/>
            <w:tcBorders>
              <w:right w:val="single" w:sz="8" w:color="auto"/>
            </w:tcBorders>
          </w:tcPr>
          <w:p>
            <w:pPr>
              <w:spacing w:after="0"/>
              <w:rPr>
                <w:sz w:val="24"/>
                <w:szCs w:val="24"/>
                <w:color w:val="auto"/>
              </w:rPr>
            </w:pPr>
          </w:p>
        </w:tc>
        <w:tc>
          <w:tcPr>
            <w:tcW w:w="3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Surgical Retina</w:t>
            </w:r>
          </w:p>
        </w:tc>
        <w:tc>
          <w:tcPr>
            <w:tcW w:w="19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CW</w:t>
            </w: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The Iridex EndoProbe is used with our IQ and</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00" w:type="dxa"/>
            <w:vAlign w:val="bottom"/>
            <w:tcBorders>
              <w:right w:val="single" w:sz="8" w:color="auto"/>
            </w:tcBorders>
          </w:tcPr>
          <w:p>
            <w:pPr>
              <w:spacing w:after="0"/>
              <w:rPr>
                <w:sz w:val="19"/>
                <w:szCs w:val="19"/>
                <w:color w:val="auto"/>
              </w:rPr>
            </w:pPr>
          </w:p>
        </w:tc>
        <w:tc>
          <w:tcPr>
            <w:tcW w:w="3080" w:type="dxa"/>
            <w:vAlign w:val="bottom"/>
            <w:tcBorders>
              <w:right w:val="single" w:sz="8" w:color="auto"/>
            </w:tcBorders>
          </w:tcPr>
          <w:p>
            <w:pPr>
              <w:spacing w:after="0"/>
              <w:rPr>
                <w:sz w:val="19"/>
                <w:szCs w:val="19"/>
                <w:color w:val="auto"/>
              </w:rPr>
            </w:pPr>
          </w:p>
        </w:tc>
        <w:tc>
          <w:tcPr>
            <w:tcW w:w="1900" w:type="dxa"/>
            <w:vAlign w:val="bottom"/>
            <w:tcBorders>
              <w:right w:val="single" w:sz="8" w:color="auto"/>
            </w:tcBorders>
          </w:tcPr>
          <w:p>
            <w:pPr>
              <w:spacing w:after="0"/>
              <w:rPr>
                <w:sz w:val="19"/>
                <w:szCs w:val="19"/>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OcuLight lasers. </w:t>
            </w:r>
            <w:r>
              <w:rPr>
                <w:rFonts w:ascii="Times New Roman" w:cs="Times New Roman" w:eastAsia="Times New Roman" w:hAnsi="Times New Roman"/>
                <w:sz w:val="18"/>
                <w:szCs w:val="18"/>
                <w:color w:val="auto"/>
              </w:rPr>
              <w:t>EndoProbe handpieces are used to</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treat proliferative diabetic retinopathy, macular holes,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retinal tears and detachments. These disposable</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probes are available in tapered, angled, stepped,</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aspirating, illuminating, and adjustable styles, as well</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right w:val="single" w:sz="8" w:color="auto"/>
            </w:tcBorders>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as a wide variety of sizes. The EndoProbe is a sterile</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Borders>
              <w:right w:val="single" w:sz="8" w:color="auto"/>
            </w:tcBorders>
          </w:tcPr>
          <w:p>
            <w:pPr>
              <w:spacing w:after="0"/>
              <w:rPr>
                <w:sz w:val="20"/>
                <w:szCs w:val="20"/>
                <w:color w:val="auto"/>
              </w:rPr>
            </w:pPr>
          </w:p>
        </w:tc>
        <w:tc>
          <w:tcPr>
            <w:tcW w:w="308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40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disposable product.</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10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9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9</w:t>
            </w:r>
          </w:p>
        </w:tc>
        <w:tc>
          <w:tcPr>
            <w:tcW w:w="4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304"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As a global leader in developing, manufacturing, marketing, selling and servicing innovative medical laser systems and associated instrumentation for the treatment of sight-threatening eye diseases, we aim to capitalize on our strong brand and distribution network within the ophthalmology market. Our goal is to promote MicroPulse as a credible treatment option for glaucoma and retinal diseases, while also commercializing a range of products that enhance therapeutic outcomes for patients, streamline physician efficiency, reduce costs, and provide economic benefits to healthcare systems. We are committed to pursuing a variety of organic initiatives, with potential acquisitions serving as a complementary strategy and complementary inorganic initiatives. Through the successful execution of this strategy, we anticipate driving profitable growth and creating increased shareholder value.</w:t>
      </w:r>
    </w:p>
    <w:p>
      <w:pPr>
        <w:spacing w:after="0" w:line="84"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To achieve these goals, we are pursuing several organic initiatives that we anticipate will be supplemented from time to time by acquisitions, such as the asset acquisition completed with one of the subsidiaries for Topcon. We anticipate that the successful execution of this strategy will lead to profitable growth and enhanced shareholder value.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Our products are designed with a system approach in mind, with each system consisting of a laser console that generates laser energy, along with a range of interchangeable delivery devices or single-use disposable probes for use in specific clinical applications. This enables our customers to invest in a basic laser system and expand their therapeutic capabilities over time, with the ability to add additional delivery devices or disposable probes as needed. Our product line currently comprises three main categories: (1) laser consoles, (2) delivery devices, which are optical-mechanical products that can be mounted to ophthalmologists' diagnostic equipment and transmit the laser energy, and (3) single-use disposable probes, which deliver the laser energy to targeted regions inside the eye.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Laser Consoles</w:t>
      </w:r>
    </w:p>
    <w:p>
      <w:pPr>
        <w:spacing w:after="0" w:line="119"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Our laser consoles, which are identified below, incorporate the economic and technical benefits of solid state and semiconductor laser technology to design small, portable and reliable lasers.</w:t>
      </w:r>
    </w:p>
    <w:p>
      <w:pPr>
        <w:spacing w:after="0" w:line="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Glaucoma:</w:t>
      </w:r>
    </w:p>
    <w:p>
      <w:pPr>
        <w:spacing w:after="0" w:line="131" w:lineRule="exact"/>
        <w:rPr>
          <w:sz w:val="20"/>
          <w:szCs w:val="20"/>
          <w:color w:val="auto"/>
        </w:rPr>
      </w:pPr>
    </w:p>
    <w:p>
      <w:pPr>
        <w:ind w:right="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Cyclo G6 Laser System. </w:t>
      </w:r>
      <w:r>
        <w:rPr>
          <w:rFonts w:ascii="Times New Roman" w:cs="Times New Roman" w:eastAsia="Times New Roman" w:hAnsi="Times New Roman"/>
          <w:sz w:val="18"/>
          <w:szCs w:val="18"/>
          <w:color w:val="auto"/>
        </w:rPr>
        <w:t>The Cyclo G6 is an infrared (810nm) laser designed to treat patients diagnosed with a range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glaucoma disease states. The Cyclo G6 system is sold with a family of probes that are disposable, including our patented MicroPulse P3 probe that utilizes our MicroPulse technology, our G-Probe and G-Probe Illuminate.</w:t>
      </w:r>
    </w:p>
    <w:p>
      <w:pPr>
        <w:spacing w:after="0" w:line="6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PASCAL Laser System</w:t>
      </w:r>
      <w:r>
        <w:rPr>
          <w:rFonts w:ascii="Times New Roman" w:cs="Times New Roman" w:eastAsia="Times New Roman" w:hAnsi="Times New Roman"/>
          <w:sz w:val="18"/>
          <w:szCs w:val="18"/>
          <w:color w:val="auto"/>
        </w:rPr>
        <w:t>. The new Iridex PASCAL is available in either 532 nm or 577 nm wavelengths. Pattern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Scanning Laser Trabeculoplasty (“PSLT”) is a tissue-sparing laser treatment for reducing IOP in open angle glaucoma. PSLT provides a rapid, precise, and minimally traumatic computer-guided treatment that applies a sequence of patterns onto the trabecular meshwork.</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Medical retina:</w:t>
      </w:r>
    </w:p>
    <w:p>
      <w:pPr>
        <w:spacing w:after="0" w:line="117" w:lineRule="exact"/>
        <w:rPr>
          <w:sz w:val="20"/>
          <w:szCs w:val="20"/>
          <w:color w:val="auto"/>
        </w:rPr>
      </w:pPr>
    </w:p>
    <w:p>
      <w:pPr>
        <w:ind w:firstLine="440"/>
        <w:spacing w:after="0"/>
        <w:rPr>
          <w:sz w:val="20"/>
          <w:szCs w:val="20"/>
          <w:color w:val="auto"/>
        </w:rPr>
      </w:pPr>
      <w:r>
        <w:rPr>
          <w:rFonts w:ascii="Times New Roman" w:cs="Times New Roman" w:eastAsia="Times New Roman" w:hAnsi="Times New Roman"/>
          <w:sz w:val="18"/>
          <w:szCs w:val="18"/>
          <w:i w:val="1"/>
          <w:iCs w:val="1"/>
          <w:color w:val="auto"/>
        </w:rPr>
        <w:t xml:space="preserve">IQ Laser System. </w:t>
      </w:r>
      <w:r>
        <w:rPr>
          <w:rFonts w:ascii="Times New Roman" w:cs="Times New Roman" w:eastAsia="Times New Roman" w:hAnsi="Times New Roman"/>
          <w:sz w:val="18"/>
          <w:szCs w:val="18"/>
          <w:color w:val="auto"/>
        </w:rPr>
        <w:t>Our IQ laser systems offer our MicroPulse technology but also have CW capabilities. Our IQ 577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delivers visible yellow (577nm) laser light and our IQ 532 delivers visible green (532nm) laser light. Our IQ laser systems are typically used with our TxCell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Scanning Laser Delivery System and our Slit Lamp Adapters when used to treat retinal disorders with MicroPulse.</w:t>
      </w:r>
    </w:p>
    <w:p>
      <w:pPr>
        <w:spacing w:after="0" w:line="89"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PASCAL Laser System</w:t>
      </w:r>
      <w:r>
        <w:rPr>
          <w:rFonts w:ascii="Times New Roman" w:cs="Times New Roman" w:eastAsia="Times New Roman" w:hAnsi="Times New Roman"/>
          <w:sz w:val="18"/>
          <w:szCs w:val="18"/>
          <w:color w:val="auto"/>
        </w:rPr>
        <w:t>. The new Iridex PASCAL is available in either 532 nm or 577 nm wavelengths. It offers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ultimate combination of pattern scanning, Endpoint Management Technology, Pattern Scanning Laser Trabeculoplasty, and now, MicroPulse Technology, providing physicians with expanded treatment capabilities in a smaller, ergonomically-optimized laser platform.</w:t>
      </w:r>
    </w:p>
    <w:p>
      <w:pPr>
        <w:spacing w:after="0" w:line="72" w:lineRule="exact"/>
        <w:rPr>
          <w:sz w:val="20"/>
          <w:szCs w:val="20"/>
          <w:color w:val="auto"/>
        </w:rPr>
      </w:pPr>
    </w:p>
    <w:p>
      <w:pPr>
        <w:ind w:right="3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Surgical retina: </w:t>
      </w:r>
      <w:r>
        <w:rPr>
          <w:rFonts w:ascii="Times New Roman" w:cs="Times New Roman" w:eastAsia="Times New Roman" w:hAnsi="Times New Roman"/>
          <w:sz w:val="18"/>
          <w:szCs w:val="18"/>
          <w:color w:val="auto"/>
        </w:rPr>
        <w:t>Our OcuLight TX laser delivers visible green (532nm) laser light. Our OcuLight SLx laser delivers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infrared (810 nm) laser light.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Delivery Devices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delivery devices are typically used with our IQ and OcuLight laser systems:</w:t>
      </w:r>
    </w:p>
    <w:p>
      <w:pPr>
        <w:spacing w:after="0" w:line="115" w:lineRule="exact"/>
        <w:rPr>
          <w:sz w:val="20"/>
          <w:szCs w:val="20"/>
          <w:color w:val="auto"/>
        </w:rPr>
      </w:pPr>
    </w:p>
    <w:p>
      <w:pPr>
        <w:ind w:right="3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Slit Lamp Adapter (“SLA”). </w:t>
      </w:r>
      <w:r>
        <w:rPr>
          <w:rFonts w:ascii="Times New Roman" w:cs="Times New Roman" w:eastAsia="Times New Roman" w:hAnsi="Times New Roman"/>
          <w:sz w:val="18"/>
          <w:szCs w:val="18"/>
          <w:color w:val="auto"/>
        </w:rPr>
        <w:t>These adapters allow the physician to utilize a standard slit lamp in both diagnosis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treatment procedures. Physicians can install an SLA in a few minutes and convert standard diagnostic slit lamps into a therapeutic laser delivery system. SLAs are used in treatment procedures for both retinal diseases and glaucoma.</w:t>
      </w:r>
    </w:p>
    <w:p>
      <w:pPr>
        <w:spacing w:after="0" w:line="65" w:lineRule="exact"/>
        <w:rPr>
          <w:sz w:val="20"/>
          <w:szCs w:val="20"/>
          <w:color w:val="auto"/>
        </w:rPr>
      </w:pPr>
    </w:p>
    <w:p>
      <w:pPr>
        <w:ind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Laser Indirect Ophthalmoscope (“LIO”). </w:t>
      </w:r>
      <w:r>
        <w:rPr>
          <w:rFonts w:ascii="Times New Roman" w:cs="Times New Roman" w:eastAsia="Times New Roman" w:hAnsi="Times New Roman"/>
          <w:sz w:val="18"/>
          <w:szCs w:val="18"/>
          <w:color w:val="auto"/>
        </w:rPr>
        <w:t>The indirect ophthalmoscope is designed to be worn on the physician’s head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to be used in procedures to treat peripheral retinal disorders, particularly in infants or adults requiring treatment in the supine position. This product can be used in both diagnosis and treatment procedures at the point-of-care.</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89" w:right="1419" w:bottom="1440" w:gutter="0" w:footer="0" w:header="0"/>
        </w:sectPr>
      </w:pPr>
    </w:p>
    <w:bookmarkStart w:id="10" w:name="page11"/>
    <w:bookmarkEnd w:id="10"/>
    <w:p>
      <w:pPr>
        <w:ind w:left="440"/>
        <w:spacing w:after="0"/>
        <w:rPr>
          <w:sz w:val="20"/>
          <w:szCs w:val="20"/>
          <w:color w:val="auto"/>
        </w:rPr>
      </w:pPr>
      <w:r>
        <w:rPr>
          <w:rFonts w:ascii="Times New Roman" w:cs="Times New Roman" w:eastAsia="Times New Roman" w:hAnsi="Times New Roman"/>
          <w:sz w:val="18"/>
          <w:szCs w:val="18"/>
          <w:i w:val="1"/>
          <w:iCs w:val="1"/>
          <w:color w:val="auto"/>
        </w:rPr>
        <w:t>Single-use disposable probes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delivery device is typically used with our IQ laser systems:</w:t>
      </w:r>
    </w:p>
    <w:p>
      <w:pPr>
        <w:spacing w:after="0" w:line="115"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TxCell Scanning Laser Delivery System (“TxCell”)</w:t>
      </w:r>
      <w:r>
        <w:rPr>
          <w:rFonts w:ascii="Times New Roman" w:cs="Times New Roman" w:eastAsia="Times New Roman" w:hAnsi="Times New Roman"/>
          <w:sz w:val="18"/>
          <w:szCs w:val="18"/>
          <w:color w:val="auto"/>
        </w:rPr>
        <w:t>. TxCell allows the physician to perform multi-spot pattern scanning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efficient delivery of MicroPulse laser therapy.</w:t>
      </w:r>
    </w:p>
    <w:p>
      <w:pPr>
        <w:spacing w:after="0" w:line="50"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MicroPulse P3 Probe. </w:t>
      </w:r>
      <w:r>
        <w:rPr>
          <w:rFonts w:ascii="Times New Roman" w:cs="Times New Roman" w:eastAsia="Times New Roman" w:hAnsi="Times New Roman"/>
          <w:sz w:val="18"/>
          <w:szCs w:val="18"/>
          <w:color w:val="auto"/>
        </w:rPr>
        <w:t>The MicroPulse P3 delivery device is used with our Cyclo G6 laser system to perform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transscleral laser therapy (“TLT”) using MicroPulse technology. The MicroPulse P3 probe is used on an anesthetized eye in the doctor’s office or in the operating rooms. The non-incisional procedure takes just a few minutes and results in minimal post-operative recovery for the patient. MicroPulse TLT may be used to treat a wide variety of glaucoma types, including open-angle and closed-angle glaucoma, and a broad range of disease severity.</w:t>
      </w:r>
    </w:p>
    <w:p>
      <w:pPr>
        <w:spacing w:after="0" w:line="82" w:lineRule="exact"/>
        <w:rPr>
          <w:sz w:val="20"/>
          <w:szCs w:val="20"/>
          <w:color w:val="auto"/>
        </w:rPr>
      </w:pPr>
    </w:p>
    <w:p>
      <w:pPr>
        <w:ind w:right="100" w:firstLine="440"/>
        <w:spacing w:after="0" w:line="238" w:lineRule="auto"/>
        <w:rPr>
          <w:sz w:val="20"/>
          <w:szCs w:val="20"/>
          <w:color w:val="auto"/>
        </w:rPr>
      </w:pPr>
      <w:r>
        <w:rPr>
          <w:rFonts w:ascii="Times New Roman" w:cs="Times New Roman" w:eastAsia="Times New Roman" w:hAnsi="Times New Roman"/>
          <w:sz w:val="18"/>
          <w:szCs w:val="18"/>
          <w:i w:val="1"/>
          <w:iCs w:val="1"/>
          <w:color w:val="auto"/>
        </w:rPr>
        <w:t>G-Probe</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G-Probe is used in procedures to treat uncontrolled glaucoma, typically described as “refractory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glaucoma.” The G-Probe delivers CW laser to the ciliary body and is believed to stop the production of aqueous humor, thus reducing IOP. The G-Probe’s non-invasive procedure takes approximately ten minutes and is performed on an anesthetized eye in the doctor’s office or operating rooms. The G-Probe is a sterile disposable product.</w:t>
      </w:r>
    </w:p>
    <w:p>
      <w:pPr>
        <w:spacing w:after="0" w:line="96" w:lineRule="exact"/>
        <w:rPr>
          <w:sz w:val="20"/>
          <w:szCs w:val="20"/>
          <w:color w:val="auto"/>
        </w:rPr>
      </w:pPr>
    </w:p>
    <w:p>
      <w:pPr>
        <w:ind w:firstLine="440"/>
        <w:spacing w:after="0" w:line="234" w:lineRule="auto"/>
        <w:rPr>
          <w:sz w:val="20"/>
          <w:szCs w:val="20"/>
          <w:color w:val="auto"/>
        </w:rPr>
      </w:pPr>
      <w:r>
        <w:rPr>
          <w:rFonts w:ascii="Times New Roman" w:cs="Times New Roman" w:eastAsia="Times New Roman" w:hAnsi="Times New Roman"/>
          <w:sz w:val="18"/>
          <w:szCs w:val="18"/>
          <w:i w:val="1"/>
          <w:iCs w:val="1"/>
          <w:color w:val="auto"/>
        </w:rPr>
        <w:t>G-Probe Illuminate</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G-Probe Illuminate is also used in procedures to treat refractory glaucoma. The proprietary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illumination feature allows for more targeted treatment and may offer additional clinical benefits. The G-Probe Illuminate is a sterile disposable product.</w:t>
      </w:r>
    </w:p>
    <w:p>
      <w:pPr>
        <w:spacing w:after="0" w:line="97" w:lineRule="exact"/>
        <w:rPr>
          <w:sz w:val="20"/>
          <w:szCs w:val="20"/>
          <w:color w:val="auto"/>
        </w:rPr>
      </w:pPr>
    </w:p>
    <w:p>
      <w:pPr>
        <w:ind w:right="80" w:firstLine="440"/>
        <w:spacing w:after="0"/>
        <w:rPr>
          <w:sz w:val="20"/>
          <w:szCs w:val="20"/>
          <w:color w:val="auto"/>
        </w:rPr>
      </w:pPr>
      <w:r>
        <w:rPr>
          <w:rFonts w:ascii="Times New Roman" w:cs="Times New Roman" w:eastAsia="Times New Roman" w:hAnsi="Times New Roman"/>
          <w:sz w:val="18"/>
          <w:szCs w:val="18"/>
          <w:i w:val="1"/>
          <w:iCs w:val="1"/>
          <w:color w:val="auto"/>
        </w:rPr>
        <w:t>EndoProbe</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8"/>
          <w:szCs w:val="18"/>
          <w:i w:val="1"/>
          <w:iCs w:val="1"/>
          <w:color w:val="auto"/>
        </w:rPr>
        <w:t xml:space="preserve"> Handpieces. </w:t>
      </w:r>
      <w:r>
        <w:rPr>
          <w:rFonts w:ascii="Times New Roman" w:cs="Times New Roman" w:eastAsia="Times New Roman" w:hAnsi="Times New Roman"/>
          <w:sz w:val="18"/>
          <w:szCs w:val="18"/>
          <w:color w:val="auto"/>
        </w:rPr>
        <w:t>Our EndoProbe family of products are used for endophotocoagulation, a retinal treatment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 performed in the hospital operating rooms or ambulatory surgical centers during a vitrectomy procedure. Vitrectomy procedures are performed to treat proliferative diabetic retinopathy, macular holes, retinal tears and detachments. These disposable probes are available in tapered, angled, stepped, aspirating, illuminating, and adjustable styles, as well as a wide variety of sizes. The EndoProbe is a sterile disposable product.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right="480" w:firstLine="440"/>
        <w:spacing w:after="0" w:line="266" w:lineRule="auto"/>
        <w:rPr>
          <w:sz w:val="20"/>
          <w:szCs w:val="20"/>
          <w:color w:val="auto"/>
        </w:rPr>
      </w:pPr>
      <w:r>
        <w:rPr>
          <w:rFonts w:ascii="Times New Roman" w:cs="Times New Roman" w:eastAsia="Times New Roman" w:hAnsi="Times New Roman"/>
          <w:sz w:val="18"/>
          <w:szCs w:val="18"/>
          <w:color w:val="auto"/>
        </w:rPr>
        <w:t>We have close working relationships with researchers, clinicians and practicing physicians around the world who provide new ideas, evaluate prototypes and assist us in validating new products and new applications before they are introduced.</w:t>
      </w:r>
    </w:p>
    <w:p>
      <w:pPr>
        <w:spacing w:after="0" w:line="68"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Our internal research and development (“R&amp;D”) activities are performed by a current team of 10 engineers and regulatory professionals with experience in various aspects of medical products, laser systems, delivery devices, clinical techniques, and regulatory affairs with a focus on introducing innovative products which satisfy the unmet and emerging needs of our customers. The core competencies of the team include: mechanical engineering, electrical engineering, optics, lasers, fiber optics, software, and industrial designs. The R&amp;D process integrates all of the necessary disciplines from product inception through customer acceptance. This process facilitates reliable new product innovations and a consistent pipeline of innovative products for our customers.</w:t>
      </w:r>
    </w:p>
    <w:p>
      <w:pPr>
        <w:spacing w:after="0" w:line="81"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Our research activities are managed internally by our R&amp;D staff. We supplement our internal R&amp;D staff by hiring consultants or partnering with physicians known for their expertise. Research efforts are directed toward the development of new products, as well as the identification of markets not currently addressed by our products.</w:t>
      </w:r>
    </w:p>
    <w:p>
      <w:pPr>
        <w:spacing w:after="0" w:line="68"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We believe that it is important to make a substantial contribution to improving clinical outcomes. For instance, we have made substantial investments in improving the treatment of serious eye diseases such as glaucoma and retinal disease. The objectives of developing new treatments and applications are to expand the patient population, to better and more economically treat diseases, to treat patients earlier in the treatment regimen and to reduce the side effects of treatment.</w:t>
      </w:r>
    </w:p>
    <w:p>
      <w:pPr>
        <w:spacing w:after="0" w:line="72"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We consider clinical projects to be a component of our R&amp;D efforts and they may or may not result in additional commercial opportunities.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and Customer Support</w:t>
      </w:r>
    </w:p>
    <w:p>
      <w:pPr>
        <w:spacing w:after="0" w:line="121" w:lineRule="exact"/>
        <w:rPr>
          <w:sz w:val="20"/>
          <w:szCs w:val="20"/>
          <w:color w:val="auto"/>
        </w:rPr>
      </w:pPr>
    </w:p>
    <w:p>
      <w:pPr>
        <w:jc w:val="both"/>
        <w:ind w:right="420" w:firstLine="440"/>
        <w:spacing w:after="0" w:line="266" w:lineRule="auto"/>
        <w:rPr>
          <w:sz w:val="20"/>
          <w:szCs w:val="20"/>
          <w:color w:val="auto"/>
        </w:rPr>
      </w:pPr>
      <w:r>
        <w:rPr>
          <w:rFonts w:ascii="Times New Roman" w:cs="Times New Roman" w:eastAsia="Times New Roman" w:hAnsi="Times New Roman"/>
          <w:sz w:val="18"/>
          <w:szCs w:val="18"/>
          <w:color w:val="auto"/>
        </w:rPr>
        <w:t>Our products are currently sold for use by ophthalmologists specializing in the treatment of eye disease in retinal, glaucoma and pediatric eye diseases. Other customers include research and teaching hospitals, government installations, surgical centers, hospitals, veterinary practices, and office clinics (outpatient).</w:t>
      </w:r>
    </w:p>
    <w:p>
      <w:pPr>
        <w:spacing w:after="0" w:line="68"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We seek to provide superior customer support and service and believe that our customer service and technical support distinguish our product offerings from those of our competitors. We provide depot service at our Mountain View facility for our products. Our customer support representatives assist customers with orders, warranty returns and other administrative functions. Our technical support engineers provide customers with answers to technical and product-related questions. We maintain a telephone service line to service our customers. If a problem with a depot serviceable product cannot be diagnosed and resolved by telephone, a service loaner is shipped overnight (based on the availability) to domestic customers under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199" w:right="1419" w:bottom="1440" w:gutter="0" w:footer="0" w:header="0"/>
        </w:sectPr>
      </w:pPr>
    </w:p>
    <w:bookmarkStart w:id="11" w:name="page12"/>
    <w:bookmarkEnd w:id="11"/>
    <w:p>
      <w:pPr>
        <w:jc w:val="both"/>
        <w:ind w:right="99"/>
        <w:spacing w:after="0" w:line="266" w:lineRule="auto"/>
        <w:rPr>
          <w:sz w:val="20"/>
          <w:szCs w:val="20"/>
          <w:color w:val="auto"/>
        </w:rPr>
      </w:pPr>
      <w:r>
        <w:rPr>
          <w:rFonts w:ascii="Times New Roman" w:cs="Times New Roman" w:eastAsia="Times New Roman" w:hAnsi="Times New Roman"/>
          <w:sz w:val="18"/>
          <w:szCs w:val="18"/>
          <w:color w:val="auto"/>
        </w:rPr>
        <w:t>warranty or service contract, and by the most rapid delivery means available to our international customers, and the problem unit is returned to us. The small size and rugged design of our products allows for economical shipment and quick response to customers worldwide.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right="139" w:firstLine="440"/>
        <w:spacing w:after="0" w:line="254" w:lineRule="auto"/>
        <w:rPr>
          <w:sz w:val="20"/>
          <w:szCs w:val="20"/>
          <w:color w:val="auto"/>
        </w:rPr>
      </w:pPr>
      <w:r>
        <w:rPr>
          <w:rFonts w:ascii="Times New Roman" w:cs="Times New Roman" w:eastAsia="Times New Roman" w:hAnsi="Times New Roman"/>
          <w:sz w:val="18"/>
          <w:szCs w:val="18"/>
          <w:color w:val="auto"/>
        </w:rPr>
        <w:t>Our sales and marketing strategies for 2024 focused on the United States and Germany, primarily through our direct sales team, while we worked with independent distributors for international sales (excluding Germany). We have 20 direct sales personnel in the United States, one in Germany, and four team members dedicated to managing our distribution sales efforts globally. Sales operations are managed from our headquarters in Mountain View, California. In 2024, international sales accounted for 53.4% of our revenues. We anticipate that our international sales will remain a significant contributor to our revenue in the future. Our customers are located in Europe, Asia, the Pacific Rim, the Middle East, Africa, Canada and Latin America. We usually enter into exclusive distribution agreements with our international distributors that can be terminated by either party with a 90-day notice.</w:t>
      </w:r>
    </w:p>
    <w:p>
      <w:pPr>
        <w:spacing w:after="0" w:line="84" w:lineRule="exact"/>
        <w:rPr>
          <w:sz w:val="20"/>
          <w:szCs w:val="20"/>
          <w:color w:val="auto"/>
        </w:rPr>
      </w:pPr>
    </w:p>
    <w:p>
      <w:pPr>
        <w:jc w:val="both"/>
        <w:ind w:right="39" w:firstLine="440"/>
        <w:spacing w:after="0" w:line="266" w:lineRule="auto"/>
        <w:rPr>
          <w:sz w:val="20"/>
          <w:szCs w:val="20"/>
          <w:color w:val="auto"/>
        </w:rPr>
      </w:pPr>
      <w:r>
        <w:rPr>
          <w:rFonts w:ascii="Times New Roman" w:cs="Times New Roman" w:eastAsia="Times New Roman" w:hAnsi="Times New Roman"/>
          <w:sz w:val="18"/>
          <w:szCs w:val="18"/>
          <w:color w:val="auto"/>
        </w:rPr>
        <w:t>International sales may be affected by factors such as currency fluctuations, governmental controls, export technology restrictions, political instability, trade restrictions, tariff changes, tax treaties, and economic conditions in each country where we sell our products.</w:t>
      </w:r>
    </w:p>
    <w:p>
      <w:pPr>
        <w:spacing w:after="0" w:line="68" w:lineRule="exact"/>
        <w:rPr>
          <w:sz w:val="20"/>
          <w:szCs w:val="20"/>
          <w:color w:val="auto"/>
        </w:rPr>
      </w:pPr>
    </w:p>
    <w:p>
      <w:pPr>
        <w:ind w:right="59" w:firstLine="440"/>
        <w:spacing w:after="0" w:line="261" w:lineRule="auto"/>
        <w:rPr>
          <w:sz w:val="20"/>
          <w:szCs w:val="20"/>
          <w:color w:val="auto"/>
        </w:rPr>
      </w:pPr>
      <w:r>
        <w:rPr>
          <w:rFonts w:ascii="Times New Roman" w:cs="Times New Roman" w:eastAsia="Times New Roman" w:hAnsi="Times New Roman"/>
          <w:sz w:val="18"/>
          <w:szCs w:val="18"/>
          <w:color w:val="auto"/>
        </w:rPr>
        <w:t>To support our sales activities, we utilize various marketing programs including our in-person business site visits, website, social media, email marketing, clinical education, trade shows, public relations, market research, key opinion leader collaborations, and advertising in trade and academic journals and newsletters. We also participate in annual trade shows worldwide, which allow us to showcase our products to existing and potential customers.</w:t>
      </w:r>
    </w:p>
    <w:p>
      <w:pPr>
        <w:spacing w:after="0" w:line="72" w:lineRule="exact"/>
        <w:rPr>
          <w:sz w:val="20"/>
          <w:szCs w:val="20"/>
          <w:color w:val="auto"/>
        </w:rPr>
      </w:pPr>
    </w:p>
    <w:p>
      <w:pPr>
        <w:ind w:right="19" w:firstLine="440"/>
        <w:spacing w:after="0" w:line="256" w:lineRule="auto"/>
        <w:rPr>
          <w:sz w:val="20"/>
          <w:szCs w:val="20"/>
          <w:color w:val="auto"/>
        </w:rPr>
      </w:pPr>
      <w:r>
        <w:rPr>
          <w:rFonts w:ascii="Times New Roman" w:cs="Times New Roman" w:eastAsia="Times New Roman" w:hAnsi="Times New Roman"/>
          <w:sz w:val="18"/>
          <w:szCs w:val="18"/>
          <w:color w:val="auto"/>
        </w:rPr>
        <w:t>Our marketing programs help us collaborate with customers to identify new product ideas and applications that address their needs, enabling us to develop new products, identify new applications for our products, and validate new procedures using our products. Our customers include key opinion leaders in ophthalmology, often heads of departments or university professors. We believe that these experts are critical to the successful introduction of new products and their subsequent acceptance in the market. The validation and commercialization of our new products depend on early adoption by these opinion leaders.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Affairs</w:t>
      </w:r>
    </w:p>
    <w:p>
      <w:pPr>
        <w:spacing w:after="0" w:line="121" w:lineRule="exact"/>
        <w:rPr>
          <w:sz w:val="20"/>
          <w:szCs w:val="20"/>
          <w:color w:val="auto"/>
        </w:rPr>
      </w:pPr>
    </w:p>
    <w:p>
      <w:pPr>
        <w:ind w:right="39" w:firstLine="440"/>
        <w:spacing w:after="0" w:line="258" w:lineRule="auto"/>
        <w:rPr>
          <w:sz w:val="20"/>
          <w:szCs w:val="20"/>
          <w:color w:val="auto"/>
        </w:rPr>
      </w:pPr>
      <w:r>
        <w:rPr>
          <w:rFonts w:ascii="Times New Roman" w:cs="Times New Roman" w:eastAsia="Times New Roman" w:hAnsi="Times New Roman"/>
          <w:sz w:val="18"/>
          <w:szCs w:val="18"/>
          <w:color w:val="auto"/>
        </w:rPr>
        <w:t>We have established a Clinical Affairs group to facilitate clinical research opportunities, provide specialized ophthalmic surgeon training and credentialing for our proprietary MicroPulse products, develop strong relationships with prominent key opinion leaders, and ensure the accuracy and consistency of our messaging to the market. We recognize that a robust research program and professional training for our customers are essential in driving the application of our technology for widespread and consistent use, and our Clinical Affairs group is dedicated to achieving these goals.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21" w:lineRule="exact"/>
        <w:rPr>
          <w:sz w:val="20"/>
          <w:szCs w:val="20"/>
          <w:color w:val="auto"/>
        </w:rPr>
      </w:pPr>
    </w:p>
    <w:p>
      <w:pPr>
        <w:ind w:right="59" w:firstLine="440"/>
        <w:spacing w:after="0" w:line="258" w:lineRule="auto"/>
        <w:rPr>
          <w:sz w:val="20"/>
          <w:szCs w:val="20"/>
          <w:color w:val="auto"/>
        </w:rPr>
      </w:pPr>
      <w:r>
        <w:rPr>
          <w:rFonts w:ascii="Times New Roman" w:cs="Times New Roman" w:eastAsia="Times New Roman" w:hAnsi="Times New Roman"/>
          <w:sz w:val="18"/>
          <w:szCs w:val="18"/>
          <w:color w:val="auto"/>
        </w:rPr>
        <w:t>The manufacture of our visible light and infrared laser consoles and the related delivery devices is a highly complex and precise process. Completed systems must pass quality control testing and quality assurance review before shipment. Our manufacturing activities consist of specifying, sourcing, assembling and testing of components and certain subassemblies for assembly into our final product. Currently we have a total of 18 employees engaged in manufacturing activities for these products.</w:t>
      </w:r>
    </w:p>
    <w:p>
      <w:pPr>
        <w:spacing w:after="0" w:line="75" w:lineRule="exact"/>
        <w:rPr>
          <w:sz w:val="20"/>
          <w:szCs w:val="20"/>
          <w:color w:val="auto"/>
        </w:rPr>
      </w:pPr>
    </w:p>
    <w:p>
      <w:pPr>
        <w:ind w:right="119" w:firstLine="440"/>
        <w:spacing w:after="0" w:line="253" w:lineRule="auto"/>
        <w:rPr>
          <w:sz w:val="20"/>
          <w:szCs w:val="20"/>
          <w:color w:val="auto"/>
        </w:rPr>
      </w:pPr>
      <w:r>
        <w:rPr>
          <w:rFonts w:ascii="Times New Roman" w:cs="Times New Roman" w:eastAsia="Times New Roman" w:hAnsi="Times New Roman"/>
          <w:sz w:val="18"/>
          <w:szCs w:val="18"/>
          <w:color w:val="auto"/>
        </w:rPr>
        <w:t>The medical devices we manufacture are subject to extensive regulation by numerous governmental authorities, including federal, state, and foreign governmental agencies. The principal regulators in the United States are the Food and Drug Administration (“FDA”) and the California Department of Public Health, Food and Drug Branch. In April 1998, we received certification for ISO 9001/EN 46001, which is an international quality system standard that documents compliance to the European Medical Device Directives. In 2004, we were certified to ISO 13485:2003, which replaced ISO 9001/EN46001 as the international standard for quality systems as applied to medical devices. In 2018, we were certified to ISO 13485:2016, which superseded the 2003 version of the standard. In 2008, we received FDA 510(k) clearance on our family of Iridex IQ laser systems. This clearance covers the Iridex IQ 532 Laser and IQ 577 Laser and their associated delivery devices to deliver laser energy in either CW or MicroPulse mode. In January 2015, we received FDA 510(k) clearance for Cyclo G6 Laser. In 2022 and 2023 we received FDA 510(k) clearance for the Iridex Pascal (532 nm and 577 nm models) laser system and the Iridex Laser (532 nm and 577 nm models). These laser systems are intended for a wide range of specific applications in the medical specialties of ophthalmology.</w:t>
      </w:r>
    </w:p>
    <w:p>
      <w:pPr>
        <w:spacing w:after="0" w:line="82" w:lineRule="exact"/>
        <w:rPr>
          <w:sz w:val="20"/>
          <w:szCs w:val="20"/>
          <w:color w:val="auto"/>
        </w:rPr>
      </w:pPr>
    </w:p>
    <w:p>
      <w:pPr>
        <w:ind w:right="159" w:firstLine="440"/>
        <w:spacing w:after="0" w:line="281" w:lineRule="auto"/>
        <w:rPr>
          <w:sz w:val="20"/>
          <w:szCs w:val="20"/>
          <w:color w:val="auto"/>
        </w:rPr>
      </w:pPr>
      <w:r>
        <w:rPr>
          <w:rFonts w:ascii="Times New Roman" w:cs="Times New Roman" w:eastAsia="Times New Roman" w:hAnsi="Times New Roman"/>
          <w:sz w:val="17"/>
          <w:szCs w:val="17"/>
          <w:color w:val="auto"/>
        </w:rPr>
        <w:t>International regulatory bodies often establish varying product standards, packaging requirements, labeling requirements, tariff regulations, duties and tax requirements. As a result of our sales in Europe, we are required to have all products “CE” marked, an international symbol affixed to all our medical device products demonstrating compliance to the European Medical Device Directives and/or Medical Device Regulations and all applicable standards. In 1998, we received</w:t>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59"/>
          </w:cols>
          <w:pgMar w:left="1400" w:top="1201" w:right="1440" w:bottom="1440" w:gutter="0" w:footer="0" w:header="0"/>
        </w:sectPr>
      </w:pPr>
    </w:p>
    <w:bookmarkStart w:id="12" w:name="page13"/>
    <w:bookmarkEnd w:id="12"/>
    <w:p>
      <w:pPr>
        <w:spacing w:after="0" w:line="252" w:lineRule="auto"/>
        <w:rPr>
          <w:sz w:val="20"/>
          <w:szCs w:val="20"/>
          <w:color w:val="auto"/>
        </w:rPr>
      </w:pPr>
      <w:r>
        <w:rPr>
          <w:rFonts w:ascii="Times New Roman" w:cs="Times New Roman" w:eastAsia="Times New Roman" w:hAnsi="Times New Roman"/>
          <w:sz w:val="18"/>
          <w:szCs w:val="18"/>
          <w:color w:val="auto"/>
        </w:rPr>
        <w:t>CE mark certification under Annex II guidelines, the most stringent path to CE certification. With Annex II CE mark certification, we have demonstrated our ability to both understand and comply with all applicable standards under the European Medical Device Directives. In May 2021, the Medical Device Directives were superseded by the Medical Device Regulations (“MDR”), with a transition period for our Class IIa and IIb products lasting in effect until May 2024, which allowed Iridex to market these products during the transition period. In February 2023, the European Parliament voted to extend the MDR transition deadline from 2024 to 2028 for our products. The Company will obtain certification of compliance to the Medical Device Regulations before the transition deadline. Currently, Iridex products marketed within the EU are CE marked, and Iridex has obtained formal authorization to continue marketing product that was CE marked under MDD through the end of 2028. Continued certification is based on successful review of quality management systems by our European Registrar (Notified Body) during its periodic audits. Any loss of certification could have a material adverse effect on our business, results of operations and financial condition. We rely on third parties to manufacture substantially all of the components used in our products, although we assemble critical subassemblies and the final product at our facility in Mountain View, California. Some of these suppliers and manufacturers are sole source. We have some long-term or volume purchase agreements with our suppliers but currently purchase most components on a purchase order basis. These components may not be available in the quantities required, on reasonable terms, or at all. Financial or other difficulties faced by our suppliers or significant changes in demand for these components or materials could limit their availability. Any failures by our third-party suppliers to adequately perform may delay the submission of products for regulatory approval, impair our ability to deliver products on a timely basis or otherwise impair our competitive position.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w:t>
      </w:r>
    </w:p>
    <w:p>
      <w:pPr>
        <w:spacing w:after="0" w:line="7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Our principal ophthalmic laser competitors are Alcon Inc., Bausch Health Companies Inc., Carl Zeiss Meditec AG, Lumenis Ltd., Nidek Co. Ltd., Lumibird, ARC GmbH, Meridian, OD-OS GmbH and Norlase. We also compete with alternative glaucoma surgical device companies such as Alcon, Inc., Novartis AG, Allergan, Inc., Glaukos Corporation, Sight Sciences and New World Medical, Inc. Pharmaceuticals represent alternative treatments to our laser procedures. Some of our principal pharmaceutical competitors are Alcon, Inc., Allergan, Inc., Astellas Pharma Inc., Pfizer Inc., Regeneron Pharmaceuticals, Inc., and Roche Holding Ltd. (Genentech). Some of our competitors have substantially greater financial, engineering, product development, manufacturing, marketing and technical resources than we do. Some companies also have greater name recognition than us and long-standing customer relationships. In addition, other medical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and Proprietary Rights</w:t>
      </w:r>
    </w:p>
    <w:p>
      <w:pPr>
        <w:spacing w:after="0" w:line="121" w:lineRule="exact"/>
        <w:rPr>
          <w:sz w:val="20"/>
          <w:szCs w:val="20"/>
          <w:color w:val="auto"/>
        </w:rPr>
      </w:pPr>
    </w:p>
    <w:p>
      <w:pPr>
        <w:jc w:val="both"/>
        <w:ind w:right="60" w:firstLine="440"/>
        <w:spacing w:after="0" w:line="257" w:lineRule="auto"/>
        <w:rPr>
          <w:sz w:val="20"/>
          <w:szCs w:val="20"/>
          <w:color w:val="auto"/>
        </w:rPr>
      </w:pPr>
      <w:r>
        <w:rPr>
          <w:rFonts w:ascii="Times New Roman" w:cs="Times New Roman" w:eastAsia="Times New Roman" w:hAnsi="Times New Roman"/>
          <w:sz w:val="18"/>
          <w:szCs w:val="18"/>
          <w:color w:val="auto"/>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These are either developed internally or obtained from acquisitions that we make.</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file patent applications to protect technology, inventions and improvements that are significant to the development of our business. Our patent portfolio includes 68 active United States patents and 94 active international patents on the technologies related to our products and processes. In addition, we have 12 patent applications pending in the United States and 20 international patent applications pending. Our patent applications may not be approved.</w:t>
      </w:r>
    </w:p>
    <w:p>
      <w:pPr>
        <w:spacing w:after="0" w:line="8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provisions requiring such individuals to assign to us, without additional consideration, any inventions conceived or reduced to practice by them while employed or retained by us, subject to customary exceptions. We can provide no assurance that our employees and consultants will abide by the provisions of these agreements and that our confidential information and trade secrets will be protected.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medical devices marketed and manufactured by us are subject to extensive regulation by numerous governmental authorities, including federal, state, and foreign governmental agencies. Pursuant to the Federal Food, Drug, and Cosmetic Act (“FD&amp;C Act”), as amended, and the regulations promulgated thereunder, the FDA serves as the principal federal agency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60"/>
          </w:cols>
          <w:pgMar w:left="1400" w:top="1201" w:right="1439" w:bottom="1440" w:gutter="0" w:footer="0" w:header="0"/>
        </w:sectPr>
      </w:pPr>
    </w:p>
    <w:bookmarkStart w:id="13" w:name="page14"/>
    <w:bookmarkEnd w:id="13"/>
    <w:p>
      <w:pPr>
        <w:ind w:right="20"/>
        <w:spacing w:after="0" w:line="256" w:lineRule="auto"/>
        <w:rPr>
          <w:sz w:val="20"/>
          <w:szCs w:val="20"/>
          <w:color w:val="auto"/>
        </w:rPr>
      </w:pPr>
      <w:r>
        <w:rPr>
          <w:rFonts w:ascii="Times New Roman" w:cs="Times New Roman" w:eastAsia="Times New Roman" w:hAnsi="Times New Roman"/>
          <w:sz w:val="18"/>
          <w:szCs w:val="18"/>
          <w:color w:val="auto"/>
        </w:rPr>
        <w:t>within the United States with authority over medical devices and regulates the research, clinical testing, manufacture, labeling, distribution, sale, marketing and promotion of such devices. Noncompliance with applicable requirements can result in, among other things, warning letters, fines, injunctions, civil penalties, recall or seizures of products, total or partial suspension of production, failure of the government to grant pre-market clearance or approval for devices, withdrawal of marketing approvals, and criminal prosecution. The FDA also has the authority to request repair, replacement or refund of the cost of any medical device manufactured or distributed by us.</w:t>
      </w:r>
    </w:p>
    <w:p>
      <w:pPr>
        <w:spacing w:after="0" w:line="79"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In the United States, medical devices are classified into one of three classes - Class I, II or III. The class to which the device is assigned determines, among other things, the type of pre-marketing submission/application required for the FDA clearance to market. If the device is classified as Class I or II, and if it is not exempt, a 510(k) pre-market notification will be required for marketing. Under the FDA regulations, Class I devices are mostly subject to general controls (for example, labeling, pre-market notification and adherence to Quality System Regulations (“QSRs”) requirements). Class II devices typically receive marketing clearance through a 510(k) pre-market notification. For Class III devices, a pre-market approval (“PMA”) application will be required unless the device is a pre-amendments device (on the market prior to the passage of the medical device amendments in 1976, or substantially equivalent to such a device) and PMAs have not been called for. In that case, a 510(k) will be the route to market. A 510(k) clearance will be granted if the submitted information establishes that the proposed device is substantially equivalent to a legally marketed Class I or II medical device, or to a Class III medical device for which the FDA has not called for a PMA. The FDA may determine that a proposed device is not substantially equivalent to a legally marketed device or that additional information or data are needed before a substantial equivalence determination can be made. A request for additional data may require that clinical studies and/or non-clinical studies of the device’s safety and effectiveness be performed. Further, the FDA issued a final rule in February 2024 replacing the QSR with Quality Management System Regulation (“QMSR”), which incorporates by reference the quality management system requirements of ISO 13485:2016. The FDA has stated that the standards contained in ISO 13485:216 are substantially similar to those set forth in the existing QSR. The FDA will begin to enforce the QMSR requirements upon the effective date, February 2, 2026.</w:t>
      </w:r>
    </w:p>
    <w:p>
      <w:pPr>
        <w:spacing w:after="0" w:line="8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the United States, commercial distribution of a device for which a 510(k) notification is required can begin only after the FDA issues an order finding the device to be substantially equivalent to a previously cleared device. The FDA has recently been requiring a more rigorous demonstration of substantial equivalence than in the past. Even in cases where the FDA grants a 510(k) clearance, it can take the FDA between one and six months from the date of submission to grant a 510(k) clearance, but it may take longer.</w:t>
      </w:r>
    </w:p>
    <w:p>
      <w:pPr>
        <w:spacing w:after="0" w:line="75"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A “not substantially equivalent” determination, or a request for additional information, could delay the market introduction of new products that fall into this category and could have a material adverse effect on our business, financial condition and results of operations. For any of our products that are cleared through the 510(k) process, modifications or enhancements that could significantly affect the safety or effectiveness of the device or that constitute a major change to the intended use of the device will require new 510(k) submissions.</w:t>
      </w:r>
    </w:p>
    <w:p>
      <w:pPr>
        <w:spacing w:after="0" w:line="7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We have obtained 510(k) clearances for all of our medical device products marketed within the United States that require 510(k) clearance. We have also modified aspects of our products since receiving regulatory clearance, and we have submitted 510(k)s for those modifications as required by FDA regulations. After a device receives a 510(k) clearance or a PMA, any modification that could significantly affect its safety or effectiveness, or that would constitute a major change in its intended use, will require a new clearance or approval. The FDA requires each manufacturer to make this determination initially, but the FDA can review any such decision and can disagree with a manufacturer’s determination. If the FDA disagrees with our determination not to seek a new 510(k) clearance or PMA, the FDA may retroactively require us to seek 510(k) clearance or pre-market approval. The FDA could also require us to cease marketing and distribution and/or recall the modified device until a 510(k) clearance or a PMA approval is obtained. Also, in these circumstances, we may be subject to significant regulatory fines or penalties.</w:t>
      </w:r>
    </w:p>
    <w:p>
      <w:pPr>
        <w:spacing w:after="0" w:line="86"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clearances or approvals are subject to pervasive and continuing regulation by the FDA, including record keeping requirements and reporting of adverse experiences with the use of the device. Device manufacturers are required to register their establishments and list their devices with the FDA and certain state agencies, and are subject to periodic inspections by the FDA and certain state agencies. The FD&amp;C Act requires devices to be manufactured to comply with applicable QSR or QMSR when it goes into effect, regulations which impose certain procedural and documentation requirements upon us with respect to design, development, manufacturing and quality assurance activities. We are subject to unannounced inspections by the FDA and the Food and Drug Branch of the California Department of Public Health, to determine our compliance with the QSR, or QMSR and other regulations, and these inspections may include the manufacturing facilities of our subcontractors.</w:t>
      </w:r>
    </w:p>
    <w:p>
      <w:pPr>
        <w:spacing w:after="0" w:line="80"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Labeling and promotion activities are subject to scrutiny by the FDA and in certain instances, by the Federal Trade Commission. The FDA actively enforces regulations prohibiting marketing of products for unapproved uses. We and our products are also subject to a variety of state laws and regulations in those states or localities where our products are or will be marketed. Any applicable state or local regulations may hinder our ability to market our products in those states or localities. Manufacturers are also subject to numerous federal, state and local laws relating to such matters as safe working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01" w:right="1419" w:bottom="1440" w:gutter="0" w:footer="0" w:header="0"/>
        </w:sectPr>
      </w:pPr>
    </w:p>
    <w:bookmarkStart w:id="14" w:name="page15"/>
    <w:bookmarkEnd w:id="14"/>
    <w:p>
      <w:pPr>
        <w:ind w:right="140"/>
        <w:spacing w:after="0" w:line="266" w:lineRule="auto"/>
        <w:rPr>
          <w:sz w:val="20"/>
          <w:szCs w:val="20"/>
          <w:color w:val="auto"/>
        </w:rPr>
      </w:pPr>
      <w:r>
        <w:rPr>
          <w:rFonts w:ascii="Times New Roman" w:cs="Times New Roman" w:eastAsia="Times New Roman" w:hAnsi="Times New Roman"/>
          <w:sz w:val="18"/>
          <w:szCs w:val="18"/>
          <w:color w:val="auto"/>
        </w:rPr>
        <w:t>conditions, manufacturing practices, environmental protection, fire hazard control and disposal of hazardous or potentially hazardous substances. We may be required to incur significant costs to comply with such laws and regulations now or in the future. Such laws or regulations may have a material adverse effect upon our ability to do business.</w:t>
      </w:r>
    </w:p>
    <w:p>
      <w:pPr>
        <w:spacing w:after="0" w:line="68"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Export of our products is regulated by the FDA and subject to the FD&amp;C Act, 21 U.S.C. §§321-397, and other statutes FDA administers, which greatly expanded the export of approved and unapproved United States medical devices. However, some foreign countries require manufacturers to provide a specific type of FDA export certificate (such as a Certificate to Foreign Government or Certificate of Exportability) which requires the device manufacturer to certify to the FDA that the product has been granted pre-market clearance in the United States and that the manufacturing facilities appeared to be in compliance with QSR at the time of the last QSR inspection. The FDA will refuse to issue any export certificate if significant outstanding QSR violations exist.</w:t>
      </w:r>
    </w:p>
    <w:p>
      <w:pPr>
        <w:spacing w:after="0" w:line="81" w:lineRule="exact"/>
        <w:rPr>
          <w:sz w:val="20"/>
          <w:szCs w:val="20"/>
          <w:color w:val="auto"/>
        </w:rPr>
      </w:pPr>
    </w:p>
    <w:p>
      <w:pPr>
        <w:ind w:right="220" w:firstLine="440"/>
        <w:spacing w:after="0" w:line="255" w:lineRule="auto"/>
        <w:rPr>
          <w:sz w:val="20"/>
          <w:szCs w:val="20"/>
          <w:color w:val="auto"/>
        </w:rPr>
      </w:pPr>
      <w:r>
        <w:rPr>
          <w:rFonts w:ascii="Times New Roman" w:cs="Times New Roman" w:eastAsia="Times New Roman" w:hAnsi="Times New Roman"/>
          <w:sz w:val="18"/>
          <w:szCs w:val="18"/>
          <w:color w:val="auto"/>
        </w:rPr>
        <w:t>We are also regulated under the Radiation Control provisions (originally enacted as the Radiation Control for Health and Safety Act of 1968) which are located in Sections 531 through 542 of the FD&amp;C Act, which requires laser products to comply with performance standards, including design and operation requirements, and manufacturers to certify in product labeling and in reports to the FDA that their products comply with all such standards. The law also requires laser manufacturers to file new product and annual reports, maintain manufacturing, testing and sales records and report product defects. Various warning labels must be affixed and certain protective devices installed, depending on the class of the product.</w:t>
      </w:r>
    </w:p>
    <w:p>
      <w:pPr>
        <w:spacing w:after="0" w:line="7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June 2024, in </w:t>
      </w:r>
      <w:r>
        <w:rPr>
          <w:rFonts w:ascii="Times New Roman" w:cs="Times New Roman" w:eastAsia="Times New Roman" w:hAnsi="Times New Roman"/>
          <w:sz w:val="18"/>
          <w:szCs w:val="18"/>
          <w:i w:val="1"/>
          <w:iCs w:val="1"/>
          <w:color w:val="auto"/>
        </w:rPr>
        <w:t>Loper Bright Enterprises v. Raimondo</w:t>
      </w:r>
      <w:r>
        <w:rPr>
          <w:rFonts w:ascii="Times New Roman" w:cs="Times New Roman" w:eastAsia="Times New Roman" w:hAnsi="Times New Roman"/>
          <w:sz w:val="18"/>
          <w:szCs w:val="18"/>
          <w:color w:val="auto"/>
        </w:rPr>
        <w:t>, the U.S. Supreme Court overruled the Chevron doctrine, which gives deference to regulatory agencies’ statutory interpretations in litigation against federal government agencies where the law is ambiguous. This landmark Supreme Court decision may invite more stakeholders to bring lawsuits against the FDA and other federal agencies to challenge longstanding decisions and policies, which could lead to uncertainties in the industry. Further, changes in the leadership of the FDA and other federal agencies under the Trump administration, including measures implemented by the Department of Government Efficiency, may lead to new policies and changes in the regulations that can increase our compliance costs.</w:t>
      </w:r>
    </w:p>
    <w:p>
      <w:pPr>
        <w:spacing w:after="0" w:line="7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introduction of our products in foreign markets will also subject us to foreign regulatory clearances which may impose substantial additional costs and burdens. International sales of medical devices are subject to the regulatory requirements of each country. The regulatory review process varies from country to country. Many countries also impose product standards, packaging requirements, labeling requirements and import restrictions on devices. In addition, each country has its own tariff regulations, duties and tax requirements. The approval by the FDA and foreign government authorities is unpredictable and uncertain. The necessary approvals or clearances may not be granted on a timely basis, if at all. Delays in receipt of, or a failure to receive, such approvals or clearances, or the loss of any previously received approvals or clearances, could have a material adverse effect on our business, financial condition and results of operations. There are a number of major regulatory changes occurring in the regulation of medical devices in the European Union. The revision of the quality system regulation (ISO 13485:2016) has been released that substantially increased the requirements for a medical device quality system. The Medical Device Regulation (“MDR”) has replaced the medical device directives (93/42/EEC), and it substantially changed the way that medical devices are brought to market in the European Union and how they maintain compliance throughout the product’s life cycle. Additionally, the new revision 4 of the clinical evaluation report guidance document (MEDDEV 2.7.1) and the Medical Device Coordination Group (MDCG) guidance document “Regulation (EU) 2017/745: Clinical evidence needed for medical devices previously CE marked under Directives 93/42/EEC or 90/385/EEC” (MDCG 2020-6) severely restricts the use of substantial equivalence for new products, resulting in the need for formal clinical trial data for many new products. These changes will increase the cost for compliance and for product development, and they lengthen product introduction cycles. Failure to comply with these changes can have an adverse effect on our ability to release new products in a timely manner.</w:t>
      </w:r>
    </w:p>
    <w:p>
      <w:pPr>
        <w:spacing w:after="0" w:line="8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In order to maintain a Canadian Medical Device License (“MDL”), which is needed to sell a medical device in Canada, the holder of the MDL (the “regulatory manufacturer”) must obtain an ISO 13485:2016 certificate through the Medical Device Single Audit Program (“MDSAP”). The MDSAP requirement is new to Canada, and manufacturers that received an MDL prior to adoption of this requirement are required to transition to the MDSAP. To address this Canadian medical device licensing requirement, Iridex transferred its MDLs to Salient Medical Solutions (“Salient”), Iridex’s distributor in Canada and an entity that is certified under MDSAP. Iridex continues to fabricate the devices as Salient’s contract manufacturer. Salient is now the regulatory manufacturer, and has the licenses necessary to import and sell Iridex’s products into Canada.</w:t>
      </w:r>
    </w:p>
    <w:p>
      <w:pPr>
        <w:spacing w:after="0" w:line="81"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Changes in existing requirements or adoption of new requirements or policies by the FDA or other foreign and domestic regulatory authorities could adversely affect our ability to comply with regulatory requirements. Failure to comply with regulatory requirements could have a material adverse effect on our business, financial condition and results of operations. We may be required to incur significant costs to comply with laws and regulations in the future. These laws or regulations may have a material adverse effect upon our business, financial condition or results of operations.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01" w:right="1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Reimbursement</w:t>
      </w:r>
    </w:p>
    <w:p>
      <w:pPr>
        <w:spacing w:after="0" w:line="121"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The cost of a significant portion of medical care in the United States is funded by government programs, health maintenance organizations and private insurance plans. Our ophthalmology products are typically purchased by doctors, clinics, hospitals and other users, which bill various third-party payers, such as government programs and private insurance plans, for the health care services provided to their patients. Government imposed limits on reimbursement of hospitals and other health care providers have significantly affected the spending budgets of doctors, clinics and hospitals to acquire new equipment, including our products. Under certain government insurance programs, a health care provider is reimbursed for a fixed sum for services rendered in treating a patient, regardless of the actual charge for such treatment. The Center for Medicare and Medicaid Services reimburses hospitals on a prospectively-determined fixed amount basis for the costs associated with an in-patient hospitalization based on the patient’s discharge diagnosis, regardless of the actual costs incurred by the hospital or physician in furnishing the care and regardless of the specific devices used in that procedure.</w:t>
      </w:r>
    </w:p>
    <w:p>
      <w:pPr>
        <w:spacing w:after="0" w:line="86"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Private third-party reimbursement plans are also developing increasingly sophisticated methods of controlling health-care costs by imposing limitations on reimbursable procedures and the exploration of more cost-effective methods of delivering health care. In general, these government and private measures have caused health care providers, including our customers, to be more selective in the purchase of medical products. In addition, changes in government regulation or in private third-party payers’ policies may limit or eliminate reimbursement for procedures employing our products, which could have a material adverse effect on our business, results of operations and financial condition.</w:t>
      </w:r>
    </w:p>
    <w:p>
      <w:pPr>
        <w:spacing w:after="0" w:line="79" w:lineRule="exact"/>
        <w:rPr>
          <w:sz w:val="20"/>
          <w:szCs w:val="20"/>
          <w:color w:val="auto"/>
        </w:rPr>
      </w:pPr>
    </w:p>
    <w:p>
      <w:pPr>
        <w:ind w:right="540" w:firstLine="440"/>
        <w:spacing w:after="0" w:line="261" w:lineRule="auto"/>
        <w:rPr>
          <w:sz w:val="20"/>
          <w:szCs w:val="20"/>
          <w:color w:val="auto"/>
        </w:rPr>
      </w:pPr>
      <w:r>
        <w:rPr>
          <w:rFonts w:ascii="Times New Roman" w:cs="Times New Roman" w:eastAsia="Times New Roman" w:hAnsi="Times New Roman"/>
          <w:sz w:val="18"/>
          <w:szCs w:val="18"/>
          <w:color w:val="auto"/>
        </w:rPr>
        <w:t>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 and Seasonality</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generally do not maintain a material level of backlog. As a result, we do not believe that our backlog at any particular time is indicative of future sales levels. Our quarterly results have been, and are expected to continue to be, affected by seasonal factors. For example, our European sales during the third quarter are generally lower due to many businesses being closed for the summer vacation season.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Our employees are our human capital and they are our greatest strength and most valuable resource. As of December 28, 2024, we had a total of 93 full-time equivalent employees engaged in our ongoing operations, including 45 in operations (including manufacturing, quality, logistics and service), 24 in sales and marketing, 10 in research and development and 14 in finance and administration. We also employ, from time to time, a number of temporary and part-time employees as well as consultants on a contract basis. As of December 28, 2024, we had 27 such persons serving in such roles.</w:t>
      </w:r>
    </w:p>
    <w:p>
      <w:pPr>
        <w:spacing w:after="0" w:line="7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Our employees are not represented by a collective bargaining organization, and we have never experienced a work stoppage or strike. We consider our employee relations to be good.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21"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reports pursuant to Section 13(a) or 15(d) of the Securities Exchange Act of 1934, as amended, are available, free of charge, through the U.S. Securities and Exchange Commission’s (“SEC”) website. These periodic reports and amendments are also available, free of charge, on our website, as soon as reasonably practicable after such reports are electronically filed with the SEC.</w:t>
      </w:r>
    </w:p>
    <w:p>
      <w:pPr>
        <w:spacing w:after="0" w:line="7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Investors and others should note that we announce material financial information to our investors using SEC filings, press releases, our investor relations website, public conference calls and webcasts. We use these channels as well as social media to communicate with investors, customers and the public about our company, our products and other issues. It is possible that the information we post on social media channels could be deemed to be material information. We encourage investors, our customers, and others interested in Iridex to review the information we post on our Facebook page (www.facebook.com/Iridex) and X feed (https://twitter.com/Iridex). Any information on, or that can be accessed through, our website and social media channels is not part of this report.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197" w:right="14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 Summary</w:t>
      </w:r>
    </w:p>
    <w:p>
      <w:pPr>
        <w:spacing w:after="0" w:line="113" w:lineRule="exact"/>
        <w:rPr>
          <w:sz w:val="20"/>
          <w:szCs w:val="20"/>
          <w:color w:val="auto"/>
        </w:rPr>
      </w:pPr>
    </w:p>
    <w:p>
      <w:pPr>
        <w:ind w:right="119" w:firstLine="440"/>
        <w:spacing w:after="0" w:line="265" w:lineRule="auto"/>
        <w:rPr>
          <w:sz w:val="20"/>
          <w:szCs w:val="20"/>
          <w:color w:val="auto"/>
        </w:rPr>
      </w:pPr>
      <w:r>
        <w:rPr>
          <w:rFonts w:ascii="Times New Roman" w:cs="Times New Roman" w:eastAsia="Times New Roman" w:hAnsi="Times New Roman"/>
          <w:sz w:val="19"/>
          <w:szCs w:val="19"/>
          <w:color w:val="auto"/>
        </w:rPr>
        <w:t>Our business operations are subject to numerous risks, factors and uncertainties outside of our control that could cause our actual results to be harmed, including risks regarding the following:</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economic factors</w:t>
      </w:r>
    </w:p>
    <w:p>
      <w:pPr>
        <w:spacing w:after="0" w:line="121" w:lineRule="exact"/>
        <w:rPr>
          <w:sz w:val="20"/>
          <w:szCs w:val="20"/>
          <w:color w:val="auto"/>
        </w:rPr>
      </w:pPr>
    </w:p>
    <w:p>
      <w:pPr>
        <w:ind w:left="660" w:right="99"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macroeconomic conditions, including those resulting from ongoing geopolitical uncertainty and tensions, uncertainty in tax law or policy, tariffs, trade wars, inflationary pressures and changing interest rates, a reduction in business confidence and activity, global pandemics and responsive measures and the Russia-Ukraine and Israel-Hamas conflicts.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factors</w:t>
      </w:r>
    </w:p>
    <w:p>
      <w:pPr>
        <w:spacing w:after="0" w:line="121" w:lineRule="exact"/>
        <w:rPr>
          <w:sz w:val="20"/>
          <w:szCs w:val="20"/>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relationship with our strategic partner and main distributor Topcon;</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control and production issues;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our laser systems;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defects in our laser systems;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and independent sales forces and a network of international distributors to sell our products;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international sales;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products and applications and improving existing products;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sales and operating results;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ophthalmology market;</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personnel;</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collaborative relationships used to enhance products and applications;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sales volumes, results of operations, and revenues;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product demand;</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sole source and limited source suppliers;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loss;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information technology system and breaches of data security;</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relationships with health-care providers;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misuse of our products;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brand;</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our customers to obtain credit or material increases in interest rates;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of our products; and</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growth effectively.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and legal factors</w:t>
      </w:r>
    </w:p>
    <w:p>
      <w:pPr>
        <w:spacing w:after="0" w:line="121" w:lineRule="exact"/>
        <w:rPr>
          <w:sz w:val="20"/>
          <w:szCs w:val="20"/>
          <w:color w:val="auto"/>
        </w:rPr>
      </w:pPr>
    </w:p>
    <w:p>
      <w:pPr>
        <w:ind w:left="880" w:hanging="431"/>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reform measures and changes in third-party coverage and reimbursement policies;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healthcare laws;</w:t>
      </w:r>
    </w:p>
    <w:p>
      <w:pPr>
        <w:spacing w:after="0" w:line="117" w:lineRule="exact"/>
        <w:rPr>
          <w:rFonts w:ascii="Times New Roman" w:cs="Times New Roman" w:eastAsia="Times New Roman" w:hAnsi="Times New Roman"/>
          <w:sz w:val="18"/>
          <w:szCs w:val="18"/>
          <w:color w:val="auto"/>
        </w:rPr>
      </w:pPr>
    </w:p>
    <w:p>
      <w:pPr>
        <w:ind w:left="880" w:right="459" w:hanging="431"/>
        <w:spacing w:after="0" w:line="282"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potential governmental, regulatory and other legal proceedings relative to advertising, promotion and marketing;</w:t>
      </w:r>
    </w:p>
    <w:p>
      <w:pPr>
        <w:spacing w:after="0" w:line="53"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and proprietary rights related to our intellectual property;</w:t>
      </w:r>
    </w:p>
    <w:p>
      <w:pPr>
        <w:spacing w:after="0" w:line="117" w:lineRule="exact"/>
        <w:rPr>
          <w:rFonts w:ascii="Times New Roman" w:cs="Times New Roman" w:eastAsia="Times New Roman" w:hAnsi="Times New Roman"/>
          <w:sz w:val="18"/>
          <w:szCs w:val="18"/>
          <w:color w:val="auto"/>
        </w:rPr>
      </w:pPr>
    </w:p>
    <w:p>
      <w:pPr>
        <w:ind w:left="880" w:right="159" w:hanging="431"/>
        <w:spacing w:after="0" w:line="282"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government regulations, including the FDA’s quality system regulation and laser performance standards;</w:t>
      </w:r>
    </w:p>
    <w:p>
      <w:pPr>
        <w:spacing w:after="0" w:line="53"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 for clinical trials;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59"/>
          </w:cols>
          <w:pgMar w:left="1400" w:top="1089" w:right="1440" w:bottom="1440" w:gutter="0" w:footer="0" w:header="0"/>
        </w:sectPr>
      </w:pPr>
    </w:p>
    <w:bookmarkStart w:id="17" w:name="page18"/>
    <w:bookmarkEnd w:id="17"/>
    <w:p>
      <w:pPr>
        <w:ind w:left="880" w:hanging="431"/>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product liability claims;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trade policies;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laws;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foreign laws, including changes to those laws; and</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requirements.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and transactional risks</w:t>
      </w:r>
    </w:p>
    <w:p>
      <w:pPr>
        <w:spacing w:after="0" w:line="121" w:lineRule="exact"/>
        <w:rPr>
          <w:sz w:val="20"/>
          <w:szCs w:val="20"/>
          <w:color w:val="auto"/>
        </w:rPr>
      </w:pPr>
    </w:p>
    <w:p>
      <w:pPr>
        <w:ind w:left="880" w:hanging="431"/>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divestitures of our businesses or product lines; and</w:t>
      </w:r>
    </w:p>
    <w:p>
      <w:pPr>
        <w:spacing w:after="0" w:line="117" w:lineRule="exact"/>
        <w:rPr>
          <w:rFonts w:ascii="Times New Roman" w:cs="Times New Roman" w:eastAsia="Times New Roman" w:hAnsi="Times New Roman"/>
          <w:sz w:val="18"/>
          <w:szCs w:val="18"/>
          <w:color w:val="auto"/>
        </w:rPr>
      </w:pPr>
    </w:p>
    <w:p>
      <w:pPr>
        <w:ind w:left="880" w:right="380" w:hanging="431"/>
        <w:spacing w:after="0" w:line="282"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charter documents, Delaware law and contractual provisions that could delay or prevent an acquisition or sale of our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 risks and risks related to ownership of our common stock</w:t>
      </w:r>
    </w:p>
    <w:p>
      <w:pPr>
        <w:spacing w:after="0" w:line="121" w:lineRule="exact"/>
        <w:rPr>
          <w:sz w:val="20"/>
          <w:szCs w:val="20"/>
          <w:color w:val="auto"/>
        </w:rPr>
      </w:pPr>
    </w:p>
    <w:p>
      <w:pPr>
        <w:ind w:left="880" w:hanging="431"/>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intention not to pay dividends for the foreseeable future;</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publication of research about us by analysts;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ownership of our common stock; and</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internal control over financial reporting.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May Affect Future Results</w:t>
      </w:r>
    </w:p>
    <w:p>
      <w:pPr>
        <w:spacing w:after="0" w:line="121"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other information contained in this Annual Report on Form 10-K, we have identified the following risks and uncertainties that may have a material adverse effect on our business, common stock price, financial condition or results of operations. You should carefully consider the risks described below before making an investment decision.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17"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The current macroeconomic conditions have disrupted, and may continue to disrupt our operations, including our ability to manufacture and supply products and perform research and development activities, and our customers’ usage of our products, all of which have had and may continue to have a material and adverse effect on our business, future revenues and financial condition. We are unable to predict the extent to which any future global pandemic or other public health emergencies or outbreaks and related macroeconomic impacts may adversely impact our business operations, financial performance, results of operations and financial position.</w:t>
      </w:r>
    </w:p>
    <w:p>
      <w:pPr>
        <w:spacing w:after="0" w:line="7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Our business, results of operation and financial performance have experienced and may continue to be adversely affected by unpredictable interruptions in the supply of raw materials, components and sub-assemblies necessary to manufacture and assemble our products and reductions in the demand for our products if healthcare customers divert medical resources and priorities towards the treatment of pandemics, the spread of disease or any future outbreak of disease. Upon such events, our customers may delay, cancel or redirect planned capital expenditures in order to focus resources on any future outbreak of disease, global pandemic or in response to macroeconomic disruption related to any future global pandemic. In the near term, a future outbreak of disease or global pandemic may negatively impact the use of our products and the number of ophthalmic treatments and procedures performed. If the volume of elective procedures declines, our results of operations and financial condition will be adversely affected.</w:t>
      </w:r>
    </w:p>
    <w:p>
      <w:pPr>
        <w:spacing w:after="0" w:line="80"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volatile macroeconomic environment has created economic uncertainty and volatility in the financial markets around the world, resulting in an economic downturn that has affected and may likely continue to affect demand for our products and impact our results of operations. As a result, this may lead to a period of regional, national, and global economic slowdown or regional, national, or global recessions that would curtail or delay spending by hospitals and affect demand for our products as well as increase the risk of customer defaults or delays in payments. Our customers may terminate or amend their agreements for the purchase, lease, or service of our products due to bankruptcy, lack of liquidity, lack of funding, operational failures, or other reason. The ultimate impact of the volatile macroeconomic conditions on our operations and financial performance depends on many factors that are not within our control, including, but not limited, to: the recommendations by medical authorities on whether hospitals should and may perform elective surgical procedures; hospitals’ abilities and willingness to devote resources to elective surgical procedures; governmental, business and individuals’ actions in response to any future health emergencies or outbreaks (including restrictions on travel and transport and workforce pressures); the impact of other public health emergencies or any future outbreak of disease and actions taken in response on global and regional economies, travel, and economic activity; the availability of federal, state, local or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01" w:right="1419" w:bottom="1440" w:gutter="0" w:footer="0" w:header="0"/>
        </w:sectPr>
      </w:pPr>
    </w:p>
    <w:bookmarkStart w:id="18" w:name="page19"/>
    <w:bookmarkEnd w:id="18"/>
    <w:p>
      <w:pPr>
        <w:ind w:right="120"/>
        <w:spacing w:after="0" w:line="261" w:lineRule="auto"/>
        <w:rPr>
          <w:sz w:val="20"/>
          <w:szCs w:val="20"/>
          <w:color w:val="auto"/>
        </w:rPr>
      </w:pPr>
      <w:r>
        <w:rPr>
          <w:rFonts w:ascii="Times New Roman" w:cs="Times New Roman" w:eastAsia="Times New Roman" w:hAnsi="Times New Roman"/>
          <w:sz w:val="18"/>
          <w:szCs w:val="18"/>
          <w:color w:val="auto"/>
        </w:rPr>
        <w:t>non-U.S. funding programs; general economic uncertainty in key global markets and financial market volatility; global economic conditions and levels of economic growth; and the pace of recovery when the current volatile macroeconomic conditions subside. These events may pose disruptions to our business, which could adversely impact our business, financial condition and results of operations</w:t>
      </w:r>
      <w:r>
        <w:rPr>
          <w:rFonts w:ascii="Times New Roman" w:cs="Times New Roman" w:eastAsia="Times New Roman" w:hAnsi="Times New Roman"/>
          <w:sz w:val="21"/>
          <w:szCs w:val="21"/>
          <w:color w:val="auto"/>
        </w:rPr>
        <w:t>.</w:t>
      </w:r>
    </w:p>
    <w:p>
      <w:pPr>
        <w:spacing w:after="0" w:line="57" w:lineRule="exact"/>
        <w:rPr>
          <w:sz w:val="20"/>
          <w:szCs w:val="20"/>
          <w:color w:val="auto"/>
        </w:rPr>
      </w:pPr>
    </w:p>
    <w:p>
      <w:pPr>
        <w:jc w:val="both"/>
        <w:ind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Servicing our existing and future debt, including the Initial Novel Note and any Novel Growth Notes we issue in the future, may require a significant amount of cash, and we may not have sufficient cash flow from our business to pay our indebtedness.</w:t>
      </w:r>
    </w:p>
    <w:p>
      <w:pPr>
        <w:spacing w:after="0" w:line="6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On March 19, 2025, pursuant to that certain Note Purchase Agreement, dated March 19, 2025 (the “Novel Note Purchase Agreement”), by and between us and Novel Inspiration International Co., Ltd. (“Novel”), we issued to Novel an initial convertible promissory note in an aggregate principal amount of $4,000,000 (the “Initial Novel Note”) and granted to Novel the right to purchase additional convertible promissory notes (the “Novel Growth Notes” and, together with the Initial Novel Note, the “Novel Notes”) in an aggregate principal amount of up to $10,000,000. Our ability to make scheduled payments of the principal of, or to refinance our indebtedness, including the Initial Novel Note and any Novel Growth Notes issued in the future, depends on our future performance, which is subject to economic, financial, competitive, and other factors beyond our control. We may not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debt financing or equity capital on terms that may be onerous or highly dilutive. Our ability to refinance any future indebtedness will depend on the capital markets and our financial condition at such time. We may not be able to engage in any of these activities or engage in these activities on desirable terms, which could result in a default on our debt obligations. In addition, any of our future debt agreements may contain, restrictive covenants that may prohibit us from adopting any of these alternatives. Our failure to comply with these covenants could result in an event of default which, if not cured or waived, could result in the acceleration of our debt.</w:t>
      </w:r>
    </w:p>
    <w:p>
      <w:pPr>
        <w:spacing w:after="0" w:line="84"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have the ability to raise the funds necessary to settle repayments of the Initial Novel Note or any Novel Growth Notes issued in the future in cash, and our future debt may contain limitations on our ability to make cash payments as required by the Novel Notes.</w:t>
      </w:r>
    </w:p>
    <w:p>
      <w:pPr>
        <w:spacing w:after="0" w:line="6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Following the occurrence of a Change of Control (as defined in the Initial Novel Note), the outstanding principal amount of the Initial Novel Note, plus all accrued and unpaid interest, in each case that has not otherwise been converted into equity, shall be due and payable immediately prior to the consummation of such Change of Control. However, we may not have enough available cash or be able to obtain financing at the time we are required to make such payments on the Initial Novel Note or at its maturity. In addition, any cash payments would reduce the amount of cash available for our operations, which could have a material and adverse effect on our business.</w:t>
      </w:r>
    </w:p>
    <w:p>
      <w:pPr>
        <w:spacing w:after="0" w:line="7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Our ability to make cash payments in connection with the Initial Novel Note and any Novel Growth Notes issued in the future may be limited by law, regulatory authority or agreements governing our future indebtedness. Our failure to make payments as required by the Initial Novel Note and any Novel Notes issued in the future would constitute a default under such Novel Notes. A default under the Novel Notes could also lead to a default under agreements governing any of our existing or future indebtedness. Moreover, the occurrence of a Change of Control under the Initial Novel Note or any Novel Growth Notes issued in the future could constitute an event of default under other agreements. If the payment of the related indebtedness were to be accelerated after any applicable notice or grace periods, we may not have sufficient funds to repay the indebtedness. Any failure by us to repay indebtedness, in each case, when required to do so pursuant to the terms of the Novel Notes, could have a material adverse effect on our business, financial condition, and results of operations.</w:t>
      </w:r>
    </w:p>
    <w:p>
      <w:pPr>
        <w:spacing w:after="0" w:line="76" w:lineRule="exact"/>
        <w:rPr>
          <w:sz w:val="20"/>
          <w:szCs w:val="20"/>
          <w:color w:val="auto"/>
        </w:rPr>
      </w:pPr>
    </w:p>
    <w:p>
      <w:pPr>
        <w:ind w:right="30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Novel has conversion rights under the Novel Notes, the exercise of which, in addition to the issuance of common stock in connection with the payment of interest under the Novel Notes, could result in the issuance of a substantial amount of our common stock at a significant discount to the trading price of our common stock.</w:t>
      </w:r>
    </w:p>
    <w:p>
      <w:pPr>
        <w:spacing w:after="0" w:line="6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Initial Novel Note is convertible at Novel’s option into shares of our Series B Preferred Stock at an initial conversion price of $10.00, subject to any adjustments set forth in the Initial Novel Note, In addition, any Novel Growth Notes issued in the future will be convertible at Novel’s option into shares of our common stock at a conversion price equal to the lesser of (x) a maximum conversion price as set forth in the Novel Note Purchase Agreement and (y) the greater of (A) the average closing price of the our common stock for each trading day after the applicable closing date in the calendar quarter immediately preceding the date of such conversion date and (B) a price floor of $0.21. The Novel Growth Notes will be issuable in three installments, with one-third of the aggregate principal amount being issuable on each of the first, second and third anniversaries of March 19, 2025 and ending 90 days following such anniversary, subject to the terms and conditions in the Novel Note Purchase Agreement.</w:t>
      </w:r>
    </w:p>
    <w:p>
      <w:pPr>
        <w:spacing w:after="0" w:line="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Initial Novel Note bears interest at a rate of 12% per annum. Interest on the Initial Novel Note will be payable quarterly on the first business day of each calendar quarter, beginning on July 1, 2025, in a number of shares of our common stock equal to (x) the accrued and unpaid interest due on the applicable interest payment date divided by (y) the greater of (A)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01" w:right="1419" w:bottom="1440" w:gutter="0" w:footer="0" w:header="0"/>
        </w:sectPr>
      </w:pPr>
    </w:p>
    <w:bookmarkStart w:id="19" w:name="page20"/>
    <w:bookmarkEnd w:id="19"/>
    <w:p>
      <w:pPr>
        <w:ind w:right="40"/>
        <w:spacing w:after="0" w:line="254" w:lineRule="auto"/>
        <w:rPr>
          <w:sz w:val="20"/>
          <w:szCs w:val="20"/>
          <w:color w:val="auto"/>
        </w:rPr>
      </w:pPr>
      <w:r>
        <w:rPr>
          <w:rFonts w:ascii="Times New Roman" w:cs="Times New Roman" w:eastAsia="Times New Roman" w:hAnsi="Times New Roman"/>
          <w:sz w:val="18"/>
          <w:szCs w:val="18"/>
          <w:color w:val="auto"/>
        </w:rPr>
        <w:t>the average closing price of our common stock for each trading day after March 19, 2025 in the calendar quarter immediately preceding such interest payment date and (B) a price floor of $0.21. Any Novel Growth Notes issued in the future will bear interest at a rate of 12% per annum. Interest on such Novel Growth Notes will be payable quarterly on the first business day of each calendar quarter in a number of shares of our common stock equal to (x) the accrued and unpaid interest due on the applicable interest payment date divided by (y) the lesser of (A) a maximum average price as set forth in the Novel Note Purchase Agreement and (B) the greater of (1) the average closing price of our common stock for each trading day after the applicable closing date in the calendar quarter immediately preceding such interest payment date and (2) a price floor of $0.21.</w:t>
      </w:r>
    </w:p>
    <w:p>
      <w:pPr>
        <w:spacing w:after="0" w:line="84"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If we experience an Event of Default under the Initial Novel Note or any Novel Growth Notes issued in the future, we may experience a material adverse effect on our liquidity, financial condition, and results of operations.</w:t>
      </w:r>
    </w:p>
    <w:p>
      <w:pPr>
        <w:spacing w:after="0" w:line="50"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strategic partnership with Topcon and the relationship may divert resources away from existing operations or expose us to liabilities, which could adversely affect our business, results of operations and financial condition.</w:t>
      </w:r>
    </w:p>
    <w:p>
      <w:pPr>
        <w:spacing w:after="0" w:line="6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 March 2, 2021, we entered into a series of strategic transactions with Topcon, Topcon America Corporation (the “Investor”) and Topcon Medical Laser Systems, Inc., a subsidiary of Topcon (“TMLS”), which included (i) an asset purchase agreement with TMLS, pursuant to which we acquired substantially all the assets (except for cash and cash equivalents) of TMLS, including rights to the PASCAL product (the “Asset Purchase Agreement”), (ii) a distribution agreement dated March 2, 2021, pursuant to which we granted Topcon the exclusive right to distribute our retina and glaucoma products in certain geographies outside the United States (the “Distribution Agreement”), and (iii) an investment agreement dated March 2, 2021 (the “Investment Agreement”), pursuant to which we sold the Investor 1,618,122 shares of our common stock for an aggregate purchase price of $10 million.</w:t>
      </w:r>
    </w:p>
    <w:p>
      <w:pPr>
        <w:spacing w:after="0" w:line="84"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Pursuant to the Asset Purchase Agreement, the transferred assets include substantially all of TMLS’ assets including the rights to the PASCAL product (the “Transferred Assets”). We assumed only those liabilities arising after the closing in connection with the Transferred Assets. In the Asset Purchase Agreement, our company and TMLS made certain customary representations and warranties and agreed to certain customary covenants. The Agreement provides that our company and TMLS will each indemnify the other for losses arising from certain breaches of the Agreement and for certain other liabilities subject to customary caps and deductibles. If there are claims under the indemnification provisions for which we are liable we will need to use some or all our cash to settle those claims.</w:t>
      </w:r>
    </w:p>
    <w:p>
      <w:pPr>
        <w:spacing w:after="0" w:line="81" w:lineRule="exact"/>
        <w:rPr>
          <w:sz w:val="20"/>
          <w:szCs w:val="20"/>
          <w:color w:val="auto"/>
        </w:rPr>
      </w:pPr>
    </w:p>
    <w:p>
      <w:pPr>
        <w:ind w:right="180" w:firstLine="440"/>
        <w:spacing w:after="0" w:line="254" w:lineRule="auto"/>
        <w:rPr>
          <w:sz w:val="20"/>
          <w:szCs w:val="20"/>
          <w:color w:val="auto"/>
        </w:rPr>
      </w:pPr>
      <w:r>
        <w:rPr>
          <w:rFonts w:ascii="Times New Roman" w:cs="Times New Roman" w:eastAsia="Times New Roman" w:hAnsi="Times New Roman"/>
          <w:sz w:val="18"/>
          <w:szCs w:val="18"/>
          <w:color w:val="auto"/>
        </w:rPr>
        <w:t>Pursuant to the Distribution Agreement, we appointed Topcon as the exclusive distributor of our glaucoma and retina products, including PASCAL product, in certain countries outside of the United States. Topcon agreed to use commercially reasonable efforts to commercialize our products in each region throughout the territory, including achieving certain sales baselines by product category and region. If Topcon fails to achieve the baselines in a region, we will have the right to, subject to payment of a fee, terminate Topcon’s appointment in such region. The Distribution Agreement and Topcon’s appointment will, unless terminated earlier, continue on a country-by-country basis for a period of 10 years from the date exclusivity is granted. The Distribution Agreement includes customary termination rights and effects of termination, including a termination for convenience right in favor of Topcon and, subject to payment of a fee, a termination right in our favor upon a change of control of our company, as well as customary indemnification provisions.</w:t>
      </w:r>
    </w:p>
    <w:p>
      <w:pPr>
        <w:spacing w:after="0" w:line="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As a result of the Distribution Agreement, we terminated our relationships with our prior distributors in certain geographies and we are using Topcon as our exclusive distributor. If Topcon is unable to generate as much revenue under the Distribution Agreement as we received from our prior distributors, our business, results of operations and financial condition could be adversely affected. If there are claims under the indemnification provisions of the Distribution Agreement for which we are liable, we will need to use some or all our cash to settle those claims or make payments to Topcon pursuant to the terms of the Distribution Agreement.</w:t>
      </w:r>
    </w:p>
    <w:p>
      <w:pPr>
        <w:spacing w:after="0" w:line="79" w:lineRule="exact"/>
        <w:rPr>
          <w:sz w:val="20"/>
          <w:szCs w:val="20"/>
          <w:color w:val="auto"/>
        </w:rPr>
      </w:pPr>
    </w:p>
    <w:p>
      <w:pPr>
        <w:ind w:right="100" w:firstLine="440"/>
        <w:spacing w:after="0" w:line="277" w:lineRule="auto"/>
        <w:rPr>
          <w:sz w:val="20"/>
          <w:szCs w:val="20"/>
          <w:color w:val="auto"/>
        </w:rPr>
      </w:pPr>
      <w:r>
        <w:rPr>
          <w:rFonts w:ascii="Times New Roman" w:cs="Times New Roman" w:eastAsia="Times New Roman" w:hAnsi="Times New Roman"/>
          <w:sz w:val="17"/>
          <w:szCs w:val="17"/>
          <w:color w:val="auto"/>
        </w:rPr>
        <w:t>We are investing a substantial amount of time, resources and efforts in connection with our relationship with Topcon, including commercializing our products in certain geographies and working to achieve certain sales baselines by product category and region. All of these actions divert resources away from our other initiatives and operations, particularly with respect to product sales in the United States. These efforts may not result in the anticipated additional products, efficiencies or revenues for our company, which could adversely affect our business, operating results and financial condition as a result.</w:t>
      </w:r>
    </w:p>
    <w:p>
      <w:pPr>
        <w:spacing w:after="0" w:line="56"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laser systems are complex in design and may contain defects that are not detected until deployed by our customers, which could increase our costs and reduce our revenues.</w:t>
      </w:r>
    </w:p>
    <w:p>
      <w:pPr>
        <w:spacing w:after="0" w:line="51" w:lineRule="exact"/>
        <w:rPr>
          <w:sz w:val="20"/>
          <w:szCs w:val="20"/>
          <w:color w:val="auto"/>
        </w:rPr>
      </w:pPr>
    </w:p>
    <w:p>
      <w:pPr>
        <w:jc w:val="both"/>
        <w:ind w:right="80" w:firstLine="440"/>
        <w:spacing w:after="0" w:line="258" w:lineRule="auto"/>
        <w:rPr>
          <w:sz w:val="20"/>
          <w:szCs w:val="20"/>
          <w:color w:val="auto"/>
        </w:rPr>
      </w:pPr>
      <w:r>
        <w:rPr>
          <w:rFonts w:ascii="Times New Roman" w:cs="Times New Roman" w:eastAsia="Times New Roman" w:hAnsi="Times New Roman"/>
          <w:sz w:val="18"/>
          <w:szCs w:val="18"/>
          <w:color w:val="auto"/>
        </w:rPr>
        <w:t>Laser systems are inherently complex in design and require regular maintenance. The manufacture of our lasers, laser products and systems involves a highly complex and precise process. As a result of the technical complexity of our products, changes in our or our suppliers’ manufacturing processes or the inadvertent use of defective materials by us or our suppliers could result in a material adverse effect on our ability to achieve acceptable manufacturing yields and product reliability. To the extent that we do not achieve such yields or product reliability, our business, operating results, financial condition and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01" w:right="1419" w:bottom="1440" w:gutter="0" w:footer="0" w:header="0"/>
        </w:sectPr>
      </w:pPr>
    </w:p>
    <w:bookmarkStart w:id="20" w:name="page21"/>
    <w:bookmarkEnd w:id="20"/>
    <w:p>
      <w:pPr>
        <w:ind w:right="20"/>
        <w:spacing w:after="0" w:line="258" w:lineRule="auto"/>
        <w:rPr>
          <w:sz w:val="20"/>
          <w:szCs w:val="20"/>
          <w:color w:val="auto"/>
        </w:rPr>
      </w:pPr>
      <w:r>
        <w:rPr>
          <w:rFonts w:ascii="Times New Roman" w:cs="Times New Roman" w:eastAsia="Times New Roman" w:hAnsi="Times New Roman"/>
          <w:sz w:val="18"/>
          <w:szCs w:val="18"/>
          <w:color w:val="auto"/>
        </w:rPr>
        <w:t>customer relationships would be adversely affected. We provide warranties on certain of our product sales, and allowances for estimated warranty costs are recorded during the period of sale. The determination of such allowances requires us to make estimates of failure rates and expected costs to repair or replace the products under warranty. We currently establish warranty reserves based on historical warranty costs. If actual return rates and/or repair and replacement costs differ significantly from our estimates, adjustments to recognize additional cost of revenues may be required in future periods.</w:t>
      </w:r>
    </w:p>
    <w:p>
      <w:pPr>
        <w:spacing w:after="0" w:line="7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Our customers may discover defects in our products after the products have been fully deployed and operated under peak stress conditions. In addition, some of our products are combined with products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72" w:lineRule="exact"/>
        <w:rPr>
          <w:sz w:val="20"/>
          <w:szCs w:val="20"/>
          <w:color w:val="auto"/>
        </w:rPr>
      </w:pPr>
    </w:p>
    <w:p>
      <w:pPr>
        <w:ind w:left="880" w:hanging="431"/>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customers;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of product returns and warranty expenses;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reputation;</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new customers or achieve market acceptance;</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development and engineering resources; and</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actions by our customers.</w:t>
      </w:r>
    </w:p>
    <w:p>
      <w:pPr>
        <w:spacing w:after="0" w:line="11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occurrence of any one or more of the foregoing factors could seriously harm our business, financial condition and results of operations.</w:t>
      </w:r>
    </w:p>
    <w:p>
      <w:pPr>
        <w:spacing w:after="0" w:line="50"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our direct and independent sales forces and international distributors to sell our products and if we lose our sales force or distributor relationships, it could harm our business.</w:t>
      </w:r>
    </w:p>
    <w:p>
      <w:pPr>
        <w:spacing w:after="0" w:line="5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Our ability to sell our products and generate revenues depends upon our direct and independent sales forces within the United States, direct sales force in Germany and relationships with independent international distributors. Currently our direct and independent sales forces within the United States consist of approximately 20 employees, and our direct sales force in Germany consists of one employee. Our international independent distributors are managed by a team of four people. We generally grant our distributors exclusive territories for the sale of our products in specified countries and regions. The amount and timing of resources dedicated by our distributors to the sales of our products is not within our control. Our international sales are largely dependent on the efforts of these third parties. If any distributor breaches the terms of its distribution agreement with us or fails to generate sales of our products, we may be forced to replace the distributor and our ability to sell our products into that exclusive sales territory could be adversely affected.</w:t>
      </w:r>
    </w:p>
    <w:p>
      <w:pPr>
        <w:spacing w:after="0" w:line="80"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We do not have any long-term employment contracts with the members of our direct sales force. We may be unable to replace our direct sales force personnel with individuals of equivalent technical expertise and qualifications, which may harm our revenues and our ability to maintain market share. Similarly, our independent contractor and distributor agreements are generally terminable at will by either party and independent contractors and distributors may terminate their relationships with us, which would affect our sales and results of operations. Any loss of the members of our existing direct or indirect sales organizations, or any failure to execute on our plans to further develop our sales function, could have an adverse impact on our business, results of operations and financial condition.</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We depend on international sales for a significant portion of our operating results.</w:t>
      </w:r>
    </w:p>
    <w:p>
      <w:pPr>
        <w:spacing w:after="0" w:line="12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We derive, and expect to continue to derive, a large portion of our revenues from international sales. For the fiscal year 2024, our international sales were $26.0 million, or 53.4% of total revenues. We anticipate that international sales will continue to account for a significant portion of our revenues in the foreseeable future. All of our international revenues and costs for the fiscal year 2024 have been denominated in U.S. dollars except for sales transacted through our German subsidiary. As a result, an increase in the value of the U.S. dollar relative to foreign currencies makes our U.S. dollar-denominated products more expensive and thus less competitive in foreign markets and may negatively affect our reported revenue in any particular reporting period. Our international operations and sales are subject to a number of risks and potential costs, including:</w:t>
      </w:r>
    </w:p>
    <w:p>
      <w:pPr>
        <w:spacing w:after="0" w:line="84" w:lineRule="exact"/>
        <w:rPr>
          <w:sz w:val="20"/>
          <w:szCs w:val="20"/>
          <w:color w:val="auto"/>
        </w:rPr>
      </w:pPr>
    </w:p>
    <w:p>
      <w:pPr>
        <w:ind w:left="880" w:hanging="431"/>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and production issues;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our international channel of distributors;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periods;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recessions in global economies and availability of credit;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01" w:right="1419" w:bottom="1440" w:gutter="0" w:footer="0" w:header="0"/>
        </w:sectPr>
      </w:pPr>
    </w:p>
    <w:bookmarkStart w:id="21" w:name="page22"/>
    <w:bookmarkEnd w:id="21"/>
    <w:p>
      <w:pPr>
        <w:ind w:left="880" w:hanging="431"/>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international regulatory agreements and requirements;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sanctions and embargoes;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and trade wars;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international conflicts, terrorist and military activity, civil unrest;</w:t>
      </w:r>
    </w:p>
    <w:p>
      <w:pPr>
        <w:spacing w:after="0" w:line="117" w:lineRule="exact"/>
        <w:rPr>
          <w:rFonts w:ascii="Times New Roman" w:cs="Times New Roman" w:eastAsia="Times New Roman" w:hAnsi="Times New Roman"/>
          <w:sz w:val="18"/>
          <w:szCs w:val="18"/>
          <w:color w:val="auto"/>
        </w:rPr>
      </w:pPr>
    </w:p>
    <w:p>
      <w:pPr>
        <w:ind w:left="880" w:right="239" w:hanging="431"/>
        <w:spacing w:after="0" w:line="282"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certification requirements, including continued ability to use the “CE” mark in Europe, and other local regulatory requirements, pending MDR approvals;</w:t>
      </w:r>
    </w:p>
    <w:p>
      <w:pPr>
        <w:spacing w:after="0" w:line="53"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local product preferences and product requirements;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medical reimbursement and coverage policies and programs;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limited protections of intellectual property rights in jurisdictions outside the United States;</w:t>
      </w:r>
    </w:p>
    <w:p>
      <w:pPr>
        <w:spacing w:after="0" w:line="117" w:lineRule="exact"/>
        <w:rPr>
          <w:rFonts w:ascii="Times New Roman" w:cs="Times New Roman" w:eastAsia="Times New Roman" w:hAnsi="Times New Roman"/>
          <w:sz w:val="18"/>
          <w:szCs w:val="18"/>
          <w:color w:val="auto"/>
        </w:rPr>
      </w:pPr>
    </w:p>
    <w:p>
      <w:pPr>
        <w:ind w:left="880" w:right="879" w:hanging="431"/>
        <w:spacing w:after="0" w:line="282"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such as those related to changes in tax laws or tax rates or their interpretations;</w:t>
      </w:r>
    </w:p>
    <w:p>
      <w:pPr>
        <w:spacing w:after="0" w:line="53"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adverse and changing foreign governmental laws and regulations;</w:t>
      </w:r>
    </w:p>
    <w:p>
      <w:pPr>
        <w:spacing w:after="0" w:line="117" w:lineRule="exact"/>
        <w:rPr>
          <w:rFonts w:ascii="Times New Roman" w:cs="Times New Roman" w:eastAsia="Times New Roman" w:hAnsi="Times New Roman"/>
          <w:sz w:val="18"/>
          <w:szCs w:val="18"/>
          <w:color w:val="auto"/>
        </w:rPr>
      </w:pPr>
    </w:p>
    <w:p>
      <w:pPr>
        <w:ind w:left="880" w:right="79" w:hanging="431"/>
        <w:spacing w:after="0" w:line="266"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risk of our employees failing to comply with both U.S. and foreign laws, including anti-trust regulations, the U.S. Foreign Corrupt Practices Act, the U.K. Bribery Act of 2010 and any trade regulations designed to ensure fair trade practices; and</w:t>
      </w:r>
    </w:p>
    <w:p>
      <w:pPr>
        <w:spacing w:after="0" w:line="67" w:lineRule="exact"/>
        <w:rPr>
          <w:rFonts w:ascii="Times New Roman" w:cs="Times New Roman" w:eastAsia="Times New Roman" w:hAnsi="Times New Roman"/>
          <w:sz w:val="18"/>
          <w:szCs w:val="18"/>
          <w:color w:val="auto"/>
        </w:rPr>
      </w:pPr>
    </w:p>
    <w:p>
      <w:pPr>
        <w:ind w:left="880" w:right="539" w:hanging="431"/>
        <w:spacing w:after="0" w:line="282" w:lineRule="auto"/>
        <w:tabs>
          <w:tab w:leader="none" w:pos="8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costs and risks of non-compliance with multiple regulatory regimes governing the production, marketing, sale and use of our products.</w:t>
      </w:r>
    </w:p>
    <w:p>
      <w:pPr>
        <w:spacing w:after="0" w:line="54" w:lineRule="exact"/>
        <w:rPr>
          <w:sz w:val="20"/>
          <w:szCs w:val="20"/>
          <w:color w:val="auto"/>
        </w:rPr>
      </w:pPr>
    </w:p>
    <w:p>
      <w:pPr>
        <w:ind w:right="59" w:firstLine="440"/>
        <w:spacing w:after="0" w:line="282" w:lineRule="auto"/>
        <w:rPr>
          <w:sz w:val="20"/>
          <w:szCs w:val="20"/>
          <w:color w:val="auto"/>
        </w:rPr>
      </w:pPr>
      <w:r>
        <w:rPr>
          <w:rFonts w:ascii="Times New Roman" w:cs="Times New Roman" w:eastAsia="Times New Roman" w:hAnsi="Times New Roman"/>
          <w:sz w:val="18"/>
          <w:szCs w:val="18"/>
          <w:color w:val="auto"/>
        </w:rPr>
        <w:t>Any one or more of these factors stated above could have a material adverse effect on our business, financial condition or results of operations.</w:t>
      </w:r>
    </w:p>
    <w:p>
      <w:pPr>
        <w:spacing w:after="0" w:line="50" w:lineRule="exact"/>
        <w:rPr>
          <w:sz w:val="20"/>
          <w:szCs w:val="20"/>
          <w:color w:val="auto"/>
        </w:rPr>
      </w:pPr>
    </w:p>
    <w:p>
      <w:pPr>
        <w:ind w:right="79"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be adversely affected by uncertainty regarding healthcare reform measures and changes in third-party coverage and reimbursement policies.</w:t>
      </w:r>
    </w:p>
    <w:p>
      <w:pPr>
        <w:spacing w:after="0" w:line="51" w:lineRule="exact"/>
        <w:rPr>
          <w:sz w:val="20"/>
          <w:szCs w:val="20"/>
          <w:color w:val="auto"/>
        </w:rPr>
      </w:pPr>
    </w:p>
    <w:p>
      <w:pPr>
        <w:ind w:right="19" w:firstLine="440"/>
        <w:spacing w:after="0" w:line="252" w:lineRule="auto"/>
        <w:rPr>
          <w:sz w:val="20"/>
          <w:szCs w:val="20"/>
          <w:color w:val="auto"/>
        </w:rPr>
      </w:pPr>
      <w:r>
        <w:rPr>
          <w:rFonts w:ascii="Times New Roman" w:cs="Times New Roman" w:eastAsia="Times New Roman" w:hAnsi="Times New Roman"/>
          <w:sz w:val="18"/>
          <w:szCs w:val="18"/>
          <w:color w:val="auto"/>
        </w:rPr>
        <w:t>Our products are typically purchased by doctors, clinics, hospitals and other users, which bill various third-party payers, such as governmental programs and private insurance plans, for the health-care services provided to their patients. Changes in government legislation or regulation or in private third-party payers’ policies toward reimbursement for procedures employing our products may prohibit adequate reimbursement. There have been a number of legislative and regulatory proposals to change the healthcare system, reduce the costs of healthcare and change medical reimbursement policies. Doctors, clinics, hospitals and other users of our products may decline to purchase our products to the extent there is uncertainty regarding reimbursement of medical procedures using our products and any healthcare reform measures. Further proposed legislation, regulation and policy changes affecting third-party reimbursement are likely. Among other things, Congress has in the past proposed changes to and the repeal of the Patient Protection and Affordable Care Act and the Health Care and Education Reconciliation Act of 2010, collectively, the “Affordable Care Act”, and the current U.S. presidential administration has announced certain policy changes that could impact the availability of benefits under the Affordable Care Act. For example, tax reform legislation enacted at the end of 2017 eliminated the tax penalty for individuals who did not maintain sufficient health insurance coverage beginning in 2019 (the “individual mandate”). We anticipate continued Congressional interest in modifying provisions of the Affordable Care Act. At this time, it remains unclear whether there will be any changes made to or any repeal of the Affordable Care Act, with respect to certain of its provisions or in its entirety or related administrative policies. Various healthcare reform proposals have also emerged at the state level.</w:t>
      </w:r>
    </w:p>
    <w:p>
      <w:pPr>
        <w:spacing w:after="0" w:line="87" w:lineRule="exact"/>
        <w:rPr>
          <w:sz w:val="20"/>
          <w:szCs w:val="20"/>
          <w:color w:val="auto"/>
        </w:rPr>
      </w:pPr>
    </w:p>
    <w:p>
      <w:pPr>
        <w:ind w:right="39" w:firstLine="440"/>
        <w:spacing w:after="0" w:line="254" w:lineRule="auto"/>
        <w:rPr>
          <w:sz w:val="20"/>
          <w:szCs w:val="20"/>
          <w:color w:val="auto"/>
        </w:rPr>
      </w:pPr>
      <w:r>
        <w:rPr>
          <w:rFonts w:ascii="Times New Roman" w:cs="Times New Roman" w:eastAsia="Times New Roman" w:hAnsi="Times New Roman"/>
          <w:sz w:val="18"/>
          <w:szCs w:val="18"/>
          <w:color w:val="auto"/>
        </w:rPr>
        <w:t xml:space="preserve">We are unable to predict what legislation or regulation, if any, relating to the health care industry or third-party coverage and reimbursement may be enacted in the future at the state or federal level, or what effect such legislation or regulation may have on us. Furthermore, existing legislation and regulation related to the health-care industry and third-party coverage reimbursement, including the Affordable Care Act, has been subject to judicial challenge, and may be subject to similar challenges from time to time in the future (such as the </w:t>
      </w:r>
      <w:r>
        <w:rPr>
          <w:rFonts w:ascii="Times New Roman" w:cs="Times New Roman" w:eastAsia="Times New Roman" w:hAnsi="Times New Roman"/>
          <w:sz w:val="18"/>
          <w:szCs w:val="18"/>
          <w:i w:val="1"/>
          <w:iCs w:val="1"/>
          <w:color w:val="auto"/>
        </w:rPr>
        <w:t>California v. Texas</w:t>
      </w:r>
      <w:r>
        <w:rPr>
          <w:rFonts w:ascii="Times New Roman" w:cs="Times New Roman" w:eastAsia="Times New Roman" w:hAnsi="Times New Roman"/>
          <w:sz w:val="18"/>
          <w:szCs w:val="18"/>
          <w:color w:val="auto"/>
        </w:rPr>
        <w:t xml:space="preserve"> case). In June 2021, the U.S. Supreme Court held that Texas and other challengers had no legal standing to challenge the Affordable Care Act, dismissing the case on procedural grounds without specifically ruling on the constitutionality of the Affordable Care Act. Denial of coverage and reimbursement of our products, or the revocation or changes to coverage and reimbursement policies, could have a material adverse effect on our business, results of operations and financial condition.</w:t>
      </w:r>
    </w:p>
    <w:p>
      <w:pPr>
        <w:spacing w:after="0" w:line="1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59"/>
          </w:cols>
          <w:pgMar w:left="1400" w:top="1201" w:right="1440" w:bottom="1440" w:gutter="0" w:footer="0" w:header="0"/>
        </w:sectPr>
      </w:pPr>
    </w:p>
    <w:bookmarkStart w:id="22" w:name="page23"/>
    <w:bookmarkEnd w:id="22"/>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Third-party payers are increasingly scrutinizing and continue to challenge the coverage of new products and the level of reimbursement for covered products. 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spacing w:after="0" w:line="71" w:lineRule="exact"/>
        <w:rPr>
          <w:sz w:val="20"/>
          <w:szCs w:val="20"/>
          <w:color w:val="auto"/>
        </w:rPr>
      </w:pPr>
    </w:p>
    <w:p>
      <w:pPr>
        <w:ind w:right="5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successfully introduce new products and applications or fail to improve our existing products, our business prospects and operating results may suffer.</w:t>
      </w:r>
    </w:p>
    <w:p>
      <w:pPr>
        <w:spacing w:after="0" w:line="5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Our ability to generate incremental revenue growth will depend, in part, on the successful outcome of research and development activities, which may include clinical trials that lead to the development of new products and new applications using our products. Our research and development process is expensive, prolonged, and entails considerable uncertainty. Due to the complexities and uncertainties associated with ophthalmic research and development, products we are currently developing may not complete the development process or obtain the regulatory approvals required to market such products successfully. Should the current macroeconomic conditions worsen, it could delay and disrupt our research and development processes even further.</w:t>
      </w:r>
    </w:p>
    <w:p>
      <w:pPr>
        <w:spacing w:after="0" w:line="8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Successful commercialization of new products and new applications will require that we effectively transfer production processes from research and development to manufacturing and effectively coordinate with our suppliers. In addition, we must successfully sell and achieve market acceptance of new products and applications and enhanced versions of existing products. The extent of, and rate at which, market acceptance and penetration are achieved by future products is a function of many variables, which include, among other things, price, safety, efficacy, reliability, marketing and sales efforts, the development of new applications for these products, the availability of third-party reimbursement of procedures using our new products, the existence of competing products and general economic conditions affecting purchasing patterns.</w:t>
      </w:r>
    </w:p>
    <w:p>
      <w:pPr>
        <w:spacing w:after="0" w:line="81"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Our ability to market and sell new products is subject to government regulation, including approval or clearance by the FDA and foreign government agencies. Any failure in our ability to successfully develop and introduce new products or enhanced versions of existing products and achieve market acceptance of new products and new applications could have a material adverse effect on our operating results and would cause our net revenues to decline.</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worldwide economic slowdowns and related uncertainties.</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We are subject to macroeconomic fluctuations in the U.S. and worldwide economy including inflationary pressures that may cause the cost of manufacturing our products or servicing our products to increase. Concerns about consumer and investor confidence, trade wars, tariffs, volatile corporate profits and reduced capital spending, geopolitical tensions and conflicts, terrorist and military activity, civil unrest, pandemic-related illness and other factors could reduce customer orders or cause customer order cancellations. For example, political and social turmoil related to international conflicts, such as that occurring in Russia-Ukraine and Israel-Hamas, and terrorist acts may put further pressure on economic conditions in the United States and abroad.</w:t>
      </w:r>
    </w:p>
    <w:p>
      <w:pPr>
        <w:spacing w:after="0" w:line="8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Weak economic conditions and declines in consumer spending and consumption may harm our operating results. Purchases of our products are often discretionary. During uncertain economic times, customers or potential customers may delay, reduce or forgo their purchases of our products and services, which may impact our business in a number of ways, including lower prices for our products and services and reducing or delaying sales. There could be a number of follow-on effects from economic uncertainty on our business, including insolvency of key suppliers resulting in product delays, delays in customer payments of outstanding accounts receivable and/or customer insolvencies, counterparty failures negatively impacting our operations, and increasing expense or inability to obtain future financing. In addition, negative macroeconomic conditions in the United States, including elevated interest rates, have had, and may continue to have, an adverse impact on capital market conditions, which could limit our ability to obtain additional debt or equity financing on acceptable terms or at all.</w:t>
      </w:r>
    </w:p>
    <w:p>
      <w:pPr>
        <w:spacing w:after="0" w:line="8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If economic uncertainty persisted, or if the economy entered a prolonged period of decelerating growth, our results of operations may be harmed.</w:t>
      </w:r>
    </w:p>
    <w:p>
      <w:pPr>
        <w:spacing w:after="0" w:line="50"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developments resulting from recent and potential changes in U.S. trade policies could have a material adverse effect on us.</w:t>
      </w:r>
    </w:p>
    <w:p>
      <w:pPr>
        <w:spacing w:after="0" w:line="51" w:lineRule="exact"/>
        <w:rPr>
          <w:sz w:val="20"/>
          <w:szCs w:val="20"/>
          <w:color w:val="auto"/>
        </w:rPr>
      </w:pPr>
    </w:p>
    <w:p>
      <w:pPr>
        <w:ind w:right="220" w:firstLine="440"/>
        <w:spacing w:after="0" w:line="256" w:lineRule="auto"/>
        <w:rPr>
          <w:sz w:val="20"/>
          <w:szCs w:val="20"/>
          <w:color w:val="auto"/>
        </w:rPr>
      </w:pPr>
      <w:r>
        <w:rPr>
          <w:rFonts w:ascii="Times New Roman" w:cs="Times New Roman" w:eastAsia="Times New Roman" w:hAnsi="Times New Roman"/>
          <w:sz w:val="18"/>
          <w:szCs w:val="18"/>
          <w:color w:val="auto"/>
        </w:rPr>
        <w:t>Certain of our materials may be subject to the effects of various trade agreements, treaties and tariffs. In 2025, the United States imposed tariffs on various goods from various countries, including China, Canada, Mexico and the EU. As a result, Canada, the EU, China and other countries responded with retaliatory tariffs on certain United States exports. In February 2025, President Trump issued executive orders directing the United States to impose new or additional tariffs on certain imports from Canada, Mexico and China. It is uncertain whether such tariffs will remain in effect or if additional tariffs, including retaliatory tariffs, will be imposed.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60"/>
          </w:cols>
          <w:pgMar w:left="1400" w:top="1201" w:right="1439" w:bottom="1440" w:gutter="0" w:footer="0" w:header="0"/>
        </w:sectPr>
      </w:pPr>
    </w:p>
    <w:bookmarkStart w:id="23" w:name="page24"/>
    <w:bookmarkEnd w:id="23"/>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We cannot predict the effect these and potential additional tariffs will have on our business, including in the context of escalating trade tensions. Further tariffs, additional taxes, or trade barriers, both domestically and internationally, may affect our selling and/or manufacturing costs and margins, the competitiveness of our products, or our ability to sell products or purchase necessary equipment and supplies, and consequently affect our business, results of operations, or financial conditions. To the extent that trade tariffs and other restrictions imposed by the United States increase the price of, or limit the amount of, raw materials and finished goods imported into the United States, the costs of our raw materials may be adversely affected and the demand from our customers for products and services may be diminished, which could adversely affect our revenues and profitability.</w:t>
      </w:r>
    </w:p>
    <w:p>
      <w:pPr>
        <w:spacing w:after="0" w:line="84"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In addition, these potential developments and any market perceptions concerning these and related issues and the attendant regulatory uncertainty regarding, for example, the posture of governments with respect to international trade, could have a material adverse effect on global trade and economic growth which, in turn can adversely affect our business. Furthermore, changes in United States trade policy have resulted and could result in additional reactions from United States trading partners and other countries, including adopting responsive trade policies that make it more difficult or costly for us to export our products to those countries. We sell a significant majority of our products into countries outside the United States and we purchase a significant portion of equipment and supplies from suppliers outside the United States. These measures could also result in increased costs for goods imported into the United States or may cause us to adjust our worldwide supply chain. Any of these effects could require us to increase prices to our customers which may reduce demand, or, if we are unable to increase prices, may result in lowering our margin on products sold.</w:t>
      </w:r>
    </w:p>
    <w:p>
      <w:pPr>
        <w:spacing w:after="0" w:line="8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United States economy, which in turn could adversely impact our business, financial condition and results of operations.</w:t>
      </w:r>
    </w:p>
    <w:p>
      <w:pPr>
        <w:spacing w:after="0" w:line="71"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raise capital in the future may be limited, and future sales and issuances of securities could negatively affect our stock price and dilute the ownership interest of our existing investors.</w:t>
      </w:r>
    </w:p>
    <w:p>
      <w:pPr>
        <w:spacing w:after="0" w:line="5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Our business and operations may consume resources faster than we anticipate. We may need in the future to raise additional funds through future equity or debt financings to meet our operational needs and capital requirements for product development, clinical trials and commercialization and may subsequently require additional fundraising. Our Series B preferred stock has a liquidation preference over our common stock, which may make our common stock less valuable. If we raise new funds and in order to attract new investment, we may need to issue preferred stock rather than common stock, with a liquidation preference or other rights that the holders of our common stock do not have. Future sales or issuances of securities by us could decrease the value of our common stock and preferred stock, dilute stockholders’ voting power and reduce future potential earnings per share.</w:t>
      </w:r>
    </w:p>
    <w:p>
      <w:pPr>
        <w:spacing w:after="0" w:line="84"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To raise capital, we may sell common stock and preferred stock, or other convertible or equity-linked securities in one or more transactions at prices and in a manner we determine from time to time. If we sell additional equity securities, our existing stockholders may be materially diluted. Additionally, new investors could gain rights, preferences and privileges senior to those of existing holders of our common stock and preferred stock. We may also issue debt securities, which may impose restrictive covenants on our operations or otherwise adversely affect the holdings or the rights of our stockholders.</w:t>
      </w:r>
    </w:p>
    <w:p>
      <w:pPr>
        <w:spacing w:after="0" w:line="75" w:lineRule="exact"/>
        <w:rPr>
          <w:sz w:val="20"/>
          <w:szCs w:val="20"/>
          <w:color w:val="auto"/>
        </w:rPr>
      </w:pPr>
    </w:p>
    <w:p>
      <w:pPr>
        <w:ind w:right="280" w:firstLine="440"/>
        <w:spacing w:after="0" w:line="255" w:lineRule="auto"/>
        <w:rPr>
          <w:sz w:val="20"/>
          <w:szCs w:val="20"/>
          <w:color w:val="auto"/>
        </w:rPr>
      </w:pPr>
      <w:r>
        <w:rPr>
          <w:rFonts w:ascii="Times New Roman" w:cs="Times New Roman" w:eastAsia="Times New Roman" w:hAnsi="Times New Roman"/>
          <w:sz w:val="18"/>
          <w:szCs w:val="18"/>
          <w:color w:val="auto"/>
        </w:rPr>
        <w:t>We may sell shares or other securities in any offering at a price per share that is less than the price per share paid by existing investors,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existing investors. Additional financing may not be available on favorable terms, if at all. If adequate funds are not available on acceptable terms, we may be unable to invest in future growth opportunities, which could seriously harm our business and operating results.</w:t>
      </w:r>
    </w:p>
    <w:p>
      <w:pPr>
        <w:spacing w:after="0" w:line="77" w:lineRule="exact"/>
        <w:rPr>
          <w:sz w:val="20"/>
          <w:szCs w:val="20"/>
          <w:color w:val="auto"/>
        </w:rPr>
      </w:pPr>
    </w:p>
    <w:p>
      <w:pPr>
        <w:ind w:right="8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maintain cash deposits in excess of federally insured limits. Adverse developments affecting financial institutions, including bank failures, could adversely affect our liquidity and financial performance.</w:t>
      </w:r>
    </w:p>
    <w:p>
      <w:pPr>
        <w:spacing w:after="0" w:line="51"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We maintain cash deposits in financial institutions that may be higher than the $250,000 limit insured by the FDIC or similar agencies. Bank failures, events involving limited liquidity, defaults, non-performance, or other adverse developments that affect financial institutions, or concerns or rumors about such events, may lead to liquidity constraints. For example, on March 10, 2023, SVB failed and was taken into receivership by the FDIC.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or applicable foreign government, or that any bank or financial institution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01" w:right="1419" w:bottom="1440" w:gutter="0" w:footer="0" w:header="0"/>
        </w:sectPr>
      </w:pPr>
    </w:p>
    <w:bookmarkStart w:id="24" w:name="page25"/>
    <w:bookmarkEnd w:id="24"/>
    <w:p>
      <w:pPr>
        <w:ind w:right="799"/>
        <w:spacing w:after="0" w:line="282" w:lineRule="auto"/>
        <w:rPr>
          <w:sz w:val="20"/>
          <w:szCs w:val="20"/>
          <w:color w:val="auto"/>
        </w:rPr>
      </w:pPr>
      <w:r>
        <w:rPr>
          <w:rFonts w:ascii="Times New Roman" w:cs="Times New Roman" w:eastAsia="Times New Roman" w:hAnsi="Times New Roman"/>
          <w:sz w:val="18"/>
          <w:szCs w:val="18"/>
          <w:color w:val="auto"/>
        </w:rPr>
        <w:t>with which we do business will be able to obtain needed liquidity from other banks, government institutions, or by acquisition in the event of a failure or liquidity crisis.</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from quarter to quarter and year to year.</w:t>
      </w:r>
    </w:p>
    <w:p>
      <w:pPr>
        <w:spacing w:after="0" w:line="121" w:lineRule="exact"/>
        <w:rPr>
          <w:sz w:val="20"/>
          <w:szCs w:val="20"/>
          <w:color w:val="auto"/>
        </w:rPr>
      </w:pPr>
    </w:p>
    <w:p>
      <w:pPr>
        <w:ind w:right="159" w:firstLine="440"/>
        <w:spacing w:after="0" w:line="266" w:lineRule="auto"/>
        <w:rPr>
          <w:sz w:val="20"/>
          <w:szCs w:val="20"/>
          <w:color w:val="auto"/>
        </w:rPr>
      </w:pPr>
      <w:r>
        <w:rPr>
          <w:rFonts w:ascii="Times New Roman" w:cs="Times New Roman" w:eastAsia="Times New Roman" w:hAnsi="Times New Roman"/>
          <w:sz w:val="18"/>
          <w:szCs w:val="18"/>
          <w:color w:val="auto"/>
        </w:rPr>
        <w:t>Our sales and operating results may vary significantly from quarter to quarter and from year to year in the future. Our operating results are affected by a number of factors, many of which are beyond our control. Factors contributing to these fluctuations include the following:</w:t>
      </w:r>
    </w:p>
    <w:p>
      <w:pPr>
        <w:spacing w:after="0" w:line="68" w:lineRule="exact"/>
        <w:rPr>
          <w:sz w:val="20"/>
          <w:szCs w:val="20"/>
          <w:color w:val="auto"/>
        </w:rPr>
      </w:pPr>
    </w:p>
    <w:p>
      <w:pPr>
        <w:ind w:left="880" w:right="79" w:hanging="431"/>
        <w:spacing w:after="0" w:line="282"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macroeconomic conditions, including inflationary pressures and changing interest rates, changes in tax law or policy, tariffs, geopolitical tensions and conflicts, and global pandemics and related responsive measures;</w:t>
      </w:r>
    </w:p>
    <w:p>
      <w:pPr>
        <w:spacing w:after="0" w:line="53" w:lineRule="exact"/>
        <w:rPr>
          <w:rFonts w:ascii="Times New Roman" w:cs="Times New Roman" w:eastAsia="Times New Roman" w:hAnsi="Times New Roman"/>
          <w:sz w:val="18"/>
          <w:szCs w:val="18"/>
          <w:color w:val="auto"/>
        </w:rPr>
      </w:pPr>
    </w:p>
    <w:p>
      <w:pPr>
        <w:ind w:left="880" w:right="399" w:hanging="431"/>
        <w:spacing w:after="0" w:line="282"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prices at which we can sell our products, including the impact of changes in foreign currency exchange rates;</w:t>
      </w:r>
    </w:p>
    <w:p>
      <w:pPr>
        <w:spacing w:after="0" w:line="53" w:lineRule="exact"/>
        <w:rPr>
          <w:rFonts w:ascii="Times New Roman" w:cs="Times New Roman" w:eastAsia="Times New Roman" w:hAnsi="Times New Roman"/>
          <w:sz w:val="18"/>
          <w:szCs w:val="18"/>
          <w:color w:val="auto"/>
        </w:rPr>
      </w:pPr>
    </w:p>
    <w:p>
      <w:pPr>
        <w:ind w:left="880" w:right="299" w:hanging="431"/>
        <w:spacing w:after="0" w:line="282"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product enhancements and new applications by our competitors, including new drugs, entry of new competitors into our markets, pricing pressures and other competitive factors;</w:t>
      </w:r>
    </w:p>
    <w:p>
      <w:pPr>
        <w:spacing w:after="0" w:line="53" w:lineRule="exact"/>
        <w:rPr>
          <w:rFonts w:ascii="Times New Roman" w:cs="Times New Roman" w:eastAsia="Times New Roman" w:hAnsi="Times New Roman"/>
          <w:sz w:val="18"/>
          <w:szCs w:val="18"/>
          <w:color w:val="auto"/>
        </w:rPr>
      </w:pPr>
    </w:p>
    <w:p>
      <w:pPr>
        <w:ind w:left="880" w:right="199" w:hanging="431"/>
        <w:spacing w:after="0" w:line="282"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or reductions in product shipments, or product recalls, resulting from manufacturing, distribution or other operational issues;</w:t>
      </w:r>
    </w:p>
    <w:p>
      <w:pPr>
        <w:spacing w:after="0" w:line="53" w:lineRule="exact"/>
        <w:rPr>
          <w:rFonts w:ascii="Times New Roman" w:cs="Times New Roman" w:eastAsia="Times New Roman" w:hAnsi="Times New Roman"/>
          <w:sz w:val="18"/>
          <w:szCs w:val="18"/>
          <w:color w:val="auto"/>
        </w:rPr>
      </w:pPr>
    </w:p>
    <w:p>
      <w:pPr>
        <w:ind w:left="880" w:right="819" w:hanging="431"/>
        <w:spacing w:after="0" w:line="282"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introduction and market acceptance of new products, product enhancements and new applications;</w:t>
      </w:r>
    </w:p>
    <w:p>
      <w:pPr>
        <w:spacing w:after="0" w:line="53"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our existing line of ophthalmology products;</w:t>
      </w:r>
    </w:p>
    <w:p>
      <w:pPr>
        <w:spacing w:after="0" w:line="117" w:lineRule="exact"/>
        <w:rPr>
          <w:rFonts w:ascii="Times New Roman" w:cs="Times New Roman" w:eastAsia="Times New Roman" w:hAnsi="Times New Roman"/>
          <w:sz w:val="18"/>
          <w:szCs w:val="18"/>
          <w:color w:val="auto"/>
        </w:rPr>
      </w:pPr>
    </w:p>
    <w:p>
      <w:pPr>
        <w:ind w:left="880" w:right="239" w:hanging="431"/>
        <w:spacing w:after="0" w:line="282"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availability of components and subassemblies, including the willingness and ability of our sole or limited source suppliers to timely deliver components at the times and prices that we have planned;</w:t>
      </w:r>
    </w:p>
    <w:p>
      <w:pPr>
        <w:spacing w:after="0" w:line="53"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sales volumes at a level sufficient to cover fixed manufacturing and operating costs;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product mix within ophthalmology products and foreign and domestic sales;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regulatory approvals and changes in domestic and foreign regulatory requirements;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 and highly variable sales cycle;</w:t>
      </w:r>
    </w:p>
    <w:p>
      <w:pPr>
        <w:spacing w:after="0" w:line="117" w:lineRule="exact"/>
        <w:rPr>
          <w:rFonts w:ascii="Times New Roman" w:cs="Times New Roman" w:eastAsia="Times New Roman" w:hAnsi="Times New Roman"/>
          <w:sz w:val="18"/>
          <w:szCs w:val="18"/>
          <w:color w:val="auto"/>
        </w:rPr>
      </w:pPr>
    </w:p>
    <w:p>
      <w:pPr>
        <w:ind w:left="880" w:right="59" w:hanging="431"/>
        <w:spacing w:after="0" w:line="282"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or potential customers’ budgets as a result of, among other things, reimbursement policies of government programs and private insurers for treatments that use our products;</w:t>
      </w:r>
    </w:p>
    <w:p>
      <w:pPr>
        <w:spacing w:after="0" w:line="53" w:lineRule="exact"/>
        <w:rPr>
          <w:rFonts w:ascii="Times New Roman" w:cs="Times New Roman" w:eastAsia="Times New Roman" w:hAnsi="Times New Roman"/>
          <w:sz w:val="18"/>
          <w:szCs w:val="18"/>
          <w:color w:val="auto"/>
        </w:rPr>
      </w:pPr>
    </w:p>
    <w:p>
      <w:pPr>
        <w:ind w:left="880" w:right="139" w:hanging="431"/>
        <w:spacing w:after="0" w:line="282"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variances in shipment volumes as a result of product, supply chain due to global constraints or other factors and training issues; and</w:t>
      </w:r>
    </w:p>
    <w:p>
      <w:pPr>
        <w:spacing w:after="0" w:line="53"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 innovation costs.</w:t>
      </w:r>
    </w:p>
    <w:p>
      <w:pPr>
        <w:spacing w:after="0" w:line="117" w:lineRule="exact"/>
        <w:rPr>
          <w:sz w:val="20"/>
          <w:szCs w:val="20"/>
          <w:color w:val="auto"/>
        </w:rPr>
      </w:pPr>
    </w:p>
    <w:p>
      <w:pPr>
        <w:ind w:right="279" w:firstLine="440"/>
        <w:spacing w:after="0" w:line="282" w:lineRule="auto"/>
        <w:rPr>
          <w:sz w:val="20"/>
          <w:szCs w:val="20"/>
          <w:color w:val="auto"/>
        </w:rPr>
      </w:pPr>
      <w:r>
        <w:rPr>
          <w:rFonts w:ascii="Times New Roman" w:cs="Times New Roman" w:eastAsia="Times New Roman" w:hAnsi="Times New Roman"/>
          <w:sz w:val="18"/>
          <w:szCs w:val="18"/>
          <w:color w:val="auto"/>
        </w:rPr>
        <w:t>In addition to these factors, our quarterly results have been, and are expected to continue to be, affected by seasonal factors.</w:t>
      </w:r>
    </w:p>
    <w:p>
      <w:pPr>
        <w:spacing w:after="0" w:line="54" w:lineRule="exact"/>
        <w:rPr>
          <w:sz w:val="20"/>
          <w:szCs w:val="20"/>
          <w:color w:val="auto"/>
        </w:rPr>
      </w:pPr>
    </w:p>
    <w:p>
      <w:pPr>
        <w:ind w:right="59" w:firstLine="440"/>
        <w:spacing w:after="0" w:line="254" w:lineRule="auto"/>
        <w:rPr>
          <w:sz w:val="20"/>
          <w:szCs w:val="20"/>
          <w:color w:val="auto"/>
        </w:rPr>
      </w:pPr>
      <w:r>
        <w:rPr>
          <w:rFonts w:ascii="Times New Roman" w:cs="Times New Roman" w:eastAsia="Times New Roman" w:hAnsi="Times New Roman"/>
          <w:sz w:val="18"/>
          <w:szCs w:val="18"/>
          <w:color w:val="auto"/>
        </w:rPr>
        <w:t>Our expense levels are based, in part, on expected future sales. If sales levels in a particular quarter do not meet expectations, we may be unable to adjust operating expenses quickly enough to compensate for the shortfall of sales, and our results of operations may be adversely affected. In addition, we have historically made a significant portion of each quarter’s product shipments near the end of the quarter. If that pattern continues, any delays in shipment of products could have a material adverse effect on results of operations for such quarters. Due to these and other factors, we believe that quarter to quarter and year to year comparisons of our past operating results may not be meaningful. You should not rely on our results for any quarter or year as an indication of our future performance. Our operating results in future quarters and years may be below expectations, which would likely cause the price of our common stock to fall.</w:t>
      </w:r>
    </w:p>
    <w:p>
      <w:pPr>
        <w:spacing w:after="0" w:line="80" w:lineRule="exact"/>
        <w:rPr>
          <w:sz w:val="20"/>
          <w:szCs w:val="20"/>
          <w:color w:val="auto"/>
        </w:rPr>
      </w:pPr>
    </w:p>
    <w:p>
      <w:pPr>
        <w:ind w:right="159"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continued market acceptance of our existing products and any decline in sales of our existing products would adversely affect our business and results of operations.</w:t>
      </w:r>
    </w:p>
    <w:p>
      <w:pPr>
        <w:spacing w:after="0" w:line="51" w:lineRule="exact"/>
        <w:rPr>
          <w:sz w:val="20"/>
          <w:szCs w:val="20"/>
          <w:color w:val="auto"/>
        </w:rPr>
      </w:pPr>
    </w:p>
    <w:p>
      <w:pPr>
        <w:ind w:right="79" w:firstLine="440"/>
        <w:spacing w:after="0" w:line="266" w:lineRule="auto"/>
        <w:rPr>
          <w:sz w:val="20"/>
          <w:szCs w:val="20"/>
          <w:color w:val="auto"/>
        </w:rPr>
      </w:pPr>
      <w:r>
        <w:rPr>
          <w:rFonts w:ascii="Times New Roman" w:cs="Times New Roman" w:eastAsia="Times New Roman" w:hAnsi="Times New Roman"/>
          <w:sz w:val="18"/>
          <w:szCs w:val="18"/>
          <w:color w:val="auto"/>
        </w:rPr>
        <w:t>We currently market visible and infrared medical laser systems and delivery devices to the ophthalmology market. We believe that continued and increased sales, if any, of these medical laser systems is dependent upon a number of factors including the following:</w:t>
      </w:r>
    </w:p>
    <w:p>
      <w:pPr>
        <w:spacing w:after="0" w:line="68" w:lineRule="exact"/>
        <w:rPr>
          <w:sz w:val="20"/>
          <w:szCs w:val="20"/>
          <w:color w:val="auto"/>
        </w:rPr>
      </w:pPr>
    </w:p>
    <w:p>
      <w:pPr>
        <w:ind w:left="880" w:right="139" w:hanging="431"/>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future resurgence any future global pandemic or other public health emergencies on timing of ophthalmic treatment procedures;</w:t>
      </w:r>
    </w:p>
    <w:p>
      <w:pPr>
        <w:spacing w:after="0" w:line="53" w:lineRule="exact"/>
        <w:rPr>
          <w:rFonts w:ascii="Times New Roman" w:cs="Times New Roman" w:eastAsia="Times New Roman" w:hAnsi="Times New Roman"/>
          <w:sz w:val="18"/>
          <w:szCs w:val="18"/>
          <w:color w:val="auto"/>
        </w:rPr>
      </w:pPr>
    </w:p>
    <w:p>
      <w:pPr>
        <w:ind w:left="880" w:right="59" w:hanging="431"/>
        <w:spacing w:after="0" w:line="282" w:lineRule="auto"/>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product performance, features, ease of use, scalability and durability, including with respect to our MicroPulse laser photocoagulation systems, and our PASCAL product;</w:t>
      </w:r>
    </w:p>
    <w:p>
      <w:pPr>
        <w:spacing w:after="0" w:line="53"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and opinions by ophthalmologists, other clinicians, and their associated opinion leaders;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59"/>
          </w:cols>
          <w:pgMar w:left="1400" w:top="1201" w:right="1440" w:bottom="1440" w:gutter="0" w:footer="0" w:header="0"/>
        </w:sectPr>
      </w:pPr>
    </w:p>
    <w:bookmarkStart w:id="25" w:name="page26"/>
    <w:bookmarkEnd w:id="25"/>
    <w:p>
      <w:pPr>
        <w:ind w:left="880" w:hanging="431"/>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clinical study outcomes;</w:t>
      </w:r>
    </w:p>
    <w:p>
      <w:pPr>
        <w:spacing w:after="0" w:line="117" w:lineRule="exact"/>
        <w:rPr>
          <w:rFonts w:ascii="Times New Roman" w:cs="Times New Roman" w:eastAsia="Times New Roman" w:hAnsi="Times New Roman"/>
          <w:sz w:val="18"/>
          <w:szCs w:val="18"/>
          <w:color w:val="auto"/>
        </w:rPr>
      </w:pPr>
    </w:p>
    <w:p>
      <w:pPr>
        <w:ind w:left="880" w:right="380" w:hanging="431"/>
        <w:spacing w:after="0" w:line="266" w:lineRule="auto"/>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of our products and prices of competing products and technologies, particularly in light of the current macro-economic environment where healthcare systems and healthcare operators are becoming increasingly price sensitive;</w:t>
      </w:r>
    </w:p>
    <w:p>
      <w:pPr>
        <w:spacing w:after="0" w:line="6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competing products, technologies and alternative treatments; and</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reimbursement for treatments administered with our products.</w:t>
      </w:r>
    </w:p>
    <w:p>
      <w:pPr>
        <w:spacing w:after="0" w:line="11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addition, we derive a meaningful portion of our sales in the form of recurring revenues from selling consumable instrumentation, including our probe for the Cyclo G6 Laser and EndoProbe devices. Our ability to increase recurring revenues from the sale of consumable products will depend primarily upon the features of our current products and product innovation, the quality of, ease of use and prices of our products, including the relationship to prices of competing products. The level of our service revenues will depend on the quality of service we provide and the responsiveness and the willingness of our customers to use our products and services rather than purchase competing products or services. Any significant decline in market acceptance of our products or our revenues associated therewith may have a material adverse effect on our business, results of operations and financial condition.</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We face strong competition in our markets and expect the level of competition to grow in the foreseeable future.</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Competition in the market for laser systems and delivery devices used for ophthalmic treatment procedures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w:t>
      </w:r>
    </w:p>
    <w:p>
      <w:pPr>
        <w:spacing w:after="0" w:line="7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Our principal ophthalmic laser competitors are Alcon Inc., Bausch Health Companies Inc., Carl Zeiss Meditec AG, Lumenis Ltd., Nidek Co. Ltd., Lumibird, ARC GmbH, Meridian, OD-OS GmbH and Norlase. We also compete with alternative glaucoma surgical device companies such as Alcon, Inc., Novartis AG, Allergan, Inc., Glaukos Corporation, Sight Sciences and New World Medical, Inc. Pharmaceuticals represent alternative treatments to our laser procedures. Some of our principal pharmaceutical competitors are Alcon, Inc., Allergan, Inc., Astellas Pharma Inc., Pfizer Inc., Regeneron Pharmaceuticals, Inc., and Roche Holding Ltd. (Genentech). Some of our competitors have substantially greater financial, engineering, product development, manufacturing, marketing and technical resources than we do. Some companies also have greater name recognition than us and long-standing customer relationships. In addition, other medical device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spacing w:after="0" w:line="7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key personnel or fail to integrate replacement personnel successfully, our ability to manage our business could be impaired.</w:t>
      </w:r>
    </w:p>
    <w:p>
      <w:pPr>
        <w:spacing w:after="0" w:line="5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Our future success depends upon the continued service of our key management, technical, sales, and other critical personnel. Our officers and other key personnel are employees-at-will, and we cannot provide assurance that we will be able to retain them. Key personnel have left our company in the past, and there likely will be additional departures of key personnel from time to time in the future. Additionally, our common stock is currently trading at a price below the exercise price of many of our outstanding options. As a result, these “underwater” options are less useful as a motivation and retention tool for our existing employees. The loss of any key employee could result in significant disruptions to our operations, including adversely affecting the timeliness of product releases, the successful implementation and completion of company initiatives, and the results of our operations. Competition for these individuals is intense, and we may not be able to attract, assimilate or retain highly qualified personnel. Competition for qualified personnel in our industry and the San Francisco Bay Area, as well as other geographic markets in which we recruit, is highly competitive and characterized by increasing salaries, which may increase our operating expenses or hinder our ability to recruit qualified candidates. In addition, the integration of replacement personnel could be time consuming, may cause additional disruptions to our operations, and may be unsuccessful.</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60"/>
          </w:cols>
          <w:pgMar w:left="1400" w:top="1201" w:right="1439" w:bottom="1440" w:gutter="0" w:footer="0" w:header="0"/>
        </w:sectPr>
      </w:pPr>
    </w:p>
    <w:bookmarkStart w:id="26" w:name="page27"/>
    <w:bookmarkEnd w:id="26"/>
    <w:p>
      <w:pPr>
        <w:ind w:right="5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healthcare laws, we could face substantial penalties and financial exposure, and our business, operations and financial condition could be adversely affected.</w:t>
      </w:r>
    </w:p>
    <w:p>
      <w:pPr>
        <w:spacing w:after="0" w:line="5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While we do not bill directly to Medicare, Medicaid or other third-party payors, because payment is in many cases available for our products from such payors, many healthcare laws place limitations and requirements on the manner in which we conduct our business (including our sales and promotional activities and interactions with healthcare professionals and facilities) and could result in liability and exposure for us. The laws that may affect our ability to operate include (i) 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payors that are false or fraudulent, and which may apply to entities like us if we provide coding and billing advice to customers, or under theories of “implied certification” where the government and qui tam relators may allege that device companies are liable where a product that was paid for by the government in whole or in part was promoted “off-label,” lacked necessary clearance or approval, or failed to comply with good manufacturing practices or other laws; (iii) transparency laws and related reporting and disclosures requirements such as the federal Sunshine Act, now known as Open Payments; and/or (iv) state law equivalents of each of the above federal laws, including, without limitation anti-kickback and false claims laws which may apply to items or services reimbursed by any third-party payor, including commercial insurers, many of which differ from their federal counterparts in significant ways, thus complicating compliance efforts.</w:t>
      </w:r>
    </w:p>
    <w:p>
      <w:pPr>
        <w:spacing w:after="0" w:line="85" w:lineRule="exact"/>
        <w:rPr>
          <w:sz w:val="20"/>
          <w:szCs w:val="20"/>
          <w:color w:val="auto"/>
        </w:rPr>
      </w:pPr>
    </w:p>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operations being found in violation of these laws is increased by the fact that the government’s provisions are open to a variety of evolving interpretations and enforcement discretion. Compliance with Open Payments, commonly known as the Sunshine Act, has presented a number of challenges to companies such as ours, in terms of interpretation of the law and its implementation. Under the Sunshine Act, Centers for Medicare &amp; Medicaid Services (“CMS”) has the potential to impose penalties of up to $1.26 million per year for violations, depending on the circumstances and adjusted annually for inflation, although enforcement has been negligible to date. Payments reported under the Sunshine Act also have the potential to draw scrutiny on payments to and relationships with physicians, which may have implications under the Anti-Kickback Statute and other healthcare laws. The risk that we may be found in violation of these laws may be increased by the fact that we do not have a formal healthcare compliance program in place. Further, while safe harbors may in some instances be available and utilized by companies to reduce risks associated with the Anti-Kickback Statute and certain other healthcare laws, we have not necessarily utilized such safe harbors nor fully followed all elements required to claim the benefit of such safe harbors in all possible instances. Any action against us for violation of these laws, even if we successfully defend against it, could cause us to incur significant legal expenses and divert our management’s attention from the operation of our business.</w:t>
      </w:r>
    </w:p>
    <w:p>
      <w:pPr>
        <w:spacing w:after="0" w:line="80"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collaborative relationships to develop, introduce and market new products, product enhancements and applications.</w:t>
      </w:r>
    </w:p>
    <w:p>
      <w:pPr>
        <w:spacing w:after="0" w:line="5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We depend on both clinical and commercial collaborative relationships. We have entered into collaborative relationships with academic medical centers and physicians in connection with the research and innovation and clinical testing of our products. Commercially, we have licensing agreements with strategic partners. The failure to obtain any additional future clinical or commercial collaborations and the resulting failure or success of such collaboration relationships could have a material adverse effect on our ability to introduce new products or applications and therefore could have a material adverse effect on our business, results of operations and financial condition.</w:t>
      </w:r>
    </w:p>
    <w:p>
      <w:pPr>
        <w:spacing w:after="0" w:line="7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increase our sales volumes, reduce our costs or introduce higher margin products to offset potential reductions in the average unit price of our products, our operating results may suffer.</w:t>
      </w:r>
    </w:p>
    <w:p>
      <w:pPr>
        <w:spacing w:after="0" w:line="5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average unit price of our products may decrease in the future in response to changes in product mix, competitive pricing pressures, new product introductions by our competitors or other factors. If we are unable to offset the anticipated decrease in our average selling prices by increasing our sales volumes or through new product introductions, our net revenues will decline. In addition, to maintain our gross margins we must continue to reduce the manufacturing cost of our products. If we cannot maintain our gross margins our business could be seriously harmed, particularly if the average selling price of our products decreases significantly without a corresponding increase in sales.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197" w:right="1419" w:bottom="1440" w:gutter="0" w:footer="0" w:header="0"/>
        </w:sectPr>
      </w:pPr>
    </w:p>
    <w:bookmarkStart w:id="27" w:name="page28"/>
    <w:bookmarkEnd w:id="27"/>
    <w:p>
      <w:pPr>
        <w:ind w:right="4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promotional practices are subject to extensive government scrutiny. We may be subject to governmental, regulatory and other legal proceedings relative to advertising, promotion and marketing that could have a significant negative effect on our business.</w:t>
      </w:r>
    </w:p>
    <w:p>
      <w:pPr>
        <w:spacing w:after="0" w:line="6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We are subject to governmental oversight and associated civil and criminal enforcement relating to drug and medical device advertising, promotion, and marketing, and such enforcement is evolving and intensifying. In the United States, we are subject to potential enforcement from the FDA, the U.S. Federal Trade Commission, the Department of Justice, the CMS, other divisions of the Department of Health and Human Services and state and local governments. Other parties, including private plaintiffs, also are commonly initiating lawsuits against pharmaceutical and medical device companies, alleging off-label marketing and other violations. We may be subject to liability based on the actions of individual employees and contractors carrying out activities on our behalf, including sales representatives who may interact with healthcare professionals.</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We rely on patents and proprietary rights to protect our intellectual property and business.</w:t>
      </w:r>
    </w:p>
    <w:p>
      <w:pPr>
        <w:spacing w:after="0" w:line="12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We file patent applications to protect technology, inventions and improvements that are significant to the development of our business. As of December 28, 2024, our patent portfolio includes 68 active United States patents and 94 active international patents on the technologies related to our products and processes. In addition, as of December 28, 2024, we have 12 patent applications pending in the United States and 20 international patent applications pending. Our patent applications may not be approved. Any patents granted now or in the future may offer only limited protection against potential infringement and development by our competitors of competing products. Moreover, our competitors, many of which have substantial resources and have made substantial investments in competing technologies, may seek to apply for and obtain patents that will prevent, limit or interfere with our ability to make, use or sell our products either in the United States or in international markets. Patents have a limited lifetime and once a patent expires competition may increase.</w:t>
      </w:r>
    </w:p>
    <w:p>
      <w:pPr>
        <w:spacing w:after="0" w:line="82"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industry standard provisions requiring such individuals to assign to us, without additional consideration, any inventions conceived or reduced to practice by them while employed or retained by us, subject to customary exceptions. Proprietary information agreements with employees, consultants and others may be breached, and we may not have adequate remedies for any breach. Also, our trade secrets may become known to or independently developed by competitors.</w:t>
      </w:r>
    </w:p>
    <w:p>
      <w:pPr>
        <w:spacing w:after="0" w:line="8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laser and medical device industry is characterized by frequent litigation regarding patent and other intellectual property rights. Companies in the medical device industry have employed intellectual property litigation to gain a competitive advantage.</w:t>
      </w:r>
    </w:p>
    <w:p>
      <w:pPr>
        <w:spacing w:after="0" w:line="68"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Numerous patents are held by others, including academic institutions and our competitors. Patent applications filed in the United States generally will be published eighteen months after the filing date. However, since patent applications continue to be maintained in secrecy for at least some period of time, both within the United States and internationally, we cannot provide assurance that our technology does not infringe any patents or patent applications held by third parties. We have, from time to time, been notified of, or have otherwise been made aware of, claims that we may be infringing upon patents or other proprietary intellectual property owned by others. If it appears necessary or desirable, we may seek licenses under such patents or proprietary intellectual property. Although patent holders commonly offer such licenses, licenses under such patents or intellectual property may not be offered or the terms of any offered licenses may not be reasonable.</w:t>
      </w:r>
    </w:p>
    <w:p>
      <w:pPr>
        <w:spacing w:after="0" w:line="84"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Any claims, with or without merit, and regardless of whether we are successful on the merits, would be time-consuming, result in costly litigation and diversion of technical and management personnel, cause shipment delays or require us to develop non-infringing technology or to enter into royalty or licensing agreements. An adverse determination in a judicial or administrative proceeding and failure to obtain necessary licenses or develop alternate technologies could prevent us from manufacturing and selling our products, which would have a material adverse effect on our business, results of operations and financial condition.</w:t>
      </w:r>
    </w:p>
    <w:p>
      <w:pPr>
        <w:spacing w:after="0" w:line="7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accurately forecast demand for our product and component requirements for the manufacture of our product, we could incur additional costs or experience manufacturing delays and may experience lost sales or significant inventory carrying costs.</w:t>
      </w:r>
    </w:p>
    <w:p>
      <w:pPr>
        <w:spacing w:after="0" w:line="6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We use quarterly and annual forecasts based primarily on our anticipated product orders to plan our manufacturing efforts and determine our requirements for components and materials. It is very important that we accurately predict both the demand for our product and the lead times required to obtain or manufacture the necessary components, materials, and fully assembled products. Lead times for components and fully assembled products vary significantly and depend on numerous factors, including the specific supplier, the size of the order, contract terms and current market demand for such products. If</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197" w:right="1419" w:bottom="1440" w:gutter="0" w:footer="0" w:header="0"/>
        </w:sectPr>
      </w:pPr>
    </w:p>
    <w:bookmarkStart w:id="28" w:name="page29"/>
    <w:bookmarkEnd w:id="28"/>
    <w:p>
      <w:pPr>
        <w:ind w:right="140"/>
        <w:spacing w:after="0" w:line="258" w:lineRule="auto"/>
        <w:rPr>
          <w:sz w:val="20"/>
          <w:szCs w:val="20"/>
          <w:color w:val="auto"/>
        </w:rPr>
      </w:pPr>
      <w:r>
        <w:rPr>
          <w:rFonts w:ascii="Times New Roman" w:cs="Times New Roman" w:eastAsia="Times New Roman" w:hAnsi="Times New Roman"/>
          <w:sz w:val="18"/>
          <w:szCs w:val="18"/>
          <w:color w:val="auto"/>
        </w:rPr>
        <w:t>we overestimate the demand for our product, we may have excess inventory, which would increase our costs. If we underestimate demand for our product and consequently, our components, materials and fully assembled product requirements, we may have inadequate inventory, which could interrupt our manufacturing, delay delivery of our product to our customers and result in the loss of customer sales. Any of these occurrences would negatively impact our business and operating results.</w:t>
      </w:r>
    </w:p>
    <w:p>
      <w:pPr>
        <w:spacing w:after="0" w:line="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We depend on sole source or limited source suppliers.</w:t>
      </w:r>
    </w:p>
    <w:p>
      <w:pPr>
        <w:spacing w:after="0" w:line="12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We rely on third parties to manufacture substantially all of the components used in our products, including optics, laser diodes and crystals. We have some long term or volume purchase agreements with our suppliers and currently purchase components and fully-assembled products on a purchase order basis. Some of our suppliers and manufacturers are sole or limited source suppliers. In addition, some of these suppliers are relatively small private companies whose operations may be disrupted or discontinued at any time. There are risks associated with the use of independent manufacturers, including the following:</w:t>
      </w:r>
    </w:p>
    <w:p>
      <w:pPr>
        <w:spacing w:after="0" w:line="79" w:lineRule="exact"/>
        <w:rPr>
          <w:sz w:val="20"/>
          <w:szCs w:val="20"/>
          <w:color w:val="auto"/>
        </w:rPr>
      </w:pPr>
    </w:p>
    <w:p>
      <w:pPr>
        <w:ind w:left="880" w:right="340" w:hanging="431"/>
        <w:spacing w:after="0" w:line="282"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conditions, including any future global pandemic and inflationary pressures on global supply chains and market stability;</w:t>
      </w:r>
    </w:p>
    <w:p>
      <w:pPr>
        <w:spacing w:after="0" w:line="53" w:lineRule="exact"/>
        <w:rPr>
          <w:rFonts w:ascii="Times New Roman" w:cs="Times New Roman" w:eastAsia="Times New Roman" w:hAnsi="Times New Roman"/>
          <w:sz w:val="18"/>
          <w:szCs w:val="18"/>
          <w:color w:val="auto"/>
        </w:rPr>
      </w:pPr>
    </w:p>
    <w:p>
      <w:pPr>
        <w:ind w:left="880" w:right="440" w:hanging="431"/>
        <w:spacing w:after="0" w:line="282"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unavailability of shortages or limitations on the ability to obtain supplies of components and products in the quantities that we require, or that satisfy the environmental requirements to which we are subject;</w:t>
      </w:r>
    </w:p>
    <w:p>
      <w:pPr>
        <w:spacing w:after="0" w:line="53"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delivery or failure of suppliers to deliver critical components and products on the dates we require;</w:t>
      </w:r>
    </w:p>
    <w:p>
      <w:pPr>
        <w:spacing w:after="0" w:line="117" w:lineRule="exact"/>
        <w:rPr>
          <w:rFonts w:ascii="Times New Roman" w:cs="Times New Roman" w:eastAsia="Times New Roman" w:hAnsi="Times New Roman"/>
          <w:sz w:val="18"/>
          <w:szCs w:val="18"/>
          <w:color w:val="auto"/>
        </w:rPr>
      </w:pPr>
    </w:p>
    <w:p>
      <w:pPr>
        <w:ind w:left="880" w:right="140" w:hanging="431"/>
        <w:spacing w:after="0" w:line="282"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suppliers to manufacture and assemble components and products to our specifications, and potentially reduced quality; and</w:t>
      </w:r>
    </w:p>
    <w:p>
      <w:pPr>
        <w:spacing w:after="0" w:line="53" w:lineRule="exact"/>
        <w:rPr>
          <w:rFonts w:ascii="Times New Roman" w:cs="Times New Roman" w:eastAsia="Times New Roman" w:hAnsi="Times New Roman"/>
          <w:sz w:val="18"/>
          <w:szCs w:val="18"/>
          <w:color w:val="auto"/>
        </w:rPr>
      </w:pPr>
    </w:p>
    <w:p>
      <w:pPr>
        <w:ind w:left="880" w:right="40" w:hanging="431"/>
        <w:spacing w:after="0" w:line="282" w:lineRule="auto"/>
        <w:tabs>
          <w:tab w:leader="none" w:pos="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components and products in a timely manner or at acceptable prices due to global supply chain constraints or other factors.</w:t>
      </w:r>
    </w:p>
    <w:p>
      <w:pPr>
        <w:spacing w:after="0" w:line="5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Our business and operating results may suffer from the lack of alternative sources of supply for critical sole and limited source components and fully-assembled products. The process of qualifying suppliers is complex, requires extensive testing with our products, and may be lengthy, particularly as new products are introduced. New suppliers would have to be educated in our production processes. In addition, the use of alternate components may require design alterations to our products and additional product testing under FDA and relevant foreign regulatory agency guidelines, which may delay sales and increase product costs. Any failures by our vendors to adequately supply limited and sole source components or products may impair our ability to offer our existing products, delay the submission of new products for regulatory approval and market introduction, materially harm our business and financial condition and cause our stock price to decline. Establishing our own capabilities to manufacture these components or products would be expensive and could significantly decrease our profit margins. Our business, results of operations and financial condition would be adversely affected if we are unable to continue to obtain components or fully-assembled products in the quantity and quality desired and at the prices we have budgeted.</w:t>
      </w:r>
    </w:p>
    <w:p>
      <w:pPr>
        <w:spacing w:after="0" w:line="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If our facilities were to experience catastrophic loss, our operations would be seriously harmed.</w:t>
      </w:r>
    </w:p>
    <w:p>
      <w:pPr>
        <w:spacing w:after="0" w:line="121" w:lineRule="exact"/>
        <w:rPr>
          <w:sz w:val="20"/>
          <w:szCs w:val="20"/>
          <w:color w:val="auto"/>
        </w:rPr>
      </w:pPr>
    </w:p>
    <w:p>
      <w:pPr>
        <w:jc w:val="both"/>
        <w:ind w:right="120" w:firstLine="440"/>
        <w:spacing w:after="0" w:line="256" w:lineRule="auto"/>
        <w:rPr>
          <w:sz w:val="20"/>
          <w:szCs w:val="20"/>
          <w:color w:val="auto"/>
        </w:rPr>
      </w:pPr>
      <w:r>
        <w:rPr>
          <w:rFonts w:ascii="Times New Roman" w:cs="Times New Roman" w:eastAsia="Times New Roman" w:hAnsi="Times New Roman"/>
          <w:sz w:val="18"/>
          <w:szCs w:val="18"/>
          <w:color w:val="auto"/>
        </w:rPr>
        <w:t>Our facilities could be subject to catastrophic loss such as fire, flood, unpredictable power outages, or earthquake. All of our research and development activities, manufacturing, our corporate headquarters and other critical business operations are located near major earthquake faults in Mountain View, California. California can experience earthquakes, catastrophic wildfires, and intermittent power outages. Any such loss at any of our facilities caused by fires, flooding, power outages, or earthquakes could disrupt our operations, delay production, shipments and revenue and result in large expenses to repair and replace our facilities.</w:t>
      </w:r>
    </w:p>
    <w:p>
      <w:pPr>
        <w:spacing w:after="0" w:line="75" w:lineRule="exact"/>
        <w:rPr>
          <w:sz w:val="20"/>
          <w:szCs w:val="20"/>
          <w:color w:val="auto"/>
        </w:rPr>
      </w:pPr>
    </w:p>
    <w:p>
      <w:pPr>
        <w:ind w:right="300" w:firstLine="44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 significant disruption in our information technology systems or breaches of data security, our business could be adversely affected.</w:t>
      </w:r>
    </w:p>
    <w:p>
      <w:pPr>
        <w:spacing w:after="0" w:line="5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We rely on information technology systems to keep financial records and corporate records, communicate with staff and external parties and operate other critical functions, including sales and manufacturing processes. Our information technology systems and those of our third-party service providers are potentially vulnerable to disruption, breakdown, damage, service interruption, system malfunction, power outage, natural disaster, malicious intrusion, ransomware, denial-of-service attacks, phishing attacks, social engineering, computer viruses, security breaches and other cyber-attacks. For example, companies have experienced an increase in phishing and spoofing attacks from third parties in connection with working remotely, either permanently or temporarily. If we were to experience a prolonged system disruption in our information technology systems, it could negatively impact the coordination of our sales, planning and manufacturing activities, which could adversely affect our business. In addition, to maximize our information technology efficiency, we have physically consolidated our primary corporate data and computer operations. This concentration, however, exposes us to a greater risk of disruption to our internal information technology systems. Although we maintain offsite back-ups of our data, if operations at our facilities were disrupted, it may cause a material disruption in our business if we are not capable of restoring function on an acceptable time frame.</w:t>
      </w:r>
    </w:p>
    <w:p>
      <w:pPr>
        <w:spacing w:after="0" w:line="7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In addition, our information technology systems and those of our third-party service providers are potentially vulnerable to cyber-attacks or other data security breaches-whether by employees or others-which may expose sensitive data to unauthorized persons. Such data security breaches could lead to the loss of trade secrets or other intellectual property, or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01" w:right="1419" w:bottom="933" w:gutter="0" w:footer="0" w:header="0"/>
        </w:sectPr>
      </w:pPr>
    </w:p>
    <w:bookmarkStart w:id="29" w:name="page30"/>
    <w:bookmarkEnd w:id="29"/>
    <w:p>
      <w:pPr>
        <w:spacing w:after="0" w:line="282" w:lineRule="auto"/>
        <w:rPr>
          <w:sz w:val="20"/>
          <w:szCs w:val="20"/>
          <w:color w:val="auto"/>
        </w:rPr>
      </w:pPr>
      <w:r>
        <w:rPr>
          <w:rFonts w:ascii="Times New Roman" w:cs="Times New Roman" w:eastAsia="Times New Roman" w:hAnsi="Times New Roman"/>
          <w:sz w:val="18"/>
          <w:szCs w:val="18"/>
          <w:color w:val="auto"/>
        </w:rPr>
        <w:t>could lead to the public exposure of sensitive and confidential information of our employees, customers, suppliers and others, any of which could have a material adverse effect on our business, financial condition and results of operations.</w:t>
      </w:r>
    </w:p>
    <w:p>
      <w:pPr>
        <w:spacing w:after="0" w:line="54"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While we have implemented a number of protective measures, including firewalls, antivirus and malware detection tools, patches, log monitors, routine back-ups, system audits, routine password modifications and disaster recovery procedures, we have experienced and may in the future experience spoofing attacks. In addition, our measures to secure our information technology systems may not be adequate or implemented properly to prevent or fully address the adverse effect of such events, and in some cases we may be unaware of an incident or its magnitude and effects. If we are unable to, or perceived or reported to have been or be unable to, prevent such security breaches or privacy violations or implement satisfactory remedial measures, our operations could be disrupted, and we may be exposed to claims, demands, and litigation or governmental investigations and other proceedings and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w:t>
      </w:r>
    </w:p>
    <w:p>
      <w:pPr>
        <w:spacing w:after="0" w:line="8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Furthermore, we may not have adequate insurance coverage to protect us from, or adequately mitigate, liabilities or damages resulting from cyber-attacks or security breaches.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will continue to be available on acceptable terms or that our insurers will not deny coverage as to any future claim.</w:t>
      </w:r>
    </w:p>
    <w:p>
      <w:pPr>
        <w:spacing w:after="0" w:line="7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our relationships with health care providers, customers may not buy our products and our revenue and profitability may decline. At the same time, relationships with these individuals and entities are the subject of heightened scrutiny and may present the potential for healthcare compliance risks.</w:t>
      </w:r>
    </w:p>
    <w:p>
      <w:pPr>
        <w:spacing w:after="0" w:line="6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We market our products to numerous health care providers, including physicians, hospitals, ambulatory surgical centers, government affiliated groups and group purchasing organizations. We have developed and strive to maintain close relationships with members of each of these groups who assist in product research and development and advise us on how to satisfy the full range of surgeon and patient needs. We rely on these groups to recommend our products to their patients and to other members of their organizations. The failure of our existing products and any new products we may introduce to retain the support of these various groups could have a material adverse effect on our business, financial condition and results of operations. In addition, our interactions, communications, and financial relationships with these individuals and entities present potential healthcare compliance risks.</w:t>
      </w:r>
    </w:p>
    <w:p>
      <w:pPr>
        <w:spacing w:after="0" w:line="80" w:lineRule="exact"/>
        <w:rPr>
          <w:sz w:val="20"/>
          <w:szCs w:val="20"/>
          <w:color w:val="auto"/>
        </w:rPr>
      </w:pPr>
    </w:p>
    <w:p>
      <w:pPr>
        <w:ind w:right="6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 regulations which may cause us to delay or withdraw the introduction of new products or new applications for our products.</w:t>
      </w:r>
    </w:p>
    <w:p>
      <w:pPr>
        <w:spacing w:after="0" w:line="5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medical devices that we market and manufacture are subject to extensive regulation by the FDA and by foreign and state governments. Under the FD&amp;C Act and the related regulations, the FDA regulates the design, development, clinical testing, manufacture, labeling, sale, distribution and promotion of medical devices. Before a new device can be introduced into the market, the product must be shown to meet regulatory requirements established by the FD&amp;C Act and implemented by the FDA. Unless otherwise exempt, a device manufacturer must obtain marketing “clearance” through the 510(k) premarket notification process, or “approval” through the lengthier pre-market approval application (“PMA”) process or other processes such as the “de novo” process. Not all devices are eligible for the 510(k) clearance process. Depending upon the type, complexity and novelty of the device and the nature of the disease or disorder to be treated, the PMA process can take several years, require extensive clinical testing and result in significant expenditures. Even if regulatory clearance or approval is obtained, later discovery of previously unknown safety issues may result in restrictions on the product, including withdrawal of the product from the market. Other countries also have extensive regulations regarding clinical trials and testing prior to new product introductions. Our failure to obtain government approvals or any delays in receipt of such approvals would have a material adverse effect on our business, results of operations and financial condition.</w:t>
      </w:r>
    </w:p>
    <w:p>
      <w:pPr>
        <w:spacing w:after="0" w:line="7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FDA imposes a broad range of additional requirements on medical device companies. Our products must be produced in compliance with the applicable requirements of QSR, or QMSR when it goes into effect in February 2026, and our manufacturing facilities are subject to establishment registration and device listing requirements from the FDA, and similar requirements from certain state authorities, and ongoing periodic inspections by the FDA, including unannounced inspections for compliance with applicable requirements. We are subject to monitoring, recordkeeping, and reporting obligations for medical device adverse events and malfunctions; notification of our products’ defects or failure to comply with the FDA’s laser regulations; and reporting of recalls, corrections, or removals of our products. The FDA also imposes requirements for the labeling of our products, and places limitations on claims we are permitted to make about our products in promotional labeling. The Federal Trade Commission has jurisdiction over the advertising of all of our products, which are non-restricted devices, and exercises oversight in coordination with the FDA.</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60"/>
          </w:cols>
          <w:pgMar w:left="1400" w:top="1201" w:right="1439" w:bottom="1440" w:gutter="0" w:footer="0" w:header="0"/>
        </w:sectPr>
      </w:pPr>
    </w:p>
    <w:bookmarkStart w:id="30" w:name="page31"/>
    <w:bookmarkEnd w:id="30"/>
    <w:p>
      <w:pPr>
        <w:ind w:firstLine="440"/>
        <w:spacing w:after="0" w:line="256" w:lineRule="auto"/>
        <w:rPr>
          <w:sz w:val="20"/>
          <w:szCs w:val="20"/>
          <w:color w:val="auto"/>
        </w:rPr>
      </w:pPr>
      <w:r>
        <w:rPr>
          <w:rFonts w:ascii="Times New Roman" w:cs="Times New Roman" w:eastAsia="Times New Roman" w:hAnsi="Times New Roman"/>
          <w:sz w:val="18"/>
          <w:szCs w:val="18"/>
          <w:color w:val="auto"/>
        </w:rPr>
        <w:t>Noncompliance with the applicable requirements can result in, among other things, regulatory citations (including “483 Observations”) and warning letters, fines, injunctions, civil penalties, recall or seizure of products, total or partial suspension of production, withdrawal of marketing approvals, and criminal prosecution. The FDA also has the authority to request repair, replacement or refund of the cost of any device we manufacture or distribute. Any of these actions by the FDA would materially and adversely affect our ability to continue operating our business and the results of our operations. Such enforcement action can also result in negative publicity.</w:t>
      </w:r>
    </w:p>
    <w:p>
      <w:pPr>
        <w:spacing w:after="0" w:line="79"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In addition, we are also subject to varying product standards, packaging requirements, labeling requirements, tariff regulations, duties and tax requirements. As a result of our sales in Europe, we are required to have all medical device products “CE” marked, an international symbol, affixed to all our medical device products demonstrating compliance with the European Medical Device Directives and/or Medical Device Regulations (“MDR”) and all applicable standards. While currently all our released medical device products are CE marked, continued certification is based on the successful review of our quality system by our European Registrar during their periodic audits. Any loss of certification would have a material adverse effect on our business, results of operations and financial condition. There are several major regulatory changes occurring in the regulation of medical devices in the European Union (the “EU”). The revision of the quality system regulation (ISO 13485:2016) has been released that substantially increased the requirements for a medical device quality system. The MDR has replaced the medical device directives (93/42/EEC), and it substantially changes the way that medical devices are brought to market in the EU and how they maintain compliance throughout the product’s life cycle. Due to the UK’s exit from EU (“Brexit”), different rules will apply in Great Britain (England, Wales and Scotland), Northern Ireland and the EU after the Brexit transition period, which began January 1, 2021. Similarly, Switzerland has changed its relationship with the EU and in May 2022, will require medical device manufacturers, including us, to contract with a Swiss authorized representative. Additionally, the new revision 4 of the clinical evaluation report guidance document (MEDDEV</w:t>
      </w:r>
    </w:p>
    <w:p>
      <w:pPr>
        <w:spacing w:after="0" w:line="1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2.7.1) and the Medical Device Coordination Group (MDCG) guidance regarding clinical evidence (MDCG 2020-6) severely restricts the use of substantial equivalence for new products, resulting in the need for formal clinical trial data for many products. These and future changes will increase the cost for compliance and for product development, and they lengthen product introduction cycles. Failure to comply with these changes and any future changes can have an adverse effect on our ability to release new products in a timely manner.</w:t>
      </w:r>
    </w:p>
    <w:p>
      <w:pPr>
        <w:spacing w:after="0" w:line="75" w:lineRule="exact"/>
        <w:rPr>
          <w:sz w:val="20"/>
          <w:szCs w:val="20"/>
          <w:color w:val="auto"/>
        </w:rPr>
      </w:pPr>
    </w:p>
    <w:p>
      <w:pPr>
        <w:ind w:right="4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clinical trials necessary that we may undertake for regulatory approval or marketing reasons will be an expensive, lengthy, costly, and uncertain process, and could result in delays in new product introductions or even an inability to release a product.</w:t>
      </w:r>
    </w:p>
    <w:p>
      <w:pPr>
        <w:spacing w:after="0" w:line="67"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We may be required to undertake clinical trials often required to obtain regulatory approvals or may choose to undertake such trials for marketing or other reasons. Clinical trials for products such as ours are complex and expensive and their outcomes are uncertain. Any clinical trials that we may undertake would require the investment of significant financial and administrative resources. Moreover, the results of clinical trials are uncertain, and inconclusive or negative results may not support, or may impair, the sale and adoption of our products. We may suffer significant setbacks in clinical trials, even after earlier clinical trials showed promising results. Any of our products could produce undesirable side effects that could cause us or regulatory authorities to interrupt, delay or halt clinical trials of a product candidate. We, the FDA, or another regulatory authority could suspend or terminate clinical trials at any time if we or they believed the trial participants faced unacceptable health risks.</w:t>
      </w:r>
    </w:p>
    <w:p>
      <w:pPr>
        <w:spacing w:after="0" w:line="76"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FDA’s quality system regulation and laser performance standards, our manufacturing operations could be halted, and our business would suffer.</w:t>
      </w:r>
    </w:p>
    <w:p>
      <w:pPr>
        <w:spacing w:after="0" w:line="5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We are currently required to demonstrate and maintain compliance with the FDA’s QSR, or QMSR when it goes into effect. The QSR is a complex regulatory scheme that covers the methods and documentation of the design, testing, control, manufacturing, labeling, quality assurance, packaging, storage and shipping of our products. Because our products involve the use of lasers, our products also are covered by a performance standard for lasers set forth in FDA regulations. The laser performance standard imposes specific recordkeeping, reporting, product testing and product labeling requirements. These requirements include affixing warning labels to laser products, as well as incorporating certain safety features in the design of laser products. The FDA enforces the QSR and laser performance standards through periodic unannounced inspections. We have been, and anticipate in the future being, subject to such inspections. Our failure to take satisfactory corrective action in response to an adverse QSR inspection or our failure to comply with applicable laser performance standards could result in enforcement actions, including a public warning letter, a shutdown of our manufacturing operations, a recall of our products, civil or criminal penalties, or other sanctions, which would cause our sales and business to suffer.</w:t>
      </w:r>
    </w:p>
    <w:p>
      <w:pPr>
        <w:spacing w:after="0" w:line="84"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Further, FDA will begin to enforce the QMSR requirements upon the effective date, February 2, 2026, which incorporates by reference the quality management system requirements of ISO 13485:2016. If we or any of our suppliers or contractors fail to meet the regulatory requirements or a regulatory inspection, our operations could be disrupted and our manufacturing interrupted. We can provide no assurance that we will continue to remain in material compliance with the QSMR when it goes into effect in February 2026.</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60"/>
          </w:cols>
          <w:pgMar w:left="1400" w:top="1201" w:right="1439" w:bottom="1440" w:gutter="0" w:footer="0" w:header="0"/>
        </w:sectPr>
      </w:pPr>
    </w:p>
    <w:bookmarkStart w:id="31" w:name="page32"/>
    <w:bookmarkEnd w:id="31"/>
    <w:p>
      <w:pPr>
        <w:ind w:right="14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modify one of our FDA cleared devices, we may need to submit a new 510(k), or potentially a PMA, and if clearance or approval is not obtained, it would prevent us from selling our modified products or cause us to redesign our products.</w:t>
      </w:r>
    </w:p>
    <w:p>
      <w:pPr>
        <w:spacing w:after="0" w:line="6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Any modifications to an FDA-cleared device that would significantly affect its safety or effectiveness or that would constitute a major change in its intended use would require a new 510(k) clearance or possibly a PMA. We may not be able to obtain additional 510(k) clearances or premarket approvals for new products or for modifications to, or additional indications for, our existing products in a timely fashion, or at all. Delays in obtaining future clearances would adversely affect our ability to introduce new or enhanced products in a timely manner, which in turn would harm our revenues and future profitability.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 which could harm our operating results and require us to redesign our products.</w:t>
      </w:r>
    </w:p>
    <w:p>
      <w:pPr>
        <w:spacing w:after="0" w:line="76"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Divestitures of our product lines may materially and adversely affect our financial condition, results of operations or cash flows and require us to raise additional capital to replace revenue from those product lines.</w:t>
      </w:r>
    </w:p>
    <w:p>
      <w:pPr>
        <w:spacing w:after="0" w:line="5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We have two main product lines: glaucoma and retina, with domestic and international sales within each. We periodically evaluate the strategic fit and may sell product lines. Divestitures involve risks, including difficulties in the separation of operations, services, products and personnel, the diversion of management’s attention from other business concerns, the disruption of our business, the potential loss of key employees and the retention of uncertain environmental or other contingent liabilities related to the divested business. In addition, divestitures may result in significant asset impairment charges, including those related to goodwill and other intangible assets, and the loss of revenue which could have a material adverse effect on our financial condition and results of operations. In addition, we may not realize the expected value from the divestiture of product lines and may need to raise additional capital to replace the revenue generated from the product line that is divested. We can provide no assurance that such capital will be available or available on terms that are acceptable to us. We cannot assure you that we will be successful in managing these or any other significant risks that we encounter in divesting a product line, and any divestiture we undertake could materially and adversely affect our business, financial condition, results of operations and cash flows, and may also result in a diversion of management attention, operational difficulties and losses.</w:t>
      </w:r>
    </w:p>
    <w:p>
      <w:pPr>
        <w:spacing w:after="0" w:line="75" w:lineRule="exact"/>
        <w:rPr>
          <w:sz w:val="20"/>
          <w:szCs w:val="20"/>
          <w:color w:val="auto"/>
        </w:rPr>
      </w:pPr>
    </w:p>
    <w:p>
      <w:pPr>
        <w:ind w:right="5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Efforts to acquire additional companies or product lines may divert our managerial resources away from our business operations, and if we complete additional acquisitions, we may incur or assume additional liabilities or experience integration problems.</w:t>
      </w:r>
    </w:p>
    <w:p>
      <w:pPr>
        <w:spacing w:after="0" w:line="67"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As part of our growth strategy, we seek to acquire businesses or product lines for various reasons, including adding new products, adding new customers, increasing penetration with existing customers, adding new manufacturing capabilities or expanding into new geographic markets. Our ability to successfully grow through acquisitions depends upon our ability to identify, negotiate, complete and integrate suitable acquisitions and to obtain any necessary financings. These efforts could divert the attention of our management and key personnel from our business operations. If we complete future acquisitions, we may also experience:</w:t>
      </w:r>
    </w:p>
    <w:p>
      <w:pPr>
        <w:spacing w:after="0" w:line="79" w:lineRule="exact"/>
        <w:rPr>
          <w:sz w:val="20"/>
          <w:szCs w:val="20"/>
          <w:color w:val="auto"/>
        </w:rPr>
      </w:pPr>
    </w:p>
    <w:p>
      <w:pPr>
        <w:ind w:left="880" w:hanging="431"/>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any acquired products into our existing business;</w:t>
      </w:r>
    </w:p>
    <w:p>
      <w:pPr>
        <w:spacing w:after="0" w:line="117" w:lineRule="exact"/>
        <w:rPr>
          <w:rFonts w:ascii="Times New Roman" w:cs="Times New Roman" w:eastAsia="Times New Roman" w:hAnsi="Times New Roman"/>
          <w:sz w:val="18"/>
          <w:szCs w:val="18"/>
          <w:color w:val="auto"/>
        </w:rPr>
      </w:pPr>
    </w:p>
    <w:p>
      <w:pPr>
        <w:ind w:left="880" w:right="160" w:hanging="431"/>
        <w:spacing w:after="0" w:line="282" w:lineRule="auto"/>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an acquired company’s technologies, services, employees and other service providers, customers, partners, business operations and administrative and software management systems with ours;</w:t>
      </w:r>
    </w:p>
    <w:p>
      <w:pPr>
        <w:spacing w:after="0" w:line="53"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realizing the benefits of the acquired products;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our management’s time and attention from other business concerns;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customer reaction to the product acquisition; and</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expenses.</w:t>
      </w:r>
    </w:p>
    <w:p>
      <w:pPr>
        <w:spacing w:after="0" w:line="11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Moreover, we cannot assure you that the anticipated benefits of any acquisition or investment would be realized or that we would not be exposed to unknown liabilities. In connection with these types of transactions, we may issue additional equity securities that would dilute the ownership interest of existing investors or earnings per share,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or investments could adversely affect our business, operating results and financial condition.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197" w:right="1419" w:bottom="1440" w:gutter="0" w:footer="0" w:header="0"/>
        </w:sectPr>
      </w:pPr>
    </w:p>
    <w:bookmarkStart w:id="32" w:name="page33"/>
    <w:bookmarkEnd w:id="32"/>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Our products may be misused, which could harm our reputation and our business.</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We market and sell our products for use by highly skilled physicians with specialized training and experience in the treatment of eye-related disorders. We, and our distributors, generally offer but do not require purchasers or operators of our products to attend training sessions, nor do we supervise the procedures performed with our products. The physicians who operate our products are responsible for their use and the treatment regime for each individual patient. In addition, non-physicians, particularly in countries outside of the United States, or poorly trained or inexperienced physicians, may make use of our products. Our efforts to market our MicroPulse systems as a fovea-friendly alternative to traditional continuous wavelength systems or alternative treatment methods may result in users failing to implement adequate safety precautions and thereby increase the risks associated with the misuse of our products. The lack of training and the purchase and use of our products by non-physicians or poorly trained or inexperienced physicians may result in product misuse and adverse treatment outcomes, which could harm our reputation and expose us to costly product liability litigation, or otherwise cause our business to suffer.</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Inability of customers to obtain credit or material increases in interest rates may harm our sales.</w:t>
      </w:r>
    </w:p>
    <w:p>
      <w:pPr>
        <w:spacing w:after="0" w:line="121"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Some of our products are sold to health care providers in general practice. Many of these health care providers purchase our products with funds they secure through various financing arrangements with third-party financial institutions, including credit facilities and short-term loans. If availability of credit becomes more limited, or interest rates increase, these financing arrangements may be harder to obtain or become more expensive for our customers, which may decrease demand for our products. Any reduction in the sales of our products would cause our business to suffer.</w:t>
      </w:r>
    </w:p>
    <w:p>
      <w:pPr>
        <w:spacing w:after="0" w:line="71"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products could be subject to recalls even after receiving FDA approval or clearance. A recall would harm our reputation and adversely affect our operating results.</w:t>
      </w:r>
    </w:p>
    <w:p>
      <w:pPr>
        <w:spacing w:after="0" w:line="5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FDA and similar governmental authorities in other countries in which we market and sell our products have the authority to require the recall of our products in the event of material deficiencies or defects in the design or manufacture of our products, or in other cases we may determine that we will recall a product because we have determined that the product is violative, in order to avoid further enforcement action and protect the public health.</w:t>
      </w:r>
    </w:p>
    <w:p>
      <w:pPr>
        <w:spacing w:after="0" w:line="7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A government mandated recall, or a voluntary recall by us, could occur as a result of actual or potential component failures, adverse event reports, manufacturing errors or design defects, including defects in labeling. Furthermore, we may from time to time initiate a recall of a component or set of components comprising a portion of our laser systems, which could increase customer returns, warranty claims and associated reserve levels. A recall could divert management’s attention, cause us to incur significant expenses, harm our reputation with customers and negatively affect our future sales and financial results.</w:t>
      </w:r>
    </w:p>
    <w:p>
      <w:pPr>
        <w:spacing w:after="0" w:line="7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claims are successfully asserted against us, we may incur substantial liabilities that may adversely affect our business or results of operations.</w:t>
      </w:r>
    </w:p>
    <w:p>
      <w:pPr>
        <w:spacing w:after="0" w:line="5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We may be subject to product liability claims from time to time. Our products are highly complex and the risk of significant patient injury is more likely with products and procedures involving the eye. Use of our products incorrectly can result in temporary or permanent loss in vision, burns, scarring, blind spots or other injuries of the eye and we may periodically become subject to product liability lawsuits as a result. We believe we maintain adequate levels of product liability insurance to cover such claims subject to certain deductibles. However, product liability insurance is expensive and we might not be able to obtain product liability insurance in the future on acceptable terms or in sufficient amounts to protect us, if at all. A successful claim brought against us in excess of our insurance coverage could have a material adverse effect on our business, results of operations and financial condition.</w:t>
      </w:r>
    </w:p>
    <w:p>
      <w:pPr>
        <w:spacing w:after="0" w:line="80"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tax laws could have a material adverse effect on our business, consolidated cash flow, results of operations or financial conditions.</w:t>
      </w:r>
    </w:p>
    <w:p>
      <w:pPr>
        <w:spacing w:after="0" w:line="5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comprehensive tax legislation commonly referred to as the Tax Cuts and Jobs Act (the “Tax Act”) was enacted in the United States on December 22, 2017 and includes, among other items, a reduction in the federal corporate income tax rate from 35% to 21%, certain interest expense deduction limitations and changes in the timing of certain taxable income. We are required to recognize the effect of the tax law changes in the period of enactment, such as re-measuring our U.S. deferred tax assets and liabilities and reassessing the net realizability of our deferred tax assets and liabilities.</w:t>
      </w:r>
    </w:p>
    <w:p>
      <w:pPr>
        <w:spacing w:after="0" w:line="7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On December 22, 2017, the SEC staff issued Staff Accounting Bulletin No. 118 (“SAB 118”) which provides guidance on accounting for the tax effects of the Tax Act. We have completed our analysis and accounting with respect the Tax Act, and identified no additional changes from amounts previously recorded. However, changes in law, interpretations, and facts may result in adjustments to these amounts. Based on our net operating loss carryovers and valuation allowance, there is no impact to its consolidated financial statements as a result of the accounting for the tax effects of the Tax Act.</w:t>
      </w:r>
    </w:p>
    <w:p>
      <w:pPr>
        <w:spacing w:after="0" w:line="75"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Subsequent legislation, guidance, regulations or audits that differ from our prior assumptions and interpretations, or other factors which were not anticipated at the time we estimated our tax provision could have a material adverse effect on our business, cash flow, results of operations or financial condition.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197" w:right="1419" w:bottom="1440" w:gutter="0" w:footer="0" w:header="0"/>
        </w:sectPr>
      </w:pPr>
    </w:p>
    <w:bookmarkStart w:id="33" w:name="page34"/>
    <w:bookmarkEnd w:id="33"/>
    <w:p>
      <w:pPr>
        <w:jc w:val="both"/>
        <w:ind w:righ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federal, state and foreign laws governing our business practices which, if violated, could result in substantial penalties. Additionally, challenges to or investigation into our practices could cause adverse publicity and be costly to respond to and thus could harm our business.</w:t>
      </w:r>
    </w:p>
    <w:p>
      <w:pPr>
        <w:spacing w:after="0" w:line="67" w:lineRule="exact"/>
        <w:rPr>
          <w:sz w:val="20"/>
          <w:szCs w:val="20"/>
          <w:color w:val="auto"/>
        </w:rPr>
      </w:pPr>
    </w:p>
    <w:p>
      <w:pPr>
        <w:ind w:right="100" w:firstLine="440"/>
        <w:spacing w:after="0" w:line="252"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requires us to track and disclose the source of certain metals used in manufacturing which may stem from minerals (so-called “conflict minerals”) which originate in the Democratic Republic of the Congo or adjoining regions. These metals include tantalum, tin, gold and tungsten. These metals are central to the technology industry and are present in some of our products as component parts. In most cases no acceptable alternative material exists which has the necessary properties. It is not possible to determine the source of the metals by analysis but instead a good faith description of the source of the intermediate components and raw materials must be obtained. The components which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and components and assemblies which we buy may have a mix of sources as their origin. We are required to carry out a diligent effort to determine and disclose the source of these materials. There can be no assurance we can obtain this information from intermediate producers not willing or not able to provide this information or further identify their sources of supply or to notify us if these sources change. These metals are subject to price fluctuations and shortages which can affect our ability to obtain the manufactured materials we rely on at favorable terms or from consistent sources. These changes could have an adverse impact on our ability to manufacture and market our devices and products.</w:t>
      </w:r>
    </w:p>
    <w:p>
      <w:pPr>
        <w:spacing w:after="0" w:line="84"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requirements, our business, financial condition, operating results and reputation could be adversely affected.</w:t>
      </w:r>
    </w:p>
    <w:p>
      <w:pPr>
        <w:spacing w:after="0" w:line="5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Our products and operations are subject to various federal, state, local and foreign environmental laws and regulations, including those governing the use, storage, handling, exposure to, and disposal of hazardous materials and a large and growing body of international standards which govern the design, manufacture, materials content and sourcing, testing, certification, packaging, installation, use and disposal of our products. We must continually keep abreast of these standards and requirements and integrate compliance to these with the development and regulatory documentation for our products. Failure to meet these standards could limit the ability to market our products in those regions which require compliance with such standards or subject us to fines and penalties. Examples of such standards include laws governing the hazardous material content of our devices and products, such as the EU Directive 2015/863 which is known as “RoHS 3” and that relates to Restrictions on the Use of Certain Hazardous Substances and the EU Directive 2012/19/EU on Waste Electrical and Electronic Equipment. Similar laws and regulations have been passed or are pending in several other jurisdictions and may be enacted in other regions, including in the United States, and we are, or may in the future be, subject to these laws and regulations.</w:t>
      </w:r>
    </w:p>
    <w:p>
      <w:pPr>
        <w:spacing w:after="0" w:line="8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Our failure to comply with past, present and future similar laws could result in reduced sales of our devices and products, inventory write-offs, reputational damage, penalties and other sanctions, any of which could harm our business and financial condition. We also expect that our devices and products will be affected by new environmental laws and regulations on an ongoing basis. New environmental laws and regulations will likely result in additional costs and may increase penalties associated with violations or require us to change the content of our devices and products or how they are manufactured, which could have a material adverse effect on our business, operating results and financial condition.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Common Stock</w:t>
      </w:r>
    </w:p>
    <w:p>
      <w:pPr>
        <w:spacing w:after="0" w:line="117"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 and an investment in our common stock could suffer a decline in value.</w:t>
      </w:r>
    </w:p>
    <w:p>
      <w:pPr>
        <w:spacing w:after="0" w:line="5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trading price of our common stock has been subject to wide fluctuations in response to a variety of factors, some of which are beyond our control, including changes in foreign currency exchange rates, quarterly variations in our operating results, announcements by us or our competitors of new products or of significant clinical achievements, changes in our capital structure, including future issuances of securities or the incurrence of debt and the exercise or conversion of our outstanding convertible promissory notes and shares of Series B Preferred Stock, changes in market valuations of other similar companies in our industry and general market conditions, including market volatility due to investor concerns regarding inflation and geopolitical conflicts and tensions, such as the Russia-Ukraine and Israel-Hamas conflicts. During the fourth quarter of fiscal year 2024, the closing trading price of our common stock fluctuated from a low of $1.36 per share to a high of $1.90 per share. During the fiscal year 2024, the closing trading price of our common stock fluctuated from a low of $1.36 per share to a high of $3.53 per share. There can be no assurance that our common stock trading price will not suffer declines. Our common stock may experience an imbalance between supply and demand resulting from low trading volumes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197" w:right="1419" w:bottom="1440" w:gutter="0" w:footer="0" w:header="0"/>
        </w:sectPr>
      </w:pPr>
    </w:p>
    <w:bookmarkStart w:id="34" w:name="page35"/>
    <w:bookmarkEnd w:id="34"/>
    <w:p>
      <w:pPr>
        <w:ind w:right="140"/>
        <w:spacing w:after="0" w:line="282" w:lineRule="auto"/>
        <w:rPr>
          <w:sz w:val="20"/>
          <w:szCs w:val="20"/>
          <w:color w:val="auto"/>
        </w:rPr>
      </w:pPr>
      <w:r>
        <w:rPr>
          <w:rFonts w:ascii="Times New Roman" w:cs="Times New Roman" w:eastAsia="Times New Roman" w:hAnsi="Times New Roman"/>
          <w:sz w:val="18"/>
          <w:szCs w:val="18"/>
          <w:color w:val="auto"/>
        </w:rPr>
        <w:t>and therefore broad market fluctuations could have a significant impact on the market price of our common stock regardless of our performance.</w:t>
      </w:r>
    </w:p>
    <w:p>
      <w:pPr>
        <w:spacing w:after="0" w:line="50"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212529"/>
        </w:rPr>
        <w:t>Our amended and restated certificate of incorporation grants our Board of Directors the power to issue additional shares of common and preferred stock and to designate series of preferred stock, all without stockholder approval.</w:t>
      </w:r>
    </w:p>
    <w:p>
      <w:pPr>
        <w:spacing w:after="0" w:line="51" w:lineRule="exact"/>
        <w:rPr>
          <w:sz w:val="20"/>
          <w:szCs w:val="20"/>
          <w:color w:val="auto"/>
        </w:rPr>
      </w:pPr>
    </w:p>
    <w:p>
      <w:pPr>
        <w:ind w:right="480" w:firstLine="440"/>
        <w:spacing w:after="0" w:line="266" w:lineRule="auto"/>
        <w:rPr>
          <w:sz w:val="20"/>
          <w:szCs w:val="20"/>
          <w:color w:val="auto"/>
        </w:rPr>
      </w:pPr>
      <w:r>
        <w:rPr>
          <w:rFonts w:ascii="Times New Roman" w:cs="Times New Roman" w:eastAsia="Times New Roman" w:hAnsi="Times New Roman"/>
          <w:sz w:val="18"/>
          <w:szCs w:val="18"/>
          <w:color w:val="212529"/>
        </w:rPr>
        <w:t>Our board of directors, without any action by our stockholders, has and may again designate and issue shares of preferred stock in such series as it deems appropriate and establish the rights, preferences and privileges of such shares, including dividends, liquidation and voting rights, provided it is consistent with Delaware law.</w:t>
      </w:r>
    </w:p>
    <w:p>
      <w:pPr>
        <w:spacing w:after="0" w:line="68"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212529"/>
        </w:rPr>
        <w:t>The rights of holders of our preferred stock that have and may be issued could be superior to the rights of holders of common stock. The designation and issuance of shares of capital stock having preferential rights could adversely affect other rights appurtenant to shares of the common stock. Further, any issuances of additional stock (common or preferred) will dilute the percentage of ownership interest of then current holders of our capital stock and may dilute the book value per share.</w:t>
      </w:r>
    </w:p>
    <w:p>
      <w:pPr>
        <w:spacing w:after="0" w:line="7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212529"/>
        </w:rPr>
        <w:t xml:space="preserve">Specifically, pursuant to the Novel Securities Purchase Agreement, we issued an aggregate of 1,000,000 shares of Series B Preferred Stock. With respect to any matter submitted to the vote of the holders of common stock, the holders of the Series B Preferred Stock are entitled to vote the whole number of votes equal to the number of shares of common stock into which such holder’s Series B Preferred Stock would be convertible on the record date for the vote or consent of stockholders at a conversion price of $10 per share of common stock rounded to the nearest whole share together, subject to certain limitations. The Series B Preferred Stock also ranks senior to the Common Stock and any other </w:t>
      </w:r>
      <w:r>
        <w:rPr>
          <w:rFonts w:ascii="Times New Roman" w:cs="Times New Roman" w:eastAsia="Times New Roman" w:hAnsi="Times New Roman"/>
          <w:sz w:val="18"/>
          <w:szCs w:val="18"/>
          <w:i w:val="1"/>
          <w:iCs w:val="1"/>
          <w:color w:val="212529"/>
        </w:rPr>
        <w:t>pari passu</w:t>
      </w:r>
      <w:r>
        <w:rPr>
          <w:rFonts w:ascii="Times New Roman" w:cs="Times New Roman" w:eastAsia="Times New Roman" w:hAnsi="Times New Roman"/>
          <w:sz w:val="18"/>
          <w:szCs w:val="18"/>
          <w:color w:val="212529"/>
        </w:rPr>
        <w:t xml:space="preserve"> capital stock of the Company with respect to dividends, distributions and payments upon a liquidation event.</w:t>
      </w:r>
    </w:p>
    <w:p>
      <w:pPr>
        <w:spacing w:after="0" w:line="77"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intend to pay dividends, stockholders will benefit from an investment in our common stock only if it appreciates in value.</w:t>
      </w:r>
    </w:p>
    <w:p>
      <w:pPr>
        <w:spacing w:after="0" w:line="5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We expect to retain any earnings for use to further develop our business, and do not expect to declare cash dividends on our common stock in the foreseeable future. The declaration and payment of any such dividends in the future depends upon our earnings, financial condition, capital needs and other factors deemed relevant by the board of directors, and may be restricted by future agreements with lenders. As a result, the success of an investment in our common stock will depend entirely upon any future appreciation. There is no guarantee that our common stock will appreciate in value or even maintain the price at which stockholders have purchased their shares.</w:t>
      </w:r>
    </w:p>
    <w:p>
      <w:pPr>
        <w:spacing w:after="0" w:line="7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continue to publish research or publish incorrect or unfavorable research about our business, our stock price and trading volume could decline.</w:t>
      </w:r>
    </w:p>
    <w:p>
      <w:pPr>
        <w:spacing w:after="0" w:line="5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our market and our competitors. If no or few securities or industry analysts cover our company, the trading price for our stock could be negatively impacted. If one or more of the analysts who covers us downgrades our stock or publishes incorrect or unfavorable research about our business, our stock price could decline. If one or more of these analysts ceases coverage of our company or fails to publish reports on us regularly, demand for our stock could decrease, which could cause our stock price or trading volume to decline.</w:t>
      </w:r>
    </w:p>
    <w:p>
      <w:pPr>
        <w:spacing w:after="0" w:line="7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Ownership of our common stock is concentrated among a few investors, which may affect the ability of a third party to acquire control of us. Substantial sales by such investors could cause our stock price to decline.</w:t>
      </w:r>
    </w:p>
    <w:p>
      <w:pPr>
        <w:spacing w:after="0" w:line="51"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Our directors, executive officers, current five percent or greater stockholders and affiliated entities together beneficially own a significant portion of our common stock outstanding. Having such a concentration of ownership may have the effect of making it more difficult for a third party to acquire, or of discouraging a third party from seeking to acquire, a majority of our outstanding common stock or control of our board of directors through a proxy solicitation.</w:t>
      </w:r>
    </w:p>
    <w:p>
      <w:pPr>
        <w:spacing w:after="0" w:line="68"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spacing w:after="0" w:line="72"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We may experience difficulty in meeting these reporting requirements in a timely manner, particularly if material weaknesses or significant deficiencies were to persist. Our independent registered public accounting firm will not be required to formally attest to the effectiveness of our internal control over financial reporting pursuant to Section 404 while we are a “smaller reporting company” as defined in the Exchange Act. If we are unable to comply with the requirements of Section 404 in a timely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01" w:right="1419" w:bottom="1440" w:gutter="0" w:footer="0" w:header="0"/>
        </w:sectPr>
      </w:pPr>
    </w:p>
    <w:bookmarkStart w:id="35" w:name="page36"/>
    <w:bookmarkEnd w:id="35"/>
    <w:p>
      <w:pPr>
        <w:ind w:right="180"/>
        <w:spacing w:after="0" w:line="282" w:lineRule="auto"/>
        <w:rPr>
          <w:sz w:val="20"/>
          <w:szCs w:val="20"/>
          <w:color w:val="auto"/>
        </w:rPr>
      </w:pPr>
      <w:r>
        <w:rPr>
          <w:rFonts w:ascii="Times New Roman" w:cs="Times New Roman" w:eastAsia="Times New Roman" w:hAnsi="Times New Roman"/>
          <w:sz w:val="18"/>
          <w:szCs w:val="18"/>
          <w:color w:val="auto"/>
        </w:rPr>
        <w:t>manner, the market price of our stock could decline and we could be subject to sanctions or investigations by the Nasdaq Stock Market, the SEC or other regulatory authorities, which could require additional financial and management resources.</w:t>
      </w:r>
    </w:p>
    <w:p>
      <w:pPr>
        <w:spacing w:after="0" w:line="54"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Any failure to develop or maintain effective controls, or any difficulties encountered in their implementation or improvement, could harm our operating results or cause us to fail to meet our reporting obligations. Any failure to implement and maintain effective internal controls also could adversely affect the results of periodic management evaluations regarding the effectiveness of our internal control over financial reporting. Ineffective disclosure controls and procedures or internal control over financial reporting could also cause investors to lose confidence in our reported financial and other information, which could likely have a negative effect on the trading price of our common stock.</w:t>
      </w:r>
    </w:p>
    <w:p>
      <w:pPr>
        <w:spacing w:after="0" w:line="79"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that our internal controls are perceived as inadequate or that we are unable to produce timely or accurate financial statements, investors may lose confidence in our company and our stock price could decline.</w:t>
      </w:r>
    </w:p>
    <w:p>
      <w:pPr>
        <w:spacing w:after="0" w:line="80"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charter documents, anti-takeover provisions of Delaware law, and contractual provisions could delay or prevent an acquisition or sale of our company.</w:t>
      </w:r>
    </w:p>
    <w:p>
      <w:pPr>
        <w:spacing w:after="0" w:line="5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empowers the board of directors to establish and issue a class of preferred stock, and to determine the rights, preferences and privileges of the preferred stock. These provisions give the board of directors the ability to deter, discourage or make more difficult a change in control of our company, even if such a change in control could be deemed in the interest of our stockholders or if such a change in control would provide our stockholders with a substantial premium for their shares over the then-prevailing market price for the common stock. Our amended and restated certificate of incorporation and bylaws contain other provisions that could have an anti-takeover effect, including the following:</w:t>
      </w:r>
    </w:p>
    <w:p>
      <w:pPr>
        <w:spacing w:after="0" w:line="81" w:lineRule="exact"/>
        <w:rPr>
          <w:sz w:val="20"/>
          <w:szCs w:val="20"/>
          <w:color w:val="auto"/>
        </w:rPr>
      </w:pPr>
    </w:p>
    <w:p>
      <w:pPr>
        <w:ind w:left="880" w:hanging="431"/>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number of directors may be changed only by resolution of our board of directors;</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our board of directors is authorized to fill vacant directorships, including newly created seats;</w:t>
      </w:r>
    </w:p>
    <w:p>
      <w:pPr>
        <w:spacing w:after="0" w:line="117" w:lineRule="exact"/>
        <w:rPr>
          <w:rFonts w:ascii="Times New Roman" w:cs="Times New Roman" w:eastAsia="Times New Roman" w:hAnsi="Times New Roman"/>
          <w:sz w:val="18"/>
          <w:szCs w:val="18"/>
          <w:color w:val="auto"/>
        </w:rPr>
      </w:pPr>
    </w:p>
    <w:p>
      <w:pPr>
        <w:ind w:left="880" w:right="320" w:hanging="431"/>
        <w:spacing w:after="0" w:line="282" w:lineRule="auto"/>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our stockholders may be called only by our board of directors, the chairman of the board, chief executive officer or president, thus prohibiting a stockholder from calling a special meeting;</w:t>
      </w:r>
    </w:p>
    <w:p>
      <w:pPr>
        <w:spacing w:after="0" w:line="53"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give advance notice to nominate directors or propose other business; and</w:t>
      </w:r>
    </w:p>
    <w:p>
      <w:pPr>
        <w:spacing w:after="0" w:line="117" w:lineRule="exact"/>
        <w:rPr>
          <w:rFonts w:ascii="Times New Roman" w:cs="Times New Roman" w:eastAsia="Times New Roman" w:hAnsi="Times New Roman"/>
          <w:sz w:val="18"/>
          <w:szCs w:val="18"/>
          <w:color w:val="auto"/>
        </w:rPr>
      </w:pPr>
    </w:p>
    <w:p>
      <w:pPr>
        <w:ind w:left="880" w:hanging="431"/>
        <w:spacing w:after="0"/>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are not permitted to cumulate votes in the election of directors.</w:t>
      </w:r>
    </w:p>
    <w:p>
      <w:pPr>
        <w:spacing w:after="0" w:line="11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In addition, we are generally subject to the anti-takeover provisions of Section 203 of the Delaware General Corporation Law, which regulates corporate acquisitions. These provisions could discourage potential acquisition proposals and could delay or prevent a change in control transaction. They could also have the effect of discouraging others from making tender offers for our common stock or prevent changes in our management.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21" w:lineRule="exact"/>
        <w:rPr>
          <w:sz w:val="20"/>
          <w:szCs w:val="20"/>
          <w:color w:val="auto"/>
        </w:rPr>
      </w:pPr>
    </w:p>
    <w:p>
      <w:pPr>
        <w:ind w:right="180" w:firstLine="441"/>
        <w:spacing w:after="0" w:line="256" w:lineRule="auto"/>
        <w:rPr>
          <w:sz w:val="20"/>
          <w:szCs w:val="20"/>
          <w:color w:val="auto"/>
        </w:rPr>
      </w:pPr>
      <w:r>
        <w:rPr>
          <w:rFonts w:ascii="Times New Roman" w:cs="Times New Roman" w:eastAsia="Times New Roman" w:hAnsi="Times New Roman"/>
          <w:sz w:val="18"/>
          <w:szCs w:val="18"/>
          <w:color w:val="auto"/>
        </w:rPr>
        <w:t>We have established policies and processes for assessing, identifying, and managing material risk from cybersecurity threats, and have integrated these processes into our overall risk management systems and processes. We routinely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 Process documentation is maintained by third party software provider through our document control department.</w:t>
      </w:r>
    </w:p>
    <w:p>
      <w:pPr>
        <w:spacing w:after="0" w:line="79"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We conduct periodic risk assessments to identify cybersecurity threats and cybersecurity incidents, as well as assessments in the event of a material change in our business practices that may affect information systems that are vulnerable to such cybersecurity threats. These risk assessments include identification of reasonably foreseeable internal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60"/>
          </w:cols>
          <w:pgMar w:left="1400" w:top="1201" w:right="1439" w:bottom="1440" w:gutter="0" w:footer="0" w:header="0"/>
        </w:sectPr>
      </w:pPr>
    </w:p>
    <w:bookmarkStart w:id="36" w:name="page37"/>
    <w:bookmarkEnd w:id="36"/>
    <w:p>
      <w:pPr>
        <w:ind w:right="160"/>
        <w:spacing w:after="0" w:line="282" w:lineRule="auto"/>
        <w:rPr>
          <w:sz w:val="20"/>
          <w:szCs w:val="20"/>
          <w:color w:val="auto"/>
        </w:rPr>
      </w:pPr>
      <w:r>
        <w:rPr>
          <w:rFonts w:ascii="Times New Roman" w:cs="Times New Roman" w:eastAsia="Times New Roman" w:hAnsi="Times New Roman"/>
          <w:sz w:val="18"/>
          <w:szCs w:val="18"/>
          <w:color w:val="auto"/>
        </w:rPr>
        <w:t>external risks, the likelihood and potential damage that could result from such risks, and the sufficiency of existing policies, procedures, systems, and safeguards in place to manage such risks.</w:t>
      </w:r>
    </w:p>
    <w:p>
      <w:pPr>
        <w:spacing w:after="0" w:line="54" w:lineRule="exact"/>
        <w:rPr>
          <w:sz w:val="20"/>
          <w:szCs w:val="20"/>
          <w:color w:val="auto"/>
        </w:rPr>
      </w:pPr>
    </w:p>
    <w:p>
      <w:pPr>
        <w:ind w:right="80" w:firstLine="441"/>
        <w:spacing w:after="0" w:line="261" w:lineRule="auto"/>
        <w:rPr>
          <w:sz w:val="20"/>
          <w:szCs w:val="20"/>
          <w:color w:val="auto"/>
        </w:rPr>
      </w:pPr>
      <w:r>
        <w:rPr>
          <w:rFonts w:ascii="Times New Roman" w:cs="Times New Roman" w:eastAsia="Times New Roman" w:hAnsi="Times New Roman"/>
          <w:sz w:val="18"/>
          <w:szCs w:val="18"/>
          <w:color w:val="auto"/>
        </w:rPr>
        <w:t>Following these risk assessments, we re-design, implement, and maintain reasonable safeguards to minimize identified risks; we reasonably address any identified gaps in existing safeguards; and we regularly monitor the effectiveness of our safeguards. We devote our resources and designate high-level personnel, including our internal Senior IT manager who reports to our Chief Executive Officer, to manage the risk assessment and mitigation process.</w:t>
      </w:r>
    </w:p>
    <w:p>
      <w:pPr>
        <w:spacing w:after="0" w:line="72"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As part of our overall risk management system and in collaboration with human resources, IT, and management, we monitor, test, and train our employees on our safeguards. We inform and train personnel across all levels of our cybersecurity policies.</w:t>
      </w:r>
    </w:p>
    <w:p>
      <w:pPr>
        <w:spacing w:after="0" w:line="68" w:lineRule="exact"/>
        <w:rPr>
          <w:sz w:val="20"/>
          <w:szCs w:val="20"/>
          <w:color w:val="auto"/>
        </w:rPr>
      </w:pPr>
    </w:p>
    <w:p>
      <w:pPr>
        <w:ind w:right="220" w:firstLine="441"/>
        <w:spacing w:after="0" w:line="258" w:lineRule="auto"/>
        <w:rPr>
          <w:sz w:val="20"/>
          <w:szCs w:val="20"/>
          <w:color w:val="auto"/>
        </w:rPr>
      </w:pPr>
      <w:r>
        <w:rPr>
          <w:rFonts w:ascii="Times New Roman" w:cs="Times New Roman" w:eastAsia="Times New Roman" w:hAnsi="Times New Roman"/>
          <w:sz w:val="18"/>
          <w:szCs w:val="18"/>
          <w:color w:val="auto"/>
        </w:rPr>
        <w:t>We engage third parties in connection with our risk assessment processes. These service providers assist us to design and implement our cybersecurity policies and procedures, as well as to monitor and test our safeguards. We require each third-party service provider to certify that it has the ability to implement and maintain appropriate security measures, consistent with all applicable laws, to implement and maintain reasonable security measures in connection with their work with us, and to promptly report any suspected breach of its security measures that may affect our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21" w:lineRule="exact"/>
        <w:rPr>
          <w:sz w:val="20"/>
          <w:szCs w:val="20"/>
          <w:color w:val="auto"/>
        </w:rPr>
      </w:pPr>
    </w:p>
    <w:p>
      <w:pPr>
        <w:ind w:firstLine="441"/>
        <w:spacing w:after="0" w:line="258" w:lineRule="auto"/>
        <w:rPr>
          <w:sz w:val="20"/>
          <w:szCs w:val="20"/>
          <w:color w:val="auto"/>
        </w:rPr>
      </w:pPr>
      <w:r>
        <w:rPr>
          <w:rFonts w:ascii="Times New Roman" w:cs="Times New Roman" w:eastAsia="Times New Roman" w:hAnsi="Times New Roman"/>
          <w:sz w:val="18"/>
          <w:szCs w:val="18"/>
          <w:color w:val="auto"/>
        </w:rPr>
        <w:t>The audit committee of our board of directors (the “Audit Committee”) has oversight responsibility for risks and incidents relating to cybersecurity threats, including compliance with disclosure requirements, cooperation with law enforcement, and related effects on financial and other risks, and it reports any findings and recommendations, as appropriate, to the full Board for consideration. Senior management regularly discusses cyber risks and trends and, should they arise, any material incidents with the Audit Committee.</w:t>
      </w:r>
    </w:p>
    <w:p>
      <w:pPr>
        <w:spacing w:after="0" w:line="75" w:lineRule="exact"/>
        <w:rPr>
          <w:sz w:val="20"/>
          <w:szCs w:val="20"/>
          <w:color w:val="auto"/>
        </w:rPr>
      </w:pPr>
    </w:p>
    <w:p>
      <w:pPr>
        <w:ind w:right="140" w:firstLine="441"/>
        <w:spacing w:after="0" w:line="262" w:lineRule="auto"/>
        <w:rPr>
          <w:sz w:val="20"/>
          <w:szCs w:val="20"/>
          <w:color w:val="auto"/>
        </w:rPr>
      </w:pPr>
      <w:r>
        <w:rPr>
          <w:rFonts w:ascii="Times New Roman" w:cs="Times New Roman" w:eastAsia="Times New Roman" w:hAnsi="Times New Roman"/>
          <w:sz w:val="18"/>
          <w:szCs w:val="18"/>
          <w:color w:val="auto"/>
        </w:rPr>
        <w:t>Our business strategy, results of operations and financial condition have not been materially affected by risks from cybersecurity threats, including as a result of previously identified cybersecurity incidents, but we cannot provide assurance that they will not be materially affected in the future by such risks or any future material incidents. For more information on our cybersecurity related risks, see Item 1A Risk Factors of this Annual Report on Form 10-K</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We leased a 37,166 square feet facility in Mountain View, California pursuant to a Triple Net Lease dated April 26, 2017 that expired in February 2022. On April 30, 2021, the First Amendment to the Triple Net Lease (“First Amendment”) was executed, among other things, that reduced the portion of the premises leased by the Company to approximately 29,830 square feet and extended the lease term through August 31, 2024. On August 29, 2022 the Second Amendment to the Triple Net Lease (“Second Amendment”) was executed. On September 23, 2023, the Third Amendment to the Triple Net Lease (“Third Amendment”) was executed that extended the lease term through August 31, 2026.</w:t>
      </w:r>
    </w:p>
    <w:p>
      <w:pPr>
        <w:spacing w:after="0" w:line="7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This facility is being substantially utilized for all of our manufacturing, research and development efforts and also serves as our corporate headquarters. Management believes that these facilities are adequate for our current needs and that suitable additional space or an alternative space would be available as needed in the future on commercially reasonable terms.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260" w:firstLine="440"/>
        <w:spacing w:after="0" w:line="256"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consolidated operating results, financial condition or cash flows. Regardless of the outcome, litigation can have an adverse impact on us because of defense and settlement costs, diversion of management resources and other factors. We are not currently party to any material legal proceedings.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01" w:right="1419" w:bottom="1440" w:gutter="0" w:footer="0" w:header="0"/>
        </w:sectPr>
      </w:pPr>
    </w:p>
    <w:bookmarkStart w:id="37" w:name="page38"/>
    <w:bookmarkEnd w:id="3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3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and Related Stockholder Matters, and Issuer Purchases of Equity Securities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Equity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common stock is currently quoted on the Nasdaq Capital Market under the symbol “IRIX”.</w:t>
      </w:r>
    </w:p>
    <w:p>
      <w:pPr>
        <w:spacing w:after="0" w:line="131" w:lineRule="exact"/>
        <w:rPr>
          <w:sz w:val="20"/>
          <w:szCs w:val="20"/>
          <w:color w:val="auto"/>
        </w:rPr>
      </w:pPr>
    </w:p>
    <w:p>
      <w:pPr>
        <w:ind w:right="19" w:firstLine="440"/>
        <w:spacing w:after="0" w:line="266" w:lineRule="auto"/>
        <w:rPr>
          <w:sz w:val="20"/>
          <w:szCs w:val="20"/>
          <w:color w:val="auto"/>
        </w:rPr>
      </w:pPr>
      <w:r>
        <w:rPr>
          <w:rFonts w:ascii="Times New Roman" w:cs="Times New Roman" w:eastAsia="Times New Roman" w:hAnsi="Times New Roman"/>
          <w:sz w:val="18"/>
          <w:szCs w:val="18"/>
          <w:color w:val="auto"/>
        </w:rPr>
        <w:t>As of February 28, 2025, there were approximately 33 holders of record (not in street name) of our common stock. Because many of our shares of common stock are held by brokers and other institutions on behalf of our stockholders, we are unable to estimate the total number of stockholders represented by these record holders.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right="319" w:firstLine="440"/>
        <w:spacing w:after="0" w:line="282" w:lineRule="auto"/>
        <w:rPr>
          <w:sz w:val="20"/>
          <w:szCs w:val="20"/>
          <w:color w:val="auto"/>
        </w:rPr>
      </w:pPr>
      <w:r>
        <w:rPr>
          <w:rFonts w:ascii="Times New Roman" w:cs="Times New Roman" w:eastAsia="Times New Roman" w:hAnsi="Times New Roman"/>
          <w:sz w:val="18"/>
          <w:szCs w:val="18"/>
          <w:color w:val="auto"/>
        </w:rPr>
        <w:t>We have never paid cash dividends on our common stock. We currently intend to retain any earnings for use in our business and do not anticipate paying cash dividends in the foreseeable future.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right="399" w:firstLine="440"/>
        <w:spacing w:after="0" w:line="282" w:lineRule="auto"/>
        <w:rPr>
          <w:sz w:val="20"/>
          <w:szCs w:val="20"/>
          <w:color w:val="auto"/>
        </w:rPr>
      </w:pPr>
      <w:r>
        <w:rPr>
          <w:rFonts w:ascii="Times New Roman" w:cs="Times New Roman" w:eastAsia="Times New Roman" w:hAnsi="Times New Roman"/>
          <w:sz w:val="18"/>
          <w:szCs w:val="18"/>
          <w:color w:val="auto"/>
        </w:rPr>
        <w:t>See Part III Item 12, Security Ownership of Certain Beneficial Owners and Management and Related Stockholder Matters for information regarding securities authorized for issuance.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3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59"/>
          </w:cols>
          <w:pgMar w:left="1400" w:top="1089" w:right="1440" w:bottom="1440" w:gutter="0" w:footer="0" w:header="0"/>
        </w:sectPr>
      </w:pPr>
    </w:p>
    <w:bookmarkStart w:id="38" w:name="page39"/>
    <w:bookmarkEnd w:id="38"/>
    <w:p>
      <w:pPr>
        <w:ind w:right="1620"/>
        <w:spacing w:after="0" w:line="377" w:lineRule="auto"/>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 Overview</w:t>
      </w:r>
    </w:p>
    <w:p>
      <w:pPr>
        <w:spacing w:after="0" w:line="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IRIDEX is an ophthalmic medical technology company focused on the development and commercialization of breakthrough products and procedures used to treat sight-threatening eye conditions, including glaucoma and retinal diseases.</w:t>
      </w:r>
    </w:p>
    <w:p>
      <w:pPr>
        <w:spacing w:after="0" w:line="61" w:lineRule="exact"/>
        <w:rPr>
          <w:sz w:val="20"/>
          <w:szCs w:val="20"/>
          <w:color w:val="auto"/>
        </w:rPr>
      </w:pPr>
    </w:p>
    <w:p>
      <w:pPr>
        <w:ind w:right="40" w:firstLine="440"/>
        <w:spacing w:after="0" w:line="245" w:lineRule="auto"/>
        <w:rPr>
          <w:sz w:val="20"/>
          <w:szCs w:val="20"/>
          <w:color w:val="auto"/>
        </w:rPr>
      </w:pPr>
      <w:r>
        <w:rPr>
          <w:rFonts w:ascii="Times New Roman" w:cs="Times New Roman" w:eastAsia="Times New Roman" w:hAnsi="Times New Roman"/>
          <w:sz w:val="18"/>
          <w:szCs w:val="18"/>
          <w:color w:val="auto"/>
        </w:rPr>
        <w:t>Our propriety MicroPulse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Technology and Endpoint Management™ Technology are used for the treatment of glaucoma and retina disorders. Both technologies are offered as optional treatment modes in select laser consoles in addition to the standard continuous-wave (“CW”) treatment mode. They allow low-energy, subvisible, tissue-sparing laser therapy by different means: MicroPulse technology uses short, microsecond-long laser pulses that allow tissue to cool between pulses giving physicians finer control of thermal elevation to minimize tissue damage. Endpoint Management technology uses a delivery algorithm to titrate the laser energy. CW laser photocoagulation can stabilize vision over the long term but can also result in varying degrees of vision loss. Both MicroPulse and Endpoint Management technologies have demonstrated clinical efficacy with a safer profile compared to standard high-energy CW laser for the treatment of both retinal diseases and glaucoma.</w:t>
      </w:r>
    </w:p>
    <w:p>
      <w:pPr>
        <w:spacing w:after="0" w:line="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products consist of laser consoles, delivery devices and consumable probes.</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Our laser consoles consist of the following product lines:</w:t>
      </w:r>
    </w:p>
    <w:p>
      <w:pPr>
        <w:spacing w:after="0" w:line="126" w:lineRule="exact"/>
        <w:rPr>
          <w:sz w:val="20"/>
          <w:szCs w:val="20"/>
          <w:color w:val="auto"/>
        </w:rPr>
      </w:pPr>
    </w:p>
    <w:p>
      <w:pPr>
        <w:ind w:left="880" w:right="140" w:hanging="432"/>
        <w:spacing w:after="0" w:line="233"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Glaucoma </w:t>
      </w:r>
      <w:r>
        <w:rPr>
          <w:rFonts w:ascii="Times New Roman" w:cs="Times New Roman" w:eastAsia="Times New Roman" w:hAnsi="Times New Roman"/>
          <w:sz w:val="18"/>
          <w:szCs w:val="18"/>
          <w:color w:val="auto"/>
        </w:rPr>
        <w:t>– Our primary glaucoma console line is the Cyclo G6</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laser system with MicroPulse technology.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 our medical retina consoles have features supporting glaucoma laser treatments.</w:t>
      </w:r>
    </w:p>
    <w:p>
      <w:pPr>
        <w:spacing w:after="0" w:line="98" w:lineRule="exact"/>
        <w:rPr>
          <w:rFonts w:ascii="Times New Roman" w:cs="Times New Roman" w:eastAsia="Times New Roman" w:hAnsi="Times New Roman"/>
          <w:sz w:val="18"/>
          <w:szCs w:val="18"/>
          <w:color w:val="auto"/>
        </w:rPr>
      </w:pPr>
    </w:p>
    <w:p>
      <w:pPr>
        <w:ind w:left="880" w:right="20" w:hanging="432"/>
        <w:spacing w:after="0" w:line="245"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Medical Retina </w:t>
      </w:r>
      <w:r>
        <w:rPr>
          <w:rFonts w:ascii="Times New Roman" w:cs="Times New Roman" w:eastAsia="Times New Roman" w:hAnsi="Times New Roman"/>
          <w:sz w:val="18"/>
          <w:szCs w:val="18"/>
          <w:color w:val="auto"/>
        </w:rPr>
        <w:t>– Our medical-retina product line includes our portable IQ 532</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IQ 577</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laser systems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MicroPulse technology; and the Pattern Scanning Laser (“PASCAL”) System, an integrated workstation with Endpoint Management technology and MicroPulse technology. These systems are ideal for multispecialty practices because these lasers also can be used to treat glaucoma, i.e., single-spot laser trabeculoplasty using MicroPulse technology, iridotomy, and iridectomy using the IQ lasers; and pattern scanning laser trabeculoplasty (“PSLT”) using the PASCAL laser system.</w:t>
      </w:r>
    </w:p>
    <w:p>
      <w:pPr>
        <w:spacing w:after="0" w:line="92" w:lineRule="exact"/>
        <w:rPr>
          <w:rFonts w:ascii="Times New Roman" w:cs="Times New Roman" w:eastAsia="Times New Roman" w:hAnsi="Times New Roman"/>
          <w:sz w:val="18"/>
          <w:szCs w:val="18"/>
          <w:color w:val="auto"/>
        </w:rPr>
      </w:pPr>
    </w:p>
    <w:p>
      <w:pPr>
        <w:ind w:left="880" w:right="60" w:hanging="432"/>
        <w:spacing w:after="0" w:line="238"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Surgical Retina </w:t>
      </w:r>
      <w:r>
        <w:rPr>
          <w:rFonts w:ascii="Times New Roman" w:cs="Times New Roman" w:eastAsia="Times New Roman" w:hAnsi="Times New Roman"/>
          <w:sz w:val="18"/>
          <w:szCs w:val="18"/>
          <w:color w:val="auto"/>
        </w:rPr>
        <w:t>– Our surgical-retina product line includes our OcuLight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TX and OcuLight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SLx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MicroPulse technology) laser photocoagulation systems. These systems are often used in vitrectomy procedures, which are used to treat proliferative diabetic retinopathy, macular holes, retinal tears and detachments.</w:t>
      </w:r>
    </w:p>
    <w:p>
      <w:pPr>
        <w:spacing w:after="0" w:line="9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Our business generates recurring revenues through sales of consumable products, predominantly single-use laser probe devices and other instrumentation, as well as repair, service and extended service contracts for our laser systems.</w:t>
      </w:r>
    </w:p>
    <w:p>
      <w:pPr>
        <w:spacing w:after="0" w:line="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Our laser probes consist of the following product lines:</w:t>
      </w:r>
    </w:p>
    <w:p>
      <w:pPr>
        <w:spacing w:after="0" w:line="115" w:lineRule="exact"/>
        <w:rPr>
          <w:sz w:val="20"/>
          <w:szCs w:val="20"/>
          <w:color w:val="auto"/>
        </w:rPr>
      </w:pPr>
    </w:p>
    <w:p>
      <w:pPr>
        <w:ind w:left="880" w:right="600" w:hanging="432"/>
        <w:spacing w:after="0" w:line="287"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Glaucoma </w:t>
      </w:r>
      <w:r>
        <w:rPr>
          <w:rFonts w:ascii="Times New Roman" w:cs="Times New Roman" w:eastAsia="Times New Roman" w:hAnsi="Times New Roman"/>
          <w:sz w:val="18"/>
          <w:szCs w:val="18"/>
          <w:color w:val="auto"/>
        </w:rPr>
        <w:t>– Probes used in our glaucoma product line include our patented single-use delivery devices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MicroPulse P3</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G-Probe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G-Probe Illuminate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w:t>
      </w:r>
    </w:p>
    <w:p>
      <w:pPr>
        <w:ind w:left="880" w:right="180" w:hanging="432"/>
        <w:spacing w:after="0" w:line="233"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Surgical Retina </w:t>
      </w:r>
      <w:r>
        <w:rPr>
          <w:rFonts w:ascii="Times New Roman" w:cs="Times New Roman" w:eastAsia="Times New Roman" w:hAnsi="Times New Roman"/>
          <w:sz w:val="18"/>
          <w:szCs w:val="18"/>
          <w:color w:val="auto"/>
        </w:rPr>
        <w:t>– Probes used in our surgical-retina product line include our family of single-use EndoProbe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handpieces.</w:t>
      </w:r>
    </w:p>
    <w:p>
      <w:pPr>
        <w:spacing w:after="0" w:line="91" w:lineRule="exact"/>
        <w:rPr>
          <w:sz w:val="20"/>
          <w:szCs w:val="20"/>
          <w:color w:val="auto"/>
        </w:rPr>
      </w:pPr>
    </w:p>
    <w:p>
      <w:pPr>
        <w:ind w:right="60" w:firstLine="440"/>
        <w:spacing w:after="0" w:line="230" w:lineRule="auto"/>
        <w:rPr>
          <w:sz w:val="20"/>
          <w:szCs w:val="20"/>
          <w:color w:val="auto"/>
        </w:rPr>
      </w:pPr>
      <w:r>
        <w:rPr>
          <w:rFonts w:ascii="Times New Roman" w:cs="Times New Roman" w:eastAsia="Times New Roman" w:hAnsi="Times New Roman"/>
          <w:sz w:val="18"/>
          <w:szCs w:val="18"/>
          <w:color w:val="auto"/>
        </w:rPr>
        <w:t>Ophthalmologists typically use our laser systems in hospital operating rooms and ambulatory surgical centers, as well as their offices and clinics. In operating rooms and ambulatory surgical centers, ophthalmologists use our laser systems with either an indirect laser ophthalmoscope or a single-use consumable probe, including MicroPulse P3</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G-Probe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G-Probe Illuminate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delivery devices, and EndoProbe handpieces. In the offices and clinics, ophthalmologists use our laser systems with either an indirect laser ophthalmoscope or a slit-lamp adapter.</w:t>
      </w:r>
    </w:p>
    <w:p>
      <w:pPr>
        <w:spacing w:after="0" w:line="91" w:lineRule="exact"/>
        <w:rPr>
          <w:sz w:val="20"/>
          <w:szCs w:val="20"/>
          <w:color w:val="auto"/>
        </w:rPr>
      </w:pPr>
    </w:p>
    <w:p>
      <w:pPr>
        <w:ind w:right="40" w:firstLine="440"/>
        <w:spacing w:after="0" w:line="271" w:lineRule="auto"/>
        <w:rPr>
          <w:sz w:val="20"/>
          <w:szCs w:val="20"/>
          <w:color w:val="auto"/>
        </w:rPr>
      </w:pPr>
      <w:r>
        <w:rPr>
          <w:rFonts w:ascii="Times New Roman" w:cs="Times New Roman" w:eastAsia="Times New Roman" w:hAnsi="Times New Roman"/>
          <w:sz w:val="18"/>
          <w:szCs w:val="18"/>
          <w:color w:val="auto"/>
        </w:rPr>
        <w:t>In 2024 and 2023, our products were sold in the United States and Germany predominantly through a direct sales force and internationally (aside from Germany) primarily through independent distributors. Total revenues in 2024 and 2023 were $48.7 million and $51.9 million, respectively. We generated net losses of $8.9 million and $9.6 million in 2024 and 2023, respectively.</w:t>
      </w:r>
    </w:p>
    <w:p>
      <w:pPr>
        <w:spacing w:after="0" w:line="64"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Sales to international distributors are made on open credit terms or letters of credit and are currently denominated in U.S. dollars and accordingly, are not subject to risks associated with currency fluctuations. However, increases in the value of the U.S. dollar against any local currencies could cause our products to become relatively more expensive to customers in a particular country or region, leading to reduced revenue or profitability in that country or region. Sales to direct end users transacted through our German office are denominated in Euros and are subject to risks associated with currency fluctuations.</w:t>
      </w:r>
    </w:p>
    <w:p>
      <w:pPr>
        <w:spacing w:after="0" w:line="75"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Cost of revenues consists primarily of our direct manufacturing costs which include the cost of components and sub-systems, assembling, packaging, shipping and testing components at our facility, direct labor and associated overhead, warranty, royalty and amortization of intangible assets and depot service costs. For certain of our products, we are responsible for the cost of the fully assembled product that is manufactured by a third-party.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60"/>
          </w:cols>
          <w:pgMar w:left="1400" w:top="1089" w:right="1439" w:bottom="1440" w:gutter="0" w:footer="0" w:header="0"/>
        </w:sectPr>
      </w:pPr>
    </w:p>
    <w:bookmarkStart w:id="39" w:name="page40"/>
    <w:bookmarkEnd w:id="39"/>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w:t>
      </w:r>
    </w:p>
    <w:p>
      <w:pPr>
        <w:spacing w:after="0" w:line="68"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Sales and marketing expenses consist primarily of costs of personnel, sales commissions, travel expenses, advertising and promotional expenses.</w:t>
      </w:r>
    </w:p>
    <w:p>
      <w:pPr>
        <w:spacing w:after="0" w:line="54"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costs of personnel, legal, accounting and other public company costs, insurance and other expenses not allocated to other departments.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the new Local Coverage Determination on our Business</w:t>
      </w:r>
    </w:p>
    <w:p>
      <w:pPr>
        <w:spacing w:after="0" w:line="121"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During 2024 Local Coverage Determination ("LCD") L37531, relating to Micro-Invasive Glaucoma Surgery (MIGS), was adopted as scheduled became effective for services performed on or after November 17, 2024. We believe the reimbursement limitations created by the new LCD has potential to significantly increase physician interest in and use of Iridex’s advanced laser-based treatments for glaucoma.</w:t>
      </w:r>
    </w:p>
    <w:p>
      <w:pPr>
        <w:spacing w:after="0" w:line="72"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The new LCD clarifies that treatments performed using Iridex’s laser consoles and probes are not MIGS procedures, and thus, Iridex’s Cyclo G6® product family is unaffected by the new reimbursement limitations. Iridex’s proprietary MicroPulse® and Continuous Wave laser therapies for glaucoma have been adopted by physicians around the globe as effective tools for managing and slowing the progression of glaucoma. Currently, Iridex sells more than 50,000 Cyclo G6 probes per year.</w:t>
      </w:r>
    </w:p>
    <w:p>
      <w:pPr>
        <w:spacing w:after="0" w:line="75"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to creating some reimbursement advantages for Iridex’s glaucoma treatments in the United States, the LCD creates opportunity to capture more physician attention to the significant clinical benefits of our products, particularly MicroPulse Transscleral Laser Therapy (MPTLT). Our laser procedures are noninvasive, repeatable, and can be utilized to treat patients across a far broader range of glaucoma’s progression, whether before, after, or even coincident to MIGS procedures.</w:t>
      </w:r>
    </w:p>
    <w:p>
      <w:pPr>
        <w:spacing w:after="0" w:line="75"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final LCD, L37531, which went into effect on November 17, 2024, provides the following reimbursement limitations:</w:t>
      </w:r>
    </w:p>
    <w:p>
      <w:pPr>
        <w:spacing w:after="0" w:line="54" w:lineRule="exact"/>
        <w:rPr>
          <w:sz w:val="20"/>
          <w:szCs w:val="20"/>
          <w:color w:val="auto"/>
        </w:rPr>
      </w:pPr>
    </w:p>
    <w:p>
      <w:pPr>
        <w:ind w:left="880" w:hanging="432"/>
        <w:spacing w:after="0"/>
        <w:tabs>
          <w:tab w:leader="none" w:pos="880" w:val="left"/>
        </w:tabs>
        <w:numPr>
          <w:ilvl w:val="0"/>
          <w:numId w:val="27"/>
        </w:numPr>
        <w:rPr>
          <w:rFonts w:ascii="Arial" w:cs="Arial" w:eastAsia="Arial" w:hAnsi="Arial"/>
          <w:sz w:val="18"/>
          <w:szCs w:val="18"/>
          <w:color w:val="auto"/>
        </w:rPr>
      </w:pPr>
      <w:r>
        <w:rPr>
          <w:rFonts w:ascii="Times New Roman" w:cs="Times New Roman" w:eastAsia="Times New Roman" w:hAnsi="Times New Roman"/>
          <w:sz w:val="18"/>
          <w:szCs w:val="18"/>
          <w:color w:val="auto"/>
        </w:rPr>
        <w:t>MIGS is not considered a first line treatment for mild-moderate glaucoma.</w:t>
      </w:r>
    </w:p>
    <w:p>
      <w:pPr>
        <w:spacing w:after="0" w:line="116" w:lineRule="exact"/>
        <w:rPr>
          <w:rFonts w:ascii="Arial" w:cs="Arial" w:eastAsia="Arial" w:hAnsi="Arial"/>
          <w:sz w:val="18"/>
          <w:szCs w:val="18"/>
          <w:color w:val="auto"/>
        </w:rPr>
      </w:pPr>
    </w:p>
    <w:p>
      <w:pPr>
        <w:ind w:left="880" w:right="380" w:hanging="432"/>
        <w:spacing w:after="0" w:line="281" w:lineRule="auto"/>
        <w:tabs>
          <w:tab w:leader="none" w:pos="880" w:val="left"/>
        </w:tabs>
        <w:numPr>
          <w:ilvl w:val="0"/>
          <w:numId w:val="27"/>
        </w:numPr>
        <w:rPr>
          <w:rFonts w:ascii="Arial" w:cs="Arial" w:eastAsia="Arial" w:hAnsi="Arial"/>
          <w:sz w:val="18"/>
          <w:szCs w:val="18"/>
          <w:color w:val="auto"/>
        </w:rPr>
      </w:pPr>
      <w:r>
        <w:rPr>
          <w:rFonts w:ascii="Times New Roman" w:cs="Times New Roman" w:eastAsia="Times New Roman" w:hAnsi="Times New Roman"/>
          <w:sz w:val="18"/>
          <w:szCs w:val="18"/>
          <w:color w:val="auto"/>
        </w:rPr>
        <w:t>A combination of a surgical MIGS procedure and an aqueous shunt cannot be performed at the same time of service in the same eye.</w:t>
      </w:r>
    </w:p>
    <w:p>
      <w:pPr>
        <w:spacing w:after="0" w:line="54" w:lineRule="exact"/>
        <w:rPr>
          <w:rFonts w:ascii="Arial" w:cs="Arial" w:eastAsia="Arial" w:hAnsi="Arial"/>
          <w:sz w:val="18"/>
          <w:szCs w:val="18"/>
          <w:color w:val="auto"/>
        </w:rPr>
      </w:pPr>
    </w:p>
    <w:p>
      <w:pPr>
        <w:ind w:left="880" w:right="560" w:hanging="432"/>
        <w:spacing w:after="0" w:line="281" w:lineRule="auto"/>
        <w:tabs>
          <w:tab w:leader="none" w:pos="880" w:val="left"/>
        </w:tabs>
        <w:numPr>
          <w:ilvl w:val="0"/>
          <w:numId w:val="27"/>
        </w:numPr>
        <w:rPr>
          <w:rFonts w:ascii="Arial" w:cs="Arial" w:eastAsia="Arial" w:hAnsi="Arial"/>
          <w:sz w:val="18"/>
          <w:szCs w:val="18"/>
          <w:color w:val="auto"/>
        </w:rPr>
      </w:pPr>
      <w:r>
        <w:rPr>
          <w:rFonts w:ascii="Times New Roman" w:cs="Times New Roman" w:eastAsia="Times New Roman" w:hAnsi="Times New Roman"/>
          <w:sz w:val="18"/>
          <w:szCs w:val="18"/>
          <w:color w:val="auto"/>
        </w:rPr>
        <w:t>Phacoemulsification/intraocular lens placement performed with a combination of MIGS procedures, (e.g., cataract + stent + canaloplasty or goniotomy) at the same time of service in the same eye is non-covered.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Macroeconomic Conditions to our Business</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Current macroeconomic conditions exhibit challenges that can affect capital equipment purchasing demand and timing, including recessionary fears, tariffs, trade wars, unexpected changes in taxes or policies, inflation concerns, changing interest rates, as well as other geopolitical uncertainties, have impacted and may continue to impact business spending and the economy as a whole. As a result, we have seen customers extend purchase decision cycles. We have also experienced some demand softness due to pricing effects from the strength of the U.S. dollar that have impacted and may continue to impact our operations.</w:t>
      </w:r>
    </w:p>
    <w:p>
      <w:pPr>
        <w:spacing w:after="0" w:line="7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macroeconomic conditions on our business and operations remain uncertain, and it is not possible for us to predict the duration and extent to which they will affect our business, future results of operations, and financial condition.</w:t>
      </w:r>
    </w:p>
    <w:p>
      <w:pPr>
        <w:spacing w:after="0" w:line="54"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For more information on risks associated with the current macroeconomic conditions, see the sections titled “Risk Factors” in Item 1A of Part I.</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- 2024 and 2023</w:t>
      </w:r>
    </w:p>
    <w:p>
      <w:pPr>
        <w:spacing w:after="0" w:line="12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Our fiscal year ends on the Saturday closest to December 31. Fiscal year 2024 ended on December 28, 2024 and fiscal year 2023 ended on December 30, 2023. Fiscal years 2024 and 2023 each included 52 weeks of operations.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01" w:right="1419" w:bottom="1440" w:gutter="0" w:footer="0" w:header="0"/>
        </w:sectPr>
      </w:pPr>
    </w:p>
    <w:bookmarkStart w:id="40" w:name="page41"/>
    <w:bookmarkEnd w:id="40"/>
    <w:p>
      <w:pPr>
        <w:ind w:left="440"/>
        <w:spacing w:after="0"/>
        <w:rPr>
          <w:sz w:val="20"/>
          <w:szCs w:val="20"/>
          <w:color w:val="auto"/>
        </w:rPr>
      </w:pPr>
      <w:r>
        <w:rPr>
          <w:rFonts w:ascii="Times New Roman" w:cs="Times New Roman" w:eastAsia="Times New Roman" w:hAnsi="Times New Roman"/>
          <w:sz w:val="18"/>
          <w:szCs w:val="18"/>
          <w:color w:val="auto"/>
        </w:rPr>
        <w:t>The following table sets forth certain operating data as a percentage of revenues for the periods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100" w:type="dxa"/>
            <w:vAlign w:val="bottom"/>
            <w:gridSpan w:val="3"/>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44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100.0 %</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59.9 %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58.0 %</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40.1 %</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42.0 %</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Borders>
              <w:top w:val="single" w:sz="8" w:color="CFF0FC"/>
            </w:tcBorders>
          </w:tcPr>
          <w:p>
            <w:pPr>
              <w:spacing w:after="0"/>
              <w:rPr>
                <w:sz w:val="18"/>
                <w:szCs w:val="18"/>
                <w:color w:val="auto"/>
              </w:rPr>
            </w:pPr>
          </w:p>
        </w:tc>
        <w:tc>
          <w:tcPr>
            <w:tcW w:w="106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88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13.2 %</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31.3 %</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16.9 %</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57.1 %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61.4 %</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(19.4 %)</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1.0 %</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80" w:type="dxa"/>
            <w:vAlign w:val="bottom"/>
            <w:gridSpan w:val="6"/>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 before provision for income taxes</w:t>
            </w:r>
          </w:p>
        </w:tc>
        <w:tc>
          <w:tcPr>
            <w:tcW w:w="18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(18.1 %)</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(18.4 %)</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0.2 %</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(18.6 %)</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Comparison of 2024 and 2023</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Revenues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60" w:type="dxa"/>
            <w:vAlign w:val="bottom"/>
            <w:gridSpan w:val="5"/>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23"/>
                <w:szCs w:val="23"/>
                <w:color w:val="auto"/>
              </w:rPr>
            </w:pPr>
          </w:p>
        </w:tc>
        <w:tc>
          <w:tcPr>
            <w:tcW w:w="13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Change in $</w:t>
            </w:r>
          </w:p>
        </w:tc>
        <w:tc>
          <w:tcPr>
            <w:tcW w:w="144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 in %</w:t>
            </w:r>
          </w:p>
        </w:tc>
        <w:tc>
          <w:tcPr>
            <w:tcW w:w="0" w:type="dxa"/>
            <w:vAlign w:val="bottom"/>
          </w:tcPr>
          <w:p>
            <w:pPr>
              <w:spacing w:after="0"/>
              <w:rPr>
                <w:sz w:val="1"/>
                <w:szCs w:val="1"/>
                <w:color w:val="auto"/>
              </w:rPr>
            </w:pPr>
          </w:p>
        </w:tc>
      </w:tr>
      <w:tr>
        <w:trPr>
          <w:trHeight w:val="117"/>
        </w:trPr>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118"/>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2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113"/>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2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460" w:type="dxa"/>
            <w:vAlign w:val="bottom"/>
          </w:tcPr>
          <w:p>
            <w:pPr>
              <w:spacing w:after="0"/>
              <w:rPr>
                <w:sz w:val="15"/>
                <w:szCs w:val="15"/>
                <w:color w:val="auto"/>
              </w:rPr>
            </w:pPr>
          </w:p>
        </w:tc>
        <w:tc>
          <w:tcPr>
            <w:tcW w:w="2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Cyclo G6</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5"/>
                <w:szCs w:val="15"/>
                <w:color w:val="auto"/>
              </w:rPr>
            </w:pPr>
          </w:p>
        </w:tc>
        <w:tc>
          <w:tcPr>
            <w:tcW w:w="9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(764 )</w:t>
            </w:r>
          </w:p>
        </w:tc>
        <w:tc>
          <w:tcPr>
            <w:tcW w:w="14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254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13,461</w:t>
            </w:r>
          </w:p>
        </w:tc>
        <w:tc>
          <w:tcPr>
            <w:tcW w:w="920" w:type="dxa"/>
            <w:vAlign w:val="bottom"/>
            <w:gridSpan w:val="2"/>
            <w:vMerge w:val="continue"/>
          </w:tcPr>
          <w:p>
            <w:pPr>
              <w:spacing w:after="0"/>
              <w:rPr>
                <w:sz w:val="18"/>
                <w:szCs w:val="18"/>
                <w:color w:val="auto"/>
              </w:rPr>
            </w:pPr>
          </w:p>
        </w:tc>
        <w:tc>
          <w:tcPr>
            <w:tcW w:w="680" w:type="dxa"/>
            <w:vAlign w:val="bottom"/>
            <w:gridSpan w:val="4"/>
            <w:vMerge w:val="continue"/>
          </w:tcPr>
          <w:p>
            <w:pPr>
              <w:spacing w:after="0"/>
              <w:rPr>
                <w:sz w:val="18"/>
                <w:szCs w:val="18"/>
                <w:color w:val="auto"/>
              </w:rPr>
            </w:pPr>
          </w:p>
        </w:tc>
        <w:tc>
          <w:tcPr>
            <w:tcW w:w="144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Retina</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27,827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29,445</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8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4"/>
              </w:rPr>
              <w:t>(1,618 )</w:t>
            </w:r>
          </w:p>
        </w:tc>
        <w:tc>
          <w:tcPr>
            <w:tcW w:w="14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(818 )</w:t>
            </w:r>
          </w:p>
        </w:tc>
        <w:tc>
          <w:tcPr>
            <w:tcW w:w="14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0" w:type="dxa"/>
            <w:vAlign w:val="bottom"/>
          </w:tcPr>
          <w:p>
            <w:pPr>
              <w:spacing w:after="0"/>
              <w:rPr>
                <w:sz w:val="19"/>
                <w:szCs w:val="19"/>
                <w:color w:val="auto"/>
              </w:rPr>
            </w:pPr>
          </w:p>
        </w:tc>
        <w:tc>
          <w:tcPr>
            <w:tcW w:w="2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48,669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51,869</w:t>
            </w: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w w:val="94"/>
              </w:rPr>
              <w:t>(3,200 )</w:t>
            </w:r>
          </w:p>
        </w:tc>
        <w:tc>
          <w:tcPr>
            <w:tcW w:w="144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Borders>
              <w:top w:val="single" w:sz="8" w:color="CFF0FC"/>
            </w:tcBorders>
            <w:shd w:val="clear" w:color="auto" w:fill="CFF0FC"/>
          </w:tcPr>
          <w:p>
            <w:pPr>
              <w:spacing w:after="0" w:line="20" w:lineRule="exact"/>
              <w:rPr>
                <w:sz w:val="1"/>
                <w:szCs w:val="1"/>
                <w:color w:val="auto"/>
              </w:rPr>
            </w:pPr>
          </w:p>
        </w:tc>
        <w:tc>
          <w:tcPr>
            <w:tcW w:w="20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-2819400</wp:posOffset>
            </wp:positionV>
            <wp:extent cx="1543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-2819400</wp:posOffset>
            </wp:positionV>
            <wp:extent cx="1543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-2262505</wp:posOffset>
            </wp:positionV>
            <wp:extent cx="1543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-2262505</wp:posOffset>
            </wp:positionV>
            <wp:extent cx="1543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-1405255</wp:posOffset>
            </wp:positionV>
            <wp:extent cx="1543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-1388110</wp:posOffset>
            </wp:positionV>
            <wp:extent cx="1543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-1405255</wp:posOffset>
            </wp:positionV>
            <wp:extent cx="1543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-1388110</wp:posOffset>
            </wp:positionV>
            <wp:extent cx="1543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-24765</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2653665</wp:posOffset>
            </wp:positionH>
            <wp:positionV relativeFrom="paragraph">
              <wp:posOffset>-8255</wp:posOffset>
            </wp:positionV>
            <wp:extent cx="514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-24765</wp:posOffset>
            </wp:positionV>
            <wp:extent cx="5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-8255</wp:posOffset>
            </wp:positionV>
            <wp:extent cx="514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60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-8255</wp:posOffset>
            </wp:positionV>
            <wp:extent cx="603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99"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Our total revenues decreased by $3.2 million or 6.2% from $51.9 million in 2023 to $48.7 million in 2024. The decrease was driven by softer demand in our Glaucoma and Retina product lines, and by lower royalties due to the expiration of licensed patents.</w:t>
      </w:r>
    </w:p>
    <w:p>
      <w:pPr>
        <w:spacing w:after="0" w:line="68"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While we believe that the market for our products remains strong, the overall capital expenditure landscape within hospitals, surgical centers and physician offices may continue to be negatively impacted by the persistent macroeconomic concerns discussed above.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9"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Gross profit decreased by $2.3 million or 10.6% from $21.8 million in 2023 to $19.5 million in 2024. Gross margin decreased by 1.9% from 42.0% in 2023 to 40.1% in 2024. The decrease in gross margin was driven by lower revenues and higher manufacturing overhead absorbed by less revenue.</w:t>
      </w:r>
    </w:p>
    <w:p>
      <w:pPr>
        <w:spacing w:after="0" w:line="68"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Gross margins may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Research and development expenses decreased by $1.4 million or 20.2% from $6.8 million in 2023 to $5.4 million in</w:t>
      </w:r>
    </w:p>
    <w:p>
      <w:pPr>
        <w:spacing w:after="0" w:line="27"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2024. Spending on investment in new and expanded products decreased as we completed prior projects. In 2024 we also implemented cost savings measures including reductions in workforce that resulted in lower headcount expenses.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1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Sales and marketing expenses decreased by $3.6 million or 22.5%, from $16.2 million in 2023 to $12.6 million in 2024. The decrease in 2024 was related to our cost savings measures, including reductions in workforce that resulted in lower headcount expenses, lower consulting, travel expenses, and lower tradeshows and public relations expenses, partially offset by increases in bonus and clinical studies expenses.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60"/>
          </w:cols>
          <w:pgMar w:left="1400" w:top="1201" w:right="1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$1.1 million or 11.8% from $8.7 million in 2023 to $9.8 million in 2024. The increase is primarily due to higher consulting costs and deal related legal expenses, partially offset by lower ERP implementation expenses.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Other expense, net amounted to $0.5 million in 2024 and other income, net amounted $0.5 million in 2023. Other income, net, consisted primarily of interest income or expense and foreign currency gain or loss. Other expenses increased primarily due to interest paid on amortization of loan expenses related to the Lind transaction.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We recorded a provision for income taxes of $68 thousand for the year ended December 28, 2024 compared to $90 thousand for the year ended December 30, 2023. The effective tax rate for the years ended December 28, 2024 and December 30, 2023, were both negative 0.8%.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800" w:firstLine="440"/>
        <w:spacing w:after="0" w:line="282" w:lineRule="auto"/>
        <w:rPr>
          <w:sz w:val="20"/>
          <w:szCs w:val="20"/>
          <w:color w:val="auto"/>
        </w:rPr>
      </w:pPr>
      <w:r>
        <w:rPr>
          <w:rFonts w:ascii="Times New Roman" w:cs="Times New Roman" w:eastAsia="Times New Roman" w:hAnsi="Times New Roman"/>
          <w:sz w:val="18"/>
          <w:szCs w:val="18"/>
          <w:color w:val="auto"/>
        </w:rPr>
        <w:t>Liquidity is our ability to generate sufficient cash flows from operating activities to meet our obligations and commitments. In addition, liquidity includes the ability to obtain appropriate financing or to raise capital.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2024 and 2023</w:t>
      </w:r>
    </w:p>
    <w:p>
      <w:pPr>
        <w:spacing w:after="0" w:line="119" w:lineRule="exact"/>
        <w:rPr>
          <w:sz w:val="20"/>
          <w:szCs w:val="20"/>
          <w:color w:val="auto"/>
        </w:rPr>
      </w:pPr>
    </w:p>
    <w:p>
      <w:pPr>
        <w:jc w:val="both"/>
        <w:ind w:right="560" w:firstLine="440"/>
        <w:spacing w:after="0" w:line="282" w:lineRule="auto"/>
        <w:rPr>
          <w:sz w:val="20"/>
          <w:szCs w:val="20"/>
          <w:color w:val="auto"/>
        </w:rPr>
      </w:pPr>
      <w:r>
        <w:rPr>
          <w:rFonts w:ascii="Times New Roman" w:cs="Times New Roman" w:eastAsia="Times New Roman" w:hAnsi="Times New Roman"/>
          <w:sz w:val="18"/>
          <w:szCs w:val="18"/>
          <w:color w:val="auto"/>
        </w:rPr>
        <w:t>As of December 28, 2024, we had cash and cash equivalents of $2.4 million and working capital of $7.0 million compared to cash and cash equivalents of $7.0 million and working capital of $14.5 million as of December 30, 2023.</w:t>
      </w:r>
    </w:p>
    <w:p>
      <w:pPr>
        <w:spacing w:after="0" w:line="54"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$7.3 million in 2024 compared to net cash used in operating activities of $6.7 million in 2023. The increase in net cash used in operating activities, expressed in direct cash flow terms, was primarily due to cash used in inventory, prepaids, deferred revenue and accrued expenses, partially offset by decreases in cash paid to accounts payable and increased cash collections from accounts receivable.</w:t>
      </w:r>
    </w:p>
    <w:p>
      <w:pPr>
        <w:spacing w:after="0" w:line="7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During 2024, net cash used in investing activities was $13 thousand for capital expenditures. During 2023, net cash used in investing activities was $109 thousand for capital expenditures.</w:t>
      </w:r>
    </w:p>
    <w:p>
      <w:pPr>
        <w:spacing w:after="0" w:line="54"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During 2024, net cash provided by financing activities was $2.6 million, primarily from net proceeds of $3.4 million from issuance of a senior convertible promissory note payable to Lind partially offset by $0.5 million debt issuance costs and $0.2 million payments to the note were payable to Lind. During 2023, net cash used in financing activities was $5 thousand, primarily from payroll taxes related to net share settlement of equity awards partially offset by the net proceeds arising from the proceeds from stock option exercises.</w:t>
      </w:r>
    </w:p>
    <w:p>
      <w:pPr>
        <w:spacing w:after="0" w:line="7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We have historically funded our operations primarily through sales of our products to customers, and through common stock and borrowing arrangements. As of December 28, 2024, our principal sources of liquidity consisted of cash and cash equivalents of $2.4 million. We have incurred net losses over the last several years, and as of December 28, 2024, have an accumulated deficit of approximately $88.0 million. We may continue to incur operating losses and negative cash flows from operations.</w:t>
      </w:r>
    </w:p>
    <w:p>
      <w:pPr>
        <w:spacing w:after="0" w:line="7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Management evaluates whether there are relevant conditions and events that, in the aggregate, raise substantial doubt about our ability to continue as a going concern and to meet its obligations as they become due within one year after the date that the financial statements are issued.</w:t>
      </w:r>
    </w:p>
    <w:p>
      <w:pPr>
        <w:spacing w:after="0" w:line="68"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we will continue as a going concern. For the year ended December 28, 2024, we implemented cost savings initiatives to increase operational efficiencies across all departments, which we expect will decrease our operating expenses and increase working capital through March 29, 2026. Based on these cost savings initiatives implemented by us and the issuance of the $3.4 million senior convertible promissory note to Lind, management believes we have alleviated substantial doubt about our ability to satisfy our liquidity needs over the next 12 months.</w:t>
      </w:r>
    </w:p>
    <w:p>
      <w:pPr>
        <w:spacing w:after="0" w:line="7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We believe our existing cash and cash equivalents will be sufficient to meet our anticipated cash needs over the next 12 months. Our future capital requirements will depend on many factors, including our growth rates, the timing and extent of our spending to support research and development activities, the timing and cost of establishing additional sales and marketing capabilities, the introduction of new and enhanced products and our costs to implement new manufacturing technologies. In the event that additional financing is required from outside sources, we may not be able to raise it on terms acceptable to us or at all. Any debt financing obtained by us in the future could also involve restrictive covenants relating to our capital-raising activities and other financial and operational matters, which may make it more difficult for us to obtain additional capital and to pursue business opportunities, including potential acquisitions. Additionally, if we raise additional funds through further issuances of equity, our existing stockholders could suffer significant dilution in their percentage ownership</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199" w:right="1419" w:bottom="1440" w:gutter="0" w:footer="0" w:header="0"/>
        </w:sectPr>
      </w:pPr>
    </w:p>
    <w:bookmarkStart w:id="42" w:name="page43"/>
    <w:bookmarkEnd w:id="42"/>
    <w:p>
      <w:pPr>
        <w:ind w:right="20"/>
        <w:spacing w:after="0" w:line="261" w:lineRule="auto"/>
        <w:rPr>
          <w:sz w:val="20"/>
          <w:szCs w:val="20"/>
          <w:color w:val="auto"/>
        </w:rPr>
      </w:pPr>
      <w:r>
        <w:rPr>
          <w:rFonts w:ascii="Times New Roman" w:cs="Times New Roman" w:eastAsia="Times New Roman" w:hAnsi="Times New Roman"/>
          <w:sz w:val="18"/>
          <w:szCs w:val="18"/>
          <w:color w:val="auto"/>
        </w:rPr>
        <w:t>of our company, and any new equity securities we issue could have rights, preferences and privileges senior to those of holders of our common stock. If we are unable to obtain adequate financing or financing on terms satisfactory to us, when we require it, our ability to continue to grow or support our business and to respond to business challenges could be significantly limited.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Our revenues arise from the sale of laser consoles, delivery devices, consumables, service, and support activities. We also derive revenue from royalties from third parties which are typically based on the licensees’ net sales of products that utilize our technology. Our revenue is recognized in accordance with Accounting Standards Codification (“ASC”) Topic 606, </w:t>
      </w:r>
      <w:r>
        <w:rPr>
          <w:rFonts w:ascii="Times New Roman" w:cs="Times New Roman" w:eastAsia="Times New Roman" w:hAnsi="Times New Roman"/>
          <w:sz w:val="18"/>
          <w:szCs w:val="18"/>
          <w:i w:val="1"/>
          <w:iCs w:val="1"/>
          <w:color w:val="auto"/>
        </w:rPr>
        <w:t xml:space="preserve">“Revenue from Contracts with Customers.” </w:t>
      </w:r>
      <w:r>
        <w:rPr>
          <w:rFonts w:ascii="Times New Roman" w:cs="Times New Roman" w:eastAsia="Times New Roman" w:hAnsi="Times New Roman"/>
          <w:sz w:val="18"/>
          <w:szCs w:val="18"/>
          <w:color w:val="auto"/>
        </w:rPr>
        <w:t>We recognize revenue using the five-step model: (1) identifying the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spacing w:after="0" w:line="81"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We have the following revenue transaction types: (1) Product Sale Only, (2) Service Contracts, (3) System Repairs (outside of warranty), (4) Royalty Revenue and (5) Exclusive Distribution Rights.</w:t>
      </w:r>
    </w:p>
    <w:p>
      <w:pPr>
        <w:spacing w:after="0" w:line="54" w:lineRule="exact"/>
        <w:rPr>
          <w:sz w:val="20"/>
          <w:szCs w:val="20"/>
          <w:color w:val="auto"/>
        </w:rPr>
      </w:pPr>
    </w:p>
    <w:p>
      <w:pPr>
        <w:ind w:left="880" w:right="120" w:hanging="431"/>
        <w:spacing w:after="0" w:line="256"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 Only: Our products consist of laser consoles, delivery devices and consumable instrumentation, including laser probes. Our products are currently sold for use by ophthalmologists specializing in the treatment of glaucoma and retinal diseases. Inside the United States and Germany the products are sold directly to the end users. In other countries outside of the United States and Germany, we utilize independent, third-party distributors to market and sell our products. There is no continuing obligation after shipment is made to these distributors.</w:t>
      </w:r>
    </w:p>
    <w:p>
      <w:pPr>
        <w:spacing w:after="0" w:line="79" w:lineRule="exact"/>
        <w:rPr>
          <w:rFonts w:ascii="Times New Roman" w:cs="Times New Roman" w:eastAsia="Times New Roman" w:hAnsi="Times New Roman"/>
          <w:sz w:val="18"/>
          <w:szCs w:val="18"/>
          <w:color w:val="auto"/>
        </w:rPr>
      </w:pPr>
    </w:p>
    <w:p>
      <w:pPr>
        <w:ind w:left="880" w:right="5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 revenue from product sales at a point in time subject to the allocation of transaction price to additional performance obligations, if any.</w:t>
      </w:r>
    </w:p>
    <w:p>
      <w:pPr>
        <w:spacing w:after="0" w:line="53" w:lineRule="exact"/>
        <w:rPr>
          <w:rFonts w:ascii="Times New Roman" w:cs="Times New Roman" w:eastAsia="Times New Roman" w:hAnsi="Times New Roman"/>
          <w:sz w:val="18"/>
          <w:szCs w:val="18"/>
          <w:color w:val="auto"/>
        </w:rPr>
      </w:pPr>
    </w:p>
    <w:p>
      <w:pPr>
        <w:ind w:left="880" w:right="100" w:hanging="431"/>
        <w:spacing w:after="0" w:line="261"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Contracts: We offer a standard two-year warranty on all system sales. We also offer a service contract which is sold to customers in incremental, one-year periods that begin subsequent to the expiration of the standard two-year warranty. The customer can opt to purchase the service contract at the time of the system sale or after the initial system sale.</w:t>
      </w:r>
    </w:p>
    <w:p>
      <w:pPr>
        <w:spacing w:after="0" w:line="71" w:lineRule="exact"/>
        <w:rPr>
          <w:rFonts w:ascii="Times New Roman" w:cs="Times New Roman" w:eastAsia="Times New Roman" w:hAnsi="Times New Roman"/>
          <w:sz w:val="18"/>
          <w:szCs w:val="18"/>
          <w:color w:val="auto"/>
        </w:rPr>
      </w:pPr>
    </w:p>
    <w:p>
      <w:pPr>
        <w:ind w:left="880"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 revenue from service contracts ratably over the service period. Revenue recognition for the sale of a service contract is largely dependent on the timing of the sale as follows:</w:t>
      </w:r>
    </w:p>
    <w:p>
      <w:pPr>
        <w:spacing w:after="0" w:line="53" w:lineRule="exact"/>
        <w:rPr>
          <w:rFonts w:ascii="Times New Roman" w:cs="Times New Roman" w:eastAsia="Times New Roman" w:hAnsi="Times New Roman"/>
          <w:sz w:val="18"/>
          <w:szCs w:val="18"/>
          <w:color w:val="auto"/>
        </w:rPr>
      </w:pPr>
    </w:p>
    <w:p>
      <w:pPr>
        <w:ind w:left="1340" w:right="60" w:hanging="450"/>
        <w:spacing w:after="0" w:line="261" w:lineRule="auto"/>
        <w:tabs>
          <w:tab w:leader="none" w:pos="13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Contract Sale in Conjunction with System Sale: If the customer opts to purchase a service contract at the time of the system sale, we allocate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71" w:lineRule="exact"/>
        <w:rPr>
          <w:rFonts w:ascii="Times New Roman" w:cs="Times New Roman" w:eastAsia="Times New Roman" w:hAnsi="Times New Roman"/>
          <w:sz w:val="18"/>
          <w:szCs w:val="18"/>
          <w:color w:val="auto"/>
        </w:rPr>
      </w:pPr>
    </w:p>
    <w:p>
      <w:pPr>
        <w:ind w:left="1340" w:right="20" w:hanging="450"/>
        <w:spacing w:after="0" w:line="254" w:lineRule="auto"/>
        <w:tabs>
          <w:tab w:leader="none" w:pos="13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Contract Sale Subsequent to System Sale: If the customer opts to purchase a service contract after the initial system sale, we determine the amount of time that has elapsed since the initial system sale. If the service contract is purchased within 60 days of the initial sale, we consider this sale to be an additional element of the original sale and allocate the transaction price of the distinct performance obligations in the contract by determining stand-alone selling price using historical pricing net of any variable consideration or discounts to specifically allocate to a particular performance obligation. If the service contract is purchased subsequent to 60 days after the initial sale, the sale of the service contract is deemed a separate contract and is deferred at the selling price and recognized ratably over the extended warranty period as the performance obligation is satisfied.</w:t>
      </w:r>
    </w:p>
    <w:p>
      <w:pPr>
        <w:spacing w:after="0" w:line="80" w:lineRule="exact"/>
        <w:rPr>
          <w:rFonts w:ascii="Times New Roman" w:cs="Times New Roman" w:eastAsia="Times New Roman" w:hAnsi="Times New Roman"/>
          <w:sz w:val="18"/>
          <w:szCs w:val="18"/>
          <w:color w:val="auto"/>
        </w:rPr>
      </w:pPr>
    </w:p>
    <w:p>
      <w:pPr>
        <w:ind w:left="880" w:right="360" w:hanging="431"/>
        <w:spacing w:after="0" w:line="282"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Repairs (outside of warranty): Customers will occasionally request repairs from us subsequent to the expiration of the standard warranty and outside of a service contract.</w:t>
      </w:r>
    </w:p>
    <w:p>
      <w:pPr>
        <w:spacing w:after="0" w:line="53" w:lineRule="exact"/>
        <w:rPr>
          <w:rFonts w:ascii="Times New Roman" w:cs="Times New Roman" w:eastAsia="Times New Roman" w:hAnsi="Times New Roman"/>
          <w:sz w:val="18"/>
          <w:szCs w:val="18"/>
          <w:color w:val="auto"/>
        </w:rPr>
      </w:pPr>
    </w:p>
    <w:p>
      <w:pPr>
        <w:ind w:left="90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recognize revenue from system repairs (outside of warranty) at a point in time. When the customer requests repairs from us subsequent to the expiration of the standard warranty and outside of a service contract, these repair contracts are considered separate from the initial sale. As such, revenue is recognized as the repair services are rendered and the performance obligation satisfied.</w:t>
      </w:r>
    </w:p>
    <w:p>
      <w:pPr>
        <w:spacing w:after="0" w:line="71" w:lineRule="exact"/>
        <w:rPr>
          <w:rFonts w:ascii="Times New Roman" w:cs="Times New Roman" w:eastAsia="Times New Roman" w:hAnsi="Times New Roman"/>
          <w:sz w:val="18"/>
          <w:szCs w:val="18"/>
          <w:color w:val="auto"/>
        </w:rPr>
      </w:pPr>
    </w:p>
    <w:p>
      <w:pPr>
        <w:ind w:left="880" w:hanging="431"/>
        <w:spacing w:after="0" w:line="266"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Revenue: We have royalty agreements with two customers related to the sale of our intellectual property. Under the terms of these agreements, one customer is to remit a percentage of sales to us as the sales occur and one customer is to remit fixed amount royalty payments based on the quantity sold as the sales occur.</w:t>
      </w:r>
    </w:p>
    <w:p>
      <w:pPr>
        <w:spacing w:after="0" w:line="67" w:lineRule="exact"/>
        <w:rPr>
          <w:rFonts w:ascii="Times New Roman" w:cs="Times New Roman" w:eastAsia="Times New Roman" w:hAnsi="Times New Roman"/>
          <w:sz w:val="18"/>
          <w:szCs w:val="18"/>
          <w:color w:val="auto"/>
        </w:rPr>
      </w:pPr>
    </w:p>
    <w:p>
      <w:pPr>
        <w:ind w:left="90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arrangements with three customers are for sales-based licenses of intellectual property, for which the guidance in paragraph ASC 606-10-55-65 applies. Therefore, we recognize revenue at a point in time, only as the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60"/>
          </w:cols>
          <w:pgMar w:left="1400" w:top="1201" w:right="1439" w:bottom="1440" w:gutter="0" w:footer="0" w:header="0"/>
        </w:sectPr>
      </w:pPr>
    </w:p>
    <w:bookmarkStart w:id="43" w:name="page44"/>
    <w:bookmarkEnd w:id="43"/>
    <w:p>
      <w:pPr>
        <w:ind w:left="900" w:right="20"/>
        <w:spacing w:after="0" w:line="256" w:lineRule="auto"/>
        <w:rPr>
          <w:sz w:val="20"/>
          <w:szCs w:val="20"/>
          <w:color w:val="auto"/>
        </w:rPr>
      </w:pPr>
      <w:r>
        <w:rPr>
          <w:rFonts w:ascii="Times New Roman" w:cs="Times New Roman" w:eastAsia="Times New Roman" w:hAnsi="Times New Roman"/>
          <w:sz w:val="18"/>
          <w:szCs w:val="18"/>
          <w:color w:val="auto"/>
        </w:rPr>
        <w:t>subsequent sale occurs. However, we note that such sales being reported by the licensee with a quarter in arrears,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 For the arrangement with one customer, we concluded that there is one combined performance obligation to be satisfied. Therefore, we recognize revenue related to this arrangement over time.</w:t>
      </w:r>
    </w:p>
    <w:p>
      <w:pPr>
        <w:spacing w:after="0" w:line="79" w:lineRule="exact"/>
        <w:rPr>
          <w:sz w:val="20"/>
          <w:szCs w:val="20"/>
          <w:color w:val="auto"/>
        </w:rPr>
      </w:pPr>
    </w:p>
    <w:p>
      <w:pPr>
        <w:ind w:left="880" w:hanging="432"/>
        <w:spacing w:after="0" w:line="252" w:lineRule="auto"/>
        <w:tabs>
          <w:tab w:leader="none" w:pos="8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Distribution Rights: On March 2, 2021, we entered into a distribution agreement (“Distribution Agreement”) with Topcon, pursuant to which we granted Topcon the exclusive right to distribute the our retina and glaucoma products in certain geographies outside the United States. The exclusivity arrangement with Topcon obligates us to provide training, customer support, and exclusive territorial rights to Topcon for certain international regions, for a period of 10 years, commencing upon regulatory approval to transfer existing (non-exclusive) distribution rights from the current distributors in those regions to Topcon. We has the right to terminate the exclusive distribution rights granted to Topcon for any of the regions at any point in time during the 10 year exclusivity term for a termination fee that is based on a multiple of 1.2 times the revenue generated by us in 2019 for the respective region. We determined that the exclusivity rights, training, and customer support represents a single combined performance obligation for each region, to be recognized as exclusivity fee revenue on a straight-line basis over the 10 year period for each region, commencing on the date that regulatory approval is obtained for each region, based on the standalone selling price for such combined performance obligation for each region. The estimated fair value of the exclusive distribution rights for all regions combined totaled approximately $14.8 million. Of this amount, we fully-constrained and returned to Topcon the arrangement fee allocated to Belarus (approximately $0.2 million) because obtaining the necessary regulatory approvals and termination of existing distributor relationship was not feasible. During fiscal years ended 2024 and 2023, $1.5 million in revenue related to the exclusive distribution rights was recorded each year.</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of Obtaining Revenue Contracts</w:t>
      </w:r>
    </w:p>
    <w:p>
      <w:pPr>
        <w:spacing w:after="0" w:line="11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We recognized assets from certain costs incurred to obtain revenue contracts. These costs relate to sales commissions arising from the sale of our products. The costs are considered incremental and recoverable of obtaining revenue contracts with customers. These deferred costs are amortized on a straight-line basis over the estimated period of benefit, which typically ranges from 2 to 3 years. These deferred costs are amortized on a straight-line basis over the estimated period of benefit, which typically ranges from 2 to 3 years. As of December 28, 2024 and December 30, 2023, we recognized deferred costs incurred to obtain revenue contracts with customers, net of accumulated amortization, of $0.2 million and included these amounts in Prepaid expenses and other current assets and Other long-term assets in our consolidated balance sheets. Amortization expense was $146 thousand and $105 thousand, respectively, for the fiscal years ended December 28, 2024 and December 30, 2023. There were no impairment expenses for both the fiscal years ended December 28, 2024 and December 30, 2023, respectively.</w:t>
      </w:r>
    </w:p>
    <w:p>
      <w:pPr>
        <w:spacing w:after="0" w:line="8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Sales commissions that do not represent incremental and recoverable costs of obtaining a contract are expensed as incurred. As a practical expedient, we will not recognize such sales commission as a contract asset but rather recognize as an expense when incurred if the amortization period of the asset that we would have otherwise recognized is one year or less.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Fulfillment Costs</w:t>
      </w:r>
    </w:p>
    <w:p>
      <w:pPr>
        <w:spacing w:after="0" w:line="119"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We recognized an asset from the costs incurred to fulfill a contract. These costs relate directly and must be incurred to satisfy performance obligations on certain specific contract with a customer. These costs are expected to be recovered over time and are amortized on a systematic basis that is consistent with the recognition of revenue to which it relates. As of December 28, 2024 and December 30, 2023, we recognized deferred costs incurred to fulfill a contract with a customer, net of accumulated amortization, of $0.6 million and $0.7 million, respectively, and included these amounts in Prepaid expenses and other current assets and Other long-term assets in our consolidated balance sheets. Amortization expense was $83 thousand, for the fiscal years ended December 28, 2024 and December 30, 2023. There were no impairment expenses for both the fiscal years ended December 28, 2024 and December 30, 2023.</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and include on-hand inventory physically held at our facility, sales demo inventory and service loaner inventory. Cost is determined on a standard cost basis which approximates actual cost on a First-in, First-out ("FIFO") method. Lower of cost or net realizable value is evaluated by considering obsolescence, excessive levels of inventory, deterioration and other factors. Adjustments to reduce the cost of inventory to its net realizable value, if required, are made for estimated excess, obsolete or impaired inventory and are charged to cost of revenues. Once the cost of the inventory is reduced, a new lower-cost basis for that inventory is established, and subsequent changes in facts and circumstances do not result in the restoration or increase in that newly established cost basis. Factors influencing these adjustments include changes in demand, product life cycle and development plans, component cost trends,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60"/>
          </w:cols>
          <w:pgMar w:left="1400" w:top="1201" w:right="1439" w:bottom="1440" w:gutter="0" w:footer="0" w:header="0"/>
        </w:sectPr>
      </w:pPr>
    </w:p>
    <w:bookmarkStart w:id="44" w:name="page45"/>
    <w:bookmarkEnd w:id="44"/>
    <w:p>
      <w:pPr>
        <w:ind w:right="220"/>
        <w:spacing w:after="0" w:line="282" w:lineRule="auto"/>
        <w:rPr>
          <w:sz w:val="20"/>
          <w:szCs w:val="20"/>
          <w:color w:val="auto"/>
        </w:rPr>
      </w:pPr>
      <w:r>
        <w:rPr>
          <w:rFonts w:ascii="Times New Roman" w:cs="Times New Roman" w:eastAsia="Times New Roman" w:hAnsi="Times New Roman"/>
          <w:sz w:val="18"/>
          <w:szCs w:val="18"/>
          <w:color w:val="auto"/>
        </w:rPr>
        <w:t>product pricing, physical deterioration and quality issues. Revisions to these adjustments would be required if these factors differ from our estimates.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Credit Loss and Sales Returns</w:t>
      </w:r>
    </w:p>
    <w:p>
      <w:pPr>
        <w:spacing w:after="0" w:line="11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We estimate future sales returns related to current period product revenue. We analyze historical returns, and changes in customer demand and acceptance of our products when evaluating the adequacy of the sales returns allowance. Significant management judgment and estimates must be made and used in connection with establishing the sales returns allowance in any accounting period. Material differences may result in the amount and timing of our revenue for any period if management made different judgments or utilized different estimates. Our provision for sales returns is recorded net of the associated costs.</w:t>
      </w:r>
    </w:p>
    <w:p>
      <w:pPr>
        <w:spacing w:after="0" w:line="7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Similarly, management must make estimates regarding the collectability of accounts receivable. We are exposed to credit risk in the event of non-payment by customers to the extent of amounts recorded on the consolidated balance sheets. As sales increase the level of accounts receivable would likely also increase. In addition, in the event that customers were to delay their payments to us, the levels of accounts receivable would likely also increase. We maintain provision for credit losses for estimated losses resulting from the inability of our customers to make required payments. The provision for credit losses is based on past payment history with the customer, analysis of the customer’s current financial condition, the aging of the accounts receivable balance, customer concentration and other known factors.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119"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We provide reserves for the estimated cost of product warranties at the time revenue is recognized based on historical experience of known product failure rates and expected material and labor costs to provide warranty services. We generally provide a two-year warranty on our products. Additionally, from time to time, specific warranty accruals may be made if unforeseen technical problems arise. Alternatively, if estimates are determined to be greater than the actual amounts necessary, we may reverse a portion of such provisions in future periods. Our warranty policy is applicable to products which are considered defective in their performance or fail to meet the product specifications. Warranty costs are reflected in the consolidated statements of operations as cost of revenues.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We account for income taxes in accordance with ASC 740, “Income Taxes” (“ASC 740”), which requires that deferred tax assets and liabilities be recognized using enacted tax rates for the effect of temporary differences between the book and tax bases of recorded assets and liabilities. Under ASC 740, the liability method is used in accounting for income taxes. Deferred tax assets and liabilities are determined based on the differences between financial reporting and the tax basis of assets and liabilities, and are measured using the enacted tax rates and laws that will be in effect when the differences are expected to reverse. ASC 740 also requires that deferred tax assets be reduced by a valuation allowance if it is more likely than not that some or all of the deferred tax asset will not be realized. We annually evaluate the realizability of our deferred tax assets by assessing our valuation allowance and by adjusting the amount of such allowance, if necessary. The factors used to assess the likelihood of realization include our forecast of future taxable income and available tax planning strategies that could be implemented to realize the net deferred tax assets. In 2024, based on our history of earnings and our forecasted losses, we believe on the more likely than not basis that a full valuation allowance is required. Accordingly, in the fourth quarter of fiscal year 2024, we provided a full valuation allowance on our federal and state deferred tax assets.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Uncertainty in Income Taxes</w:t>
      </w:r>
    </w:p>
    <w:p>
      <w:pPr>
        <w:spacing w:after="0" w:line="11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We account for uncertain tax positions in accordance with ASC 740. ASC 740 seeks to reduce the diversity in practice associated with certain aspects of measurement and recognition in accounting for income taxes.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"more-likely-than-not" threshold. In accordance with our accounting policy, we recognize accrued interest and penalties related to unrecognized tax benefits as a component of income tax expense. There was no accrued interest and penalties during the year ended December 28, 2024.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Stock-Based Compensation</w:t>
      </w:r>
    </w:p>
    <w:p>
      <w:pPr>
        <w:spacing w:after="0" w:line="11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We account for stock-based compensation granted to employees and directors, including employees’ stock option awards and restricted stock units at grant date, based on the fair value of the award. Stock-based compensation is recognized as expense on a ratable basis over the requisite service period of the award.</w:t>
      </w:r>
    </w:p>
    <w:p>
      <w:pPr>
        <w:spacing w:after="0" w:line="68" w:lineRule="exact"/>
        <w:rPr>
          <w:sz w:val="20"/>
          <w:szCs w:val="20"/>
          <w:color w:val="auto"/>
        </w:rPr>
      </w:pPr>
    </w:p>
    <w:p>
      <w:pPr>
        <w:ind w:right="40" w:firstLine="440"/>
        <w:spacing w:after="0" w:line="274" w:lineRule="auto"/>
        <w:rPr>
          <w:sz w:val="20"/>
          <w:szCs w:val="20"/>
          <w:color w:val="auto"/>
        </w:rPr>
      </w:pPr>
      <w:r>
        <w:rPr>
          <w:rFonts w:ascii="Times New Roman" w:cs="Times New Roman" w:eastAsia="Times New Roman" w:hAnsi="Times New Roman"/>
          <w:sz w:val="17"/>
          <w:szCs w:val="17"/>
          <w:color w:val="auto"/>
        </w:rPr>
        <w:t>We value options using the Black-Scholes option pricing model. Time-based restricted stock units are valued at the grant date fair value of the underlying common shares. Performance-based restricted stock units without market conditions are valued at grant date fair value of the underlying common shares. Performance-based restricted stock units granted with market conditions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01" w:right="1419" w:bottom="1041" w:gutter="0" w:footer="0" w:header="0"/>
        </w:sectPr>
      </w:pPr>
    </w:p>
    <w:bookmarkStart w:id="45" w:name="page46"/>
    <w:bookmarkEnd w:id="45"/>
    <w:p>
      <w:pPr>
        <w:ind w:right="120"/>
        <w:spacing w:after="0" w:line="282" w:lineRule="auto"/>
        <w:rPr>
          <w:sz w:val="20"/>
          <w:szCs w:val="20"/>
          <w:color w:val="auto"/>
        </w:rPr>
      </w:pPr>
      <w:r>
        <w:rPr>
          <w:rFonts w:ascii="Times New Roman" w:cs="Times New Roman" w:eastAsia="Times New Roman" w:hAnsi="Times New Roman"/>
          <w:sz w:val="18"/>
          <w:szCs w:val="18"/>
          <w:color w:val="auto"/>
        </w:rPr>
        <w:t>stock. The Monte Carlo simulation model incorporates assumptions for the holding period, risk-free interest rate, stock price volatility and dividend yield.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We determine if an arrangement is a lease at inception. Operating leases are included in Operating lease right-of-use (“ROU”) assets, net and Operating lease liabilities in our consolidated balance sheets. As of December 28, 2024, we were not a party to finance lease arrangements.</w:t>
      </w:r>
    </w:p>
    <w:p>
      <w:pPr>
        <w:spacing w:after="0" w:line="68"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ROU assets and operating lease liabilities are recognized at the commencement date based on the present value of lease payments over the lease term. As most of our leases do not provide an implicit rate, we use our incremental borrowing rate based on information available at the commencement date in determining the present value of lease payments. We use the implicit rate when readily determinable. The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spacing w:after="0" w:line="84" w:lineRule="exact"/>
        <w:rPr>
          <w:sz w:val="20"/>
          <w:szCs w:val="20"/>
          <w:color w:val="auto"/>
        </w:rPr>
      </w:pPr>
    </w:p>
    <w:p>
      <w:pPr>
        <w:ind w:right="840" w:firstLine="440"/>
        <w:spacing w:after="0" w:line="282" w:lineRule="auto"/>
        <w:rPr>
          <w:sz w:val="20"/>
          <w:szCs w:val="20"/>
          <w:color w:val="auto"/>
        </w:rPr>
      </w:pPr>
      <w:r>
        <w:rPr>
          <w:rFonts w:ascii="Times New Roman" w:cs="Times New Roman" w:eastAsia="Times New Roman" w:hAnsi="Times New Roman"/>
          <w:sz w:val="18"/>
          <w:szCs w:val="18"/>
          <w:color w:val="auto"/>
        </w:rPr>
        <w:t>Under the available practical expedient, we account for the lease and non-lease components as a single lease component.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Assets and liabilities of foreign operations with non-U.S. dollar functional currency are translated to U.S. dollars using exchange rates in effect at the end of the period. Revenue and expenses are translated to U.S. dollars using rates that approximate those in effect during the period. The resulting translation adjustments are included in our Consolidated Balance Sheets in the stockholders’ equity section as a component of accumulated other comprehensive income (loss).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11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In November 2023, the Financial Standards Accounting Board (FASB) issued Accounting Standards Update (ASU) 2023-07 "Segment Reporting (Topic 280): Improvements to Reportable Segment Disclosures" which expands annual and interim disclosure requirements for reportable segments, primarily through enhanced disclosures about significant segment expenses. The amendment is effective for fiscal years beginning after December 15, 2023 and interim periods within fiscal years beginning after December 15, 2024, with early adoption permitted. The amendment should be applied retrospectively to all prior periods presented in the financial statements. We adopted this ASU on December 31, 2023 with no material impact on our consolidated financial statements. The required segment disclosures are included above.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01" w:right="14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Not Yet Adopted</w:t>
      </w:r>
    </w:p>
    <w:p>
      <w:pPr>
        <w:spacing w:after="0" w:line="11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(Topics 740): Improvements to Income Tax Disclosures" to expand the disclosure requirements for income taxes, specifically related to the rate reconciliation and income taxes paid. ASU 2023-09 is effective for our annual periods beginning January 1, 2025, with early adoption permitted. We are currently evaluating the potential effect that the updated standard will have on our consolidated financial statement disclosures.</w:t>
      </w:r>
    </w:p>
    <w:p>
      <w:pPr>
        <w:spacing w:after="0" w:line="7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which requires disclosure of disaggregated information about certain income statement expense line items on an annual and interim basis. This update will be effective for fiscal years beginning after December 15, 2026, and interim periods within fiscal years beginning after December 15, 2027. Early adoption is permitted. As this accounting standard only impacts disclosures, it will not have a material impact on the Company’s consolidated financial statements.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in Rule 12b-2 of the Exchange Act, we are not required to provide the information called for by this Item.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Our consolidated balance sheets as of December 28, 2024 and December 30, 2023 and the consolidated statements of operations, comprehensive loss, stockholders’ equity and cash flows for each of our fiscal years 2024 and 2023 together with the related notes and the report of our independent registered public accounting firm, are on the following pages. Additional required financial information is described in Item 15.</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60"/>
          </w:cols>
          <w:pgMar w:left="1400" w:top="1199" w:right="14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IRIDEX Corporation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IRIDEX Corporation (a Delaware corporation) and its subsidiaries (the “Company”) as of December 28, 2024 and December 30, 2023, and the related consolidated statements of operations, comprehensive loss, stockholders’ equity, and cash flows for each of the two years in the period ended December 28, 2024, and the related notes (collectively referred to as the “consolidated financial statements”). In our opinion, the consolidated financial statements present fairly, in all material respects, the financial position of the Company as of December 28, 2024 and December 30, 2023, and the results of its operations and its cash flows for each of the two years in the period ended December 28, 2024, in conformity with accounting principles generally accepted in the United States of America.</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5"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9"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Valuation - Adjustments for Excess or Obsolete Inventories</w:t>
      </w:r>
    </w:p>
    <w:p>
      <w:pPr>
        <w:spacing w:after="0" w:line="119" w:lineRule="exact"/>
        <w:rPr>
          <w:sz w:val="20"/>
          <w:szCs w:val="20"/>
          <w:color w:val="auto"/>
        </w:rPr>
      </w:pPr>
    </w:p>
    <w:p>
      <w:pPr>
        <w:jc w:val="both"/>
        <w:ind w:right="180" w:firstLine="440"/>
        <w:spacing w:after="0" w:line="257" w:lineRule="auto"/>
        <w:rPr>
          <w:sz w:val="20"/>
          <w:szCs w:val="20"/>
          <w:color w:val="auto"/>
        </w:rPr>
      </w:pPr>
      <w:r>
        <w:rPr>
          <w:rFonts w:ascii="Times New Roman" w:cs="Times New Roman" w:eastAsia="Times New Roman" w:hAnsi="Times New Roman"/>
          <w:sz w:val="18"/>
          <w:szCs w:val="18"/>
          <w:color w:val="auto"/>
        </w:rPr>
        <w:t>As described in Notes 2 and 5 to the consolidated financial statements, the Company has inventories with a carrying value of $10.8 million as of December 28, 2024. The Company’s inventories are stated at the lower of cost or net realizable value. Cost is determined on a standard cost basis which approximates actual cost on a first-in, first-out (“FIFO”) method.</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Lower of cost or net realizable value is evaluated by considering obsolescence, excessive levels of inventory, deterioration, and other factors. Adjustments to reduce the cost of inventory to its net realizable value, if required, are made for estimated excess, obsolescence or impaired inventory and are charged to cost of revenues. The Company’s inventories include demonstration units (“demos”) to facilitate the sale of products to prospective customers and loaners for existing customers to use while their product is under repair.</w:t>
      </w:r>
    </w:p>
    <w:p>
      <w:pPr>
        <w:spacing w:after="0" w:line="295"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net realizable value adjustments to inventories is a critical audit matter are the significant amount of judgment by management in developing the assumptions of the forecasted changes in demand, product life cycle and development plans, component cost trends, product pricing, physical deterioration and quality issues, which in turn led to significant auditor judgment, subjectivity, and effort in performing audit procedures and evaluating audit evidence relating to these factors. Additionally, for certain new product launches there may be limited historical data with which to evaluate forecasts.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89" w:right="1419" w:bottom="1440" w:gutter="0" w:footer="0" w:header="0"/>
        </w:sectPr>
      </w:pPr>
    </w:p>
    <w:bookmarkStart w:id="48" w:name="page49"/>
    <w:bookmarkEnd w:id="48"/>
    <w:p>
      <w:pPr>
        <w:ind w:firstLine="440"/>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obtaining an understanding of the Company’s inventory reserve review process, including the assumptions and data underlying the excess and obsolete inventory valuation. The procedures also included, among others, testing management’s process for developing the estimate of the adjustments for excess or obsolete inventories, testing the completeness and accuracy of the underlying data used in the estimate, and evaluating management’s assumptions of forecasted product demand. Evaluating management’s demand forecast for reasonableness involved considering historical sales by product, comparing prior period estimates to actual results, and determining whether the demand forecast used was consistent with evidence obtained in other areas of the audit.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BPM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417" w:right="1419" w:bottom="1440" w:gutter="0" w:footer="0" w:header="0"/>
        </w:sectPr>
      </w:pPr>
    </w:p>
    <w:bookmarkStart w:id="49" w:name="page50"/>
    <w:bookmarkEnd w:id="4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15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209"/>
        </w:trPr>
        <w:tc>
          <w:tcPr>
            <w:tcW w:w="6200" w:type="dxa"/>
            <w:vAlign w:val="bottom"/>
            <w:shd w:val="clear" w:color="auto" w:fill="CFF0FC"/>
          </w:tcPr>
          <w:p>
            <w:pPr>
              <w:ind w:left="27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6,727</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Receivable from related party</w:t>
            </w: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100" w:type="dxa"/>
            <w:vAlign w:val="bottom"/>
          </w:tcPr>
          <w:p>
            <w:pPr>
              <w:spacing w:after="0"/>
              <w:rPr>
                <w:sz w:val="18"/>
                <w:szCs w:val="18"/>
                <w:color w:val="auto"/>
              </w:rPr>
            </w:pPr>
          </w:p>
        </w:tc>
      </w:tr>
      <w:tr>
        <w:trPr>
          <w:trHeight w:val="216"/>
        </w:trPr>
        <w:tc>
          <w:tcPr>
            <w:tcW w:w="6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27,450</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00" w:type="dxa"/>
            <w:vAlign w:val="bottom"/>
          </w:tcPr>
          <w:p>
            <w:pPr>
              <w:spacing w:after="0"/>
              <w:rPr>
                <w:sz w:val="18"/>
                <w:szCs w:val="18"/>
                <w:color w:val="auto"/>
              </w:rPr>
            </w:pPr>
          </w:p>
        </w:tc>
      </w:tr>
      <w:tr>
        <w:trPr>
          <w:trHeight w:val="216"/>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4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29,135</w:t>
            </w:r>
          </w:p>
        </w:tc>
        <w:tc>
          <w:tcPr>
            <w:tcW w:w="22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34,436</w:t>
            </w:r>
          </w:p>
        </w:tc>
        <w:tc>
          <w:tcPr>
            <w:tcW w:w="100" w:type="dxa"/>
            <w:vAlign w:val="bottom"/>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200" w:type="dxa"/>
            <w:vAlign w:val="bottom"/>
            <w:shd w:val="clear" w:color="auto" w:fill="CFF0FC"/>
          </w:tcPr>
          <w:p>
            <w:pPr>
              <w:ind w:left="108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6,985</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Payable to related party</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Convertible note payable, current</w:t>
            </w: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 current</w:t>
            </w: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Pr>
          <w:p>
            <w:pPr>
              <w:spacing w:after="0"/>
              <w:rPr>
                <w:sz w:val="18"/>
                <w:szCs w:val="18"/>
                <w:color w:val="auto"/>
              </w:rPr>
            </w:pPr>
          </w:p>
        </w:tc>
      </w:tr>
      <w:tr>
        <w:trPr>
          <w:trHeight w:val="210"/>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16,559</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12,974</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8,350</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10,025</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Convertible note payable</w:t>
            </w: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8"/>
                <w:szCs w:val="18"/>
                <w:color w:val="auto"/>
              </w:rPr>
            </w:pPr>
          </w:p>
        </w:tc>
      </w:tr>
      <w:tr>
        <w:trPr>
          <w:trHeight w:val="210"/>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4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27,038</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62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Preferred stock, $0.01 par value, 2,000,000 shares authorized, no shares issued and</w:t>
            </w: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4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Authorized: 30,000,000 shares;</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20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Issued and outstanding 16,636,380 shares as of December 28, 2024 and</w:t>
            </w:r>
          </w:p>
        </w:tc>
        <w:tc>
          <w:tcPr>
            <w:tcW w:w="4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16,252,813 as of December 30, 2023</w:t>
            </w:r>
          </w:p>
        </w:tc>
        <w:tc>
          <w:tcPr>
            <w:tcW w:w="40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FF0FC"/>
          </w:tcPr>
          <w:p>
            <w:pPr>
              <w:spacing w:after="0"/>
              <w:rPr>
                <w:sz w:val="20"/>
                <w:szCs w:val="20"/>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89,881</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88,444</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(52 )</w:t>
            </w: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4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(88,009 )</w:t>
            </w:r>
          </w:p>
        </w:tc>
        <w:tc>
          <w:tcPr>
            <w:tcW w:w="4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(79,042 )</w:t>
            </w:r>
          </w:p>
        </w:tc>
      </w:tr>
      <w:tr>
        <w:trPr>
          <w:trHeight w:val="210"/>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2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4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29,135</w:t>
            </w:r>
          </w:p>
        </w:tc>
        <w:tc>
          <w:tcPr>
            <w:tcW w:w="220" w:type="dxa"/>
            <w:vAlign w:val="bottom"/>
          </w:tcPr>
          <w:p>
            <w:pPr>
              <w:spacing w:after="0"/>
              <w:rPr>
                <w:sz w:val="18"/>
                <w:szCs w:val="18"/>
                <w:color w:val="auto"/>
              </w:rPr>
            </w:pPr>
          </w:p>
        </w:tc>
        <w:tc>
          <w:tcPr>
            <w:tcW w:w="4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34,436</w:t>
            </w:r>
          </w:p>
        </w:tc>
        <w:tc>
          <w:tcPr>
            <w:tcW w:w="100" w:type="dxa"/>
            <w:vAlign w:val="bottom"/>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-5185410</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-5185410</wp:posOffset>
            </wp:positionV>
            <wp:extent cx="596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-4354195</wp:posOffset>
            </wp:positionV>
            <wp:extent cx="603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-4354195</wp:posOffset>
            </wp:positionV>
            <wp:extent cx="596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-1833880</wp:posOffset>
            </wp:positionV>
            <wp:extent cx="603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-1833880</wp:posOffset>
            </wp:positionV>
            <wp:extent cx="596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-170815</wp:posOffset>
            </wp:positionV>
            <wp:extent cx="603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-170815</wp:posOffset>
            </wp:positionV>
            <wp:extent cx="596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89" w:right="1419" w:bottom="1440" w:gutter="0" w:footer="0" w:header="0"/>
        </w:sectPr>
      </w:pPr>
    </w:p>
    <w:bookmarkStart w:id="50" w:name="page51"/>
    <w:bookmarkEnd w:id="5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3"/>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180" w:type="dxa"/>
            <w:vAlign w:val="bottom"/>
          </w:tcPr>
          <w:p>
            <w:pPr>
              <w:spacing w:after="0"/>
              <w:rPr>
                <w:sz w:val="12"/>
                <w:szCs w:val="12"/>
                <w:color w:val="auto"/>
              </w:rPr>
            </w:pPr>
          </w:p>
        </w:tc>
        <w:tc>
          <w:tcPr>
            <w:tcW w:w="1540" w:type="dxa"/>
            <w:vAlign w:val="bottom"/>
            <w:gridSpan w:val="3"/>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2024</w:t>
            </w:r>
          </w:p>
        </w:tc>
        <w:tc>
          <w:tcPr>
            <w:tcW w:w="1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30, 2023</w:t>
            </w:r>
          </w:p>
        </w:tc>
        <w:tc>
          <w:tcPr>
            <w:tcW w:w="100" w:type="dxa"/>
            <w:vAlign w:val="bottom"/>
          </w:tcPr>
          <w:p>
            <w:pPr>
              <w:spacing w:after="0"/>
              <w:rPr>
                <w:sz w:val="12"/>
                <w:szCs w:val="12"/>
                <w:color w:val="auto"/>
              </w:rPr>
            </w:pPr>
          </w:p>
        </w:tc>
      </w:tr>
      <w:tr>
        <w:trPr>
          <w:trHeight w:val="209"/>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460" w:type="dxa"/>
            <w:vAlign w:val="bottom"/>
            <w:tcBorders>
              <w:top w:val="single" w:sz="8" w:color="auto"/>
            </w:tcBorders>
            <w:shd w:val="clear" w:color="auto" w:fill="CFF0FC"/>
          </w:tcPr>
          <w:p>
            <w:pPr>
              <w:jc w:val="right"/>
              <w:ind w:right="274"/>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48,669</w:t>
            </w:r>
          </w:p>
        </w:tc>
        <w:tc>
          <w:tcPr>
            <w:tcW w:w="220" w:type="dxa"/>
            <w:vAlign w:val="bottom"/>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51,869</w:t>
            </w: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29,167</w:t>
            </w: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30,062</w:t>
            </w:r>
          </w:p>
        </w:tc>
        <w:tc>
          <w:tcPr>
            <w:tcW w:w="100" w:type="dxa"/>
            <w:vAlign w:val="bottom"/>
          </w:tcPr>
          <w:p>
            <w:pPr>
              <w:spacing w:after="0"/>
              <w:rPr>
                <w:sz w:val="18"/>
                <w:szCs w:val="18"/>
                <w:color w:val="auto"/>
              </w:rPr>
            </w:pPr>
          </w:p>
        </w:tc>
      </w:tr>
      <w:tr>
        <w:trPr>
          <w:trHeight w:val="209"/>
        </w:trPr>
        <w:tc>
          <w:tcPr>
            <w:tcW w:w="6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19,502</w:t>
            </w:r>
          </w:p>
        </w:tc>
        <w:tc>
          <w:tcPr>
            <w:tcW w:w="2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21,807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5,449</w:t>
            </w:r>
          </w:p>
        </w:tc>
        <w:tc>
          <w:tcPr>
            <w:tcW w:w="2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6,829</w:t>
            </w:r>
          </w:p>
        </w:tc>
        <w:tc>
          <w:tcPr>
            <w:tcW w:w="100" w:type="dxa"/>
            <w:vAlign w:val="bottom"/>
            <w:shd w:val="clear" w:color="auto" w:fill="CFF0FC"/>
          </w:tcPr>
          <w:p>
            <w:pPr>
              <w:spacing w:after="0"/>
              <w:rPr>
                <w:sz w:val="18"/>
                <w:szCs w:val="18"/>
                <w:color w:val="auto"/>
              </w:rPr>
            </w:pPr>
          </w:p>
        </w:tc>
      </w:tr>
      <w:tr>
        <w:trPr>
          <w:trHeight w:val="216"/>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12,579</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16,237</w:t>
            </w:r>
          </w:p>
        </w:tc>
        <w:tc>
          <w:tcPr>
            <w:tcW w:w="100" w:type="dxa"/>
            <w:vAlign w:val="bottom"/>
          </w:tcPr>
          <w:p>
            <w:pPr>
              <w:spacing w:after="0"/>
              <w:rPr>
                <w:sz w:val="18"/>
                <w:szCs w:val="18"/>
                <w:color w:val="auto"/>
              </w:rPr>
            </w:pPr>
          </w:p>
        </w:tc>
      </w:tr>
      <w:tr>
        <w:trPr>
          <w:trHeight w:val="216"/>
        </w:trPr>
        <w:tc>
          <w:tcPr>
            <w:tcW w:w="6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9,776</w:t>
            </w:r>
          </w:p>
        </w:tc>
        <w:tc>
          <w:tcPr>
            <w:tcW w:w="2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27,804</w:t>
            </w: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31,814</w:t>
            </w:r>
          </w:p>
        </w:tc>
        <w:tc>
          <w:tcPr>
            <w:tcW w:w="100" w:type="dxa"/>
            <w:vAlign w:val="bottom"/>
          </w:tcPr>
          <w:p>
            <w:pPr>
              <w:spacing w:after="0"/>
              <w:rPr>
                <w:sz w:val="18"/>
                <w:szCs w:val="18"/>
                <w:color w:val="auto"/>
              </w:rPr>
            </w:pPr>
          </w:p>
        </w:tc>
      </w:tr>
      <w:tr>
        <w:trPr>
          <w:trHeight w:val="209"/>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4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(8,302 )</w:t>
            </w:r>
          </w:p>
        </w:tc>
        <w:tc>
          <w:tcPr>
            <w:tcW w:w="4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(10,007 )</w:t>
            </w: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4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(540 )</w:t>
            </w: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 before provision for income taxes</w:t>
            </w:r>
          </w:p>
        </w:tc>
        <w:tc>
          <w:tcPr>
            <w:tcW w:w="4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(8,842 )</w:t>
            </w:r>
          </w:p>
        </w:tc>
        <w:tc>
          <w:tcPr>
            <w:tcW w:w="4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(9,480 )</w:t>
            </w:r>
          </w:p>
        </w:tc>
      </w:tr>
      <w:tr>
        <w:trPr>
          <w:trHeight w:val="216"/>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r>
      <w:tr>
        <w:trPr>
          <w:trHeight w:val="249"/>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(8,910 )</w:t>
            </w:r>
          </w:p>
        </w:tc>
        <w:tc>
          <w:tcPr>
            <w:tcW w:w="460" w:type="dxa"/>
            <w:vAlign w:val="bottom"/>
            <w:shd w:val="clear" w:color="auto" w:fill="CFF0FC"/>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(9,570 )</w:t>
            </w:r>
          </w:p>
        </w:tc>
      </w:tr>
      <w:tr>
        <w:trPr>
          <w:trHeight w:val="197"/>
        </w:trPr>
        <w:tc>
          <w:tcPr>
            <w:tcW w:w="618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w:t>
            </w:r>
          </w:p>
        </w:tc>
        <w:tc>
          <w:tcPr>
            <w:tcW w:w="4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36"/>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shd w:val="clear" w:color="auto" w:fill="CFF0FC"/>
          </w:tcPr>
          <w:p>
            <w:pPr>
              <w:jc w:val="right"/>
              <w:ind w:right="274"/>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(0.54 )</w:t>
            </w:r>
          </w:p>
        </w:tc>
        <w:tc>
          <w:tcPr>
            <w:tcW w:w="460" w:type="dxa"/>
            <w:vAlign w:val="bottom"/>
            <w:shd w:val="clear" w:color="auto" w:fill="CFF0FC"/>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(0.59 )</w:t>
            </w:r>
          </w:p>
        </w:tc>
      </w:tr>
      <w:tr>
        <w:trPr>
          <w:trHeight w:val="20"/>
        </w:trPr>
        <w:tc>
          <w:tcPr>
            <w:tcW w:w="61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618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460" w:type="dxa"/>
            <w:vAlign w:val="bottom"/>
          </w:tcPr>
          <w:p>
            <w:pPr>
              <w:jc w:val="right"/>
              <w:ind w:right="274"/>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(0.54 )</w:t>
            </w:r>
          </w:p>
        </w:tc>
        <w:tc>
          <w:tcPr>
            <w:tcW w:w="460" w:type="dxa"/>
            <w:vAlign w:val="bottom"/>
          </w:tcPr>
          <w:p>
            <w:pPr>
              <w:jc w:val="right"/>
              <w:ind w:right="254"/>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(0.59 )</w:t>
            </w:r>
          </w:p>
        </w:tc>
      </w:tr>
      <w:tr>
        <w:trPr>
          <w:trHeight w:val="20"/>
        </w:trPr>
        <w:tc>
          <w:tcPr>
            <w:tcW w:w="6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1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used in computing net loss per common share:</w:t>
            </w:r>
          </w:p>
        </w:tc>
        <w:tc>
          <w:tcPr>
            <w:tcW w:w="4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16,439</w:t>
            </w:r>
          </w:p>
        </w:tc>
        <w:tc>
          <w:tcPr>
            <w:tcW w:w="2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16,128</w:t>
            </w:r>
          </w:p>
        </w:tc>
        <w:tc>
          <w:tcPr>
            <w:tcW w:w="10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180" w:type="dxa"/>
            <w:vAlign w:val="bottom"/>
            <w:tcBorders>
              <w:bottom w:val="single" w:sz="8" w:color="CFF0FC"/>
            </w:tcBorders>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4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16,439</w:t>
            </w:r>
          </w:p>
        </w:tc>
        <w:tc>
          <w:tcPr>
            <w:tcW w:w="22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16,128</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-2365375</wp:posOffset>
            </wp:positionV>
            <wp:extent cx="596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-2365375</wp:posOffset>
            </wp:positionV>
            <wp:extent cx="596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-1808480</wp:posOffset>
            </wp:positionV>
            <wp:extent cx="596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-1808480</wp:posOffset>
            </wp:positionV>
            <wp:extent cx="596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-951230</wp:posOffset>
            </wp:positionV>
            <wp:extent cx="596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-933450</wp:posOffset>
            </wp:positionV>
            <wp:extent cx="596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-951230</wp:posOffset>
            </wp:positionV>
            <wp:extent cx="596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-933450</wp:posOffset>
            </wp:positionV>
            <wp:extent cx="596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-650875</wp:posOffset>
            </wp:positionV>
            <wp:extent cx="596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-633730</wp:posOffset>
            </wp:positionV>
            <wp:extent cx="596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-650875</wp:posOffset>
            </wp:positionV>
            <wp:extent cx="596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-633730</wp:posOffset>
            </wp:positionV>
            <wp:extent cx="596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-25400</wp:posOffset>
            </wp:positionV>
            <wp:extent cx="5969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-8255</wp:posOffset>
            </wp:positionV>
            <wp:extent cx="5969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596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-8255</wp:posOffset>
            </wp:positionV>
            <wp:extent cx="596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89" w:right="1419" w:bottom="1440" w:gutter="0" w:footer="0" w:header="0"/>
        </w:sectPr>
      </w:pPr>
    </w:p>
    <w:bookmarkStart w:id="51" w:name="page52"/>
    <w:bookmarkEnd w:id="5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1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120" w:type="dxa"/>
            <w:vAlign w:val="bottom"/>
          </w:tcPr>
          <w:p>
            <w:pPr>
              <w:spacing w:after="0"/>
              <w:rPr>
                <w:sz w:val="12"/>
                <w:szCs w:val="12"/>
                <w:color w:val="auto"/>
              </w:rPr>
            </w:pPr>
          </w:p>
        </w:tc>
        <w:tc>
          <w:tcPr>
            <w:tcW w:w="13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2024</w:t>
            </w:r>
          </w:p>
        </w:tc>
        <w:tc>
          <w:tcPr>
            <w:tcW w:w="240" w:type="dxa"/>
            <w:vAlign w:val="bottom"/>
          </w:tcPr>
          <w:p>
            <w:pPr>
              <w:spacing w:after="0"/>
              <w:rPr>
                <w:sz w:val="12"/>
                <w:szCs w:val="12"/>
                <w:color w:val="auto"/>
              </w:rPr>
            </w:pPr>
          </w:p>
        </w:tc>
        <w:tc>
          <w:tcPr>
            <w:tcW w:w="1300" w:type="dxa"/>
            <w:vAlign w:val="bottom"/>
            <w:tcBorders>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December 30, 2023</w:t>
            </w:r>
          </w:p>
        </w:tc>
        <w:tc>
          <w:tcPr>
            <w:tcW w:w="100" w:type="dxa"/>
            <w:vAlign w:val="bottom"/>
          </w:tcPr>
          <w:p>
            <w:pPr>
              <w:spacing w:after="0"/>
              <w:rPr>
                <w:sz w:val="12"/>
                <w:szCs w:val="12"/>
                <w:color w:val="auto"/>
              </w:rPr>
            </w:pPr>
          </w:p>
        </w:tc>
      </w:tr>
      <w:tr>
        <w:trPr>
          <w:trHeight w:val="210"/>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shd w:val="clear" w:color="auto" w:fill="CFF0FC"/>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(8,910 )</w:t>
            </w:r>
          </w:p>
        </w:tc>
        <w:tc>
          <w:tcPr>
            <w:tcW w:w="54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(9,570 )</w:t>
            </w:r>
          </w:p>
        </w:tc>
      </w:tr>
      <w:tr>
        <w:trPr>
          <w:trHeight w:val="216"/>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foreign currency translation adjustments, net of tax</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r>
      <w:tr>
        <w:trPr>
          <w:trHeight w:val="20"/>
        </w:trPr>
        <w:tc>
          <w:tcPr>
            <w:tcW w:w="6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480" w:type="dxa"/>
            <w:vAlign w:val="bottom"/>
            <w:shd w:val="clear" w:color="auto" w:fill="CFF0FC"/>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(8,807 )</w:t>
            </w:r>
          </w:p>
        </w:tc>
        <w:tc>
          <w:tcPr>
            <w:tcW w:w="54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(9,598 )</w:t>
            </w:r>
          </w:p>
        </w:tc>
      </w:tr>
      <w:tr>
        <w:trPr>
          <w:trHeight w:val="20"/>
        </w:trPr>
        <w:tc>
          <w:tcPr>
            <w:tcW w:w="61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-25400</wp:posOffset>
            </wp:positionV>
            <wp:extent cx="596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-8255</wp:posOffset>
            </wp:positionV>
            <wp:extent cx="596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-25400</wp:posOffset>
            </wp:positionV>
            <wp:extent cx="596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-8255</wp:posOffset>
            </wp:positionV>
            <wp:extent cx="596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89" w:right="1419" w:bottom="1440" w:gutter="0" w:footer="0" w:header="0"/>
        </w:sectPr>
      </w:pPr>
    </w:p>
    <w:bookmarkStart w:id="52" w:name="page53"/>
    <w:bookmarkEnd w:id="5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920" w:type="dxa"/>
            <w:vAlign w:val="bottom"/>
            <w:gridSpan w:val="4"/>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4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780" w:type="dxa"/>
            <w:vAlign w:val="bottom"/>
          </w:tcPr>
          <w:p>
            <w:pPr>
              <w:spacing w:after="0"/>
              <w:rPr>
                <w:sz w:val="13"/>
                <w:szCs w:val="13"/>
                <w:color w:val="auto"/>
              </w:rPr>
            </w:pPr>
          </w:p>
        </w:tc>
        <w:tc>
          <w:tcPr>
            <w:tcW w:w="1920" w:type="dxa"/>
            <w:vAlign w:val="bottom"/>
            <w:tcBorders>
              <w:bottom w:val="single" w:sz="8" w:color="auto"/>
            </w:tcBorders>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3"/>
                <w:szCs w:val="13"/>
                <w:color w:val="auto"/>
              </w:rPr>
            </w:pPr>
          </w:p>
        </w:tc>
        <w:tc>
          <w:tcPr>
            <w:tcW w:w="940" w:type="dxa"/>
            <w:vAlign w:val="bottom"/>
            <w:gridSpan w:val="2"/>
          </w:tcPr>
          <w:p>
            <w:pPr>
              <w:jc w:val="center"/>
              <w:ind w:right="360"/>
              <w:spacing w:after="0" w:line="160" w:lineRule="exact"/>
              <w:rPr>
                <w:sz w:val="20"/>
                <w:szCs w:val="20"/>
                <w:color w:val="auto"/>
              </w:rPr>
            </w:pPr>
            <w:r>
              <w:rPr>
                <w:rFonts w:ascii="Times New Roman" w:cs="Times New Roman" w:eastAsia="Times New Roman" w:hAnsi="Times New Roman"/>
                <w:sz w:val="14"/>
                <w:szCs w:val="14"/>
                <w:b w:val="1"/>
                <w:bCs w:val="1"/>
                <w:color w:val="auto"/>
                <w:w w:val="95"/>
              </w:rPr>
              <w:t>e</w:t>
            </w:r>
          </w:p>
        </w:tc>
        <w:tc>
          <w:tcPr>
            <w:tcW w:w="1060" w:type="dxa"/>
            <w:vAlign w:val="bottom"/>
            <w:gridSpan w:val="3"/>
            <w:vMerge w:val="continue"/>
          </w:tcPr>
          <w:p>
            <w:pPr>
              <w:spacing w:after="0"/>
              <w:rPr>
                <w:sz w:val="13"/>
                <w:szCs w:val="13"/>
                <w:color w:val="auto"/>
              </w:rPr>
            </w:pPr>
          </w:p>
        </w:tc>
        <w:tc>
          <w:tcPr>
            <w:tcW w:w="960" w:type="dxa"/>
            <w:vAlign w:val="bottom"/>
            <w:gridSpan w:val="3"/>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780" w:type="dxa"/>
            <w:vAlign w:val="bottom"/>
          </w:tcPr>
          <w:p>
            <w:pPr>
              <w:spacing w:after="0"/>
              <w:rPr>
                <w:sz w:val="12"/>
                <w:szCs w:val="12"/>
                <w:color w:val="auto"/>
              </w:rPr>
            </w:pPr>
          </w:p>
        </w:tc>
        <w:tc>
          <w:tcPr>
            <w:tcW w:w="880" w:type="dxa"/>
            <w:vAlign w:val="bottom"/>
            <w:tcBorders>
              <w:bottom w:val="single" w:sz="8" w:color="auto"/>
            </w:tcBorders>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2"/>
                <w:szCs w:val="12"/>
                <w:color w:val="auto"/>
              </w:rPr>
            </w:pPr>
          </w:p>
        </w:tc>
        <w:tc>
          <w:tcPr>
            <w:tcW w:w="98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Balances, December 31, 2022</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15,989,662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86,802</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(24 )</w:t>
            </w: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(69,716 )</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17,231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Adoption of ASU 2016-13</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the</w:t>
            </w:r>
          </w:p>
        </w:tc>
        <w:tc>
          <w:tcPr>
            <w:tcW w:w="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 option plan</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37,839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Release of restricted stock, net of taxes</w:t>
            </w:r>
          </w:p>
        </w:tc>
        <w:tc>
          <w:tcPr>
            <w:tcW w:w="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paid</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225,312</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(90 )</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(87 )</w:t>
            </w: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(28 )</w:t>
            </w:r>
          </w:p>
        </w:tc>
        <w:tc>
          <w:tcPr>
            <w:tcW w:w="18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03"/>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(9,570 )</w:t>
            </w: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(9,570 )</w:t>
            </w:r>
          </w:p>
        </w:tc>
        <w:tc>
          <w:tcPr>
            <w:tcW w:w="0" w:type="dxa"/>
            <w:vAlign w:val="bottom"/>
          </w:tcPr>
          <w:p>
            <w:pPr>
              <w:spacing w:after="0"/>
              <w:rPr>
                <w:sz w:val="1"/>
                <w:szCs w:val="1"/>
                <w:color w:val="auto"/>
              </w:rPr>
            </w:pPr>
          </w:p>
        </w:tc>
      </w:tr>
      <w:tr>
        <w:trPr>
          <w:trHeight w:val="20"/>
        </w:trPr>
        <w:tc>
          <w:tcPr>
            <w:tcW w:w="27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Balances, December 30, 2023</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16,252,813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88,444</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(52 )</w:t>
            </w: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(79,042 )</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the</w:t>
            </w:r>
          </w:p>
        </w:tc>
        <w:tc>
          <w:tcPr>
            <w:tcW w:w="8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 option plan</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incentive shares under</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convertible note</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Release of restricted stock, net of taxes</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paid</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254,589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(59 )</w:t>
            </w:r>
          </w:p>
        </w:tc>
        <w:tc>
          <w:tcPr>
            <w:tcW w:w="2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(58 )</w:t>
            </w:r>
          </w:p>
        </w:tc>
        <w:tc>
          <w:tcPr>
            <w:tcW w:w="0" w:type="dxa"/>
            <w:vAlign w:val="bottom"/>
          </w:tcPr>
          <w:p>
            <w:pPr>
              <w:spacing w:after="0"/>
              <w:rPr>
                <w:sz w:val="1"/>
                <w:szCs w:val="1"/>
                <w:color w:val="auto"/>
              </w:rPr>
            </w:pPr>
          </w:p>
        </w:tc>
      </w:tr>
      <w:tr>
        <w:trPr>
          <w:trHeight w:val="20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(57 )</w:t>
            </w: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(8,910 )</w:t>
            </w:r>
          </w:p>
        </w:tc>
        <w:tc>
          <w:tcPr>
            <w:tcW w:w="16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(8,910 )</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Balances, December 28, 2024</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16,636,380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89,881</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(88,009 )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-1456690</wp:posOffset>
            </wp:positionV>
            <wp:extent cx="514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-1456690</wp:posOffset>
            </wp:positionV>
            <wp:extent cx="514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-1456690</wp:posOffset>
            </wp:positionV>
            <wp:extent cx="514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-1456690</wp:posOffset>
            </wp:positionV>
            <wp:extent cx="514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-1456690</wp:posOffset>
            </wp:positionV>
            <wp:extent cx="514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-1456690</wp:posOffset>
            </wp:positionV>
            <wp:extent cx="514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-24765</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-8255</wp:posOffset>
            </wp:positionV>
            <wp:extent cx="514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-24765</wp:posOffset>
            </wp:positionV>
            <wp:extent cx="514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-8255</wp:posOffset>
            </wp:positionV>
            <wp:extent cx="5143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-24765</wp:posOffset>
            </wp:positionV>
            <wp:extent cx="514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-8255</wp:posOffset>
            </wp:positionV>
            <wp:extent cx="514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-24765</wp:posOffset>
            </wp:positionV>
            <wp:extent cx="514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-8255</wp:posOffset>
            </wp:positionV>
            <wp:extent cx="5143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514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51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514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89" w:right="1419" w:bottom="1440" w:gutter="0" w:footer="0" w:header="0"/>
        </w:sectPr>
      </w:pPr>
    </w:p>
    <w:bookmarkStart w:id="53" w:name="page54"/>
    <w:bookmarkEnd w:id="5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200" w:type="dxa"/>
            <w:vAlign w:val="bottom"/>
          </w:tcPr>
          <w:p>
            <w:pPr>
              <w:spacing w:after="0"/>
              <w:rPr>
                <w:sz w:val="12"/>
                <w:szCs w:val="12"/>
                <w:color w:val="auto"/>
              </w:rPr>
            </w:pPr>
          </w:p>
        </w:tc>
        <w:tc>
          <w:tcPr>
            <w:tcW w:w="1520" w:type="dxa"/>
            <w:vAlign w:val="bottom"/>
            <w:gridSpan w:val="3"/>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2024</w:t>
            </w:r>
          </w:p>
        </w:tc>
        <w:tc>
          <w:tcPr>
            <w:tcW w:w="12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30, 2023</w:t>
            </w:r>
          </w:p>
        </w:tc>
        <w:tc>
          <w:tcPr>
            <w:tcW w:w="100" w:type="dxa"/>
            <w:vAlign w:val="bottom"/>
          </w:tcPr>
          <w:p>
            <w:pPr>
              <w:spacing w:after="0"/>
              <w:rPr>
                <w:sz w:val="12"/>
                <w:szCs w:val="12"/>
                <w:color w:val="auto"/>
              </w:rPr>
            </w:pPr>
          </w:p>
        </w:tc>
      </w:tr>
      <w:tr>
        <w:trPr>
          <w:trHeight w:val="20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4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(8,910 )</w:t>
            </w:r>
          </w:p>
        </w:tc>
        <w:tc>
          <w:tcPr>
            <w:tcW w:w="50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(9,570 )</w:t>
            </w: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4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4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4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(254 )</w:t>
            </w:r>
          </w:p>
        </w:tc>
      </w:tr>
      <w:tr>
        <w:trPr>
          <w:trHeight w:val="216"/>
        </w:trPr>
        <w:tc>
          <w:tcPr>
            <w:tcW w:w="6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Receivable from related party</w:t>
            </w:r>
          </w:p>
        </w:tc>
        <w:tc>
          <w:tcPr>
            <w:tcW w:w="4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4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(911 )</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(1,108 )</w:t>
            </w:r>
          </w:p>
        </w:tc>
        <w:tc>
          <w:tcPr>
            <w:tcW w:w="5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long-term assets</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(427 )</w:t>
            </w:r>
          </w:p>
        </w:tc>
      </w:tr>
      <w:tr>
        <w:trPr>
          <w:trHeight w:val="216"/>
        </w:trPr>
        <w:tc>
          <w:tcPr>
            <w:tcW w:w="6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Payable to related party</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compensation</w:t>
            </w:r>
          </w:p>
        </w:tc>
        <w:tc>
          <w:tcPr>
            <w:tcW w:w="4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(829 )</w:t>
            </w:r>
          </w:p>
        </w:tc>
      </w:tr>
      <w:tr>
        <w:trPr>
          <w:trHeight w:val="216"/>
        </w:trPr>
        <w:tc>
          <w:tcPr>
            <w:tcW w:w="6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4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(1,519 )</w:t>
            </w: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4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(1,903 )</w:t>
            </w:r>
          </w:p>
        </w:tc>
        <w:tc>
          <w:tcPr>
            <w:tcW w:w="5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(1,723 )</w:t>
            </w:r>
          </w:p>
        </w:tc>
      </w:tr>
      <w:tr>
        <w:trPr>
          <w:trHeight w:val="216"/>
        </w:trPr>
        <w:tc>
          <w:tcPr>
            <w:tcW w:w="6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(841 )</w:t>
            </w: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(924 )</w:t>
            </w:r>
          </w:p>
        </w:tc>
      </w:tr>
      <w:tr>
        <w:trPr>
          <w:trHeight w:val="216"/>
        </w:trPr>
        <w:tc>
          <w:tcPr>
            <w:tcW w:w="62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liabilities</w:t>
            </w:r>
          </w:p>
        </w:tc>
        <w:tc>
          <w:tcPr>
            <w:tcW w:w="4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(7,285 )</w:t>
            </w: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(6,745 )</w:t>
            </w:r>
          </w:p>
        </w:tc>
      </w:tr>
      <w:tr>
        <w:trPr>
          <w:trHeight w:val="210"/>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4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4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(13 )</w:t>
            </w: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(109 )</w:t>
            </w:r>
          </w:p>
        </w:tc>
      </w:tr>
      <w:tr>
        <w:trPr>
          <w:trHeight w:val="20"/>
        </w:trPr>
        <w:tc>
          <w:tcPr>
            <w:tcW w:w="6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(13 )</w:t>
            </w:r>
          </w:p>
        </w:tc>
        <w:tc>
          <w:tcPr>
            <w:tcW w:w="5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(109 )</w:t>
            </w:r>
          </w:p>
        </w:tc>
      </w:tr>
      <w:tr>
        <w:trPr>
          <w:trHeight w:val="210"/>
        </w:trPr>
        <w:tc>
          <w:tcPr>
            <w:tcW w:w="62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proceeds from issuance of convertible note payable</w:t>
            </w:r>
          </w:p>
        </w:tc>
        <w:tc>
          <w:tcPr>
            <w:tcW w:w="4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on note payable</w:t>
            </w:r>
          </w:p>
        </w:tc>
        <w:tc>
          <w:tcPr>
            <w:tcW w:w="4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(218 )</w:t>
            </w:r>
          </w:p>
        </w:tc>
        <w:tc>
          <w:tcPr>
            <w:tcW w:w="5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paid for debt issuance costs</w:t>
            </w:r>
          </w:p>
        </w:tc>
        <w:tc>
          <w:tcPr>
            <w:tcW w:w="4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(493 )</w:t>
            </w:r>
          </w:p>
        </w:tc>
        <w:tc>
          <w:tcPr>
            <w:tcW w:w="5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for stock option exercises</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Taxes paid related to net share settlements of equity awards</w:t>
            </w:r>
          </w:p>
        </w:tc>
        <w:tc>
          <w:tcPr>
            <w:tcW w:w="4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(58 )</w:t>
            </w:r>
          </w:p>
        </w:tc>
        <w:tc>
          <w:tcPr>
            <w:tcW w:w="5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(87 )</w:t>
            </w:r>
          </w:p>
        </w:tc>
      </w:tr>
      <w:tr>
        <w:trPr>
          <w:trHeight w:val="20"/>
        </w:trPr>
        <w:tc>
          <w:tcPr>
            <w:tcW w:w="62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r>
      <w:tr>
        <w:trPr>
          <w:trHeight w:val="20"/>
        </w:trPr>
        <w:tc>
          <w:tcPr>
            <w:tcW w:w="6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4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(29 )</w:t>
            </w:r>
          </w:p>
        </w:tc>
      </w:tr>
      <w:tr>
        <w:trPr>
          <w:trHeight w:val="20"/>
        </w:trPr>
        <w:tc>
          <w:tcPr>
            <w:tcW w:w="62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4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(4,647 )</w:t>
            </w: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(6,888 )</w:t>
            </w:r>
          </w:p>
        </w:tc>
      </w:tr>
      <w:tr>
        <w:trPr>
          <w:trHeight w:val="216"/>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4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2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13,922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4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260" w:type="dxa"/>
            <w:vAlign w:val="bottom"/>
          </w:tcPr>
          <w:p>
            <w:pPr>
              <w:spacing w:after="0"/>
              <w:rPr>
                <w:sz w:val="18"/>
                <w:szCs w:val="18"/>
                <w:color w:val="auto"/>
              </w:rPr>
            </w:pPr>
          </w:p>
        </w:tc>
        <w:tc>
          <w:tcPr>
            <w:tcW w:w="5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7,034</w:t>
            </w:r>
          </w:p>
        </w:tc>
        <w:tc>
          <w:tcPr>
            <w:tcW w:w="100" w:type="dxa"/>
            <w:vAlign w:val="bottom"/>
          </w:tcPr>
          <w:p>
            <w:pPr>
              <w:spacing w:after="0"/>
              <w:rPr>
                <w:sz w:val="18"/>
                <w:szCs w:val="18"/>
                <w:color w:val="auto"/>
              </w:rPr>
            </w:pPr>
          </w:p>
        </w:tc>
      </w:tr>
      <w:tr>
        <w:trPr>
          <w:trHeight w:val="20"/>
        </w:trPr>
        <w:tc>
          <w:tcPr>
            <w:tcW w:w="6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2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4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during the period for income taxes</w:t>
            </w: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50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4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 of inventory to property and equipment</w:t>
            </w: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0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(9 )</w:t>
            </w:r>
          </w:p>
        </w:tc>
      </w:tr>
      <w:tr>
        <w:trPr>
          <w:trHeight w:val="216"/>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ROU assets obtained with extension of operating lease</w:t>
            </w:r>
          </w:p>
        </w:tc>
        <w:tc>
          <w:tcPr>
            <w:tcW w:w="440" w:type="dxa"/>
            <w:vAlign w:val="bottom"/>
            <w:shd w:val="clear" w:color="auto" w:fill="CFF0FC"/>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shd w:val="clear" w:color="auto" w:fill="CFF0FC"/>
          </w:tcPr>
          <w:p>
            <w:pPr>
              <w:spacing w:after="0"/>
              <w:rPr>
                <w:sz w:val="18"/>
                <w:szCs w:val="18"/>
                <w:color w:val="auto"/>
              </w:rPr>
            </w:pPr>
          </w:p>
        </w:tc>
      </w:tr>
      <w:tr>
        <w:trPr>
          <w:trHeight w:val="234"/>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Issuance of incentive shares under convertible note payable</w:t>
            </w: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60" w:type="dxa"/>
            <w:vAlign w:val="bottom"/>
          </w:tcPr>
          <w:p>
            <w:pPr>
              <w:spacing w:after="0"/>
              <w:rPr>
                <w:sz w:val="20"/>
                <w:szCs w:val="20"/>
                <w:color w:val="auto"/>
              </w:rPr>
            </w:pPr>
          </w:p>
        </w:tc>
        <w:tc>
          <w:tcPr>
            <w:tcW w:w="500" w:type="dxa"/>
            <w:vAlign w:val="bottom"/>
          </w:tcPr>
          <w:p>
            <w:pPr>
              <w:jc w:val="right"/>
              <w:ind w:right="293"/>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-2985770</wp:posOffset>
            </wp:positionV>
            <wp:extent cx="60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-2985770</wp:posOffset>
            </wp:positionV>
            <wp:extent cx="596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-2411095</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-2411095</wp:posOffset>
            </wp:positionV>
            <wp:extent cx="596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-1579880</wp:posOffset>
            </wp:positionV>
            <wp:extent cx="603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-1579880</wp:posOffset>
            </wp:positionV>
            <wp:extent cx="596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-1288415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-1288415</wp:posOffset>
            </wp:positionV>
            <wp:extent cx="596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-1005205</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-1005205</wp:posOffset>
            </wp:positionV>
            <wp:extent cx="596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89" w:right="141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119" w:lineRule="exact"/>
        <w:rPr>
          <w:sz w:val="20"/>
          <w:szCs w:val="20"/>
          <w:color w:val="auto"/>
        </w:rPr>
      </w:pPr>
    </w:p>
    <w:p>
      <w:pPr>
        <w:ind w:right="39" w:firstLine="441"/>
        <w:spacing w:after="0" w:line="261" w:lineRule="auto"/>
        <w:rPr>
          <w:sz w:val="20"/>
          <w:szCs w:val="20"/>
          <w:color w:val="auto"/>
        </w:rPr>
      </w:pPr>
      <w:r>
        <w:rPr>
          <w:rFonts w:ascii="Times New Roman" w:cs="Times New Roman" w:eastAsia="Times New Roman" w:hAnsi="Times New Roman"/>
          <w:sz w:val="18"/>
          <w:szCs w:val="18"/>
          <w:color w:val="auto"/>
        </w:rPr>
        <w:t>IRIDEX Corporation (“Iridex,” the “Company,” “we,” “us” or “our”) is a leading worldwide provider of therapeutic based laser systems, delivery devices and consumable instrumentation used to treat sight-threatening eye diseases in ophthalmology. The Company's ophthalmology products are sold in the United States and Germany predominantly through a direct sales force and internationally (aside from Germany) primarily through independent distributors.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Statement Presentation</w:t>
      </w:r>
    </w:p>
    <w:p>
      <w:pPr>
        <w:spacing w:after="0" w:line="119" w:lineRule="exact"/>
        <w:rPr>
          <w:sz w:val="20"/>
          <w:szCs w:val="20"/>
          <w:color w:val="auto"/>
        </w:rPr>
      </w:pPr>
    </w:p>
    <w:p>
      <w:pPr>
        <w:jc w:val="both"/>
        <w:ind w:right="79" w:firstLine="441"/>
        <w:spacing w:after="0" w:line="266" w:lineRule="auto"/>
        <w:rPr>
          <w:sz w:val="20"/>
          <w:szCs w:val="20"/>
          <w:color w:val="auto"/>
        </w:rPr>
      </w:pPr>
      <w:r>
        <w:rPr>
          <w:rFonts w:ascii="Times New Roman" w:cs="Times New Roman" w:eastAsia="Times New Roman" w:hAnsi="Times New Roman"/>
          <w:sz w:val="18"/>
          <w:szCs w:val="18"/>
          <w:color w:val="auto"/>
        </w:rPr>
        <w:t xml:space="preserve">The consolidated financial statements include the accounts of Iridex and the Company's wholly owned subsidiary. All significant intercompany accounts and transactions have been eliminated in consolidation. </w:t>
      </w:r>
      <w:r>
        <w:rPr>
          <w:rFonts w:ascii="Times New Roman" w:cs="Times New Roman" w:eastAsia="Times New Roman" w:hAnsi="Times New Roman"/>
          <w:sz w:val="18"/>
          <w:szCs w:val="18"/>
          <w:color w:val="262626"/>
        </w:rPr>
        <w:t>We have reclassified certain prior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62626"/>
        </w:rPr>
        <w:t>period amounts to conform to current period presentation.</w:t>
      </w:r>
    </w:p>
    <w:p>
      <w:pPr>
        <w:spacing w:after="0" w:line="68" w:lineRule="exact"/>
        <w:rPr>
          <w:sz w:val="20"/>
          <w:szCs w:val="20"/>
          <w:color w:val="auto"/>
        </w:rPr>
      </w:pPr>
    </w:p>
    <w:p>
      <w:pPr>
        <w:ind w:right="19" w:firstLine="441"/>
        <w:spacing w:after="0" w:line="266" w:lineRule="auto"/>
        <w:rPr>
          <w:sz w:val="20"/>
          <w:szCs w:val="20"/>
          <w:color w:val="auto"/>
        </w:rPr>
      </w:pPr>
      <w:r>
        <w:rPr>
          <w:rFonts w:ascii="Times New Roman" w:cs="Times New Roman" w:eastAsia="Times New Roman" w:hAnsi="Times New Roman"/>
          <w:sz w:val="18"/>
          <w:szCs w:val="18"/>
          <w:color w:val="auto"/>
        </w:rPr>
        <w:t>The Company's fiscal year ends on the Saturday closest to December 31. Fiscal 2024 ended on December 28, 2024 (“FY 2024”) and Fiscal 2023 ended on December 30, 2023 (“FY 2023”). Fiscal years 2024 and 2023 each included 52 weeks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19" w:firstLine="441"/>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of America (“U.S. GAAP”) requires us to make estimates and judgments that affect the reported amounts of assets, liabilities, revenues,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jc w:val="both"/>
        <w:ind w:right="379" w:firstLine="441"/>
        <w:spacing w:after="0" w:line="266" w:lineRule="auto"/>
        <w:rPr>
          <w:sz w:val="20"/>
          <w:szCs w:val="20"/>
          <w:color w:val="auto"/>
        </w:rPr>
      </w:pPr>
      <w:r>
        <w:rPr>
          <w:rFonts w:ascii="Times New Roman" w:cs="Times New Roman" w:eastAsia="Times New Roman" w:hAnsi="Times New Roman"/>
          <w:sz w:val="18"/>
          <w:szCs w:val="18"/>
          <w:color w:val="auto"/>
        </w:rPr>
        <w:t>We consider all highly liquid debt instruments with insignificant interest rate risk and an original maturity of three months or less when purchased to be cash equivalents. Our cash equivalents consist primarily of cash deposits in money market funds that are available for withdrawal without restriction.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Provision for Credit Losses</w:t>
      </w:r>
    </w:p>
    <w:p>
      <w:pPr>
        <w:spacing w:after="0" w:line="119" w:lineRule="exact"/>
        <w:rPr>
          <w:sz w:val="20"/>
          <w:szCs w:val="20"/>
          <w:color w:val="auto"/>
        </w:rPr>
      </w:pPr>
    </w:p>
    <w:p>
      <w:pPr>
        <w:ind w:right="59" w:firstLine="441"/>
        <w:spacing w:after="0" w:line="256" w:lineRule="auto"/>
        <w:rPr>
          <w:sz w:val="20"/>
          <w:szCs w:val="20"/>
          <w:color w:val="auto"/>
        </w:rPr>
      </w:pPr>
      <w:r>
        <w:rPr>
          <w:rFonts w:ascii="Times New Roman" w:cs="Times New Roman" w:eastAsia="Times New Roman" w:hAnsi="Times New Roman"/>
          <w:sz w:val="18"/>
          <w:szCs w:val="18"/>
          <w:color w:val="auto"/>
        </w:rPr>
        <w:t>The Company has trade receivables with various individual customers such as private businesses, hospitals, universities, government and non-profit entities, and distributors. The Company has determined that geography is the similar risk characteristic to pool our trade receivables balances, and accordingly, groups such balances into either the domestic pool or the international pool. The domestic pool is primarily comprised of individual customers, and the international pool is primarily comprised of distributors. The total receivables as of December 31, 2023 and January 1, 2023 were $9.7 million and $9.8 million, respectively.</w:t>
      </w:r>
    </w:p>
    <w:p>
      <w:pPr>
        <w:spacing w:after="0" w:line="79" w:lineRule="exact"/>
        <w:rPr>
          <w:sz w:val="20"/>
          <w:szCs w:val="20"/>
          <w:color w:val="auto"/>
        </w:rPr>
      </w:pPr>
    </w:p>
    <w:p>
      <w:pPr>
        <w:ind w:right="39" w:firstLine="441"/>
        <w:spacing w:after="0" w:line="261" w:lineRule="auto"/>
        <w:rPr>
          <w:sz w:val="20"/>
          <w:szCs w:val="20"/>
          <w:color w:val="auto"/>
        </w:rPr>
      </w:pPr>
      <w:r>
        <w:rPr>
          <w:rFonts w:ascii="Times New Roman" w:cs="Times New Roman" w:eastAsia="Times New Roman" w:hAnsi="Times New Roman"/>
          <w:sz w:val="18"/>
          <w:szCs w:val="18"/>
          <w:color w:val="auto"/>
        </w:rPr>
        <w:t>The provision for credit losses represents an estimate of the lifetime expected credit losses inherent in trade receivables as of the consolidated balance sheet date. We assess the adequacy of the provision for credit losses on a quarterly basis based on historical information and current economic conditions and forecasts. Subsequent changes in the provision for credit losses are recorded in current earnings and reversal of previous losses are permitted under the current guidance.</w:t>
      </w:r>
    </w:p>
    <w:p>
      <w:pPr>
        <w:spacing w:after="0" w:line="72" w:lineRule="exact"/>
        <w:rPr>
          <w:sz w:val="20"/>
          <w:szCs w:val="20"/>
          <w:color w:val="auto"/>
        </w:rPr>
      </w:pPr>
    </w:p>
    <w:p>
      <w:pPr>
        <w:ind w:right="79" w:firstLine="324"/>
        <w:spacing w:after="0" w:line="261" w:lineRule="auto"/>
        <w:rPr>
          <w:sz w:val="20"/>
          <w:szCs w:val="20"/>
          <w:color w:val="auto"/>
        </w:rPr>
      </w:pPr>
      <w:r>
        <w:rPr>
          <w:rFonts w:ascii="Times New Roman" w:cs="Times New Roman" w:eastAsia="Times New Roman" w:hAnsi="Times New Roman"/>
          <w:sz w:val="18"/>
          <w:szCs w:val="18"/>
          <w:color w:val="auto"/>
        </w:rPr>
        <w:t>While we believe we have exercised prudent judgment and applied reasonable assumptions, there can be no assurance that in the future, changes in economic conditions or other factors would not cause changes in the financial health of our customers. If the financial health of our customers deteriorates, the timing and level of payments received could be impacted and therefore, could result in a change to our estimated losses.</w:t>
      </w:r>
    </w:p>
    <w:p>
      <w:pPr>
        <w:spacing w:after="0" w:line="72" w:lineRule="exact"/>
        <w:rPr>
          <w:sz w:val="20"/>
          <w:szCs w:val="20"/>
          <w:color w:val="auto"/>
        </w:rPr>
      </w:pPr>
    </w:p>
    <w:p>
      <w:pPr>
        <w:ind w:right="279"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activity in the provision for credit losses for accounts receivable by pool type for the years ended December 28, 2024 and December 30, 2023 (in thousands):</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59"/>
          </w:cols>
          <w:pgMar w:left="1400" w:top="1089" w:right="1440"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Domestic</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80" w:type="dxa"/>
            <w:vAlign w:val="bottom"/>
            <w:gridSpan w:val="2"/>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10"/>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0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(235 )</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(155 )</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(390 )</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to provision</w:t>
            </w:r>
          </w:p>
        </w:tc>
        <w:tc>
          <w:tcPr>
            <w:tcW w:w="1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8"/>
                <w:szCs w:val="18"/>
                <w:color w:val="auto"/>
              </w:rPr>
            </w:pPr>
          </w:p>
        </w:tc>
      </w:tr>
      <w:tr>
        <w:trPr>
          <w:trHeight w:val="209"/>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30, 2023</w:t>
            </w:r>
          </w:p>
        </w:tc>
        <w:tc>
          <w:tcPr>
            <w:tcW w:w="10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(94 )</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(52 )</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(146 )</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to provision</w:t>
            </w:r>
          </w:p>
        </w:tc>
        <w:tc>
          <w:tcPr>
            <w:tcW w:w="104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(51 )</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(62 )</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(113 )</w:t>
            </w:r>
          </w:p>
        </w:tc>
      </w:tr>
      <w:tr>
        <w:trPr>
          <w:trHeight w:val="20"/>
        </w:trPr>
        <w:tc>
          <w:tcPr>
            <w:tcW w:w="40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28, 2024</w:t>
            </w:r>
          </w:p>
        </w:tc>
        <w:tc>
          <w:tcPr>
            <w:tcW w:w="10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(145 )</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(114 )</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(259 )</w:t>
            </w: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-24765</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-7620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-24765</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59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596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Returns Allowance</w:t>
      </w:r>
    </w:p>
    <w:p>
      <w:pPr>
        <w:spacing w:after="0" w:line="119" w:lineRule="exact"/>
        <w:rPr>
          <w:sz w:val="20"/>
          <w:szCs w:val="20"/>
          <w:color w:val="auto"/>
        </w:rPr>
      </w:pPr>
    </w:p>
    <w:p>
      <w:pPr>
        <w:ind w:right="120" w:firstLine="441"/>
        <w:spacing w:after="0" w:line="255" w:lineRule="auto"/>
        <w:rPr>
          <w:sz w:val="20"/>
          <w:szCs w:val="20"/>
          <w:color w:val="auto"/>
        </w:rPr>
      </w:pPr>
      <w:r>
        <w:rPr>
          <w:rFonts w:ascii="Times New Roman" w:cs="Times New Roman" w:eastAsia="Times New Roman" w:hAnsi="Times New Roman"/>
          <w:sz w:val="18"/>
          <w:szCs w:val="18"/>
          <w:color w:val="auto"/>
        </w:rPr>
        <w:t>When determining the transaction price, we estimate the variable consideration as the most likely amount to which we expect to be entitled, and we include the estimated amounts in the transaction price to the extent it is probable that a significant reversal of cumulative revenue will not occur when the uncertainty associated with the variable consideration is resolved. Material differences may result in the amount and timing of our revenue for any period if management made different judgments or utilized different estimates. Our provision for sales returns is recorded net of the associated costs. As historically the returns have not been material, there was no provision for sales returns as of December 28, 2024 and December 30, 2023.</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ind w:right="80" w:firstLine="441"/>
        <w:spacing w:after="0" w:line="253"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and include on-hand inventory physically held at our facility, sales demo inventory and service loaner inventory. Cost is determined on a standard cost basis which approximates actual cost on a FIFO method. Lower of cost or net realizable value is evaluated by considering obsolescence, excessive levels of inventory, deterioration and other factors. Adjustments to reduce the cost of inventory to its net realizable value, if required, are made for estimated excess, obsolescence or impaired inventory and are charged to cost of revenues. Once the cost of the inventory is reduced, a new lower-cost basis for that inventory is established, and subsequent changes in facts and circumstances do not result in the restoration or increase in that newly established cost basis. Factors influencing these adjustments include changes in demand, product life cycle and development plans, component cost trends, product pricing, physical deterioration and quality issues. Revisions to these adjustments would be required if these factors differ from our estimates.</w:t>
      </w:r>
    </w:p>
    <w:p>
      <w:pPr>
        <w:spacing w:after="0" w:line="86" w:lineRule="exact"/>
        <w:rPr>
          <w:sz w:val="20"/>
          <w:szCs w:val="20"/>
          <w:color w:val="auto"/>
        </w:rPr>
      </w:pPr>
    </w:p>
    <w:p>
      <w:pPr>
        <w:ind w:right="20" w:firstLine="441"/>
        <w:spacing w:after="0" w:line="255" w:lineRule="auto"/>
        <w:rPr>
          <w:sz w:val="20"/>
          <w:szCs w:val="20"/>
          <w:color w:val="auto"/>
        </w:rPr>
      </w:pPr>
      <w:r>
        <w:rPr>
          <w:rFonts w:ascii="Times New Roman" w:cs="Times New Roman" w:eastAsia="Times New Roman" w:hAnsi="Times New Roman"/>
          <w:sz w:val="18"/>
          <w:szCs w:val="18"/>
          <w:color w:val="auto"/>
        </w:rPr>
        <w:t>As part of our normal business, we generally utilize various finished goods inventory as either sales demos to facilitate the sale of our products to prospective customers, or as loaners that we allow our existing customers to use while we repair their products. We are amortizing these demos and loaners over an estimated useful life of four years. The amortization of the demos is charged to sales and marketing expense while the amortization on the loaners is charged to cost of revenues. The gross value of demos and loaners was $2.6 million and $2.3 million and the accumulated amortization was $2.1 million and $1.9 million as of December 28, 2024 and December 30, 2023, respectively. The net book value of demos and loaners is charged to cost of revenues if and when such demos or loaners are sold.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119" w:lineRule="exact"/>
        <w:rPr>
          <w:sz w:val="20"/>
          <w:szCs w:val="20"/>
          <w:color w:val="auto"/>
        </w:rPr>
      </w:pPr>
    </w:p>
    <w:p>
      <w:pPr>
        <w:ind w:right="60" w:firstLine="441"/>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are calculated on a straight–line basis over the estimated useful lives of the assets, which is generally three year. Leasehold improvements are amortized over the lesser of their estimated useful lives or the lease term. Repairs and maintenance costs are expensed as incurred.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ind w:right="260" w:firstLine="441"/>
        <w:spacing w:after="0" w:line="266" w:lineRule="auto"/>
        <w:rPr>
          <w:sz w:val="20"/>
          <w:szCs w:val="20"/>
          <w:color w:val="auto"/>
        </w:rPr>
      </w:pPr>
      <w:r>
        <w:rPr>
          <w:rFonts w:ascii="Times New Roman" w:cs="Times New Roman" w:eastAsia="Times New Roman" w:hAnsi="Times New Roman"/>
          <w:sz w:val="18"/>
          <w:szCs w:val="18"/>
          <w:color w:val="auto"/>
        </w:rPr>
        <w:t>We determine if an arrangement is a lease at inception. Operating leases are included in Operating lease right-of-use (“ROU”) assets, net and Operating lease liabilities in our consolidated balance sheets. As of December 28, 2024, the Company was not a party to finance lease arrangements.</w:t>
      </w:r>
    </w:p>
    <w:p>
      <w:pPr>
        <w:spacing w:after="0" w:line="68"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ROU assets and operating lease liabilities are recognized at the commencement date based on the present value of lease payments over the lease term. As most of our leases do not provide an implicit rate, we use our incremental borrowing rate based on information available at the commencement date in determining the present value of lease payments. We use the implicit rate when readily determinable. The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spacing w:after="0" w:line="84" w:lineRule="exact"/>
        <w:rPr>
          <w:sz w:val="20"/>
          <w:szCs w:val="20"/>
          <w:color w:val="auto"/>
        </w:rPr>
      </w:pPr>
    </w:p>
    <w:p>
      <w:pPr>
        <w:ind w:right="840" w:firstLine="441"/>
        <w:spacing w:after="0" w:line="282" w:lineRule="auto"/>
        <w:rPr>
          <w:sz w:val="20"/>
          <w:szCs w:val="20"/>
          <w:color w:val="auto"/>
        </w:rPr>
      </w:pPr>
      <w:r>
        <w:rPr>
          <w:rFonts w:ascii="Times New Roman" w:cs="Times New Roman" w:eastAsia="Times New Roman" w:hAnsi="Times New Roman"/>
          <w:sz w:val="18"/>
          <w:szCs w:val="18"/>
          <w:color w:val="auto"/>
        </w:rPr>
        <w:t>Under the available practical expedient, we account for the lease and non-lease components as a single lease component.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87" w:right="14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color w:val="auto"/>
        </w:rPr>
        <w:t>Valuation of Goodwill and Intangible Assets</w:t>
      </w:r>
    </w:p>
    <w:p>
      <w:pPr>
        <w:spacing w:after="0" w:line="119"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In addition, income tax effects from any tax 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2024 and determined that its goodwill was not impaired. As of December 28, 2024, we had not identified any factors that indicated there was an impairment of our goodwill and determined that no additional impairment analysis was then required.</w:t>
      </w:r>
    </w:p>
    <w:p>
      <w:pPr>
        <w:spacing w:after="0" w:line="89"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Intangible assets with definite lives are amortized over the useful life of the asset. We review our amortizing intangible assets for impairment whenever events or changes in circumstances indicate that their carrying value may not be recoverable. An asset is considered impaired if its carrying amount exceeds the future non-discounted net cash flow the asset is expected to generate. If an asset is considered to be impaired, the impairment to be recognized is measured by the amount by which the carrying amount of the asset exceeds its fair value. In such circumstances, we conduct an impairment analysis in accordance with Accounting Standards Codification (“ASC”) 350, “Intangibles – Goodwill and Other” (“ASC 350”).</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firstLine="441"/>
        <w:spacing w:after="0" w:line="255" w:lineRule="auto"/>
        <w:rPr>
          <w:sz w:val="20"/>
          <w:szCs w:val="20"/>
          <w:color w:val="auto"/>
        </w:rPr>
      </w:pPr>
      <w:r>
        <w:rPr>
          <w:rFonts w:ascii="Times New Roman" w:cs="Times New Roman" w:eastAsia="Times New Roman" w:hAnsi="Times New Roman"/>
          <w:sz w:val="18"/>
          <w:szCs w:val="18"/>
          <w:color w:val="auto"/>
        </w:rPr>
        <w:t xml:space="preserve">Our revenues arise from the sale of laser consoles, delivery devices, consumables, service, and support activities. We also derive revenue from royalties from third parties which are typically based on the licensees’ net sales of products that utilize our technology. Our revenue is recognized in accordance with Accounting Standards Codification (“ASC”) Topic 606, </w:t>
      </w:r>
      <w:r>
        <w:rPr>
          <w:rFonts w:ascii="Times New Roman" w:cs="Times New Roman" w:eastAsia="Times New Roman" w:hAnsi="Times New Roman"/>
          <w:sz w:val="18"/>
          <w:szCs w:val="18"/>
          <w:i w:val="1"/>
          <w:iCs w:val="1"/>
          <w:color w:val="auto"/>
        </w:rPr>
        <w:t xml:space="preserve">“Revenue from Contracts with Customers.” </w:t>
      </w:r>
      <w:r>
        <w:rPr>
          <w:rFonts w:ascii="Times New Roman" w:cs="Times New Roman" w:eastAsia="Times New Roman" w:hAnsi="Times New Roman"/>
          <w:sz w:val="18"/>
          <w:szCs w:val="18"/>
          <w:color w:val="auto"/>
        </w:rPr>
        <w:t>The Company recognizes revenue using the five-step model: (1) identifying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spacing w:after="0" w:line="81" w:lineRule="exact"/>
        <w:rPr>
          <w:sz w:val="20"/>
          <w:szCs w:val="20"/>
          <w:color w:val="auto"/>
        </w:rPr>
      </w:pPr>
    </w:p>
    <w:p>
      <w:pPr>
        <w:ind w:right="260" w:firstLine="441"/>
        <w:spacing w:after="0" w:line="282" w:lineRule="auto"/>
        <w:rPr>
          <w:sz w:val="20"/>
          <w:szCs w:val="20"/>
          <w:color w:val="auto"/>
        </w:rPr>
      </w:pPr>
      <w:r>
        <w:rPr>
          <w:rFonts w:ascii="Times New Roman" w:cs="Times New Roman" w:eastAsia="Times New Roman" w:hAnsi="Times New Roman"/>
          <w:sz w:val="18"/>
          <w:szCs w:val="18"/>
          <w:color w:val="auto"/>
        </w:rPr>
        <w:t>The Company has the following revenue transaction types: (1) Product Sale Only, (2) Service Contracts, (3) System Repairs (outside of warranty), (4) Royalty Revenue and (5) Exclusive Distribution Rights.</w:t>
      </w:r>
    </w:p>
    <w:p>
      <w:pPr>
        <w:spacing w:after="0" w:line="54" w:lineRule="exact"/>
        <w:rPr>
          <w:sz w:val="20"/>
          <w:szCs w:val="20"/>
          <w:color w:val="auto"/>
        </w:rPr>
      </w:pPr>
    </w:p>
    <w:p>
      <w:pPr>
        <w:ind w:left="880" w:hanging="431"/>
        <w:spacing w:after="0" w:line="256"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 Only: The Company’s products consist of laser consoles, delivery devices and consumable instrumentation, including laser probes. The Company’s products are currently sold for use by ophthalmologists specializing in the treatment of glaucoma and retinal diseases. Inside the United States and Germany the products are sold directly to the end users. In other countries outside of the United States and Germany, the Company utilizes independent, third-party distributors to market and sell the Company’s products. There is no continuing obligation after shipment is made to these distributors.</w:t>
      </w:r>
    </w:p>
    <w:p>
      <w:pPr>
        <w:spacing w:after="0" w:line="79" w:lineRule="exact"/>
        <w:rPr>
          <w:rFonts w:ascii="Times New Roman" w:cs="Times New Roman" w:eastAsia="Times New Roman" w:hAnsi="Times New Roman"/>
          <w:sz w:val="18"/>
          <w:szCs w:val="18"/>
          <w:color w:val="auto"/>
        </w:rPr>
      </w:pPr>
    </w:p>
    <w:p>
      <w:pPr>
        <w:ind w:left="880" w:right="2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revenue from product sales at a point in time subject to the allocation of transaction price to additional performance obligations, if any.</w:t>
      </w:r>
    </w:p>
    <w:p>
      <w:pPr>
        <w:spacing w:after="0" w:line="53" w:lineRule="exact"/>
        <w:rPr>
          <w:rFonts w:ascii="Times New Roman" w:cs="Times New Roman" w:eastAsia="Times New Roman" w:hAnsi="Times New Roman"/>
          <w:sz w:val="18"/>
          <w:szCs w:val="18"/>
          <w:color w:val="auto"/>
        </w:rPr>
      </w:pPr>
    </w:p>
    <w:p>
      <w:pPr>
        <w:ind w:left="880" w:hanging="431"/>
        <w:spacing w:after="0" w:line="261" w:lineRule="auto"/>
        <w:tabs>
          <w:tab w:leader="none" w:pos="8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Contracts: The Company offers a standard two-year warranty on all system sales. The Company also offers a service contract which is sold to customers in incremental, one-year periods that begin subsequent to the expiration of the standard two-year warranty. The customer can opt to purchase the service contract at the time of the system sale or after the initial system sale.</w:t>
      </w:r>
    </w:p>
    <w:p>
      <w:pPr>
        <w:spacing w:after="0" w:line="71" w:lineRule="exact"/>
        <w:rPr>
          <w:rFonts w:ascii="Times New Roman" w:cs="Times New Roman" w:eastAsia="Times New Roman" w:hAnsi="Times New Roman"/>
          <w:sz w:val="18"/>
          <w:szCs w:val="18"/>
          <w:color w:val="auto"/>
        </w:rPr>
      </w:pPr>
    </w:p>
    <w:p>
      <w:pPr>
        <w:ind w:left="8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revenue from service contracts ratably over the service period. Revenue recognition for the sale of a service contract is largely dependent on the timing of the sale as follows: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60"/>
          </w:cols>
          <w:pgMar w:left="1400" w:top="1199" w:right="1439" w:bottom="1440" w:gutter="0" w:footer="0" w:header="0"/>
        </w:sectPr>
      </w:pPr>
    </w:p>
    <w:bookmarkStart w:id="57" w:name="page58"/>
    <w:bookmarkEnd w:id="57"/>
    <w:p>
      <w:pPr>
        <w:ind w:left="1340" w:right="80" w:hanging="450"/>
        <w:spacing w:after="0" w:line="281" w:lineRule="auto"/>
        <w:tabs>
          <w:tab w:leader="none" w:pos="1340" w:val="left"/>
        </w:tabs>
        <w:numPr>
          <w:ilvl w:val="2"/>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Service Contract Sale in Conjunction with System Sale: If the customer opts to purchase a service contract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56" w:lineRule="exact"/>
        <w:rPr>
          <w:rFonts w:ascii="Times New Roman" w:cs="Times New Roman" w:eastAsia="Times New Roman" w:hAnsi="Times New Roman"/>
          <w:sz w:val="17"/>
          <w:szCs w:val="17"/>
          <w:color w:val="auto"/>
        </w:rPr>
      </w:pPr>
    </w:p>
    <w:p>
      <w:pPr>
        <w:ind w:left="1340" w:hanging="450"/>
        <w:spacing w:after="0" w:line="254" w:lineRule="auto"/>
        <w:tabs>
          <w:tab w:leader="none" w:pos="134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Contract Sale Subsequent to System Sale: If the customer opts to purchase a service contract after the initial system sale, the Company determines the amount of time that has elapsed since the initial system sale. If the service contract is purchased within 60 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service contract is purchased subsequent to 60 days after the initial sale, the sale of the service contract is deemed a separate contract and is deferred at the selling price and recognized ratably over the extended warranty period as the performance obligation is satisfied.</w:t>
      </w:r>
    </w:p>
    <w:p>
      <w:pPr>
        <w:spacing w:after="0" w:line="80" w:lineRule="exact"/>
        <w:rPr>
          <w:rFonts w:ascii="Times New Roman" w:cs="Times New Roman" w:eastAsia="Times New Roman" w:hAnsi="Times New Roman"/>
          <w:sz w:val="18"/>
          <w:szCs w:val="18"/>
          <w:color w:val="auto"/>
        </w:rPr>
      </w:pPr>
    </w:p>
    <w:p>
      <w:pPr>
        <w:ind w:left="880" w:right="20" w:hanging="431"/>
        <w:spacing w:after="0" w:line="282"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Repairs (outside of warranty): Customers will occasionally request repairs from the Company subsequent to the expiration of the standard warranty and outside of a service contract.</w:t>
      </w:r>
    </w:p>
    <w:p>
      <w:pPr>
        <w:spacing w:after="0" w:line="53" w:lineRule="exact"/>
        <w:rPr>
          <w:rFonts w:ascii="Times New Roman" w:cs="Times New Roman" w:eastAsia="Times New Roman" w:hAnsi="Times New Roman"/>
          <w:sz w:val="18"/>
          <w:szCs w:val="18"/>
          <w:color w:val="auto"/>
        </w:rPr>
      </w:pPr>
    </w:p>
    <w:p>
      <w:pPr>
        <w:ind w:left="900"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recognizes revenue from system repairs (outside of warranty) at a point in time. When the customer requests repairs from the Company subsequent to the expiration of the standard warranty and outside of a service contract, these repair contracts are considered separate from the initial sale. As such, revenue is recognized as the repair services are rendered and the performance obligation satisfied.</w:t>
      </w:r>
    </w:p>
    <w:p>
      <w:pPr>
        <w:spacing w:after="0" w:line="71" w:lineRule="exact"/>
        <w:rPr>
          <w:rFonts w:ascii="Times New Roman" w:cs="Times New Roman" w:eastAsia="Times New Roman" w:hAnsi="Times New Roman"/>
          <w:sz w:val="18"/>
          <w:szCs w:val="18"/>
          <w:color w:val="auto"/>
        </w:rPr>
      </w:pPr>
    </w:p>
    <w:p>
      <w:pPr>
        <w:jc w:val="both"/>
        <w:ind w:left="880" w:hanging="431"/>
        <w:spacing w:after="0" w:line="261"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Revenue: The Company has royalty agreements with two customers related to the sale of the Company’s intellectual property. Under the terms of these agreements, one customer is required to remit a percentage of sales to the Company as the sales occur and one customer is required to remit fixed amount royalty payments based on the quantity sold as the sales occur.</w:t>
      </w:r>
    </w:p>
    <w:p>
      <w:pPr>
        <w:spacing w:after="0" w:line="71" w:lineRule="exact"/>
        <w:rPr>
          <w:rFonts w:ascii="Times New Roman" w:cs="Times New Roman" w:eastAsia="Times New Roman" w:hAnsi="Times New Roman"/>
          <w:sz w:val="18"/>
          <w:szCs w:val="18"/>
          <w:color w:val="auto"/>
        </w:rPr>
      </w:pPr>
    </w:p>
    <w:p>
      <w:pPr>
        <w:ind w:left="900" w:right="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arrangements with three customers are for sales-based licenses of intellectual property, for which the guidance in paragraph ASC 606-10-55-65 applies. Therefore, the Company recognizes revenue at a point in time, only as the subsequent sale occurs. However, the Company notes that such sales being reported by the licensee with a quarter in arrears,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 For the arrangement with one customer, the Company had concluded that there is one combined performance obligation to be satisfied. Therefore, the Company recognizes revenue related to this arrangement over time.</w:t>
      </w:r>
    </w:p>
    <w:p>
      <w:pPr>
        <w:spacing w:after="0" w:line="83" w:lineRule="exact"/>
        <w:rPr>
          <w:rFonts w:ascii="Times New Roman" w:cs="Times New Roman" w:eastAsia="Times New Roman" w:hAnsi="Times New Roman"/>
          <w:sz w:val="18"/>
          <w:szCs w:val="18"/>
          <w:color w:val="auto"/>
        </w:rPr>
      </w:pPr>
    </w:p>
    <w:p>
      <w:pPr>
        <w:ind w:left="900" w:hanging="406"/>
        <w:spacing w:after="0" w:line="252" w:lineRule="auto"/>
        <w:tabs>
          <w:tab w:leader="none" w:pos="90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Exclusive Distribution Rights: On March 2, 2021, the Company and Topcon Corporation (“Topcon”) entered into a distribution agreement (“Distribution Agreement”), pursuant to which the Company granted Topcon the exclusive right to distribute the Company’s retina and glaucoma products in certain geographies outside the United States. The exclusivity arrangement with Topcon obligates the Company to provide training, customer support, and exclusive territorial rights to Topcon for certain international regions, for a period of 10 years, commencing upon regulatory approval to transfer existing (non-exclusive) distribution rights from the current distributors in those regions to Topcon. The Company has the right to terminate the exclusive distribution rights granted to Topcon for any of the regions at any point in time during the 10 year exclusivity term for a termination fee that is based on a multiple of 1.2 times the revenue generated by the Company in 2019 for the respective region. Management has determined that the exclusivity rights, training, and customer support represents a single combined performance obligation for each region, to be recognized as exclusivity fee revenue on a straight-line basis over the 10 year period for each region, commencing on the date that regulatory approval is obtained for each region, based on the standalone selling price for such combined performance obligation for each region. The estimated fair value of the exclusive distribution rights for all regions combined totaled approximately $14.8 million. Of this amount, management has fully-constrained and returned to Topcon the arrangement fee allocated to Belarus (approximately $0.2 million) because obtaining the necessary regulatory approvals and termination of existing distributor relationship was not feasible. During both the fiscal years ended 2024 and 2023, $1.5 million in revenue related to the exclusive distribution rights was recorded.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of Obtaining Revenue Contracts</w:t>
      </w:r>
    </w:p>
    <w:p>
      <w:pPr>
        <w:spacing w:after="0" w:line="119" w:lineRule="exact"/>
        <w:rPr>
          <w:sz w:val="20"/>
          <w:szCs w:val="20"/>
          <w:color w:val="auto"/>
        </w:rPr>
      </w:pPr>
    </w:p>
    <w:p>
      <w:pPr>
        <w:ind w:right="80" w:firstLine="441"/>
        <w:spacing w:after="0" w:line="273" w:lineRule="auto"/>
        <w:rPr>
          <w:sz w:val="20"/>
          <w:szCs w:val="20"/>
          <w:color w:val="auto"/>
        </w:rPr>
      </w:pPr>
      <w:r>
        <w:rPr>
          <w:rFonts w:ascii="Times New Roman" w:cs="Times New Roman" w:eastAsia="Times New Roman" w:hAnsi="Times New Roman"/>
          <w:sz w:val="17"/>
          <w:szCs w:val="17"/>
          <w:color w:val="auto"/>
        </w:rPr>
        <w:t>The Company recognized assets from certain costs incurred to obtain revenue contracts. These costs relate to sales commissions arising from the sale of our products. The costs are considered incremental and recoverable of obtaining revenue contracts with customers. These deferred costs are amortized on a straight-line basis over the estimated period of benefit, which typically ranges from 2 to 3 years. As of both December 28, 2024 and December 30, 2023, we recognized deferred costs incurred to obtain revenue contracts with customers, net of accumulated amortization, of $0.2 million, and included these amounts in Prepaid expenses and other current assets and Other long-term assets in the Company’s consolidated balance sheets. Amortization expense was $0.2 million and $0.1 million, respectively, for the fiscal years ended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01" w:right="1419" w:bottom="1440" w:gutter="0" w:footer="0" w:header="0"/>
        </w:sectPr>
      </w:pPr>
    </w:p>
    <w:bookmarkStart w:id="58" w:name="page59"/>
    <w:bookmarkEnd w:id="58"/>
    <w:p>
      <w:pPr>
        <w:ind w:right="180"/>
        <w:spacing w:after="0" w:line="282" w:lineRule="auto"/>
        <w:rPr>
          <w:sz w:val="20"/>
          <w:szCs w:val="20"/>
          <w:color w:val="auto"/>
        </w:rPr>
      </w:pPr>
      <w:r>
        <w:rPr>
          <w:rFonts w:ascii="Times New Roman" w:cs="Times New Roman" w:eastAsia="Times New Roman" w:hAnsi="Times New Roman"/>
          <w:sz w:val="18"/>
          <w:szCs w:val="18"/>
          <w:color w:val="auto"/>
        </w:rPr>
        <w:t>December 28, 2024 and December 30, 2023. There were no impairment expenses for both the fiscal years ended December 28, 2024 and December 30, 2023.</w:t>
      </w:r>
    </w:p>
    <w:p>
      <w:pPr>
        <w:spacing w:after="0" w:line="54" w:lineRule="exact"/>
        <w:rPr>
          <w:sz w:val="20"/>
          <w:szCs w:val="20"/>
          <w:color w:val="auto"/>
        </w:rPr>
      </w:pPr>
    </w:p>
    <w:p>
      <w:pPr>
        <w:ind w:right="400" w:firstLine="441"/>
        <w:spacing w:after="0" w:line="261" w:lineRule="auto"/>
        <w:rPr>
          <w:sz w:val="20"/>
          <w:szCs w:val="20"/>
          <w:color w:val="auto"/>
        </w:rPr>
      </w:pPr>
      <w:r>
        <w:rPr>
          <w:rFonts w:ascii="Times New Roman" w:cs="Times New Roman" w:eastAsia="Times New Roman" w:hAnsi="Times New Roman"/>
          <w:sz w:val="18"/>
          <w:szCs w:val="18"/>
          <w:color w:val="auto"/>
        </w:rPr>
        <w:t>Sales commissions that do not represent incremental and recoverable costs of obtaining a contract are expensed as incurred. As a practical expedient, the Company will not recognize such sales commission as a contract asset but rather recognize as expense when incurred if the amortization period of the asset that the Company would have otherwise recognized is one year or less.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Fulfillment Costs</w:t>
      </w:r>
    </w:p>
    <w:p>
      <w:pPr>
        <w:spacing w:after="0" w:line="11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The Company recognized an asset from the costs incurred to fulfill a contract. These costs relate directly and must be incurred to satisfy performance obligations on certain specific contract with a customer. These costs are expected to be recovered over time and are amortized on a systematic basis that is consistent with the recognition of revenue to which it relates. As of December 28, 2024 and December 30, 2023, we recognized deferred costs incurred to fulfill a contract with a customer, net of accumulated amortization, of $0.6 million and $0.7 million, respectively, and included these amounts in Prepaid expenses and other current assets and Other long-term assets in the Company’s consolidated balance sheets. Amortization expense was $83 thousand, for both fiscal years ended December 28, 2024 and December 30, 2023. There were no impairment expenses for both the fiscal years ended December 28, 2024 and December 30, 2023.</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Taxes Collected from Customers and Remitted to Governmental Authorities</w:t>
      </w:r>
    </w:p>
    <w:p>
      <w:pPr>
        <w:spacing w:after="0" w:line="119" w:lineRule="exact"/>
        <w:rPr>
          <w:sz w:val="20"/>
          <w:szCs w:val="20"/>
          <w:color w:val="auto"/>
        </w:rPr>
      </w:pPr>
    </w:p>
    <w:p>
      <w:pPr>
        <w:ind w:right="280" w:firstLine="441"/>
        <w:spacing w:after="0" w:line="282" w:lineRule="auto"/>
        <w:rPr>
          <w:sz w:val="20"/>
          <w:szCs w:val="20"/>
          <w:color w:val="auto"/>
        </w:rPr>
      </w:pPr>
      <w:r>
        <w:rPr>
          <w:rFonts w:ascii="Times New Roman" w:cs="Times New Roman" w:eastAsia="Times New Roman" w:hAnsi="Times New Roman"/>
          <w:sz w:val="18"/>
          <w:szCs w:val="18"/>
          <w:color w:val="auto"/>
        </w:rPr>
        <w:t>Total revenues are recognized net of taxes collected from customers and remitted to governmental authorities in the accompanying condensed consolidated statements of operations.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19"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Deferred revenue represents contract liabilities and exclusivity fees. Revenue related to service contracts is deferred and recognized on a straight-line basis over the period of the applicable service contract. Costs associated with these service arrangements are recognized as incurred. Revenue related to exclusivity fees is deferred and recognized over the related exclusivity period.</w:t>
      </w:r>
    </w:p>
    <w:p>
      <w:pPr>
        <w:spacing w:after="0" w:line="72"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A reconciliation of the changes in our deferred revenue balances for the years ended December 28, 2024 and December 30, 2023 are as follows (in thousands):</w:t>
      </w:r>
    </w:p>
    <w:p>
      <w:pPr>
        <w:spacing w:after="0" w:line="180"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14,153</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deferral</w:t>
            </w:r>
          </w:p>
        </w:tc>
        <w:tc>
          <w:tcPr>
            <w:tcW w:w="8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tcPr>
          <w:p>
            <w:pPr>
              <w:spacing w:after="0"/>
              <w:rPr>
                <w:sz w:val="18"/>
                <w:szCs w:val="18"/>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8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(3,141 )</w:t>
            </w:r>
          </w:p>
        </w:tc>
      </w:tr>
      <w:tr>
        <w:trPr>
          <w:trHeight w:val="210"/>
        </w:trPr>
        <w:tc>
          <w:tcPr>
            <w:tcW w:w="5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as of December 30, 2023</w:t>
            </w:r>
          </w:p>
        </w:tc>
        <w:tc>
          <w:tcPr>
            <w:tcW w:w="8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12,429</w:t>
            </w:r>
          </w:p>
        </w:tc>
        <w:tc>
          <w:tcPr>
            <w:tcW w:w="100" w:type="dxa"/>
            <w:vAlign w:val="bottom"/>
            <w:tcBorders>
              <w:top w:val="single" w:sz="8" w:color="CFF0FC"/>
            </w:tcBorders>
          </w:tcPr>
          <w:p>
            <w:pPr>
              <w:spacing w:after="0"/>
              <w:rPr>
                <w:sz w:val="18"/>
                <w:szCs w:val="18"/>
                <w:color w:val="auto"/>
              </w:rPr>
            </w:pPr>
          </w:p>
        </w:tc>
      </w:tr>
      <w:tr>
        <w:trPr>
          <w:trHeight w:val="216"/>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to deferral</w:t>
            </w:r>
          </w:p>
        </w:tc>
        <w:tc>
          <w:tcPr>
            <w:tcW w:w="8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FF0FC"/>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Revenue recognized</w:t>
            </w:r>
          </w:p>
        </w:tc>
        <w:tc>
          <w:tcPr>
            <w:tcW w:w="8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(3,080 )</w:t>
            </w:r>
          </w:p>
        </w:tc>
      </w:tr>
      <w:tr>
        <w:trPr>
          <w:trHeight w:val="249"/>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28, 2024</w:t>
            </w:r>
          </w:p>
        </w:tc>
        <w:tc>
          <w:tcPr>
            <w:tcW w:w="800" w:type="dxa"/>
            <w:vAlign w:val="bottom"/>
            <w:tcBorders>
              <w:top w:val="single" w:sz="8" w:color="auto"/>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10,526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-591185</wp:posOffset>
            </wp:positionV>
            <wp:extent cx="596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-25400</wp:posOffset>
            </wp:positionV>
            <wp:extent cx="596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-8255</wp:posOffset>
            </wp:positionV>
            <wp:extent cx="596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78"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During each of the years ended December 28, 2024 and December 30, 2023, approximately $2.3 million and $2.5 million were recognized pertaining to amounts deferred as of December 30, 2023 and as of December 31, 2022, respectively.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19" w:lineRule="exact"/>
        <w:rPr>
          <w:sz w:val="20"/>
          <w:szCs w:val="20"/>
          <w:color w:val="auto"/>
        </w:rPr>
      </w:pPr>
    </w:p>
    <w:p>
      <w:pPr>
        <w:ind w:right="80" w:firstLine="441"/>
        <w:spacing w:after="0" w:line="255" w:lineRule="auto"/>
        <w:rPr>
          <w:sz w:val="20"/>
          <w:szCs w:val="20"/>
          <w:color w:val="auto"/>
        </w:rPr>
      </w:pPr>
      <w:r>
        <w:rPr>
          <w:rFonts w:ascii="Times New Roman" w:cs="Times New Roman" w:eastAsia="Times New Roman" w:hAnsi="Times New Roman"/>
          <w:sz w:val="18"/>
          <w:szCs w:val="18"/>
          <w:color w:val="auto"/>
        </w:rPr>
        <w:t>The Company's chief operating decision maker has been identified as the chief executive officer, who reviews consolidated results when making decisions about allocating resources and assessing performance of the Company. For the purpose of internal reporting and management’s operation review, the Company's chief executive officer and management personnel do not segregate the Group’s business by revenue stream or geography. Management has determined that the Company has one operating segment. The measure of segment assets is reported on the Consolidated Balance Sheets as total consolidated assets. The revenue, costs and expenses, and the net income for the reportable segment are the same as those presented on the Consolidated Statements of Operations.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Warranty</w:t>
      </w:r>
    </w:p>
    <w:p>
      <w:pPr>
        <w:spacing w:after="0" w:line="119"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The Company currently provides a two-year full warranty on its products. The associated costs of these warranties are accrued for upon shipment of the products. The Company’s warranty policy is applicable to products which are considered defective in their performance or fail to meet the product specifications. Warranty costs are reflected in the condensed consolidated statements of operations as costs of revenues.</w:t>
      </w:r>
    </w:p>
    <w:p>
      <w:pPr>
        <w:spacing w:after="0" w:line="72" w:lineRule="exact"/>
        <w:rPr>
          <w:sz w:val="20"/>
          <w:szCs w:val="20"/>
          <w:color w:val="auto"/>
        </w:rPr>
      </w:pPr>
    </w:p>
    <w:p>
      <w:pPr>
        <w:ind w:right="160" w:firstLine="441"/>
        <w:spacing w:after="0" w:line="282" w:lineRule="auto"/>
        <w:rPr>
          <w:sz w:val="20"/>
          <w:szCs w:val="20"/>
          <w:color w:val="auto"/>
        </w:rPr>
      </w:pPr>
      <w:r>
        <w:rPr>
          <w:rFonts w:ascii="Times New Roman" w:cs="Times New Roman" w:eastAsia="Times New Roman" w:hAnsi="Times New Roman"/>
          <w:sz w:val="18"/>
          <w:szCs w:val="18"/>
          <w:color w:val="auto"/>
        </w:rPr>
        <w:t>As warranty reserves do not meet the criteria to have separate captions on the face of the consolidated balance sheets, we removed these captions and included those amounts in other current and long-term liabilities.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60"/>
          </w:cols>
          <w:pgMar w:left="1400" w:top="1201" w:right="1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color w:val="auto"/>
        </w:rPr>
        <w:t>Shipping and Handling Costs</w:t>
      </w:r>
    </w:p>
    <w:p>
      <w:pPr>
        <w:spacing w:after="0" w:line="119"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The Company's shipping and handling costs billed to customers are included in revenues and the associated expense is recorded in cost of revenues for all periods presented. Shipping and handling costs billed to customers amounted to $0.3 million and $0.2 million during fiscal years 2024 and 2023,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Research and development expenditures are charged to operations as incurred.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119"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Advertising and promotion costs are expensed as they are incurred; such costs were approximately $20 thousand in 2024 and $0.2 million in 2023 and are included in sales and marketing expenses in the accompanying consolidated statements of operations.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firstLine="441"/>
        <w:spacing w:after="0" w:line="253"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740, “Income Taxes” (“ASC 740”), which requires that deferred tax assets and liabilities be recognized using enacted tax rates for the effect of temporary differences between the book and tax bases of recorded assets and liabilities. Under ASC 740, the liability method is used in accounting for income taxes. Deferred tax assets and liabilities are determined based on the differences between financial reporting and the tax basis of assets and liabilities, and are measured using the enacted tax rates and laws that will be in effect when the differences are expected to reverse. ASC 740 also requires that deferred tax assets be reduced by a valuation allowance if it is more likely than not that some or all of the deferred tax asset will not be realized. We annually evaluate the realizability of our deferred tax assets by assessing our valuation allowance and by adjusting the amount of such allowance, if necessary. The factors used to assess the likelihood of realization include our forecast of future taxable income and available tax planning strategies that could be implemented to realize the net deferred tax assets. In 2024, based on the Company's history of earnings and its forecasted losses, management believes on the more likely than not basis that a full valuation allowance is required. Accordingly, in the fourth quarter of fiscal year 2024, the Company provided a full valuation allowance on its federal and states deferred tax assets.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Uncertainty in Income Taxes</w:t>
      </w:r>
    </w:p>
    <w:p>
      <w:pPr>
        <w:spacing w:after="0" w:line="119"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ASC 740. ASC 740 seeks to reduce the diversity in practice associated with certain aspects of measurement and recognition in accounting for income taxes.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"more-likely-than-not" threshold. In accordance with our accounting policy, we recognize accrued interest and penalties related to unrecognized tax benefits as a component of income tax expense. There were no accrued interest and penalties during the years ended December 28, 2024 and December 30, 2023.</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for Stock-Based Compensation</w:t>
      </w:r>
    </w:p>
    <w:p>
      <w:pPr>
        <w:spacing w:after="0" w:line="119"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The Company accounts for stock-based compensation granted to employees and directors, including employees stock option awards and restricted stock units in accordance with ASC 718, “Compensation – Stock Compensation” (“ASC 718”). Accordingly, stock-based compensation cost is measured at grant date, based on the fair value of the award. Stock-based compensation is recognized as expense on a ratable basis over the requisite service period of the award.</w:t>
      </w:r>
    </w:p>
    <w:p>
      <w:pPr>
        <w:spacing w:after="0" w:line="72"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18"/>
          <w:szCs w:val="18"/>
          <w:color w:val="auto"/>
        </w:rPr>
        <w:t>The Company values options using the Black-Scholes option pricing model. Time-based restricted stock units are valued at the grant date fair value of the underlying common shares. Performance-based restricted stock units without market conditions are valued at grant date fair value of the underlying common shares. Performance-based restricted stock units granted with market conditions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 and Other Risks and Uncertainties</w:t>
      </w:r>
    </w:p>
    <w:p>
      <w:pPr>
        <w:spacing w:after="0" w:line="119" w:lineRule="exact"/>
        <w:rPr>
          <w:sz w:val="20"/>
          <w:szCs w:val="20"/>
          <w:color w:val="auto"/>
        </w:rPr>
      </w:pPr>
    </w:p>
    <w:p>
      <w:pPr>
        <w:ind w:right="300" w:firstLine="441"/>
        <w:spacing w:after="0" w:line="266" w:lineRule="auto"/>
        <w:rPr>
          <w:sz w:val="20"/>
          <w:szCs w:val="20"/>
          <w:color w:val="auto"/>
        </w:rPr>
      </w:pPr>
      <w:r>
        <w:rPr>
          <w:rFonts w:ascii="Times New Roman" w:cs="Times New Roman" w:eastAsia="Times New Roman" w:hAnsi="Times New Roman"/>
          <w:sz w:val="18"/>
          <w:szCs w:val="18"/>
          <w:color w:val="auto"/>
        </w:rPr>
        <w:t>The Company's cash and cash equivalents are deposited in demand and money market accounts. Deposits held with banks may exceed the amount of insurance provided on such deposits. Generally, these deposits may be redeemed upon demand and therefore, bear minimal risk.</w:t>
      </w:r>
    </w:p>
    <w:p>
      <w:pPr>
        <w:spacing w:after="0" w:line="68"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The Company markets its products to distributors and end-users throughout the world. Sales to international distributors are generally made on open credit terms and letters of credit. Management performs ongoing credit evaluations of our customers and maintains an allowance for potential credit losses. Historically, we have not experienced any significant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91" w:right="1419" w:bottom="1440" w:gutter="0" w:footer="0" w:header="0"/>
        </w:sectPr>
      </w:pPr>
    </w:p>
    <w:bookmarkStart w:id="60" w:name="page61"/>
    <w:bookmarkEnd w:id="60"/>
    <w:p>
      <w:pPr>
        <w:ind w:right="60"/>
        <w:spacing w:after="0" w:line="258" w:lineRule="auto"/>
        <w:rPr>
          <w:sz w:val="20"/>
          <w:szCs w:val="20"/>
          <w:color w:val="auto"/>
        </w:rPr>
      </w:pPr>
      <w:r>
        <w:rPr>
          <w:rFonts w:ascii="Times New Roman" w:cs="Times New Roman" w:eastAsia="Times New Roman" w:hAnsi="Times New Roman"/>
          <w:sz w:val="18"/>
          <w:szCs w:val="18"/>
          <w:color w:val="auto"/>
        </w:rPr>
        <w:t>losses related to individual customers or a group of customers in any particular geographic area. For the year ended December 28, 2024, one customer, Topcon, accounted for greater than 10% of total revenues, representing 35%. For the year ended December 30, 2023, one customer, Topcon, accounted for greater than 10% of total revenues, representing 30%. For the year ended December 28, 2024, one customer, Topcon, accounted for over 10% of our receivables, representing 29%. As of December 30, 2023, one customer, Topcon, accounted for over 10% of our receivables, representing 30%.</w:t>
      </w:r>
    </w:p>
    <w:p>
      <w:pPr>
        <w:spacing w:after="0" w:line="75" w:lineRule="exact"/>
        <w:rPr>
          <w:sz w:val="20"/>
          <w:szCs w:val="20"/>
          <w:color w:val="auto"/>
        </w:rPr>
      </w:pPr>
    </w:p>
    <w:p>
      <w:pPr>
        <w:ind w:right="160" w:firstLine="441"/>
        <w:spacing w:after="0" w:line="261" w:lineRule="auto"/>
        <w:rPr>
          <w:sz w:val="20"/>
          <w:szCs w:val="20"/>
          <w:color w:val="auto"/>
        </w:rPr>
      </w:pPr>
      <w:r>
        <w:rPr>
          <w:rFonts w:ascii="Times New Roman" w:cs="Times New Roman" w:eastAsia="Times New Roman" w:hAnsi="Times New Roman"/>
          <w:sz w:val="18"/>
          <w:szCs w:val="18"/>
          <w:color w:val="auto"/>
        </w:rPr>
        <w:t>Our products require approvals from the Food and Drug Administration and international regulatory agencies prior to commercialized sales. Our future products may not receive required approvals. If we were denied such approvals, or if such approvals were delayed, it would have a material adverse impact on our business, results of operations and financial condition.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Reliance on Certain Suppliers</w:t>
      </w:r>
    </w:p>
    <w:p>
      <w:pPr>
        <w:spacing w:after="0" w:line="119" w:lineRule="exact"/>
        <w:rPr>
          <w:sz w:val="20"/>
          <w:szCs w:val="20"/>
          <w:color w:val="auto"/>
        </w:rPr>
      </w:pPr>
    </w:p>
    <w:p>
      <w:pPr>
        <w:ind w:right="160" w:firstLine="441"/>
        <w:spacing w:after="0" w:line="266" w:lineRule="auto"/>
        <w:rPr>
          <w:sz w:val="20"/>
          <w:szCs w:val="20"/>
          <w:color w:val="auto"/>
        </w:rPr>
      </w:pPr>
      <w:r>
        <w:rPr>
          <w:rFonts w:ascii="Times New Roman" w:cs="Times New Roman" w:eastAsia="Times New Roman" w:hAnsi="Times New Roman"/>
          <w:sz w:val="18"/>
          <w:szCs w:val="18"/>
          <w:color w:val="auto"/>
        </w:rPr>
        <w:t>Certain components and services used to manufacture and develop our products are presently available from only one or a limited number of suppliers or vendors. The loss of any of these suppliers or vendors would potentially require a significant level of hardware and/or software development efforts to incorporate the products or services into our products.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per Share</w:t>
      </w:r>
    </w:p>
    <w:p>
      <w:pPr>
        <w:spacing w:after="0" w:line="119"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Basic net income (loss) per share is based upon the weighted average number of common shares outstanding during the period. Diluted net income per share is based upon the weighted average number of common shares outstanding and dilutive common stock equivalents outstanding during the period. Common stock equivalents consist of incremental common shares issuable upon the exercise of stock options and release (vesting) of restricted stock units and awards and are calculated under the treasury stock method. Common stock equivalent shares from unexercised stock options and unvested restricted stock units are excluded from the computation for periods in which we incur a net loss or if the exercise price of such options is greater than the average market price of our common stock for the period as their effect would be anti-dilutive. See Note 16 - Computation of Basic and Diluted Net Loss Per Common Share.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Assets and liabilities of foreign operations with non-U.S. dollar functional currency are translated to U.S. dollars using exchange rates in effect at the end of the period. Revenue and expenses are translated to U.S. dollars using rates that approximate those in effect during the period. The resulting translation adjustments are included in the Company’s Consolidated Balance Sheets in the stockholders’ equity section as a component of accumulated other comprehensive income (loss).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Implementation Costs Incurred in a Cloud Computing Service Arrangement</w:t>
      </w:r>
    </w:p>
    <w:p>
      <w:pPr>
        <w:spacing w:after="0" w:line="119" w:lineRule="exact"/>
        <w:rPr>
          <w:sz w:val="20"/>
          <w:szCs w:val="20"/>
          <w:color w:val="auto"/>
        </w:rPr>
      </w:pPr>
    </w:p>
    <w:p>
      <w:pPr>
        <w:ind w:right="120" w:firstLine="441"/>
        <w:spacing w:after="0" w:line="256" w:lineRule="auto"/>
        <w:rPr>
          <w:sz w:val="20"/>
          <w:szCs w:val="20"/>
          <w:color w:val="auto"/>
        </w:rPr>
      </w:pPr>
      <w:r>
        <w:rPr>
          <w:rFonts w:ascii="Times New Roman" w:cs="Times New Roman" w:eastAsia="Times New Roman" w:hAnsi="Times New Roman"/>
          <w:sz w:val="18"/>
          <w:szCs w:val="18"/>
          <w:color w:val="auto"/>
        </w:rPr>
        <w:t>The Company has implemented a new enterprise resource planning (“ERP”) system. The new ERP system operates in a cloud-based environment. The Company concluded that this cloud computing arrangement does not include a license, and therefore, will account for this arrangement as one that is a service contract. The Company capitalized $1.1 million in implementation costs and began utilizing the ERP system near the end of the third quarter of 2023 and is recognizing amortization of the capitalized implementation costs over five years on a straight-line basis. For the years ended December 28, 2024 and December 30, 2023, approximately $0.2 million of amortization expenses were recognized in each period.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11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In November 2023, the Financial Standards Accounting Board (FASB) issued Accounting Standards Update (ASU) 2023-07 "Segment Reporting (Topic 280): Improvements to Reportable Segment Disclosures" which expands annual and interim disclosure requirements for reportable segments, primarily through enhanced disclosures about significant segment expenses. The amendment is effective for fiscal years beginning after December 15, 2023 and interim periods within fiscal years beginning after December 15, 2024, with early adoption permitted. The amendment should be applied retrospectively to all prior periods presented in the financial statements. The Company adopted this ASU on December 31, 2023 with no material impact on the Company's consolidated financial statements. The required segment disclosures are included in Note 15.</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 Not Yet Adopted</w:t>
      </w:r>
    </w:p>
    <w:p>
      <w:pPr>
        <w:spacing w:after="0" w:line="119"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(Topics 740): Improvements to Income Tax Disclosures" to expand the disclosure requirements for income taxes, specifically related to the rate reconciliation and income taxes paid. ASU 2023-09 is effective for the Company's annual periods beginning January 1, 2025, with early adoption permitted. The Company is currently evaluating the potential effect that the updated standard will have on its consolidated financial statement disclosures.</w:t>
      </w:r>
    </w:p>
    <w:p>
      <w:pPr>
        <w:spacing w:after="0" w:line="75"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which requires disclosure of disaggregated information about certain income statement expense line items on an annual and interim basis. This update will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01" w:right="1419" w:bottom="1440" w:gutter="0" w:footer="0" w:header="0"/>
        </w:sectPr>
      </w:pPr>
    </w:p>
    <w:bookmarkStart w:id="61" w:name="page62"/>
    <w:bookmarkEnd w:id="61"/>
    <w:p>
      <w:pPr>
        <w:ind w:right="400"/>
        <w:spacing w:after="0" w:line="266" w:lineRule="auto"/>
        <w:rPr>
          <w:sz w:val="20"/>
          <w:szCs w:val="20"/>
          <w:color w:val="auto"/>
        </w:rPr>
      </w:pPr>
      <w:r>
        <w:rPr>
          <w:rFonts w:ascii="Times New Roman" w:cs="Times New Roman" w:eastAsia="Times New Roman" w:hAnsi="Times New Roman"/>
          <w:sz w:val="18"/>
          <w:szCs w:val="18"/>
          <w:color w:val="auto"/>
        </w:rPr>
        <w:t>be effective for fiscal years beginning after December 15, 2026, and interim periods within fiscal years beginning after December 15, 2027. Early adoption is permitted. As this accounting standard only impacts disclosures, it will not have a material impact on the Company’s consolidated financial statements.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Related Party - Topcon</w:t>
      </w:r>
    </w:p>
    <w:p>
      <w:pPr>
        <w:spacing w:after="0" w:line="121" w:lineRule="exact"/>
        <w:rPr>
          <w:sz w:val="20"/>
          <w:szCs w:val="20"/>
          <w:color w:val="auto"/>
        </w:rPr>
      </w:pPr>
    </w:p>
    <w:p>
      <w:pPr>
        <w:ind w:right="20" w:firstLine="441"/>
        <w:spacing w:after="0" w:line="312" w:lineRule="auto"/>
        <w:rPr>
          <w:sz w:val="20"/>
          <w:szCs w:val="20"/>
          <w:color w:val="auto"/>
        </w:rPr>
      </w:pPr>
      <w:r>
        <w:rPr>
          <w:rFonts w:ascii="Times New Roman" w:cs="Times New Roman" w:eastAsia="Times New Roman" w:hAnsi="Times New Roman"/>
          <w:sz w:val="17"/>
          <w:szCs w:val="17"/>
          <w:color w:val="auto"/>
        </w:rPr>
        <w:t>As of December 28, 2024, Topcon holds a 9.9% voting interest in the Company, which qualifies it to be a principal owner considered a related party, even though it currently does not have significant influence over the Company’s operations.</w:t>
      </w:r>
    </w:p>
    <w:p>
      <w:pPr>
        <w:spacing w:after="0" w:line="32" w:lineRule="exact"/>
        <w:rPr>
          <w:sz w:val="20"/>
          <w:szCs w:val="20"/>
          <w:color w:val="auto"/>
        </w:rPr>
      </w:pPr>
    </w:p>
    <w:p>
      <w:pPr>
        <w:ind w:right="20" w:firstLine="441"/>
        <w:spacing w:after="0" w:line="254" w:lineRule="auto"/>
        <w:rPr>
          <w:sz w:val="20"/>
          <w:szCs w:val="20"/>
          <w:color w:val="auto"/>
        </w:rPr>
      </w:pPr>
      <w:r>
        <w:rPr>
          <w:rFonts w:ascii="Times New Roman" w:cs="Times New Roman" w:eastAsia="Times New Roman" w:hAnsi="Times New Roman"/>
          <w:sz w:val="18"/>
          <w:szCs w:val="18"/>
          <w:color w:val="auto"/>
        </w:rPr>
        <w:t>Topcon resells certain of our products as our exclusive distributor in certain international regions. At the same time, the Company also purchases certain raw materials from Topcon. During fiscal year 2024, the Company’s revenues related to Topcon amounted to approximately $16.3 million, including $1.5 million recognized as exclusive distribution rights revenue. During fiscal year 2023, the Company’s revenues related to Topcon amounted to approximately $14.3 million, including $1.5 million recognized exclusive distribution rights revenue. The Company’s purchases from Topcon during fiscal year 2024 and 2023 amounted to $1.0 million and $0.3 million, respectively. As of December 28, 2024, the amounts receivable from and payable to Topcon were $2.5 million and $0.6 million, respectively. As of December 30, 2023, the amounts receivable from and payable to Topcon were $2.9 million and $0.2 million, respectively.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w:t>
      </w:r>
    </w:p>
    <w:p>
      <w:pPr>
        <w:spacing w:after="0" w:line="121" w:lineRule="exact"/>
        <w:rPr>
          <w:sz w:val="20"/>
          <w:szCs w:val="20"/>
          <w:color w:val="auto"/>
        </w:rPr>
      </w:pPr>
    </w:p>
    <w:p>
      <w:pPr>
        <w:ind w:right="120" w:firstLine="441"/>
        <w:spacing w:after="0" w:line="255"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81" w:lineRule="exact"/>
        <w:rPr>
          <w:sz w:val="20"/>
          <w:szCs w:val="20"/>
          <w:color w:val="auto"/>
        </w:rPr>
      </w:pPr>
    </w:p>
    <w:p>
      <w:pPr>
        <w:ind w:left="880" w:right="280" w:hanging="431"/>
        <w:spacing w:after="0" w:line="282"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(unadjusted) in active markets that are accessible at the measurement date for assets or liabilities.</w:t>
      </w:r>
    </w:p>
    <w:p>
      <w:pPr>
        <w:spacing w:after="0" w:line="53" w:lineRule="exact"/>
        <w:rPr>
          <w:rFonts w:ascii="Times New Roman" w:cs="Times New Roman" w:eastAsia="Times New Roman" w:hAnsi="Times New Roman"/>
          <w:sz w:val="18"/>
          <w:szCs w:val="18"/>
          <w:color w:val="auto"/>
        </w:rPr>
      </w:pPr>
    </w:p>
    <w:p>
      <w:pPr>
        <w:ind w:left="880" w:right="20" w:hanging="431"/>
        <w:spacing w:after="0" w:line="256"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79" w:lineRule="exact"/>
        <w:rPr>
          <w:rFonts w:ascii="Times New Roman" w:cs="Times New Roman" w:eastAsia="Times New Roman" w:hAnsi="Times New Roman"/>
          <w:sz w:val="18"/>
          <w:szCs w:val="18"/>
          <w:color w:val="auto"/>
        </w:rPr>
      </w:pPr>
    </w:p>
    <w:p>
      <w:pPr>
        <w:jc w:val="both"/>
        <w:ind w:left="880" w:right="200" w:hanging="431"/>
        <w:spacing w:after="0" w:line="266" w:lineRule="auto"/>
        <w:tabs>
          <w:tab w:leader="none" w:pos="8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68" w:lineRule="exact"/>
        <w:rPr>
          <w:sz w:val="20"/>
          <w:szCs w:val="20"/>
          <w:color w:val="auto"/>
        </w:rPr>
      </w:pPr>
    </w:p>
    <w:p>
      <w:pPr>
        <w:jc w:val="both"/>
        <w:ind w:right="100" w:firstLine="441"/>
        <w:spacing w:after="0" w:line="312" w:lineRule="auto"/>
        <w:rPr>
          <w:sz w:val="20"/>
          <w:szCs w:val="20"/>
          <w:color w:val="auto"/>
        </w:rPr>
      </w:pPr>
      <w:r>
        <w:rPr>
          <w:rFonts w:ascii="Times New Roman" w:cs="Times New Roman" w:eastAsia="Times New Roman" w:hAnsi="Times New Roman"/>
          <w:sz w:val="17"/>
          <w:szCs w:val="17"/>
          <w:color w:val="auto"/>
        </w:rPr>
        <w:t>In determining fair value, we utilize valuation techniques that maximize the use of observable inputs and minimize the use of unobservable inputs to the extent possible as well as considers counterparty credit risk in our assessment of fair value.</w:t>
      </w:r>
    </w:p>
    <w:p>
      <w:pPr>
        <w:spacing w:after="0" w:line="32"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The carrying amounts of our financial assets and liabilities, including cash and cash equivalents, accounts receivable, accounts payable, and accrued expenses as of December 28, 2024 and December 30, 2023, approximate fair value because of the short maturity of these instruments. The Company does not recognize any non-financial assets at fair value.</w:t>
      </w:r>
    </w:p>
    <w:p>
      <w:pPr>
        <w:spacing w:after="0" w:line="68"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As of December 28, 2024 and December 30, 2023, financial assets and liabilities measured and recognized at fair value on a recurring basis and classified under the appropriate level of the fair value hierarchy as described above was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5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28, 2024</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of December 30, 2023</w:t>
            </w:r>
          </w:p>
        </w:tc>
        <w:tc>
          <w:tcPr>
            <w:tcW w:w="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7"/>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6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8"/>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5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00" w:type="dxa"/>
            <w:vAlign w:val="bottom"/>
            <w:vMerge w:val="continue"/>
          </w:tcPr>
          <w:p>
            <w:pPr>
              <w:spacing w:after="0"/>
              <w:rPr>
                <w:sz w:val="12"/>
                <w:szCs w:val="12"/>
                <w:color w:val="auto"/>
              </w:rPr>
            </w:pPr>
          </w:p>
        </w:tc>
        <w:tc>
          <w:tcPr>
            <w:tcW w:w="6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7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8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520" w:type="dxa"/>
            <w:vAlign w:val="bottom"/>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6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397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397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Level 1 financial assets are money market funds whose fair values are based on quoted market prices.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any Level 2 and Level 3 financial assets or liabilities.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01" w:right="1419" w:bottom="1440" w:gutter="0" w:footer="0" w:header="0"/>
        </w:sectPr>
      </w:pPr>
    </w:p>
    <w:bookmarkStart w:id="62" w:name="page63"/>
    <w:bookmarkEnd w:id="62"/>
    <w:p>
      <w:pPr>
        <w:ind w:left="980"/>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The components of our inventories are as follows (in thousands):</w:t>
      </w:r>
    </w:p>
    <w:p>
      <w:pPr>
        <w:spacing w:after="0" w:line="219" w:lineRule="exact"/>
        <w:rPr>
          <w:sz w:val="20"/>
          <w:szCs w:val="20"/>
          <w:color w:val="auto"/>
        </w:rPr>
      </w:pPr>
    </w:p>
    <w:tbl>
      <w:tblPr>
        <w:tblLayout w:type="fixed"/>
        <w:tblInd w:w="208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200" w:type="dxa"/>
            <w:vAlign w:val="bottom"/>
          </w:tcPr>
          <w:p>
            <w:pPr>
              <w:spacing w:after="0"/>
              <w:rPr>
                <w:sz w:val="15"/>
                <w:szCs w:val="15"/>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80" w:type="dxa"/>
            <w:vAlign w:val="bottom"/>
          </w:tcPr>
          <w:p>
            <w:pPr>
              <w:spacing w:after="0"/>
              <w:rPr>
                <w:sz w:val="15"/>
                <w:szCs w:val="15"/>
                <w:color w:val="auto"/>
              </w:rPr>
            </w:pPr>
          </w:p>
        </w:tc>
      </w:tr>
      <w:tr>
        <w:trPr>
          <w:trHeight w:val="210"/>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6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700" w:type="dxa"/>
            <w:vAlign w:val="bottom"/>
            <w:gridSpan w:val="2"/>
            <w:shd w:val="clear" w:color="auto" w:fill="CFF0FC"/>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80" w:type="dxa"/>
            <w:vAlign w:val="bottom"/>
            <w:shd w:val="clear" w:color="auto" w:fill="CFF0FC"/>
          </w:tcPr>
          <w:p>
            <w:pPr>
              <w:spacing w:after="0"/>
              <w:rPr>
                <w:sz w:val="18"/>
                <w:szCs w:val="18"/>
                <w:color w:val="auto"/>
              </w:rPr>
            </w:pPr>
          </w:p>
        </w:tc>
      </w:tr>
      <w:tr>
        <w:trPr>
          <w:trHeight w:val="216"/>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process</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18"/>
                <w:szCs w:val="18"/>
                <w:color w:val="auto"/>
              </w:rPr>
            </w:pPr>
          </w:p>
        </w:tc>
      </w:tr>
      <w:tr>
        <w:trPr>
          <w:trHeight w:val="216"/>
        </w:trPr>
        <w:tc>
          <w:tcPr>
            <w:tcW w:w="4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20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46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10,817</w:t>
            </w:r>
          </w:p>
        </w:tc>
        <w:tc>
          <w:tcPr>
            <w:tcW w:w="70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80" w:type="dxa"/>
            <w:vAlign w:val="bottom"/>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4690745</wp:posOffset>
            </wp:positionH>
            <wp:positionV relativeFrom="paragraph">
              <wp:posOffset>-170815</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5641975</wp:posOffset>
            </wp:positionH>
            <wp:positionV relativeFrom="paragraph">
              <wp:posOffset>-170815</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1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The components of our property and equipment are as follows (in thousands):</w:t>
      </w:r>
    </w:p>
    <w:p>
      <w:pPr>
        <w:spacing w:after="0" w:line="219" w:lineRule="exact"/>
        <w:rPr>
          <w:sz w:val="20"/>
          <w:szCs w:val="20"/>
          <w:color w:val="auto"/>
        </w:rPr>
      </w:pPr>
    </w:p>
    <w:tbl>
      <w:tblPr>
        <w:tblLayout w:type="fixed"/>
        <w:tblInd w:w="236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0" w:type="dxa"/>
            <w:vAlign w:val="bottom"/>
          </w:tcPr>
          <w:p>
            <w:pPr>
              <w:spacing w:after="0"/>
              <w:rPr>
                <w:sz w:val="1"/>
                <w:szCs w:val="1"/>
                <w:color w:val="auto"/>
              </w:rPr>
            </w:pPr>
          </w:p>
        </w:tc>
      </w:tr>
      <w:tr>
        <w:trPr>
          <w:trHeight w:val="210"/>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w:t>
            </w:r>
          </w:p>
        </w:tc>
        <w:tc>
          <w:tcPr>
            <w:tcW w:w="3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11,604</w:t>
            </w:r>
          </w:p>
        </w:tc>
        <w:tc>
          <w:tcPr>
            <w:tcW w:w="18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Less: accumulated depreciation and</w:t>
            </w:r>
          </w:p>
        </w:tc>
        <w:tc>
          <w:tcPr>
            <w:tcW w:w="380" w:type="dxa"/>
            <w:vAlign w:val="bottom"/>
            <w:shd w:val="clear" w:color="auto" w:fill="CFF0FC"/>
          </w:tcPr>
          <w:p>
            <w:pPr>
              <w:spacing w:after="0"/>
              <w:rPr>
                <w:sz w:val="17"/>
                <w:szCs w:val="17"/>
                <w:color w:val="auto"/>
              </w:rPr>
            </w:pPr>
          </w:p>
        </w:tc>
        <w:tc>
          <w:tcPr>
            <w:tcW w:w="10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(13,983 )</w:t>
            </w:r>
          </w:p>
        </w:tc>
        <w:tc>
          <w:tcPr>
            <w:tcW w:w="380" w:type="dxa"/>
            <w:vAlign w:val="bottom"/>
            <w:shd w:val="clear" w:color="auto" w:fill="CFF0FC"/>
          </w:tcPr>
          <w:p>
            <w:pPr>
              <w:spacing w:after="0"/>
              <w:rPr>
                <w:sz w:val="17"/>
                <w:szCs w:val="17"/>
                <w:color w:val="auto"/>
              </w:rPr>
            </w:pPr>
          </w:p>
        </w:tc>
        <w:tc>
          <w:tcPr>
            <w:tcW w:w="9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(13,740 )</w:t>
            </w:r>
          </w:p>
        </w:tc>
        <w:tc>
          <w:tcPr>
            <w:tcW w:w="0" w:type="dxa"/>
            <w:vAlign w:val="bottom"/>
          </w:tcPr>
          <w:p>
            <w:pPr>
              <w:spacing w:after="0"/>
              <w:rPr>
                <w:sz w:val="1"/>
                <w:szCs w:val="1"/>
                <w:color w:val="auto"/>
              </w:rPr>
            </w:pPr>
          </w:p>
        </w:tc>
      </w:tr>
      <w:tr>
        <w:trPr>
          <w:trHeight w:val="221"/>
        </w:trPr>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380" w:type="dxa"/>
            <w:vAlign w:val="bottom"/>
            <w:shd w:val="clear" w:color="auto" w:fill="CFF0FC"/>
          </w:tcPr>
          <w:p>
            <w:pPr>
              <w:spacing w:after="0"/>
              <w:rPr>
                <w:sz w:val="19"/>
                <w:szCs w:val="19"/>
                <w:color w:val="auto"/>
              </w:rPr>
            </w:pPr>
          </w:p>
        </w:tc>
        <w:tc>
          <w:tcPr>
            <w:tcW w:w="1020" w:type="dxa"/>
            <w:vAlign w:val="bottom"/>
            <w:gridSpan w:val="2"/>
            <w:vMerge w:val="continue"/>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6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4570730</wp:posOffset>
            </wp:positionH>
            <wp:positionV relativeFrom="paragraph">
              <wp:posOffset>-170815</wp:posOffset>
            </wp:positionV>
            <wp:extent cx="603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5462270</wp:posOffset>
            </wp:positionH>
            <wp:positionV relativeFrom="paragraph">
              <wp:posOffset>-170815</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left="980" w:right="1360" w:firstLine="440"/>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and equipment was $244 thousand and $277 thousand for the fiscal years 2024 and 2023, respectively.</w:t>
      </w:r>
    </w:p>
    <w:p>
      <w:pPr>
        <w:spacing w:after="0" w:line="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7. Intangible Assets</w:t>
      </w:r>
    </w:p>
    <w:p>
      <w:pPr>
        <w:spacing w:after="0" w:line="13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The components of our purchased intangible assets as of December 28, 2024 are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9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28,</w:t>
            </w:r>
          </w:p>
        </w:tc>
        <w:tc>
          <w:tcPr>
            <w:tcW w:w="1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9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Useful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Annual</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80" w:type="dxa"/>
            <w:vAlign w:val="bottom"/>
          </w:tcPr>
          <w:p>
            <w:pPr>
              <w:spacing w:after="0"/>
              <w:rPr>
                <w:sz w:val="15"/>
                <w:szCs w:val="15"/>
                <w:color w:val="auto"/>
              </w:rPr>
            </w:pPr>
          </w:p>
        </w:tc>
        <w:tc>
          <w:tcPr>
            <w:tcW w:w="1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Customer relations</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Lives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5"/>
                <w:szCs w:val="15"/>
                <w:color w:val="auto"/>
              </w:rPr>
            </w:pPr>
          </w:p>
        </w:tc>
        <w:tc>
          <w:tcPr>
            <w:tcW w:w="12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 Years</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80" w:type="dxa"/>
            <w:vAlign w:val="bottom"/>
            <w:gridSpan w:val="2"/>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Pr>
          <w:p>
            <w:pPr>
              <w:spacing w:after="0"/>
              <w:rPr>
                <w:sz w:val="18"/>
                <w:szCs w:val="18"/>
                <w:color w:val="auto"/>
              </w:rPr>
            </w:pPr>
          </w:p>
        </w:tc>
        <w:tc>
          <w:tcPr>
            <w:tcW w:w="1260" w:type="dxa"/>
            <w:vAlign w:val="bottom"/>
          </w:tcPr>
          <w:p>
            <w:pPr>
              <w:jc w:val="center"/>
              <w:ind w:right="77"/>
              <w:spacing w:after="0"/>
              <w:rPr>
                <w:sz w:val="20"/>
                <w:szCs w:val="20"/>
                <w:color w:val="auto"/>
              </w:rPr>
            </w:pPr>
            <w:r>
              <w:rPr>
                <w:rFonts w:ascii="Times New Roman" w:cs="Times New Roman" w:eastAsia="Times New Roman" w:hAnsi="Times New Roman"/>
                <w:sz w:val="18"/>
                <w:szCs w:val="18"/>
                <w:color w:val="auto"/>
                <w:w w:val="99"/>
              </w:rPr>
              <w:t>2.93 Years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980" w:type="dxa"/>
            <w:vAlign w:val="bottom"/>
          </w:tcPr>
          <w:p>
            <w:pPr>
              <w:spacing w:after="0"/>
              <w:rPr>
                <w:sz w:val="17"/>
                <w:szCs w:val="17"/>
                <w:color w:val="auto"/>
              </w:rPr>
            </w:pPr>
          </w:p>
        </w:tc>
        <w:tc>
          <w:tcPr>
            <w:tcW w:w="176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Developed</w:t>
            </w:r>
          </w:p>
        </w:tc>
        <w:tc>
          <w:tcPr>
            <w:tcW w:w="1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7 Years</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80" w:type="dxa"/>
            <w:vAlign w:val="bottom"/>
            <w:shd w:val="clear" w:color="auto" w:fill="CFF0FC"/>
          </w:tcPr>
          <w:p>
            <w:pPr>
              <w:spacing w:after="0"/>
              <w:rPr>
                <w:sz w:val="20"/>
                <w:szCs w:val="20"/>
                <w:color w:val="auto"/>
              </w:rPr>
            </w:pPr>
          </w:p>
        </w:tc>
        <w:tc>
          <w:tcPr>
            <w:tcW w:w="1260" w:type="dxa"/>
            <w:vAlign w:val="bottom"/>
            <w:shd w:val="clear" w:color="auto" w:fill="CFF0FC"/>
          </w:tcPr>
          <w:p>
            <w:pPr>
              <w:jc w:val="center"/>
              <w:ind w:right="77"/>
              <w:spacing w:after="0"/>
              <w:rPr>
                <w:sz w:val="20"/>
                <w:szCs w:val="20"/>
                <w:color w:val="auto"/>
              </w:rPr>
            </w:pPr>
            <w:r>
              <w:rPr>
                <w:rFonts w:ascii="Times New Roman" w:cs="Times New Roman" w:eastAsia="Times New Roman" w:hAnsi="Times New Roman"/>
                <w:sz w:val="18"/>
                <w:szCs w:val="18"/>
                <w:color w:val="auto"/>
                <w:w w:val="99"/>
              </w:rPr>
              <w:t>4.16 Years</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 Years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tcPr>
          <w:p>
            <w:pPr>
              <w:spacing w:after="0"/>
              <w:rPr>
                <w:sz w:val="18"/>
                <w:szCs w:val="18"/>
                <w:color w:val="auto"/>
              </w:rPr>
            </w:pPr>
          </w:p>
        </w:tc>
        <w:tc>
          <w:tcPr>
            <w:tcW w:w="1260" w:type="dxa"/>
            <w:vAlign w:val="bottom"/>
          </w:tcPr>
          <w:p>
            <w:pPr>
              <w:jc w:val="center"/>
              <w:ind w:right="77"/>
              <w:spacing w:after="0"/>
              <w:rPr>
                <w:sz w:val="20"/>
                <w:szCs w:val="20"/>
                <w:color w:val="auto"/>
              </w:rPr>
            </w:pPr>
            <w:r>
              <w:rPr>
                <w:rFonts w:ascii="Times New Roman" w:cs="Times New Roman" w:eastAsia="Times New Roman" w:hAnsi="Times New Roman"/>
                <w:sz w:val="18"/>
                <w:szCs w:val="18"/>
                <w:color w:val="auto"/>
                <w:w w:val="99"/>
              </w:rPr>
              <w:t>5.17 Years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176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980" w:type="dxa"/>
            <w:vAlign w:val="bottom"/>
          </w:tcPr>
          <w:p>
            <w:pPr>
              <w:spacing w:after="0"/>
              <w:rPr>
                <w:sz w:val="24"/>
                <w:szCs w:val="24"/>
                <w:color w:val="auto"/>
              </w:rPr>
            </w:pPr>
          </w:p>
        </w:tc>
        <w:tc>
          <w:tcPr>
            <w:tcW w:w="1760" w:type="dxa"/>
            <w:vAlign w:val="bottom"/>
            <w:tcBorders>
              <w:top w:val="single" w:sz="8" w:color="CFF0FC"/>
            </w:tcBorders>
          </w:tcPr>
          <w:p>
            <w:pPr>
              <w:spacing w:after="0"/>
              <w:rPr>
                <w:sz w:val="24"/>
                <w:szCs w:val="24"/>
                <w:color w:val="auto"/>
              </w:rPr>
            </w:pPr>
          </w:p>
        </w:tc>
        <w:tc>
          <w:tcPr>
            <w:tcW w:w="1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ind w:right="477"/>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60" w:type="dxa"/>
            <w:vAlign w:val="bottom"/>
            <w:tcBorders>
              <w:top w:val="single" w:sz="8" w:color="CFF0FC"/>
            </w:tcBorders>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-2026285</wp:posOffset>
            </wp:positionV>
            <wp:extent cx="76835" cy="4114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411480"/>
                    </a:xfrm>
                    <a:prstGeom prst="rect">
                      <a:avLst/>
                    </a:prstGeom>
                    <a:noFill/>
                  </pic:spPr>
                </pic:pic>
              </a:graphicData>
            </a:graphic>
          </wp:anchor>
        </w:drawing>
        <w:drawing>
          <wp:anchor simplePos="0" relativeHeight="251657728" behindDoc="1" locked="0" layoutInCell="0" allowOverlap="1">
            <wp:simplePos x="0" y="0"/>
            <wp:positionH relativeFrom="column">
              <wp:posOffset>4686300</wp:posOffset>
            </wp:positionH>
            <wp:positionV relativeFrom="paragraph">
              <wp:posOffset>-2026285</wp:posOffset>
            </wp:positionV>
            <wp:extent cx="76835" cy="4114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411480"/>
                    </a:xfrm>
                    <a:prstGeom prst="rect">
                      <a:avLst/>
                    </a:prstGeom>
                    <a:noFill/>
                  </pic:spPr>
                </pic:pic>
              </a:graphicData>
            </a:graphic>
          </wp:anchor>
        </w:drawing>
        <w:drawing>
          <wp:anchor simplePos="0" relativeHeight="251657728" behindDoc="1" locked="0" layoutInCell="0" allowOverlap="1">
            <wp:simplePos x="0" y="0"/>
            <wp:positionH relativeFrom="column">
              <wp:posOffset>5457825</wp:posOffset>
            </wp:positionH>
            <wp:positionV relativeFrom="paragraph">
              <wp:posOffset>-2026285</wp:posOffset>
            </wp:positionV>
            <wp:extent cx="76835" cy="4114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411480"/>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-933450</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-916305</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3927475</wp:posOffset>
            </wp:positionH>
            <wp:positionV relativeFrom="paragraph">
              <wp:posOffset>-933450</wp:posOffset>
            </wp:positionV>
            <wp:extent cx="514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3927475</wp:posOffset>
            </wp:positionH>
            <wp:positionV relativeFrom="paragraph">
              <wp:posOffset>-916305</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4699000</wp:posOffset>
            </wp:positionH>
            <wp:positionV relativeFrom="paragraph">
              <wp:posOffset>-933450</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4699000</wp:posOffset>
            </wp:positionH>
            <wp:positionV relativeFrom="paragraph">
              <wp:posOffset>-916305</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5470525</wp:posOffset>
            </wp:positionH>
            <wp:positionV relativeFrom="paragraph">
              <wp:posOffset>-933450</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5470525</wp:posOffset>
            </wp:positionH>
            <wp:positionV relativeFrom="paragraph">
              <wp:posOffset>-916305</wp:posOffset>
            </wp:positionV>
            <wp:extent cx="514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97" w:right="439" w:bottom="1440" w:gutter="0" w:footer="0" w:header="0"/>
        </w:sectPr>
      </w:pPr>
    </w:p>
    <w:bookmarkStart w:id="63" w:name="page64"/>
    <w:bookmarkEnd w:id="63"/>
    <w:p>
      <w:pPr>
        <w:ind w:left="440"/>
        <w:spacing w:after="0"/>
        <w:rPr>
          <w:sz w:val="20"/>
          <w:szCs w:val="20"/>
          <w:color w:val="auto"/>
        </w:rPr>
      </w:pPr>
      <w:r>
        <w:rPr>
          <w:rFonts w:ascii="Times New Roman" w:cs="Times New Roman" w:eastAsia="Times New Roman" w:hAnsi="Times New Roman"/>
          <w:sz w:val="18"/>
          <w:szCs w:val="18"/>
          <w:color w:val="auto"/>
        </w:rPr>
        <w:t>The components of our purchased intangible assets as of December 30, 2023 are as follows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restart"/>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Net</w:t>
            </w: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Useful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Annual</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4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Lives</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210"/>
        </w:trPr>
        <w:tc>
          <w:tcPr>
            <w:tcW w:w="1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w:t>
            </w: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3.43 Years</w:t>
            </w:r>
          </w:p>
        </w:tc>
        <w:tc>
          <w:tcPr>
            <w:tcW w:w="0" w:type="dxa"/>
            <w:vAlign w:val="bottom"/>
          </w:tcPr>
          <w:p>
            <w:pPr>
              <w:spacing w:after="0"/>
              <w:rPr>
                <w:sz w:val="1"/>
                <w:szCs w:val="1"/>
                <w:color w:val="auto"/>
              </w:rPr>
            </w:pPr>
          </w:p>
        </w:tc>
      </w:tr>
      <w:tr>
        <w:trPr>
          <w:trHeight w:val="198"/>
        </w:trPr>
        <w:tc>
          <w:tcPr>
            <w:tcW w:w="17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Developed</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 Years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2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5.13 Years</w:t>
            </w:r>
          </w:p>
        </w:tc>
        <w:tc>
          <w:tcPr>
            <w:tcW w:w="0" w:type="dxa"/>
            <w:vAlign w:val="bottom"/>
          </w:tcPr>
          <w:p>
            <w:pPr>
              <w:spacing w:after="0"/>
              <w:rPr>
                <w:sz w:val="1"/>
                <w:szCs w:val="1"/>
                <w:color w:val="auto"/>
              </w:rPr>
            </w:pPr>
          </w:p>
        </w:tc>
      </w:tr>
      <w:tr>
        <w:trPr>
          <w:trHeight w:val="216"/>
        </w:trPr>
        <w:tc>
          <w:tcPr>
            <w:tcW w:w="1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0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9 Years</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6.17 Years</w:t>
            </w:r>
          </w:p>
        </w:tc>
        <w:tc>
          <w:tcPr>
            <w:tcW w:w="0" w:type="dxa"/>
            <w:vAlign w:val="bottom"/>
          </w:tcPr>
          <w:p>
            <w:pPr>
              <w:spacing w:after="0"/>
              <w:rPr>
                <w:sz w:val="1"/>
                <w:szCs w:val="1"/>
                <w:color w:val="auto"/>
              </w:rPr>
            </w:pPr>
          </w:p>
        </w:tc>
      </w:tr>
      <w:tr>
        <w:trPr>
          <w:trHeight w:val="210"/>
        </w:trPr>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-170815</wp:posOffset>
            </wp:positionV>
            <wp:extent cx="514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-170815</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-170815</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-170815</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Aggregate amortization expense for fiscal years 2024 and 2023 were $0.3 million for each year. The amortization of developed technology was charged to research and development expense and the amortization of customer relations and trade names was charged to sales and marketing expense. We started amortization of in-process research and development in the fourth fiscal quarter of 2022, as it was related to the release of a new system.</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Estimated future amortization expense for purchased intangible assets is as follows (in thousands):</w:t>
      </w:r>
    </w:p>
    <w:p>
      <w:pPr>
        <w:spacing w:after="0" w:line="243"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Year:</w:t>
            </w:r>
          </w:p>
        </w:tc>
        <w:tc>
          <w:tcPr>
            <w:tcW w:w="6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8"/>
                <w:szCs w:val="18"/>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6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FF0FC"/>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8"/>
                <w:szCs w:val="18"/>
                <w:color w:val="auto"/>
              </w:rPr>
            </w:pPr>
          </w:p>
        </w:tc>
      </w:tr>
      <w:tr>
        <w:trPr>
          <w:trHeight w:val="250"/>
        </w:trPr>
        <w:tc>
          <w:tcPr>
            <w:tcW w:w="38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-24765</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carrying value of goodwill was $965 thousand as of both December 28, 2024 and December 30, 2023.</w:t>
      </w:r>
    </w:p>
    <w:p>
      <w:pPr>
        <w:spacing w:after="0" w:line="117" w:lineRule="exact"/>
        <w:rPr>
          <w:sz w:val="20"/>
          <w:szCs w:val="20"/>
          <w:color w:val="auto"/>
        </w:rPr>
      </w:pPr>
    </w:p>
    <w:p>
      <w:pPr>
        <w:ind w:firstLine="441"/>
        <w:spacing w:after="0" w:line="252"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 the reporting unit’s fair value; however, the loss recognized should not exceed the total amount of goodwill allocated to that reporting unit. In addition, income tax effects from any tax-deductible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year 2024 and determined that its goodwill was not impaired. The determination of whether any potential impairment of goodwill exists is based upon an impairment test performed in accordance with ASC 350. There was no impairment of goodwill recognized during fiscal years 2024 and 2023.</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93" w:right="14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 Current Liabilities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components of our accrued expenses and other current liabilities are as follows (in thousands):</w:t>
      </w:r>
    </w:p>
    <w:p>
      <w:pPr>
        <w:spacing w:after="0" w:line="219" w:lineRule="exact"/>
        <w:rPr>
          <w:sz w:val="20"/>
          <w:szCs w:val="20"/>
          <w:color w:val="auto"/>
        </w:rPr>
      </w:pPr>
    </w:p>
    <w:tbl>
      <w:tblPr>
        <w:tblLayout w:type="fixed"/>
        <w:tblInd w:w="138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220" w:type="dxa"/>
            <w:vAlign w:val="bottom"/>
          </w:tcPr>
          <w:p>
            <w:pPr>
              <w:spacing w:after="0"/>
              <w:rPr>
                <w:sz w:val="15"/>
                <w:szCs w:val="15"/>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80" w:type="dxa"/>
            <w:vAlign w:val="bottom"/>
          </w:tcPr>
          <w:p>
            <w:pPr>
              <w:spacing w:after="0"/>
              <w:rPr>
                <w:sz w:val="15"/>
                <w:szCs w:val="15"/>
                <w:color w:val="auto"/>
              </w:rPr>
            </w:pPr>
          </w:p>
        </w:tc>
      </w:tr>
      <w:tr>
        <w:trPr>
          <w:trHeight w:val="209"/>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52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740" w:type="dxa"/>
            <w:vAlign w:val="bottom"/>
            <w:gridSpan w:val="2"/>
            <w:shd w:val="clear" w:color="auto" w:fill="CFF0FC"/>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shd w:val="clear" w:color="auto" w:fill="CFF0FC"/>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8"/>
                <w:szCs w:val="18"/>
                <w:color w:val="auto"/>
              </w:rPr>
            </w:pPr>
          </w:p>
        </w:tc>
      </w:tr>
      <w:tr>
        <w:trPr>
          <w:trHeight w:val="21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Temporary help and consulting</w:t>
            </w: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FF0FC"/>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Royalties payable</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tcPr>
          <w:p>
            <w:pPr>
              <w:spacing w:after="0"/>
              <w:rPr>
                <w:sz w:val="18"/>
                <w:szCs w:val="18"/>
                <w:color w:val="auto"/>
              </w:rPr>
            </w:pPr>
          </w:p>
        </w:tc>
      </w:tr>
      <w:tr>
        <w:trPr>
          <w:trHeight w:val="21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payable</w:t>
            </w: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FF0FC"/>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80" w:type="dxa"/>
            <w:vAlign w:val="bottom"/>
          </w:tcPr>
          <w:p>
            <w:pPr>
              <w:spacing w:after="0"/>
              <w:rPr>
                <w:sz w:val="18"/>
                <w:szCs w:val="18"/>
                <w:color w:val="auto"/>
              </w:rPr>
            </w:pPr>
          </w:p>
        </w:tc>
      </w:tr>
      <w:tr>
        <w:trPr>
          <w:trHeight w:val="249"/>
        </w:trPr>
        <w:tc>
          <w:tcPr>
            <w:tcW w:w="3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520" w:type="dxa"/>
            <w:vAlign w:val="bottom"/>
            <w:tcBorders>
              <w:bottom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3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399"/>
        </w:trPr>
        <w:tc>
          <w:tcPr>
            <w:tcW w:w="3320" w:type="dxa"/>
            <w:vAlign w:val="bottom"/>
          </w:tcPr>
          <w:p>
            <w:pPr>
              <w:spacing w:after="0"/>
              <w:rPr>
                <w:sz w:val="24"/>
                <w:szCs w:val="24"/>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220" w:type="dxa"/>
            <w:vAlign w:val="bottom"/>
          </w:tcPr>
          <w:p>
            <w:pPr>
              <w:spacing w:after="0"/>
              <w:rPr>
                <w:sz w:val="24"/>
                <w:szCs w:val="24"/>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30, 2024</w:t>
            </w:r>
          </w:p>
        </w:tc>
        <w:tc>
          <w:tcPr>
            <w:tcW w:w="80" w:type="dxa"/>
            <w:vAlign w:val="bottom"/>
          </w:tcPr>
          <w:p>
            <w:pPr>
              <w:spacing w:after="0"/>
              <w:rPr>
                <w:sz w:val="24"/>
                <w:szCs w:val="24"/>
                <w:color w:val="auto"/>
              </w:rPr>
            </w:pPr>
          </w:p>
        </w:tc>
      </w:tr>
      <w:tr>
        <w:trPr>
          <w:trHeight w:val="209"/>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52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740" w:type="dxa"/>
            <w:vAlign w:val="bottom"/>
            <w:gridSpan w:val="2"/>
            <w:shd w:val="clear" w:color="auto" w:fill="CFF0FC"/>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80" w:type="dxa"/>
            <w:vAlign w:val="bottom"/>
            <w:shd w:val="clear" w:color="auto" w:fill="CFF0FC"/>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Accrued warranty</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tcPr>
          <w:p>
            <w:pPr>
              <w:spacing w:after="0"/>
              <w:rPr>
                <w:sz w:val="18"/>
                <w:szCs w:val="18"/>
                <w:color w:val="auto"/>
              </w:rPr>
            </w:pPr>
          </w:p>
        </w:tc>
      </w:tr>
      <w:tr>
        <w:trPr>
          <w:trHeight w:val="249"/>
        </w:trPr>
        <w:tc>
          <w:tcPr>
            <w:tcW w:w="3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520" w:type="dxa"/>
            <w:vAlign w:val="bottom"/>
            <w:tcBorders>
              <w:bottom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2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3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-745490</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-728345</wp:posOffset>
            </wp:positionV>
            <wp:extent cx="514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-745490</wp:posOffset>
            </wp:positionV>
            <wp:extent cx="514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-728345</wp:posOffset>
            </wp:positionV>
            <wp:extent cx="514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-25400</wp:posOffset>
            </wp:positionV>
            <wp:extent cx="514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-8255</wp:posOffset>
            </wp:positionV>
            <wp:extent cx="5143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-25400</wp:posOffset>
            </wp:positionV>
            <wp:extent cx="514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-8255</wp:posOffset>
            </wp:positionV>
            <wp:extent cx="514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Convertible Debt</w:t>
      </w:r>
    </w:p>
    <w:p>
      <w:pPr>
        <w:spacing w:after="0" w:line="121" w:lineRule="exact"/>
        <w:rPr>
          <w:sz w:val="20"/>
          <w:szCs w:val="20"/>
          <w:color w:val="auto"/>
        </w:rPr>
      </w:pPr>
    </w:p>
    <w:p>
      <w:pPr>
        <w:ind w:right="59" w:firstLine="441"/>
        <w:spacing w:after="0" w:line="253" w:lineRule="auto"/>
        <w:rPr>
          <w:sz w:val="20"/>
          <w:szCs w:val="20"/>
          <w:color w:val="auto"/>
        </w:rPr>
      </w:pPr>
      <w:r>
        <w:rPr>
          <w:rFonts w:ascii="Times New Roman" w:cs="Times New Roman" w:eastAsia="Times New Roman" w:hAnsi="Times New Roman"/>
          <w:sz w:val="18"/>
          <w:szCs w:val="18"/>
          <w:color w:val="auto"/>
        </w:rPr>
        <w:t>On August 4, 2024, the Company entered into a securities purchase agreement (the “Lind Purchase Agreement”) with Lind Global Asset Management IX LLC (“Lind”), an entity managed by The Lind Partners, LLC, relating to (i) the issuance and sale to Lind of a senior convertible promissory note in the principal amount of $4.2 million for a purchase price of $3.5 million (the “Initial Lind Note”) and (ii) a subsequent contingent senior convertible promissory note in the amount of $1.8 million for a purchase price of $1.5 million (the “Subsequent Lind Note” and, together with the Initial Note, the “Notes” and together with the Lind Purchase Agreement and the Lind Notes, the “Lind Transaction Documents”). The Initial Lind Note was issued on August 7, 2024 and the Subsequent Lind Note has not been issued as of the date hereof. The Lind Notes are convertible into shares of the Company’s common stock, $0.01 par value (the “Common Stock” and such shares issued upon conversion, the “Note Shares”) at Lind’s option at an initial conversion price of $2.44, subject to any adjustments as set forth in the Lind Notes; provided that no adjustment shall result in a conversion price that is less than $0.39 per share.</w:t>
      </w:r>
    </w:p>
    <w:p>
      <w:pPr>
        <w:spacing w:after="0" w:line="86" w:lineRule="exact"/>
        <w:rPr>
          <w:sz w:val="20"/>
          <w:szCs w:val="20"/>
          <w:color w:val="auto"/>
        </w:rPr>
      </w:pPr>
    </w:p>
    <w:p>
      <w:pPr>
        <w:ind w:right="139" w:firstLine="441"/>
        <w:spacing w:after="0" w:line="282" w:lineRule="auto"/>
        <w:rPr>
          <w:sz w:val="20"/>
          <w:szCs w:val="20"/>
          <w:color w:val="auto"/>
        </w:rPr>
      </w:pPr>
      <w:r>
        <w:rPr>
          <w:rFonts w:ascii="Times New Roman" w:cs="Times New Roman" w:eastAsia="Times New Roman" w:hAnsi="Times New Roman"/>
          <w:sz w:val="18"/>
          <w:szCs w:val="18"/>
          <w:color w:val="auto"/>
        </w:rPr>
        <w:t>Pursuant to the terms of the Lind Purchase Agreement, as of December 28, 2024, the Company issued 126,968 shares of Common Stock to Lind.</w:t>
      </w:r>
    </w:p>
    <w:p>
      <w:pPr>
        <w:spacing w:after="0" w:line="54" w:lineRule="exact"/>
        <w:rPr>
          <w:sz w:val="20"/>
          <w:szCs w:val="20"/>
          <w:color w:val="auto"/>
        </w:rPr>
      </w:pPr>
    </w:p>
    <w:p>
      <w:pPr>
        <w:jc w:val="both"/>
        <w:ind w:right="179" w:firstLine="441"/>
        <w:spacing w:after="0" w:line="261" w:lineRule="auto"/>
        <w:rPr>
          <w:sz w:val="20"/>
          <w:szCs w:val="20"/>
          <w:color w:val="auto"/>
        </w:rPr>
      </w:pPr>
      <w:r>
        <w:rPr>
          <w:rFonts w:ascii="Times New Roman" w:cs="Times New Roman" w:eastAsia="Times New Roman" w:hAnsi="Times New Roman"/>
          <w:sz w:val="18"/>
          <w:szCs w:val="18"/>
          <w:color w:val="auto"/>
        </w:rPr>
        <w:t>The total number of shares of Common Stock issuable pursuant to the terms of the Lind Transaction Documents was capped at (i) prior to the receipt of stockholder approval, 3,300,231 (equal to 19.99% of the number of shares of Common Stock outstanding as of August 4, 2024), and (ii) following the receipt of stockholder approval, 4,952,823 (equal to 30% of the number of shares of Common Stock outstanding as of August 4, 2024).</w:t>
      </w:r>
    </w:p>
    <w:p>
      <w:pPr>
        <w:spacing w:after="0" w:line="72" w:lineRule="exact"/>
        <w:rPr>
          <w:sz w:val="20"/>
          <w:szCs w:val="20"/>
          <w:color w:val="auto"/>
        </w:rPr>
      </w:pPr>
    </w:p>
    <w:p>
      <w:pPr>
        <w:ind w:right="19" w:firstLine="441"/>
        <w:spacing w:after="0" w:line="256" w:lineRule="auto"/>
        <w:rPr>
          <w:sz w:val="20"/>
          <w:szCs w:val="20"/>
          <w:color w:val="auto"/>
        </w:rPr>
      </w:pPr>
      <w:r>
        <w:rPr>
          <w:rFonts w:ascii="Times New Roman" w:cs="Times New Roman" w:eastAsia="Times New Roman" w:hAnsi="Times New Roman"/>
          <w:sz w:val="18"/>
          <w:szCs w:val="18"/>
          <w:color w:val="auto"/>
        </w:rPr>
        <w:t>The $4.2 million convertible debt was issued with an original issue discount (“OID”) of $0.7 million. In addition, the Company incurred $0.9 million debt issuance costs, including $0.5 million legal expenses, $250 thousand relating to the First Incentive Share Installment (as defined in the Lind Purchase Agreement) and $105 thousand in commitment fees. During the year ended December 28, 2024, $146 thousand of the original issue discount and $182 thousand of debt issuance costs (as an interest expense) were recorded on a straight-line basis over the term of the debt. The accretion of the OID and amortization of debt issuance costs under that method is deemed materially consistent with the effective interest rate method.</w:t>
      </w:r>
    </w:p>
    <w:p>
      <w:pPr>
        <w:spacing w:after="0" w:line="120" w:lineRule="exact"/>
        <w:rPr>
          <w:sz w:val="20"/>
          <w:szCs w:val="20"/>
          <w:color w:val="auto"/>
        </w:rPr>
      </w:pPr>
    </w:p>
    <w:p>
      <w:pPr>
        <w:jc w:val="both"/>
        <w:ind w:right="199" w:firstLine="441"/>
        <w:spacing w:after="0" w:line="266" w:lineRule="auto"/>
        <w:rPr>
          <w:sz w:val="20"/>
          <w:szCs w:val="20"/>
          <w:color w:val="auto"/>
        </w:rPr>
      </w:pPr>
      <w:r>
        <w:rPr>
          <w:rFonts w:ascii="Times New Roman" w:cs="Times New Roman" w:eastAsia="Times New Roman" w:hAnsi="Times New Roman"/>
          <w:sz w:val="18"/>
          <w:szCs w:val="18"/>
          <w:color w:val="auto"/>
        </w:rPr>
        <w:t>As of December 28, 2024, the convertible note payable outstanding totaled $2.7 million of debt, net of the remaining balances of $0.6 million of OID and $0.7 million of debt issuance costs. As of December 28, 2024, the short term and long term debt (Notes Payable) were $1.7 million and $1.0 million, respectively.</w:t>
      </w:r>
    </w:p>
    <w:p>
      <w:pPr>
        <w:spacing w:after="0" w:line="9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March 18, 2025, the Company entered into that certain repayment notice (the “Repayment Notice”) with Lind.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Repayment Notice and upon the subsequent delivery of a cash payment to Lind in the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$3,330,999.99, the Company thereafter fully discharged its outstanding obligations (other than certain indemnification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that survived pursuant to the terms of the Repayment Notice) under the Lind Purchase Agreement and terminated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Lind Note.</w:t>
      </w:r>
    </w:p>
    <w:p>
      <w:pPr>
        <w:spacing w:after="0" w:line="200" w:lineRule="exact"/>
        <w:rPr>
          <w:sz w:val="20"/>
          <w:szCs w:val="20"/>
          <w:color w:val="auto"/>
        </w:rPr>
      </w:pPr>
    </w:p>
    <w:p>
      <w:pPr>
        <w:spacing w:after="0" w:line="3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59"/>
          </w:cols>
          <w:pgMar w:left="1400" w:top="1089" w:right="1440" w:bottom="1440" w:gutter="0" w:footer="0" w:header="0"/>
        </w:sectPr>
      </w:pPr>
    </w:p>
    <w:bookmarkStart w:id="65" w:name="page66"/>
    <w:bookmarkEnd w:id="65"/>
    <w:p>
      <w:pPr>
        <w:ind w:left="440"/>
        <w:spacing w:after="0"/>
        <w:rPr>
          <w:sz w:val="20"/>
          <w:szCs w:val="20"/>
          <w:color w:val="auto"/>
        </w:rPr>
      </w:pPr>
      <w:r>
        <w:rPr>
          <w:rFonts w:ascii="Times New Roman" w:cs="Times New Roman" w:eastAsia="Times New Roman" w:hAnsi="Times New Roman"/>
          <w:sz w:val="18"/>
          <w:szCs w:val="18"/>
          <w:color w:val="auto"/>
        </w:rPr>
        <w:t>The following represents the payments of notes payables as of December 28, 2024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4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Payments</w:t>
            </w:r>
          </w:p>
        </w:tc>
      </w:tr>
      <w:tr>
        <w:trPr>
          <w:trHeight w:val="209"/>
        </w:trPr>
        <w:tc>
          <w:tcPr>
            <w:tcW w:w="65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Pr>
          <w:p>
            <w:pPr>
              <w:spacing w:after="0"/>
              <w:rPr>
                <w:sz w:val="18"/>
                <w:szCs w:val="18"/>
                <w:color w:val="auto"/>
              </w:rPr>
            </w:pPr>
          </w:p>
        </w:tc>
      </w:tr>
      <w:tr>
        <w:trPr>
          <w:trHeight w:val="209"/>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payments</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Origination fees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(1,252 )</w:t>
            </w:r>
          </w:p>
        </w:tc>
      </w:tr>
      <w:tr>
        <w:trPr>
          <w:trHeight w:val="210"/>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convertible note payable</w:t>
            </w:r>
          </w:p>
        </w:tc>
        <w:tc>
          <w:tcPr>
            <w:tcW w:w="24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2,738</w:t>
            </w:r>
          </w:p>
        </w:tc>
        <w:tc>
          <w:tcPr>
            <w:tcW w:w="100" w:type="dxa"/>
            <w:vAlign w:val="bottom"/>
            <w:shd w:val="clear" w:color="auto" w:fill="CFF0FC"/>
          </w:tcPr>
          <w:p>
            <w:pPr>
              <w:spacing w:after="0"/>
              <w:rPr>
                <w:sz w:val="18"/>
                <w:szCs w:val="18"/>
                <w:color w:val="auto"/>
              </w:rPr>
            </w:pP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convertible note payable</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(1,004 )</w:t>
            </w:r>
          </w:p>
        </w:tc>
      </w:tr>
      <w:tr>
        <w:trPr>
          <w:trHeight w:val="249"/>
        </w:trPr>
        <w:tc>
          <w:tcPr>
            <w:tcW w:w="6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convertible note payable</w:t>
            </w:r>
          </w:p>
        </w:tc>
        <w:tc>
          <w:tcPr>
            <w:tcW w:w="2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-25400</wp:posOffset>
            </wp:positionV>
            <wp:extent cx="596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596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 and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19" w:lineRule="exact"/>
        <w:rPr>
          <w:sz w:val="20"/>
          <w:szCs w:val="20"/>
          <w:color w:val="auto"/>
        </w:rPr>
      </w:pPr>
    </w:p>
    <w:p>
      <w:pPr>
        <w:ind w:right="60" w:firstLine="441"/>
        <w:spacing w:after="0" w:line="282" w:lineRule="auto"/>
        <w:rPr>
          <w:sz w:val="20"/>
          <w:szCs w:val="20"/>
          <w:color w:val="auto"/>
        </w:rPr>
      </w:pPr>
      <w:r>
        <w:rPr>
          <w:rFonts w:ascii="Times New Roman" w:cs="Times New Roman" w:eastAsia="Times New Roman" w:hAnsi="Times New Roman"/>
          <w:sz w:val="18"/>
          <w:szCs w:val="18"/>
          <w:color w:val="auto"/>
        </w:rPr>
        <w:t>We lease our operating facilities in Mountain View, California, under a non-cancelable operating lease through August 31, 2026. There are no further options or rights to extend the term of this lease.</w:t>
      </w:r>
    </w:p>
    <w:p>
      <w:pPr>
        <w:spacing w:after="0" w:line="54" w:lineRule="exact"/>
        <w:rPr>
          <w:sz w:val="20"/>
          <w:szCs w:val="20"/>
          <w:color w:val="auto"/>
        </w:rPr>
      </w:pPr>
    </w:p>
    <w:p>
      <w:pPr>
        <w:ind w:right="20" w:firstLine="441"/>
        <w:spacing w:after="0" w:line="261" w:lineRule="auto"/>
        <w:rPr>
          <w:sz w:val="20"/>
          <w:szCs w:val="20"/>
          <w:color w:val="auto"/>
        </w:rPr>
      </w:pPr>
      <w:r>
        <w:rPr>
          <w:rFonts w:ascii="Times New Roman" w:cs="Times New Roman" w:eastAsia="Times New Roman" w:hAnsi="Times New Roman"/>
          <w:sz w:val="18"/>
          <w:szCs w:val="18"/>
          <w:color w:val="auto"/>
        </w:rPr>
        <w:t>Our operating lease commitments consist of facility and office equipment leases. Operating lease expense for fiscal years 2024 and 2023 was approximately $1.1 million and $1.0 million, respectively. The weighted average discount rate used in calculating the present value of lease payments was 4.8%. As of December 28, 2024, the weighted average remaining lease term for our operating leases was 1.8 years.</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represents maturities of operating lease liabilities as of December 28, 2024 (in thousands):</w:t>
      </w:r>
    </w:p>
    <w:tbl>
      <w:tblPr>
        <w:tblLayout w:type="fixed"/>
        <w:tblInd w:w="1240" w:type="dxa"/>
        <w:tblCellMar>
          <w:top w:w="0" w:type="dxa"/>
          <w:left w:w="0" w:type="dxa"/>
          <w:bottom w:w="0" w:type="dxa"/>
          <w:right w:w="0" w:type="dxa"/>
        </w:tblCellMar>
      </w:tblPr>
      <w:tr>
        <w:trPr>
          <w:trHeight w:val="151"/>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right"/>
              <w:ind w:right="600"/>
              <w:spacing w:after="0" w:line="151"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47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Lease Payments</w:t>
            </w:r>
          </w:p>
        </w:tc>
        <w:tc>
          <w:tcPr>
            <w:tcW w:w="0" w:type="dxa"/>
            <w:vAlign w:val="bottom"/>
          </w:tcPr>
          <w:p>
            <w:pPr>
              <w:spacing w:after="0"/>
              <w:rPr>
                <w:sz w:val="1"/>
                <w:szCs w:val="1"/>
                <w:color w:val="auto"/>
              </w:rPr>
            </w:pPr>
          </w:p>
        </w:tc>
      </w:tr>
      <w:tr>
        <w:trPr>
          <w:trHeight w:val="209"/>
        </w:trPr>
        <w:tc>
          <w:tcPr>
            <w:tcW w:w="47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210"/>
        </w:trPr>
        <w:tc>
          <w:tcPr>
            <w:tcW w:w="4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8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(811 )</w:t>
            </w:r>
          </w:p>
        </w:tc>
        <w:tc>
          <w:tcPr>
            <w:tcW w:w="0" w:type="dxa"/>
            <w:vAlign w:val="bottom"/>
          </w:tcPr>
          <w:p>
            <w:pPr>
              <w:spacing w:after="0"/>
              <w:rPr>
                <w:sz w:val="1"/>
                <w:szCs w:val="1"/>
                <w:color w:val="auto"/>
              </w:rPr>
            </w:pPr>
          </w:p>
        </w:tc>
      </w:tr>
      <w:tr>
        <w:trPr>
          <w:trHeight w:val="210"/>
        </w:trPr>
        <w:tc>
          <w:tcPr>
            <w:tcW w:w="4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8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-736600</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-453390</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-170815</wp:posOffset>
            </wp:positionV>
            <wp:extent cx="603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119" w:lineRule="exact"/>
        <w:rPr>
          <w:sz w:val="20"/>
          <w:szCs w:val="20"/>
          <w:color w:val="auto"/>
        </w:rPr>
      </w:pPr>
    </w:p>
    <w:p>
      <w:pPr>
        <w:jc w:val="both"/>
        <w:ind w:right="140" w:firstLine="441"/>
        <w:spacing w:after="0" w:line="289" w:lineRule="auto"/>
        <w:rPr>
          <w:sz w:val="20"/>
          <w:szCs w:val="20"/>
          <w:color w:val="auto"/>
        </w:rPr>
      </w:pPr>
      <w:r>
        <w:rPr>
          <w:rFonts w:ascii="Times New Roman" w:cs="Times New Roman" w:eastAsia="Times New Roman" w:hAnsi="Times New Roman"/>
          <w:sz w:val="17"/>
          <w:szCs w:val="17"/>
          <w:color w:val="auto"/>
        </w:rPr>
        <w:t>Our purchase commitments consist primarily of non-cancellable purchase orders with vendors to manufacture certain components and ophthalmic instruments. As of December 28, 2024, our future minimum payments through fiscal year 2027 for our purchase commitments were approximately $15.3 million, with $11.4 million committed for the next 12 months.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Agreements.</w:t>
      </w:r>
    </w:p>
    <w:p>
      <w:pPr>
        <w:spacing w:after="0" w:line="119"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We are obligated to pay royalties equivalent to 1% to 5% of sales on certain products under certain license agreements with termination dates through the end of 2033. Royalty expense, charged to cost of revenues, was approximately $0.4 million for both fiscal years 2024 and 2023.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Arrangements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60" w:firstLine="441"/>
        <w:spacing w:after="0" w:line="254" w:lineRule="auto"/>
        <w:rPr>
          <w:sz w:val="20"/>
          <w:szCs w:val="20"/>
          <w:color w:val="auto"/>
        </w:rPr>
      </w:pPr>
      <w:r>
        <w:rPr>
          <w:rFonts w:ascii="Times New Roman" w:cs="Times New Roman" w:eastAsia="Times New Roman" w:hAnsi="Times New Roman"/>
          <w:sz w:val="18"/>
          <w:szCs w:val="18"/>
          <w:color w:val="auto"/>
        </w:rPr>
        <w:t>We enter into standard indemnification arrangements in our ordinary course of business. Pursuant to these arrangements, we indemnify, hold harmless, and agree to reimburse the indemnified parties for losses suffered or incurred by the indemnified parties (generally our business partners or customers) in connection with any trade secret, copyright, patent or other intellectual property infringement claim by any third-party with respect to our products. The term of these indemnification agreements is generally perpetual any time after the execution of the agreement. The maximum potential amount of future payments we could be required to make under these agreements is not determinable. We have never incurred costs to defend lawsuits or settle claims related to these indemnification agreements. As a result, we believe the estimated fair value of these agreements is minimal.</w:t>
      </w:r>
    </w:p>
    <w:p>
      <w:pPr>
        <w:spacing w:after="0" w:line="84" w:lineRule="exact"/>
        <w:rPr>
          <w:sz w:val="20"/>
          <w:szCs w:val="20"/>
          <w:color w:val="auto"/>
        </w:rPr>
      </w:pPr>
    </w:p>
    <w:p>
      <w:pPr>
        <w:ind w:right="140" w:firstLine="441"/>
        <w:spacing w:after="0" w:line="282" w:lineRule="auto"/>
        <w:rPr>
          <w:sz w:val="20"/>
          <w:szCs w:val="20"/>
          <w:color w:val="auto"/>
        </w:rPr>
      </w:pPr>
      <w:r>
        <w:rPr>
          <w:rFonts w:ascii="Times New Roman" w:cs="Times New Roman" w:eastAsia="Times New Roman" w:hAnsi="Times New Roman"/>
          <w:sz w:val="18"/>
          <w:szCs w:val="18"/>
          <w:color w:val="auto"/>
        </w:rPr>
        <w:t>We have entered into indemnification agreements with our directors and officers that may require us to indemnify our directors and officers against liabilities that may arise by reason of their status or service as directors or officers, other than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01" w:right="1419" w:bottom="1440" w:gutter="0" w:footer="0" w:header="0"/>
        </w:sectPr>
      </w:pPr>
    </w:p>
    <w:bookmarkStart w:id="66" w:name="page67"/>
    <w:bookmarkEnd w:id="66"/>
    <w:p>
      <w:pPr>
        <w:ind w:right="240"/>
        <w:spacing w:after="0" w:line="261" w:lineRule="auto"/>
        <w:rPr>
          <w:sz w:val="20"/>
          <w:szCs w:val="20"/>
          <w:color w:val="auto"/>
        </w:rPr>
      </w:pPr>
      <w:r>
        <w:rPr>
          <w:rFonts w:ascii="Times New Roman" w:cs="Times New Roman" w:eastAsia="Times New Roman" w:hAnsi="Times New Roman"/>
          <w:sz w:val="18"/>
          <w:szCs w:val="18"/>
          <w:color w:val="auto"/>
        </w:rPr>
        <w:t>liabilities arising from willful misconduct of a culpable nature. These agreements also require us to advance their expenses incurred as a result of any proceeding against them as to which they could be indemnified and to make good faith determination whether or not it is practicable for us to obtain directors and officers insurance. We currently have directors and officers liability insurance.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ind w:firstLine="441"/>
        <w:spacing w:after="0" w:line="256"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business. In general, management believes that ordinary course of business matters will not have a material adverse effect on our financial position or results of operations and are adequately covered by our liability insurance. However, it is possible that consolidated cash flows or results of operations could be materially affected in any particular period by the unfavorable resolution of one of more of these contingencies or because of the diversion of management’s attention and the incurrence of significant expenses. We are not currently party to any material legal proceedings.</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2008 Equity Incentive Plan.</w:t>
      </w:r>
    </w:p>
    <w:p>
      <w:pPr>
        <w:spacing w:after="0" w:line="119"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On June 11, 2008, the shareholders approved the adoption of the 2008 Equity Incentive Plan, (the “Incentive Plan”). There are no material changes in the Incentive Plan from the 1998 Stock Plan (the “1998 Plan”). In 2014, 2017, 2018, 2019, 2021 and 2023, the stockholders approved an amendment to the Incentive Plan for purposes of complying with Section 162(m) of the Internal Revenue Code of 1986, as amended, to increase the share reserve under the Incentive Plan, and to make certain other amendments to the terms of the Incentive Plan. The maximum aggregate number of shares that may be awarded and sold under the Incentive Plan, as amended is 5,850,000 shares plus any shares subject to stock options or similar awards granted under the 1998 Plan that expire or otherwise terminate without having been exercised in full and shares issued pursuant to awards granted under the 1998 Plan that are forfeited to us on or after February 23, 2008, which was the date the 1998 Plan expired.</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represents the shares activity and the total number of shares available for grant under the Incentive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1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148"/>
        </w:trPr>
        <w:tc>
          <w:tcPr>
            <w:tcW w:w="5900" w:type="dxa"/>
            <w:vAlign w:val="bottom"/>
          </w:tcPr>
          <w:p>
            <w:pPr>
              <w:spacing w:after="0"/>
              <w:rPr>
                <w:sz w:val="12"/>
                <w:szCs w:val="12"/>
                <w:color w:val="auto"/>
              </w:rPr>
            </w:pPr>
          </w:p>
        </w:tc>
        <w:tc>
          <w:tcPr>
            <w:tcW w:w="136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Available</w:t>
            </w:r>
          </w:p>
        </w:tc>
      </w:tr>
      <w:tr>
        <w:trPr>
          <w:trHeight w:val="173"/>
        </w:trPr>
        <w:tc>
          <w:tcPr>
            <w:tcW w:w="5900" w:type="dxa"/>
            <w:vAlign w:val="bottom"/>
          </w:tcPr>
          <w:p>
            <w:pPr>
              <w:spacing w:after="0"/>
              <w:rPr>
                <w:sz w:val="15"/>
                <w:szCs w:val="15"/>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for Grant</w:t>
            </w:r>
          </w:p>
        </w:tc>
      </w:tr>
      <w:tr>
        <w:trPr>
          <w:trHeight w:val="209"/>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Balances as of December 31, 2022</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114,995</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added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8"/>
                <w:szCs w:val="18"/>
                <w:color w:val="auto"/>
              </w:rPr>
            </w:pPr>
          </w:p>
        </w:tc>
      </w:tr>
      <w:tr>
        <w:trPr>
          <w:trHeight w:val="216"/>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(808,410 )</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granted</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(294,503 )</w:t>
            </w:r>
          </w:p>
        </w:tc>
      </w:tr>
      <w:tr>
        <w:trPr>
          <w:trHeight w:val="216"/>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cancelled or forfeited</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245,617</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 cancelled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75,294</w:t>
            </w:r>
          </w:p>
        </w:tc>
        <w:tc>
          <w:tcPr>
            <w:tcW w:w="100" w:type="dxa"/>
            <w:vAlign w:val="bottom"/>
          </w:tcPr>
          <w:p>
            <w:pPr>
              <w:spacing w:after="0"/>
              <w:rPr>
                <w:sz w:val="18"/>
                <w:szCs w:val="18"/>
                <w:color w:val="auto"/>
              </w:rPr>
            </w:pPr>
          </w:p>
        </w:tc>
      </w:tr>
      <w:tr>
        <w:trPr>
          <w:trHeight w:val="210"/>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Balances as of December 30, 2023</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332,993</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(40,900 )</w:t>
            </w:r>
          </w:p>
        </w:tc>
      </w:tr>
      <w:tr>
        <w:trPr>
          <w:trHeight w:val="216"/>
        </w:trPr>
        <w:tc>
          <w:tcPr>
            <w:tcW w:w="5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granted</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(862,869 )</w:t>
            </w: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cancelled or forfeited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1,104,104</w:t>
            </w:r>
          </w:p>
        </w:tc>
        <w:tc>
          <w:tcPr>
            <w:tcW w:w="100" w:type="dxa"/>
            <w:vAlign w:val="bottom"/>
          </w:tcPr>
          <w:p>
            <w:pPr>
              <w:spacing w:after="0"/>
              <w:rPr>
                <w:sz w:val="18"/>
                <w:szCs w:val="18"/>
                <w:color w:val="auto"/>
              </w:rPr>
            </w:pPr>
          </w:p>
        </w:tc>
      </w:tr>
      <w:tr>
        <w:trPr>
          <w:trHeight w:val="216"/>
        </w:trPr>
        <w:tc>
          <w:tcPr>
            <w:tcW w:w="5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Awards cancelled</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as of December 28, 2024</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579,437</w:t>
            </w:r>
          </w:p>
        </w:tc>
        <w:tc>
          <w:tcPr>
            <w:tcW w:w="10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-170815</wp:posOffset>
            </wp:positionV>
            <wp:extent cx="596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18" w:lineRule="exact"/>
        <w:rPr>
          <w:sz w:val="20"/>
          <w:szCs w:val="20"/>
          <w:color w:val="auto"/>
        </w:rPr>
      </w:pPr>
    </w:p>
    <w:p>
      <w:pPr>
        <w:ind w:right="220" w:firstLine="441"/>
        <w:spacing w:after="0" w:line="261" w:lineRule="auto"/>
        <w:rPr>
          <w:sz w:val="20"/>
          <w:szCs w:val="20"/>
          <w:color w:val="auto"/>
        </w:rPr>
      </w:pPr>
      <w:r>
        <w:rPr>
          <w:rFonts w:ascii="Times New Roman" w:cs="Times New Roman" w:eastAsia="Times New Roman" w:hAnsi="Times New Roman"/>
          <w:sz w:val="18"/>
          <w:szCs w:val="18"/>
          <w:color w:val="auto"/>
        </w:rPr>
        <w:t>Restricted stock units with a per share or unit purchase price lower than 100% of the fair market value of the Company's common stock on the date of grant under the Incentive Plan, as amended, are counted against shares authorized under the plan as one and one-half shares of common stock for each share. When cancelled, these shares are added back to the Incentive Plan, as amended, as one and one-half shares.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01" w:right="1419" w:bottom="1440" w:gutter="0" w:footer="0" w:header="0"/>
        </w:sectPr>
      </w:pPr>
    </w:p>
    <w:bookmarkStart w:id="67" w:name="page68"/>
    <w:bookmarkEnd w:id="67"/>
    <w:p>
      <w:pPr>
        <w:ind w:left="980" w:right="132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shows stock-based compensation expenses by functional area in the consolidated statements of operations for 2024 and 2023 (in thousands):</w:t>
      </w:r>
    </w:p>
    <w:p>
      <w:pPr>
        <w:spacing w:after="0" w:line="182" w:lineRule="exact"/>
        <w:rPr>
          <w:sz w:val="20"/>
          <w:szCs w:val="20"/>
          <w:color w:val="auto"/>
        </w:rPr>
      </w:pPr>
    </w:p>
    <w:tbl>
      <w:tblPr>
        <w:tblLayout w:type="fixed"/>
        <w:tblInd w:w="190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40" w:type="dxa"/>
            <w:vAlign w:val="bottom"/>
            <w:gridSpan w:val="5"/>
          </w:tcPr>
          <w:p>
            <w:pPr>
              <w:ind w:left="11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2"/>
        </w:trPr>
        <w:tc>
          <w:tcPr>
            <w:tcW w:w="38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2024</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December 30, 2023</w:t>
            </w:r>
          </w:p>
        </w:tc>
        <w:tc>
          <w:tcPr>
            <w:tcW w:w="80" w:type="dxa"/>
            <w:vAlign w:val="bottom"/>
          </w:tcPr>
          <w:p>
            <w:pPr>
              <w:spacing w:after="0"/>
              <w:rPr>
                <w:sz w:val="12"/>
                <w:szCs w:val="12"/>
                <w:color w:val="auto"/>
              </w:rPr>
            </w:pPr>
          </w:p>
        </w:tc>
      </w:tr>
      <w:tr>
        <w:trPr>
          <w:trHeight w:val="210"/>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shd w:val="clear" w:color="auto" w:fill="CFF0FC"/>
          </w:tcPr>
          <w:p>
            <w:pPr>
              <w:spacing w:after="0"/>
              <w:rPr>
                <w:sz w:val="18"/>
                <w:szCs w:val="18"/>
                <w:color w:val="auto"/>
              </w:rPr>
            </w:pP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Pr>
          <w:p>
            <w:pPr>
              <w:spacing w:after="0"/>
              <w:rPr>
                <w:sz w:val="18"/>
                <w:szCs w:val="18"/>
                <w:color w:val="auto"/>
              </w:rPr>
            </w:pPr>
          </w:p>
        </w:tc>
      </w:tr>
      <w:tr>
        <w:trPr>
          <w:trHeight w:val="216"/>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shd w:val="clear" w:color="auto" w:fill="CFF0FC"/>
          </w:tcPr>
          <w:p>
            <w:pPr>
              <w:spacing w:after="0"/>
              <w:rPr>
                <w:sz w:val="18"/>
                <w:szCs w:val="18"/>
                <w:color w:val="auto"/>
              </w:rPr>
            </w:pP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80" w:type="dxa"/>
            <w:vAlign w:val="bottom"/>
          </w:tcPr>
          <w:p>
            <w:pPr>
              <w:spacing w:after="0"/>
              <w:rPr>
                <w:sz w:val="18"/>
                <w:szCs w:val="18"/>
                <w:color w:val="auto"/>
              </w:rPr>
            </w:pPr>
          </w:p>
        </w:tc>
      </w:tr>
      <w:tr>
        <w:trPr>
          <w:trHeight w:val="250"/>
        </w:trPr>
        <w:tc>
          <w:tcPr>
            <w:tcW w:w="3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4639310</wp:posOffset>
            </wp:positionH>
            <wp:positionV relativeFrom="paragraph">
              <wp:posOffset>-24765</wp:posOffset>
            </wp:positionV>
            <wp:extent cx="514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4639310</wp:posOffset>
            </wp:positionH>
            <wp:positionV relativeFrom="paragraph">
              <wp:posOffset>-7620</wp:posOffset>
            </wp:positionV>
            <wp:extent cx="514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5761990</wp:posOffset>
            </wp:positionH>
            <wp:positionV relativeFrom="paragraph">
              <wp:posOffset>-24765</wp:posOffset>
            </wp:positionV>
            <wp:extent cx="514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5761990</wp:posOffset>
            </wp:positionH>
            <wp:positionV relativeFrom="paragraph">
              <wp:posOffset>-7620</wp:posOffset>
            </wp:positionV>
            <wp:extent cx="5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Stock-based compensation expense capitalized to inventory was immaterial for 2024 and 2023.</w:t>
      </w:r>
    </w:p>
    <w:p>
      <w:pPr>
        <w:spacing w:after="0" w:line="117" w:lineRule="exact"/>
        <w:rPr>
          <w:sz w:val="20"/>
          <w:szCs w:val="20"/>
          <w:color w:val="auto"/>
        </w:rPr>
      </w:pPr>
    </w:p>
    <w:p>
      <w:pPr>
        <w:ind w:left="980" w:right="1060" w:firstLine="441"/>
        <w:spacing w:after="0" w:line="266" w:lineRule="auto"/>
        <w:rPr>
          <w:sz w:val="20"/>
          <w:szCs w:val="20"/>
          <w:color w:val="auto"/>
        </w:rPr>
      </w:pPr>
      <w:r>
        <w:rPr>
          <w:rFonts w:ascii="Times New Roman" w:cs="Times New Roman" w:eastAsia="Times New Roman" w:hAnsi="Times New Roman"/>
          <w:sz w:val="18"/>
          <w:szCs w:val="18"/>
          <w:color w:val="auto"/>
        </w:rPr>
        <w:t>As of December 28, 2024, there was $1.6 million of total unrecognized compensation cost related to non-vested share-based compensation arrangements under the Incentive Plan. The cost is expected to be recognized over a weighted-average period of 1.88 years.</w:t>
      </w:r>
    </w:p>
    <w:p>
      <w:pPr>
        <w:spacing w:after="0" w:line="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Summary of Stock Options</w:t>
      </w:r>
    </w:p>
    <w:p>
      <w:pPr>
        <w:spacing w:after="0" w:line="1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The following table summarizes information regarding activity in our stock option plans during the fiscal years ended</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2024 and 2023 (in thousands except share and per share data):</w:t>
      </w:r>
    </w:p>
    <w:p>
      <w:pPr>
        <w:spacing w:after="0" w:line="200" w:lineRule="exact"/>
        <w:rPr>
          <w:sz w:val="20"/>
          <w:szCs w:val="20"/>
          <w:color w:val="auto"/>
        </w:rPr>
      </w:pPr>
    </w:p>
    <w:tbl>
      <w:tblPr>
        <w:tblLayout w:type="fixed"/>
        <w:tblInd w:w="190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23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0" w:type="dxa"/>
            <w:vAlign w:val="bottom"/>
          </w:tcPr>
          <w:p>
            <w:pPr>
              <w:spacing w:after="0"/>
              <w:rPr>
                <w:sz w:val="1"/>
                <w:szCs w:val="1"/>
                <w:color w:val="auto"/>
              </w:rPr>
            </w:pPr>
          </w:p>
        </w:tc>
      </w:tr>
      <w:tr>
        <w:trPr>
          <w:trHeight w:val="117"/>
        </w:trPr>
        <w:tc>
          <w:tcPr>
            <w:tcW w:w="4880" w:type="dxa"/>
            <w:vAlign w:val="bottom"/>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96"/>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2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10"/>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Balances as of December 31, 2022</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2,232,967</w:t>
            </w:r>
          </w:p>
        </w:tc>
        <w:tc>
          <w:tcPr>
            <w:tcW w:w="2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808,410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(37,839 )</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cancelled or forfeited</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(245,617 )</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Balances as of December 30, 2023</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2,757,921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(2,010 )</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cancelled or forfeited</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(1,104,104 )</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Balances as of December 28, 2024</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1,692,707</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4965065</wp:posOffset>
            </wp:positionH>
            <wp:positionV relativeFrom="paragraph">
              <wp:posOffset>-24765</wp:posOffset>
            </wp:positionV>
            <wp:extent cx="603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4965065</wp:posOffset>
            </wp:positionH>
            <wp:positionV relativeFrom="paragraph">
              <wp:posOffset>-7620</wp:posOffset>
            </wp:positionV>
            <wp:extent cx="603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51" w:lineRule="exact"/>
        <w:rPr>
          <w:sz w:val="20"/>
          <w:szCs w:val="20"/>
          <w:color w:val="auto"/>
        </w:rPr>
      </w:pPr>
    </w:p>
    <w:p>
      <w:pPr>
        <w:ind w:left="980" w:right="1080" w:firstLine="441"/>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information with respect to stock options outstanding and exercisable as of December 28,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700" w:type="dxa"/>
            <w:vAlign w:val="bottom"/>
            <w:tcBorders>
              <w:bottom w:val="single" w:sz="8" w:color="auto"/>
            </w:tcBorders>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Options Vested and Exercisable</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98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04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04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040" w:type="dxa"/>
            <w:vAlign w:val="bottom"/>
          </w:tcPr>
          <w:p>
            <w:pPr>
              <w:jc w:val="center"/>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980" w:type="dxa"/>
            <w:vAlign w:val="bottom"/>
          </w:tcPr>
          <w:p>
            <w:pPr>
              <w:spacing w:after="0"/>
              <w:rPr>
                <w:sz w:val="15"/>
                <w:szCs w:val="15"/>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2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$1.62 - $2.12</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63,208</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21,635</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shd w:val="clear" w:color="auto" w:fill="CFF0FC"/>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$2.13 - $2.13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851,114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488,167</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$2.17 - $2.27</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68,563</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55,689</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shd w:val="clear" w:color="auto" w:fill="CFF0FC"/>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$2.28 - $2.28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319,811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261,811</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$2.30 - $5.04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182,271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153,154</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shd w:val="clear" w:color="auto" w:fill="CFF0FC"/>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$5.30 - $6.58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181,240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179,594</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$6.76 - $7.38</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22,700</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20,013</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shd w:val="clear" w:color="auto" w:fill="CFF0FC"/>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$7.40 - $7.40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$7.58 - $7.58</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shd w:val="clear" w:color="auto" w:fill="CFF0FC"/>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2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$7.62 - $7.62</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2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980" w:type="dxa"/>
            <w:vAlign w:val="bottom"/>
          </w:tcPr>
          <w:p>
            <w:pPr>
              <w:spacing w:after="0"/>
              <w:rPr>
                <w:sz w:val="21"/>
                <w:szCs w:val="21"/>
                <w:color w:val="auto"/>
              </w:rPr>
            </w:pPr>
          </w:p>
        </w:tc>
        <w:tc>
          <w:tcPr>
            <w:tcW w:w="2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$1.62 - $7.62</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1,692,707</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1,183,163</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shd w:val="clear" w:color="auto" w:fill="CFF0FC"/>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980" w:type="dxa"/>
            <w:vAlign w:val="bottom"/>
          </w:tcPr>
          <w:p>
            <w:pPr>
              <w:spacing w:after="0"/>
              <w:rPr>
                <w:sz w:val="24"/>
                <w:szCs w:val="24"/>
                <w:color w:val="auto"/>
              </w:rPr>
            </w:pPr>
          </w:p>
        </w:tc>
        <w:tc>
          <w:tcPr>
            <w:tcW w:w="2000" w:type="dxa"/>
            <w:vAlign w:val="bottom"/>
            <w:tcBorders>
              <w:top w:val="single" w:sz="8" w:color="CFF0FC"/>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620" w:type="dxa"/>
            <w:vAlign w:val="bottom"/>
            <w:tcBorders>
              <w:top w:val="single" w:sz="8" w:color="CFF0FC"/>
            </w:tcBorders>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Borders>
              <w:top w:val="single" w:sz="8" w:color="CFF0FC"/>
            </w:tcBorders>
          </w:tcPr>
          <w:p>
            <w:pPr>
              <w:spacing w:after="0"/>
              <w:rPr>
                <w:sz w:val="24"/>
                <w:szCs w:val="24"/>
                <w:color w:val="auto"/>
              </w:rPr>
            </w:pPr>
          </w:p>
        </w:tc>
        <w:tc>
          <w:tcPr>
            <w:tcW w:w="104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6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2650490</wp:posOffset>
            </wp:positionH>
            <wp:positionV relativeFrom="paragraph">
              <wp:posOffset>-933450</wp:posOffset>
            </wp:positionV>
            <wp:extent cx="514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2650490</wp:posOffset>
            </wp:positionH>
            <wp:positionV relativeFrom="paragraph">
              <wp:posOffset>-916305</wp:posOffset>
            </wp:positionV>
            <wp:extent cx="514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5384800</wp:posOffset>
            </wp:positionH>
            <wp:positionV relativeFrom="paragraph">
              <wp:posOffset>-933450</wp:posOffset>
            </wp:positionV>
            <wp:extent cx="514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5384800</wp:posOffset>
            </wp:positionH>
            <wp:positionV relativeFrom="paragraph">
              <wp:posOffset>-916305</wp:posOffset>
            </wp:positionV>
            <wp:extent cx="514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201" w:right="439" w:bottom="1440" w:gutter="0" w:footer="0" w:header="0"/>
        </w:sectPr>
      </w:pPr>
    </w:p>
    <w:bookmarkStart w:id="68" w:name="page69"/>
    <w:bookmarkEnd w:id="68"/>
    <w:p>
      <w:pPr>
        <w:ind w:right="120" w:firstLine="441"/>
        <w:spacing w:after="0" w:line="282" w:lineRule="auto"/>
        <w:rPr>
          <w:sz w:val="20"/>
          <w:szCs w:val="20"/>
          <w:color w:val="auto"/>
        </w:rPr>
      </w:pPr>
      <w:r>
        <w:rPr>
          <w:rFonts w:ascii="Times New Roman" w:cs="Times New Roman" w:eastAsia="Times New Roman" w:hAnsi="Times New Roman"/>
          <w:sz w:val="18"/>
          <w:szCs w:val="18"/>
          <w:color w:val="auto"/>
        </w:rPr>
        <w:t>The determination of the fair value of options granted is computed using the Black-Scholes option pricing model with the following weighted average assumptions:</w:t>
      </w:r>
    </w:p>
    <w:p>
      <w:pPr>
        <w:spacing w:after="0" w:line="155"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250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Employee Stock Option Plan</w:t>
            </w:r>
          </w:p>
        </w:tc>
      </w:tr>
      <w:tr>
        <w:trPr>
          <w:trHeight w:val="117"/>
        </w:trPr>
        <w:tc>
          <w:tcPr>
            <w:tcW w:w="4760" w:type="dxa"/>
            <w:vAlign w:val="bottom"/>
          </w:tcPr>
          <w:p>
            <w:pPr>
              <w:spacing w:after="0"/>
              <w:rPr>
                <w:sz w:val="10"/>
                <w:szCs w:val="10"/>
                <w:color w:val="auto"/>
              </w:rPr>
            </w:pPr>
          </w:p>
        </w:tc>
        <w:tc>
          <w:tcPr>
            <w:tcW w:w="128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December 28,</w:t>
            </w:r>
          </w:p>
        </w:tc>
        <w:tc>
          <w:tcPr>
            <w:tcW w:w="1020" w:type="dxa"/>
            <w:vAlign w:val="bottom"/>
            <w:tcBorders>
              <w:top w:val="single" w:sz="8" w:color="auto"/>
            </w:tcBorders>
          </w:tcPr>
          <w:p>
            <w:pPr>
              <w:jc w:val="right"/>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December 30,</w:t>
            </w:r>
          </w:p>
        </w:tc>
        <w:tc>
          <w:tcPr>
            <w:tcW w:w="200" w:type="dxa"/>
            <w:vAlign w:val="bottom"/>
          </w:tcPr>
          <w:p>
            <w:pPr>
              <w:spacing w:after="0"/>
              <w:rPr>
                <w:sz w:val="10"/>
                <w:szCs w:val="10"/>
                <w:color w:val="auto"/>
              </w:rPr>
            </w:pPr>
          </w:p>
        </w:tc>
      </w:tr>
      <w:tr>
        <w:trPr>
          <w:trHeight w:val="173"/>
        </w:trPr>
        <w:tc>
          <w:tcPr>
            <w:tcW w:w="4760" w:type="dxa"/>
            <w:vAlign w:val="bottom"/>
          </w:tcPr>
          <w:p>
            <w:pPr>
              <w:spacing w:after="0"/>
              <w:rPr>
                <w:sz w:val="15"/>
                <w:szCs w:val="15"/>
                <w:color w:val="auto"/>
              </w:rPr>
            </w:pPr>
          </w:p>
        </w:tc>
        <w:tc>
          <w:tcPr>
            <w:tcW w:w="102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102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r>
      <w:tr>
        <w:trPr>
          <w:trHeight w:val="209"/>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Average risk-free interest rate</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4.33 %</w:t>
            </w: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4.57 %</w:t>
            </w:r>
          </w:p>
        </w:tc>
      </w:tr>
      <w:tr>
        <w:trPr>
          <w:trHeight w:val="21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4.40 years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4.40 years</w:t>
            </w:r>
          </w:p>
        </w:tc>
      </w:tr>
      <w:tr>
        <w:trPr>
          <w:trHeight w:val="216"/>
        </w:trPr>
        <w:tc>
          <w:tcPr>
            <w:tcW w:w="4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volatility</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77.0 %</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77.0 %</w:t>
            </w:r>
          </w:p>
        </w:tc>
      </w:tr>
    </w:tbl>
    <w:p>
      <w:pPr>
        <w:spacing w:after="0" w:line="179" w:lineRule="exact"/>
        <w:rPr>
          <w:sz w:val="20"/>
          <w:szCs w:val="20"/>
          <w:color w:val="auto"/>
        </w:rPr>
      </w:pPr>
    </w:p>
    <w:p>
      <w:pPr>
        <w:ind w:right="40" w:firstLine="441"/>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as calculated using the Black-Scholes option pricing was $1.47 and $1.32 per share for the fiscal years 2024 and 2023, respectively.</w:t>
      </w:r>
    </w:p>
    <w:p>
      <w:pPr>
        <w:spacing w:after="0" w:line="54" w:lineRule="exact"/>
        <w:rPr>
          <w:sz w:val="20"/>
          <w:szCs w:val="20"/>
          <w:color w:val="auto"/>
        </w:rPr>
      </w:pPr>
    </w:p>
    <w:p>
      <w:pPr>
        <w:ind w:firstLine="441"/>
        <w:spacing w:after="0" w:line="254" w:lineRule="auto"/>
        <w:rPr>
          <w:sz w:val="20"/>
          <w:szCs w:val="20"/>
          <w:color w:val="auto"/>
        </w:rPr>
      </w:pPr>
      <w:r>
        <w:rPr>
          <w:rFonts w:ascii="Times New Roman" w:cs="Times New Roman" w:eastAsia="Times New Roman" w:hAnsi="Times New Roman"/>
          <w:sz w:val="18"/>
          <w:szCs w:val="18"/>
          <w:color w:val="auto"/>
        </w:rPr>
        <w:t>Option pricing models require the input of various subjective assumptions, including the option’s expected life and the price volatility of the underlying stock. The expected stock price volatility is based on analysis of our stock price history over a period commensurate with the expected term of the options, trading volume of our stock, look-back volatilities and Company 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the contractual term, the vesting period and the expected remaining term of the outstanding options. The risk-free interest rate is based on the U.S. Treasury interest rates whose term is consistent with the expected life of the stock options. No dividend yield is included as we have not issued any dividends and does not anticipate issuing any dividends in the future.</w:t>
      </w:r>
    </w:p>
    <w:p>
      <w:pPr>
        <w:spacing w:after="0" w:line="80" w:lineRule="exact"/>
        <w:rPr>
          <w:sz w:val="20"/>
          <w:szCs w:val="20"/>
          <w:color w:val="auto"/>
        </w:rPr>
      </w:pPr>
    </w:p>
    <w:p>
      <w:pPr>
        <w:ind w:right="720" w:firstLine="441"/>
        <w:spacing w:after="0" w:line="282" w:lineRule="auto"/>
        <w:rPr>
          <w:sz w:val="20"/>
          <w:szCs w:val="20"/>
          <w:color w:val="auto"/>
        </w:rPr>
      </w:pPr>
      <w:r>
        <w:rPr>
          <w:rFonts w:ascii="Times New Roman" w:cs="Times New Roman" w:eastAsia="Times New Roman" w:hAnsi="Times New Roman"/>
          <w:sz w:val="18"/>
          <w:szCs w:val="18"/>
          <w:color w:val="auto"/>
        </w:rPr>
        <w:t>Information regarding stock options outstanding, exercisable and expected to vest as of December 28, 2024 is summarized below:</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160" w:type="dxa"/>
            <w:vAlign w:val="bottom"/>
            <w:vMerge w:val="restart"/>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11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outstanding</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1,692,707</w:t>
            </w:r>
          </w:p>
        </w:tc>
        <w:tc>
          <w:tcPr>
            <w:tcW w:w="3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vested and expected to vest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1,659,658</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00" w:type="dxa"/>
            <w:vAlign w:val="bottom"/>
          </w:tcPr>
          <w:p>
            <w:pPr>
              <w:spacing w:after="0"/>
              <w:rPr>
                <w:sz w:val="18"/>
                <w:szCs w:val="18"/>
                <w:color w:val="auto"/>
              </w:rPr>
            </w:pPr>
          </w:p>
        </w:tc>
        <w:tc>
          <w:tcPr>
            <w:tcW w:w="1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 exercisable</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1,183,163</w:t>
            </w:r>
          </w:p>
        </w:tc>
        <w:tc>
          <w:tcPr>
            <w:tcW w:w="3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firstLine="441"/>
        <w:spacing w:after="0" w:line="258"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our closing stock price on the last trading day of fiscal 2024 and the exercise price, multiplied by the number of in-the-money options) that would have been received by the option holders had all option holders exercised their options on December 28, 2024. This amount is subject to change due to changes to the fair market value of our common stock. The total intrinsic value of options exercised for fiscal years 2024 and 2023 were approximately $1 thousand and $20 thousand, respectively.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ind w:right="20" w:firstLine="441"/>
        <w:spacing w:after="0" w:line="256" w:lineRule="auto"/>
        <w:rPr>
          <w:sz w:val="20"/>
          <w:szCs w:val="20"/>
          <w:color w:val="auto"/>
        </w:rPr>
      </w:pPr>
      <w:r>
        <w:rPr>
          <w:rFonts w:ascii="Times New Roman" w:cs="Times New Roman" w:eastAsia="Times New Roman" w:hAnsi="Times New Roman"/>
          <w:sz w:val="18"/>
          <w:szCs w:val="18"/>
          <w:color w:val="auto"/>
        </w:rPr>
        <w:t>Effective for the 2018 fiscal year and thereafter, each non-employee member of the board of directors receives an annual equity award of either restricted stock or restricted stock units, at the election of such Board member, in each case equal to $75 thousand worth of our common stock (determined at the fair market value of the shares at the time such award is granted) under our Incentive Plan. Each equity award vests in full on the earlier of the one-year anniversary of the date of grant or the Company’s next annual meeting of stockholders, provided that the non-employee member continues to serve on the Board through such date.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Restricted Stock Units</w:t>
      </w:r>
    </w:p>
    <w:p>
      <w:pPr>
        <w:spacing w:after="0" w:line="121" w:lineRule="exact"/>
        <w:rPr>
          <w:sz w:val="20"/>
          <w:szCs w:val="20"/>
          <w:color w:val="auto"/>
        </w:rPr>
      </w:pPr>
    </w:p>
    <w:p>
      <w:pPr>
        <w:jc w:val="both"/>
        <w:ind w:right="480" w:firstLine="441"/>
        <w:spacing w:after="0" w:line="282" w:lineRule="auto"/>
        <w:rPr>
          <w:sz w:val="20"/>
          <w:szCs w:val="20"/>
          <w:color w:val="auto"/>
        </w:rPr>
      </w:pPr>
      <w:r>
        <w:rPr>
          <w:rFonts w:ascii="Times New Roman" w:cs="Times New Roman" w:eastAsia="Times New Roman" w:hAnsi="Times New Roman"/>
          <w:sz w:val="18"/>
          <w:szCs w:val="18"/>
          <w:color w:val="auto"/>
        </w:rPr>
        <w:t>We recognize the estimated compensation expense of restricted stock units, net of estimated forfeitures, over the vesting term. The estimated compensation expense is based on the fair value of our common stock on the date of grant.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60"/>
          </w:cols>
          <w:pgMar w:left="1400" w:top="1093" w:right="1439" w:bottom="1440" w:gutter="0" w:footer="0" w:header="0"/>
        </w:sectPr>
      </w:pPr>
    </w:p>
    <w:bookmarkStart w:id="69" w:name="page70"/>
    <w:bookmarkEnd w:id="69"/>
    <w:p>
      <w:pPr>
        <w:ind w:left="980" w:right="1260" w:firstLine="441"/>
        <w:spacing w:after="0" w:line="282" w:lineRule="auto"/>
        <w:rPr>
          <w:sz w:val="20"/>
          <w:szCs w:val="20"/>
          <w:color w:val="auto"/>
        </w:rPr>
      </w:pPr>
      <w:r>
        <w:rPr>
          <w:rFonts w:ascii="Times New Roman" w:cs="Times New Roman" w:eastAsia="Times New Roman" w:hAnsi="Times New Roman"/>
          <w:sz w:val="18"/>
          <w:szCs w:val="18"/>
          <w:color w:val="auto"/>
        </w:rPr>
        <w:t>Information regarding the restricted stock units outstanding, vested and expected to vest as of December 28, 2024 is summarized below:</w:t>
      </w:r>
    </w:p>
    <w:p>
      <w:pPr>
        <w:spacing w:after="0" w:line="143" w:lineRule="exact"/>
        <w:rPr>
          <w:sz w:val="20"/>
          <w:szCs w:val="20"/>
          <w:color w:val="auto"/>
        </w:rPr>
      </w:pPr>
    </w:p>
    <w:tbl>
      <w:tblPr>
        <w:tblLayout w:type="fixed"/>
        <w:tblInd w:w="168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22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122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20" w:type="dxa"/>
            <w:vAlign w:val="bottom"/>
          </w:tcPr>
          <w:p>
            <w:pPr>
              <w:spacing w:after="0"/>
              <w:rPr>
                <w:sz w:val="15"/>
                <w:szCs w:val="15"/>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Value (thousands)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units outstanding</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615,707</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Restricted stock units vested and expected to</w:t>
            </w: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vest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558,624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19,913</w:t>
            </w: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80" w:right="1220" w:firstLine="441"/>
        <w:spacing w:after="0" w:line="282" w:lineRule="auto"/>
        <w:rPr>
          <w:sz w:val="20"/>
          <w:szCs w:val="20"/>
          <w:color w:val="auto"/>
        </w:rPr>
      </w:pPr>
      <w:r>
        <w:rPr>
          <w:rFonts w:ascii="Times New Roman" w:cs="Times New Roman" w:eastAsia="Times New Roman" w:hAnsi="Times New Roman"/>
          <w:sz w:val="18"/>
          <w:szCs w:val="18"/>
          <w:color w:val="auto"/>
        </w:rPr>
        <w:t>The intrinsic value of the restricted stock units is calculated based on the closing price of our shares as quoted on the Nasdaq Global Market on the last trading day of the fiscal year, December 27, 2024, of $1.67.</w:t>
      </w:r>
    </w:p>
    <w:p>
      <w:pPr>
        <w:spacing w:after="0" w:line="54" w:lineRule="exact"/>
        <w:rPr>
          <w:sz w:val="20"/>
          <w:szCs w:val="20"/>
          <w:color w:val="auto"/>
        </w:rPr>
      </w:pPr>
    </w:p>
    <w:p>
      <w:pPr>
        <w:ind w:left="980" w:right="1020" w:firstLine="441"/>
        <w:spacing w:after="0" w:line="254" w:lineRule="auto"/>
        <w:rPr>
          <w:sz w:val="20"/>
          <w:szCs w:val="20"/>
          <w:color w:val="auto"/>
        </w:rPr>
      </w:pPr>
      <w:r>
        <w:rPr>
          <w:rFonts w:ascii="Times New Roman" w:cs="Times New Roman" w:eastAsia="Times New Roman" w:hAnsi="Times New Roman"/>
          <w:sz w:val="18"/>
          <w:szCs w:val="18"/>
          <w:color w:val="auto"/>
        </w:rPr>
        <w:t>The majority of the restricted stock units that were released in fiscal year 2024 were net-share settled such that we withheld shares with value equivalent to the employees’ minimum statutory obligation for the applicable income and other employment taxes, and remitted the cash to the appropriate taxing authorities. The total shares withheld were based on the value of the restricted stock units on their release date as determined by our closing stock price. These net-share settlements had the effect of share repurchases as they reduced and retired the number of shares that would have otherwise been issued as a result of the release and did not represent an expense to us. For the fiscal year ended December 28, 2024, 282,012 shares of restricted stock units were released with an intrinsic value of approximately $595 thousand. We withheld 27,423 shares to satisfy approximately $58 thousand of employees’ minimum tax obligation on the released restricted stock units.</w:t>
      </w:r>
    </w:p>
    <w:p>
      <w:pPr>
        <w:spacing w:after="0" w:line="84" w:lineRule="exact"/>
        <w:rPr>
          <w:sz w:val="20"/>
          <w:szCs w:val="20"/>
          <w:color w:val="auto"/>
        </w:rPr>
      </w:pPr>
    </w:p>
    <w:p>
      <w:pPr>
        <w:ind w:left="980" w:right="1200" w:firstLine="441"/>
        <w:spacing w:after="0" w:line="282" w:lineRule="auto"/>
        <w:rPr>
          <w:sz w:val="20"/>
          <w:szCs w:val="20"/>
          <w:color w:val="auto"/>
        </w:rPr>
      </w:pPr>
      <w:r>
        <w:rPr>
          <w:rFonts w:ascii="Times New Roman" w:cs="Times New Roman" w:eastAsia="Times New Roman" w:hAnsi="Times New Roman"/>
          <w:sz w:val="18"/>
          <w:szCs w:val="18"/>
          <w:color w:val="auto"/>
        </w:rPr>
        <w:t>Information regarding the restricted stock unit activity during the years ended December 28, 2024 and December 30, 2023 is summarized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9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90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2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473,029</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FF0FC"/>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196,335</w:t>
            </w:r>
          </w:p>
        </w:tc>
        <w:tc>
          <w:tcPr>
            <w:tcW w:w="2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 released</w:t>
            </w:r>
          </w:p>
        </w:tc>
        <w:tc>
          <w:tcPr>
            <w:tcW w:w="29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(265,956 )</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FF0FC"/>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forfeited</w:t>
            </w:r>
          </w:p>
        </w:tc>
        <w:tc>
          <w:tcPr>
            <w:tcW w:w="17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(50,196 )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00" w:type="dxa"/>
            <w:vAlign w:val="bottom"/>
          </w:tcPr>
          <w:p>
            <w:pPr>
              <w:spacing w:after="0"/>
              <w:rPr>
                <w:sz w:val="18"/>
                <w:szCs w:val="18"/>
                <w:color w:val="auto"/>
              </w:rPr>
            </w:pPr>
          </w:p>
        </w:tc>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30, 2023</w:t>
            </w:r>
          </w:p>
        </w:tc>
        <w:tc>
          <w:tcPr>
            <w:tcW w:w="174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353,212</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shd w:val="clear" w:color="auto" w:fill="CFF0FC"/>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575,246</w:t>
            </w:r>
          </w:p>
        </w:tc>
        <w:tc>
          <w:tcPr>
            <w:tcW w:w="2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units released</w:t>
            </w:r>
          </w:p>
        </w:tc>
        <w:tc>
          <w:tcPr>
            <w:tcW w:w="29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(282,012 )</w:t>
            </w: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shd w:val="clear" w:color="auto" w:fill="CFF0FC"/>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tcPr>
          <w:p>
            <w:pPr>
              <w:spacing w:after="0"/>
              <w:rPr>
                <w:sz w:val="18"/>
                <w:szCs w:val="18"/>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 forfeited</w:t>
            </w:r>
          </w:p>
        </w:tc>
        <w:tc>
          <w:tcPr>
            <w:tcW w:w="17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(30,739 )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900" w:type="dxa"/>
            <w:vAlign w:val="bottom"/>
          </w:tcPr>
          <w:p>
            <w:pPr>
              <w:spacing w:after="0"/>
              <w:rPr>
                <w:sz w:val="21"/>
                <w:szCs w:val="21"/>
                <w:color w:val="auto"/>
              </w:rPr>
            </w:pPr>
          </w:p>
        </w:tc>
        <w:tc>
          <w:tcPr>
            <w:tcW w:w="3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28, 2024</w:t>
            </w:r>
          </w:p>
        </w:tc>
        <w:tc>
          <w:tcPr>
            <w:tcW w:w="17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615,707</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Borders>
              <w:bottom w:val="single" w:sz="8" w:color="CFF0FC"/>
            </w:tcBorders>
            <w:shd w:val="clear" w:color="auto" w:fill="CFF0FC"/>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19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74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70</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90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4965065</wp:posOffset>
            </wp:positionH>
            <wp:positionV relativeFrom="paragraph">
              <wp:posOffset>-934085</wp:posOffset>
            </wp:positionV>
            <wp:extent cx="603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4965065</wp:posOffset>
            </wp:positionH>
            <wp:positionV relativeFrom="paragraph">
              <wp:posOffset>-916940</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201" w:right="439" w:bottom="1440" w:gutter="0" w:footer="0" w:header="0"/>
        </w:sectPr>
      </w:pPr>
    </w:p>
    <w:bookmarkStart w:id="70" w:name="page71"/>
    <w:bookmarkEnd w:id="70"/>
    <w:p>
      <w:pPr>
        <w:jc w:val="both"/>
        <w:ind w:left="980" w:right="1060" w:firstLine="441"/>
        <w:spacing w:after="0" w:line="266" w:lineRule="auto"/>
        <w:rPr>
          <w:sz w:val="20"/>
          <w:szCs w:val="20"/>
          <w:color w:val="auto"/>
        </w:rPr>
      </w:pPr>
      <w:r>
        <w:rPr>
          <w:rFonts w:ascii="Times New Roman" w:cs="Times New Roman" w:eastAsia="Times New Roman" w:hAnsi="Times New Roman"/>
          <w:sz w:val="18"/>
          <w:szCs w:val="18"/>
          <w:color w:val="auto"/>
        </w:rPr>
        <w:t>During the year ended December 28, 2024, the Company awarded 575,246 restricted stock units at a weighted average grant date fair value of $1.85 per share. During the year ended December 30, 2023, the Company awarded 196,335 restricted stock units at a weighted average grant date fair value of $1.91 per share.</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13. Employee Benefit Plan</w:t>
      </w:r>
    </w:p>
    <w:p>
      <w:pPr>
        <w:spacing w:after="0" w:line="121" w:lineRule="exact"/>
        <w:rPr>
          <w:sz w:val="20"/>
          <w:szCs w:val="20"/>
          <w:color w:val="auto"/>
        </w:rPr>
      </w:pPr>
    </w:p>
    <w:p>
      <w:pPr>
        <w:ind w:left="980" w:right="1120" w:firstLine="441"/>
        <w:spacing w:after="0" w:line="258" w:lineRule="auto"/>
        <w:rPr>
          <w:sz w:val="20"/>
          <w:szCs w:val="20"/>
          <w:color w:val="auto"/>
        </w:rPr>
      </w:pPr>
      <w:r>
        <w:rPr>
          <w:rFonts w:ascii="Times New Roman" w:cs="Times New Roman" w:eastAsia="Times New Roman" w:hAnsi="Times New Roman"/>
          <w:sz w:val="18"/>
          <w:szCs w:val="18"/>
          <w:color w:val="auto"/>
        </w:rPr>
        <w:t>We have a plan known as the Iridex Corporation Profit Sharing/401(k) Plan to provide retirement benefits through the deferred salary deductions for substantially all U.S. employees. Employees may contribute up to 15% of their annual compensation to the plan, limited to a maximum amount set by the Internal Revenue Service. The plan also provides for Company contributions at the discretion of the Company. In 2024 and 2023, the Company made $0.2 million worth of total matching contributions in each period.</w:t>
      </w:r>
    </w:p>
    <w:p>
      <w:pPr>
        <w:spacing w:after="0" w:line="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Loss from operations before provision for income taxes was comprised of the following:</w:t>
      </w:r>
    </w:p>
    <w:p>
      <w:pPr>
        <w:spacing w:after="0" w:line="233"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2"/>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380" w:type="dxa"/>
            <w:vAlign w:val="bottom"/>
            <w:gridSpan w:val="2"/>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560" w:type="dxa"/>
            <w:vAlign w:val="bottom"/>
            <w:gridSpan w:val="3"/>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00" w:type="dxa"/>
            <w:vAlign w:val="bottom"/>
          </w:tcPr>
          <w:p>
            <w:pPr>
              <w:spacing w:after="0"/>
              <w:rPr>
                <w:sz w:val="15"/>
                <w:szCs w:val="15"/>
                <w:color w:val="auto"/>
              </w:rPr>
            </w:pPr>
          </w:p>
        </w:tc>
        <w:tc>
          <w:tcPr>
            <w:tcW w:w="1380" w:type="dxa"/>
            <w:vAlign w:val="bottom"/>
            <w:gridSpan w:val="2"/>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(8,679</w:t>
            </w:r>
          </w:p>
        </w:tc>
        <w:tc>
          <w:tcPr>
            <w:tcW w:w="180" w:type="dxa"/>
            <w:vAlign w:val="bottom"/>
          </w:tcPr>
          <w:p>
            <w:pPr>
              <w:jc w:val="right"/>
              <w:ind w:right="101"/>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(9,673</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2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(163 )</w:t>
            </w:r>
          </w:p>
        </w:tc>
        <w:tc>
          <w:tcPr>
            <w:tcW w:w="100" w:type="dxa"/>
            <w:vAlign w:val="bottom"/>
            <w:shd w:val="clear" w:color="auto" w:fill="CFF0FC"/>
          </w:tcPr>
          <w:p>
            <w:pPr>
              <w:spacing w:after="0"/>
              <w:rPr>
                <w:sz w:val="18"/>
                <w:szCs w:val="18"/>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0" w:type="dxa"/>
            <w:vAlign w:val="bottom"/>
          </w:tcPr>
          <w:p>
            <w:pPr>
              <w:spacing w:after="0"/>
              <w:rPr>
                <w:sz w:val="18"/>
                <w:szCs w:val="18"/>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(8,842 )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(9,480 )</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provision for income taxes includes: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24"/>
                <w:szCs w:val="24"/>
                <w:color w:val="auto"/>
              </w:rPr>
            </w:pPr>
          </w:p>
        </w:tc>
        <w:tc>
          <w:tcPr>
            <w:tcW w:w="1380" w:type="dxa"/>
            <w:vAlign w:val="bottom"/>
            <w:gridSpan w:val="2"/>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480" w:type="dxa"/>
            <w:vAlign w:val="bottom"/>
          </w:tcPr>
          <w:p>
            <w:pPr>
              <w:spacing w:after="0"/>
              <w:rPr>
                <w:sz w:val="15"/>
                <w:szCs w:val="15"/>
                <w:color w:val="auto"/>
              </w:rPr>
            </w:pPr>
          </w:p>
        </w:tc>
        <w:tc>
          <w:tcPr>
            <w:tcW w:w="4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100" w:type="dxa"/>
            <w:vAlign w:val="bottom"/>
          </w:tcPr>
          <w:p>
            <w:pPr>
              <w:spacing w:after="0"/>
              <w:rPr>
                <w:sz w:val="15"/>
                <w:szCs w:val="15"/>
                <w:color w:val="auto"/>
              </w:rPr>
            </w:pPr>
          </w:p>
        </w:tc>
        <w:tc>
          <w:tcPr>
            <w:tcW w:w="1460" w:type="dxa"/>
            <w:vAlign w:val="bottom"/>
            <w:gridSpan w:val="2"/>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00" w:type="dxa"/>
            <w:vAlign w:val="bottom"/>
          </w:tcPr>
          <w:p>
            <w:pPr>
              <w:spacing w:after="0"/>
              <w:rPr>
                <w:sz w:val="15"/>
                <w:szCs w:val="15"/>
                <w:color w:val="auto"/>
              </w:rPr>
            </w:pPr>
          </w:p>
        </w:tc>
        <w:tc>
          <w:tcPr>
            <w:tcW w:w="138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422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22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220" w:type="dxa"/>
            <w:vAlign w:val="bottom"/>
            <w:tcBorders>
              <w:bottom w:val="single" w:sz="8" w:color="CFF0FC"/>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2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100" w:type="dxa"/>
            <w:vAlign w:val="bottom"/>
            <w:shd w:val="clear" w:color="auto" w:fill="CFF0FC"/>
          </w:tcPr>
          <w:p>
            <w:pPr>
              <w:spacing w:after="0"/>
              <w:rPr>
                <w:sz w:val="18"/>
                <w:szCs w:val="18"/>
                <w:color w:val="auto"/>
              </w:rPr>
            </w:pPr>
          </w:p>
        </w:tc>
        <w:tc>
          <w:tcPr>
            <w:tcW w:w="128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tcBorders>
              <w:right w:val="single" w:sz="8" w:color="CFF0FC"/>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422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shd w:val="clear" w:color="auto" w:fill="CFF0FC"/>
          </w:tcPr>
          <w:p>
            <w:pPr>
              <w:spacing w:after="0"/>
              <w:rPr>
                <w:sz w:val="18"/>
                <w:szCs w:val="18"/>
                <w:color w:val="auto"/>
              </w:rPr>
            </w:pPr>
          </w:p>
        </w:tc>
        <w:tc>
          <w:tcPr>
            <w:tcW w:w="12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422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0" w:type="dxa"/>
            <w:vAlign w:val="bottom"/>
          </w:tcPr>
          <w:p>
            <w:pPr>
              <w:spacing w:after="0"/>
              <w:rPr>
                <w:sz w:val="21"/>
                <w:szCs w:val="21"/>
                <w:color w:val="auto"/>
              </w:rPr>
            </w:pPr>
          </w:p>
        </w:tc>
        <w:tc>
          <w:tcPr>
            <w:tcW w:w="422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4750435</wp:posOffset>
            </wp:positionH>
            <wp:positionV relativeFrom="paragraph">
              <wp:posOffset>-2245360</wp:posOffset>
            </wp:positionV>
            <wp:extent cx="603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-2245360</wp:posOffset>
            </wp:positionV>
            <wp:extent cx="596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4759325</wp:posOffset>
            </wp:positionH>
            <wp:positionV relativeFrom="paragraph">
              <wp:posOffset>-882015</wp:posOffset>
            </wp:positionV>
            <wp:extent cx="51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5761990</wp:posOffset>
            </wp:positionH>
            <wp:positionV relativeFrom="paragraph">
              <wp:posOffset>-882015</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4759325</wp:posOffset>
            </wp:positionH>
            <wp:positionV relativeFrom="paragraph">
              <wp:posOffset>-316865</wp:posOffset>
            </wp:positionV>
            <wp:extent cx="514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5761990</wp:posOffset>
            </wp:positionH>
            <wp:positionV relativeFrom="paragraph">
              <wp:posOffset>-316865</wp:posOffset>
            </wp:positionV>
            <wp:extent cx="5143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4759325</wp:posOffset>
            </wp:positionH>
            <wp:positionV relativeFrom="paragraph">
              <wp:posOffset>-24765</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4759325</wp:posOffset>
            </wp:positionH>
            <wp:positionV relativeFrom="paragraph">
              <wp:posOffset>-7620</wp:posOffset>
            </wp:positionV>
            <wp:extent cx="514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5761990</wp:posOffset>
            </wp:positionH>
            <wp:positionV relativeFrom="paragraph">
              <wp:posOffset>-24765</wp:posOffset>
            </wp:positionV>
            <wp:extent cx="514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5761990</wp:posOffset>
            </wp:positionH>
            <wp:positionV relativeFrom="paragraph">
              <wp:posOffset>-7620</wp:posOffset>
            </wp:positionV>
            <wp:extent cx="514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Our effective tax rate differs from the statutory federal income tax rate as shown in the following schedule: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60" w:type="dxa"/>
            <w:vAlign w:val="bottom"/>
            <w:gridSpan w:val="2"/>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580" w:type="dxa"/>
            <w:vAlign w:val="bottom"/>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80" w:type="dxa"/>
            <w:vAlign w:val="bottom"/>
          </w:tcPr>
          <w:p>
            <w:pPr>
              <w:spacing w:after="0"/>
              <w:rPr>
                <w:sz w:val="14"/>
                <w:szCs w:val="14"/>
                <w:color w:val="auto"/>
              </w:rPr>
            </w:pPr>
          </w:p>
        </w:tc>
      </w:tr>
      <w:tr>
        <w:trPr>
          <w:trHeight w:val="173"/>
        </w:trPr>
        <w:tc>
          <w:tcPr>
            <w:tcW w:w="190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6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58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1880" w:type="dxa"/>
            <w:vAlign w:val="bottom"/>
          </w:tcPr>
          <w:p>
            <w:pPr>
              <w:spacing w:after="0"/>
              <w:rPr>
                <w:sz w:val="15"/>
                <w:szCs w:val="15"/>
                <w:color w:val="auto"/>
              </w:rPr>
            </w:pPr>
          </w:p>
        </w:tc>
      </w:tr>
      <w:tr>
        <w:trPr>
          <w:trHeight w:val="209"/>
        </w:trPr>
        <w:tc>
          <w:tcPr>
            <w:tcW w:w="19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 at statutory rate</w:t>
            </w:r>
          </w:p>
        </w:tc>
        <w:tc>
          <w:tcPr>
            <w:tcW w:w="78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7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244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3.3 %</w:t>
            </w:r>
          </w:p>
        </w:tc>
        <w:tc>
          <w:tcPr>
            <w:tcW w:w="15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3.2 %</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differences</w:t>
            </w:r>
          </w:p>
        </w:tc>
        <w:tc>
          <w:tcPr>
            <w:tcW w:w="24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(0.3 )%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4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(4.9 )%</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change impact</w:t>
            </w:r>
          </w:p>
        </w:tc>
        <w:tc>
          <w:tcPr>
            <w:tcW w:w="24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0.3 %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244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(0.5 )%</w:t>
            </w:r>
          </w:p>
        </w:tc>
        <w:tc>
          <w:tcPr>
            <w:tcW w:w="15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1.3 %</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4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(19.9 )%</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2440" w:type="dxa"/>
            <w:vAlign w:val="bottom"/>
            <w:gridSpan w:val="3"/>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(0.5 )%</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880" w:type="dxa"/>
            <w:vAlign w:val="bottom"/>
          </w:tcPr>
          <w:p>
            <w:pPr>
              <w:spacing w:after="0"/>
              <w:rPr>
                <w:sz w:val="18"/>
                <w:szCs w:val="18"/>
                <w:color w:val="auto"/>
              </w:rPr>
            </w:pPr>
          </w:p>
        </w:tc>
      </w:tr>
      <w:tr>
        <w:trPr>
          <w:trHeight w:val="216"/>
        </w:trPr>
        <w:tc>
          <w:tcPr>
            <w:tcW w:w="1900" w:type="dxa"/>
            <w:vAlign w:val="bottom"/>
          </w:tcPr>
          <w:p>
            <w:pPr>
              <w:spacing w:after="0"/>
              <w:rPr>
                <w:sz w:val="18"/>
                <w:szCs w:val="18"/>
                <w:color w:val="auto"/>
              </w:rPr>
            </w:pPr>
          </w:p>
        </w:tc>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80" w:type="dxa"/>
            <w:vAlign w:val="bottom"/>
          </w:tcPr>
          <w:p>
            <w:pPr>
              <w:spacing w:after="0"/>
              <w:rPr>
                <w:sz w:val="18"/>
                <w:szCs w:val="18"/>
                <w:color w:val="auto"/>
              </w:rPr>
            </w:pPr>
          </w:p>
        </w:tc>
        <w:tc>
          <w:tcPr>
            <w:tcW w:w="16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0.7 %</w:t>
            </w:r>
          </w:p>
        </w:tc>
        <w:tc>
          <w:tcPr>
            <w:tcW w:w="1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1.0 %</w:t>
            </w:r>
          </w:p>
        </w:tc>
        <w:tc>
          <w:tcPr>
            <w:tcW w:w="1880" w:type="dxa"/>
            <w:vAlign w:val="bottom"/>
          </w:tcPr>
          <w:p>
            <w:pPr>
              <w:spacing w:after="0"/>
              <w:rPr>
                <w:sz w:val="18"/>
                <w:szCs w:val="18"/>
                <w:color w:val="auto"/>
              </w:rPr>
            </w:pPr>
          </w:p>
        </w:tc>
      </w:tr>
      <w:tr>
        <w:trPr>
          <w:trHeight w:val="20"/>
        </w:trPr>
        <w:tc>
          <w:tcPr>
            <w:tcW w:w="19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50"/>
        </w:trPr>
        <w:tc>
          <w:tcPr>
            <w:tcW w:w="1900" w:type="dxa"/>
            <w:vAlign w:val="bottom"/>
          </w:tcPr>
          <w:p>
            <w:pPr>
              <w:spacing w:after="0"/>
              <w:rPr>
                <w:sz w:val="21"/>
                <w:szCs w:val="21"/>
                <w:color w:val="auto"/>
              </w:rPr>
            </w:pPr>
          </w:p>
        </w:tc>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78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(0.8 )%</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880" w:type="dxa"/>
            <w:vAlign w:val="bottom"/>
          </w:tcPr>
          <w:p>
            <w:pPr>
              <w:spacing w:after="0"/>
              <w:rPr>
                <w:sz w:val="21"/>
                <w:szCs w:val="21"/>
                <w:color w:val="auto"/>
              </w:rPr>
            </w:pPr>
          </w:p>
        </w:tc>
      </w:tr>
      <w:tr>
        <w:trPr>
          <w:trHeight w:val="628"/>
        </w:trPr>
        <w:tc>
          <w:tcPr>
            <w:tcW w:w="1900" w:type="dxa"/>
            <w:vAlign w:val="bottom"/>
          </w:tcPr>
          <w:p>
            <w:pPr>
              <w:spacing w:after="0"/>
              <w:rPr>
                <w:sz w:val="24"/>
                <w:szCs w:val="24"/>
                <w:color w:val="auto"/>
              </w:rPr>
            </w:pPr>
          </w:p>
        </w:tc>
        <w:tc>
          <w:tcPr>
            <w:tcW w:w="3240" w:type="dxa"/>
            <w:vAlign w:val="bottom"/>
            <w:tcBorders>
              <w:top w:val="single" w:sz="8" w:color="CFF0FC"/>
            </w:tcBorders>
          </w:tcPr>
          <w:p>
            <w:pPr>
              <w:spacing w:after="0"/>
              <w:rPr>
                <w:sz w:val="24"/>
                <w:szCs w:val="24"/>
                <w:color w:val="auto"/>
              </w:rPr>
            </w:pPr>
          </w:p>
        </w:tc>
        <w:tc>
          <w:tcPr>
            <w:tcW w:w="780" w:type="dxa"/>
            <w:vAlign w:val="bottom"/>
            <w:tcBorders>
              <w:top w:val="single" w:sz="8" w:color="CFF0FC"/>
            </w:tcBorders>
          </w:tcPr>
          <w:p>
            <w:pPr>
              <w:jc w:val="right"/>
              <w:ind w:right="210"/>
              <w:spacing w:after="0"/>
              <w:rPr>
                <w:sz w:val="20"/>
                <w:szCs w:val="20"/>
                <w:color w:val="auto"/>
              </w:rPr>
            </w:pPr>
            <w:r>
              <w:rPr>
                <w:rFonts w:ascii="Times New Roman" w:cs="Times New Roman" w:eastAsia="Times New Roman" w:hAnsi="Times New Roman"/>
                <w:sz w:val="18"/>
                <w:szCs w:val="18"/>
                <w:color w:val="auto"/>
              </w:rPr>
              <w:t>71</w:t>
            </w:r>
          </w:p>
        </w:tc>
        <w:tc>
          <w:tcPr>
            <w:tcW w:w="134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880" w:type="dxa"/>
            <w:vAlign w:val="bottom"/>
          </w:tcPr>
          <w:p>
            <w:pPr>
              <w:spacing w:after="0"/>
              <w:rPr>
                <w:sz w:val="24"/>
                <w:szCs w:val="24"/>
                <w:color w:val="auto"/>
              </w:rPr>
            </w:pPr>
          </w:p>
        </w:tc>
      </w:tr>
      <w:tr>
        <w:trPr>
          <w:trHeight w:val="763"/>
        </w:trPr>
        <w:tc>
          <w:tcPr>
            <w:tcW w:w="19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4605020</wp:posOffset>
            </wp:positionH>
            <wp:positionV relativeFrom="paragraph">
              <wp:posOffset>-933450</wp:posOffset>
            </wp:positionV>
            <wp:extent cx="15430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4605020</wp:posOffset>
            </wp:positionH>
            <wp:positionV relativeFrom="paragraph">
              <wp:posOffset>-916305</wp:posOffset>
            </wp:positionV>
            <wp:extent cx="15430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5659120</wp:posOffset>
            </wp:positionH>
            <wp:positionV relativeFrom="paragraph">
              <wp:posOffset>-933450</wp:posOffset>
            </wp:positionV>
            <wp:extent cx="15430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5659120</wp:posOffset>
            </wp:positionH>
            <wp:positionV relativeFrom="paragraph">
              <wp:posOffset>-916305</wp:posOffset>
            </wp:positionV>
            <wp:extent cx="15430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93" w:right="439" w:bottom="1440" w:gutter="0" w:footer="0" w:header="0"/>
        </w:sectPr>
      </w:pPr>
    </w:p>
    <w:bookmarkStart w:id="71" w:name="page72"/>
    <w:bookmarkEnd w:id="71"/>
    <w:p>
      <w:pPr>
        <w:ind w:right="200" w:firstLine="441"/>
        <w:spacing w:after="0" w:line="282" w:lineRule="auto"/>
        <w:rPr>
          <w:sz w:val="20"/>
          <w:szCs w:val="20"/>
          <w:color w:val="auto"/>
        </w:rPr>
      </w:pPr>
      <w:r>
        <w:rPr>
          <w:rFonts w:ascii="Times New Roman" w:cs="Times New Roman" w:eastAsia="Times New Roman" w:hAnsi="Times New Roman"/>
          <w:sz w:val="18"/>
          <w:szCs w:val="18"/>
          <w:color w:val="auto"/>
        </w:rPr>
        <w:t>The tax effect of temporary differences and carryforwards that give rise to significant portions of the net deferred tax assets are presented below (in thousands):</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00" w:type="dxa"/>
            <w:vAlign w:val="bottom"/>
          </w:tcPr>
          <w:p>
            <w:pPr>
              <w:spacing w:after="0"/>
              <w:rPr>
                <w:sz w:val="15"/>
                <w:szCs w:val="15"/>
                <w:color w:val="auto"/>
              </w:rPr>
            </w:pPr>
          </w:p>
        </w:tc>
        <w:tc>
          <w:tcPr>
            <w:tcW w:w="14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0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30, 2023</w:t>
            </w:r>
          </w:p>
        </w:tc>
        <w:tc>
          <w:tcPr>
            <w:tcW w:w="0" w:type="dxa"/>
            <w:vAlign w:val="bottom"/>
          </w:tcPr>
          <w:p>
            <w:pPr>
              <w:spacing w:after="0"/>
              <w:rPr>
                <w:sz w:val="1"/>
                <w:szCs w:val="1"/>
                <w:color w:val="auto"/>
              </w:rPr>
            </w:pPr>
          </w:p>
        </w:tc>
      </w:tr>
      <w:tr>
        <w:trPr>
          <w:trHeight w:val="209"/>
        </w:trPr>
        <w:tc>
          <w:tcPr>
            <w:tcW w:w="420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operating losses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15,118</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Accruals and reserves</w:t>
            </w: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Property and equipment</w:t>
            </w: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Intangible assets</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0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Section 174 research and experimental expenditures</w:t>
            </w: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capitalization</w:t>
            </w: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compensation</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tax credits</w:t>
            </w:r>
          </w:p>
        </w:tc>
        <w:tc>
          <w:tcPr>
            <w:tcW w:w="1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(27,114 )</w:t>
            </w: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(25,357 )</w:t>
            </w:r>
          </w:p>
        </w:tc>
        <w:tc>
          <w:tcPr>
            <w:tcW w:w="0" w:type="dxa"/>
            <w:vAlign w:val="bottom"/>
          </w:tcPr>
          <w:p>
            <w:pPr>
              <w:spacing w:after="0"/>
              <w:rPr>
                <w:sz w:val="1"/>
                <w:szCs w:val="1"/>
                <w:color w:val="auto"/>
              </w:rPr>
            </w:pPr>
          </w:p>
        </w:tc>
      </w:tr>
      <w:tr>
        <w:trPr>
          <w:trHeight w:val="209"/>
        </w:trPr>
        <w:tc>
          <w:tcPr>
            <w:tcW w:w="42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deferred tax assets, net</w:t>
            </w: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(132 )</w:t>
            </w:r>
          </w:p>
        </w:tc>
        <w:tc>
          <w:tcPr>
            <w:tcW w:w="1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(132 )</w:t>
            </w:r>
          </w:p>
        </w:tc>
        <w:tc>
          <w:tcPr>
            <w:tcW w:w="1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(116 )</w:t>
            </w:r>
          </w:p>
        </w:tc>
        <w:tc>
          <w:tcPr>
            <w:tcW w:w="0" w:type="dxa"/>
            <w:vAlign w:val="bottom"/>
          </w:tcPr>
          <w:p>
            <w:pPr>
              <w:spacing w:after="0"/>
              <w:rPr>
                <w:sz w:val="1"/>
                <w:szCs w:val="1"/>
                <w:color w:val="auto"/>
              </w:rPr>
            </w:pPr>
          </w:p>
        </w:tc>
      </w:tr>
      <w:tr>
        <w:trPr>
          <w:trHeight w:val="20"/>
        </w:trPr>
        <w:tc>
          <w:tcPr>
            <w:tcW w:w="4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-1019810</wp:posOffset>
            </wp:positionV>
            <wp:extent cx="60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-1019810</wp:posOffset>
            </wp:positionV>
            <wp:extent cx="596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-736600</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-736600</wp:posOffset>
            </wp:positionV>
            <wp:extent cx="596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-170815</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596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Our accounting for deferred taxes involves the evaluation of a number of factors concerning the realizability of our deferred tax assets. Assessing the realizability of deferred tax assets is dependent upon several factors, including the likelihood and amount, if any, of future taxable income in relevant jurisdictions during the periods in which those temporary differences become deductible. Our management forecasts taxable income by considering all available positive and negative evidence including our history of operating income or losses and our financial plans and estimates which are used to manage the business. These assumptions require significant judgment about future taxable income. The amount of deferred tax assets considered realizable is subject to adjustment in future periods if estimates of future taxable income are reduced.</w:t>
      </w:r>
    </w:p>
    <w:p>
      <w:pPr>
        <w:spacing w:after="0" w:line="81"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As of December 28, 2024, based on the Company's recent history of losses and its forecasted losses, management believes on the more likely than not basis that a full valuation allowance is required. Accordingly, in the fourth quarter of fiscal year 2024, the Company provided a full valuation allowance on its federal and state deferred tax assets. The Company's change in valuation allowance form prior year was $1.8 million. As of December 28, 2024, the Company had federal and state net operating loss (“NOL”) carry forwards of $61.7 million and $30.9 million, respectively. The federal NOL and the state NOL will begin to expire in 2032.</w:t>
      </w:r>
    </w:p>
    <w:p>
      <w:pPr>
        <w:spacing w:after="0" w:line="79"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The Company has federal and state research credit carry forwards of approximately $2.5 million and $3.8 million, respectively. The federal research credit expired in 2024 and the state research credit can be carried forward indefinitely. In the event of a change in ownership as defined by IRC sections 382 and 383, the usage of the above mentioned NOLs and credits may be limited.</w:t>
      </w:r>
    </w:p>
    <w:p>
      <w:pPr>
        <w:spacing w:after="0" w:line="72"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The Company accounts for uncertain tax positions in accordance with ASC 740, “Income Taxes.” ASC 740 seeks to reduce the diversity in practice associated with certain aspects of measurement and recognition in accounting for income taxes.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 likely than not" threshold. In accordance with our accounting policy, we recognize accrued interests and penalties related to unrecognized tax benefits as a component of income tax expense. There is no accrued interest and penalty during the year ended December 28, 2024.</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60"/>
          </w:cols>
          <w:pgMar w:left="1400" w:top="1093" w:right="1439" w:bottom="1440" w:gutter="0" w:footer="0" w:header="0"/>
        </w:sectPr>
      </w:pPr>
    </w:p>
    <w:bookmarkStart w:id="72" w:name="page73"/>
    <w:bookmarkEnd w:id="72"/>
    <w:p>
      <w:pPr>
        <w:ind w:left="44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(in thousands):</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80" w:type="dxa"/>
            <w:vAlign w:val="bottom"/>
          </w:tcPr>
          <w:p>
            <w:pPr>
              <w:spacing w:after="0"/>
              <w:rPr>
                <w:sz w:val="13"/>
                <w:szCs w:val="13"/>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4520" w:type="dxa"/>
            <w:vAlign w:val="bottom"/>
          </w:tcPr>
          <w:p>
            <w:pPr>
              <w:spacing w:after="0"/>
              <w:rPr>
                <w:sz w:val="15"/>
                <w:szCs w:val="15"/>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30, 2023</w:t>
            </w:r>
          </w:p>
        </w:tc>
      </w:tr>
      <w:tr>
        <w:trPr>
          <w:trHeight w:val="210"/>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1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shd w:val="clear" w:color="auto" w:fill="CFF0FC"/>
          </w:tcPr>
          <w:p>
            <w:pPr>
              <w:spacing w:after="0"/>
              <w:rPr>
                <w:sz w:val="18"/>
                <w:szCs w:val="18"/>
                <w:color w:val="auto"/>
              </w:rPr>
            </w:pPr>
          </w:p>
        </w:tc>
      </w:tr>
      <w:tr>
        <w:trPr>
          <w:trHeight w:val="198"/>
        </w:trPr>
        <w:tc>
          <w:tcPr>
            <w:tcW w:w="45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Additions based upon tax positions related to the current</w:t>
            </w: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r>
      <w:tr>
        <w:trPr>
          <w:trHeight w:val="21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Reductions based upon tax positions related to the prior year</w:t>
            </w: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(41 )</w:t>
            </w: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(36 )</w:t>
            </w:r>
          </w:p>
        </w:tc>
      </w:tr>
      <w:tr>
        <w:trPr>
          <w:trHeight w:val="210"/>
        </w:trPr>
        <w:tc>
          <w:tcPr>
            <w:tcW w:w="45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20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Borders>
              <w:top w:val="single" w:sz="8" w:color="CFF0FC"/>
            </w:tcBorders>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-170815</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596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jc w:val="both"/>
        <w:ind w:right="100" w:firstLine="441"/>
        <w:spacing w:after="0" w:line="271" w:lineRule="auto"/>
        <w:rPr>
          <w:sz w:val="20"/>
          <w:szCs w:val="20"/>
          <w:color w:val="auto"/>
        </w:rPr>
      </w:pPr>
      <w:r>
        <w:rPr>
          <w:rFonts w:ascii="Times New Roman" w:cs="Times New Roman" w:eastAsia="Times New Roman" w:hAnsi="Times New Roman"/>
          <w:sz w:val="18"/>
          <w:szCs w:val="18"/>
          <w:color w:val="auto"/>
        </w:rPr>
        <w:t>If the ending balance of $1.4 million of unrecognized tax benefits as of December 28, 2024 were recognized, $0 of the recognition would affect the income tax rate. The Company does not anticipate any material change in our unrecognized tax benefits over the next twelve months. The unrecognized tax benefits may change during the next year for items that arise in the ordinary course of business.</w:t>
      </w:r>
    </w:p>
    <w:p>
      <w:pPr>
        <w:spacing w:after="0" w:line="64" w:lineRule="exact"/>
        <w:rPr>
          <w:sz w:val="20"/>
          <w:szCs w:val="20"/>
          <w:color w:val="auto"/>
        </w:rPr>
      </w:pPr>
    </w:p>
    <w:p>
      <w:pPr>
        <w:ind w:right="20" w:firstLine="441"/>
        <w:spacing w:after="0" w:line="282" w:lineRule="auto"/>
        <w:rPr>
          <w:sz w:val="20"/>
          <w:szCs w:val="20"/>
          <w:color w:val="auto"/>
        </w:rPr>
      </w:pPr>
      <w:r>
        <w:rPr>
          <w:rFonts w:ascii="Times New Roman" w:cs="Times New Roman" w:eastAsia="Times New Roman" w:hAnsi="Times New Roman"/>
          <w:sz w:val="18"/>
          <w:szCs w:val="18"/>
          <w:color w:val="auto"/>
        </w:rPr>
        <w:t>The Company files U.S. federal and state returns. The tax years 2012 to 2022 remain open in several jurisdictions, none of which have individual significance.</w:t>
      </w:r>
    </w:p>
    <w:p>
      <w:pPr>
        <w:spacing w:after="0" w:line="54" w:lineRule="exact"/>
        <w:rPr>
          <w:sz w:val="20"/>
          <w:szCs w:val="20"/>
          <w:color w:val="auto"/>
        </w:rPr>
      </w:pPr>
    </w:p>
    <w:p>
      <w:pPr>
        <w:ind w:right="260" w:firstLine="441"/>
        <w:spacing w:after="0" w:line="266" w:lineRule="auto"/>
        <w:rPr>
          <w:sz w:val="20"/>
          <w:szCs w:val="20"/>
          <w:color w:val="auto"/>
        </w:rPr>
      </w:pPr>
      <w:r>
        <w:rPr>
          <w:rFonts w:ascii="Times New Roman" w:cs="Times New Roman" w:eastAsia="Times New Roman" w:hAnsi="Times New Roman"/>
          <w:sz w:val="18"/>
          <w:szCs w:val="18"/>
          <w:color w:val="auto"/>
        </w:rPr>
        <w:t>On August 16, 2022, President Biden signed into law the Inflation Reduction Act, with tax provisions primarily focused on implementing a 15% minimum tax on global adjusted financial statement income and a 1% excise tax on share repurchases. The majority of the provisions of the Inflation Reduction Act of 2022 became effective beginning in 2023.</w:t>
      </w:r>
    </w:p>
    <w:p>
      <w:pPr>
        <w:spacing w:after="0" w:line="68" w:lineRule="exact"/>
        <w:rPr>
          <w:sz w:val="20"/>
          <w:szCs w:val="20"/>
          <w:color w:val="auto"/>
        </w:rPr>
      </w:pPr>
    </w:p>
    <w:p>
      <w:pPr>
        <w:ind w:right="300" w:firstLine="441"/>
        <w:spacing w:after="0" w:line="282" w:lineRule="auto"/>
        <w:rPr>
          <w:sz w:val="20"/>
          <w:szCs w:val="20"/>
          <w:color w:val="auto"/>
        </w:rPr>
      </w:pPr>
      <w:r>
        <w:rPr>
          <w:rFonts w:ascii="Times New Roman" w:cs="Times New Roman" w:eastAsia="Times New Roman" w:hAnsi="Times New Roman"/>
          <w:sz w:val="18"/>
          <w:szCs w:val="18"/>
          <w:color w:val="auto"/>
        </w:rPr>
        <w:t>Under US GAAP, changes in income tax rates and law are accounted for in the period of enactment. For US federal purposes, the enactment date for US GAAP is the date the President signs the bill into law.</w:t>
      </w:r>
    </w:p>
    <w:p>
      <w:pPr>
        <w:spacing w:after="0" w:line="54" w:lineRule="exact"/>
        <w:rPr>
          <w:sz w:val="20"/>
          <w:szCs w:val="20"/>
          <w:color w:val="auto"/>
        </w:rPr>
      </w:pPr>
    </w:p>
    <w:p>
      <w:pPr>
        <w:ind w:right="40" w:firstLine="441"/>
        <w:spacing w:after="0" w:line="258" w:lineRule="auto"/>
        <w:rPr>
          <w:sz w:val="20"/>
          <w:szCs w:val="20"/>
          <w:color w:val="auto"/>
        </w:rPr>
      </w:pPr>
      <w:r>
        <w:rPr>
          <w:rFonts w:ascii="Times New Roman" w:cs="Times New Roman" w:eastAsia="Times New Roman" w:hAnsi="Times New Roman"/>
          <w:sz w:val="18"/>
          <w:szCs w:val="18"/>
          <w:color w:val="auto"/>
        </w:rPr>
        <w:t>Management has reviewed the majority of the material provisions that would impact the Company and have determined that certain provisions in the IRA require accounting in the period of enactment but the majority of the provisions in the IRA with accounting implications will impact financial statements prospectively. We have reviewed the above provisions and based on the implication date and the application to the business, we don’t anticipate there to be any material impact of the tax law changes to the financial statements in 2024 or in the future.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Business Segments and Geographical Information</w:t>
      </w:r>
    </w:p>
    <w:p>
      <w:pPr>
        <w:spacing w:after="0" w:line="121" w:lineRule="exact"/>
        <w:rPr>
          <w:sz w:val="20"/>
          <w:szCs w:val="20"/>
          <w:color w:val="auto"/>
        </w:rPr>
      </w:pPr>
    </w:p>
    <w:p>
      <w:pPr>
        <w:ind w:right="180" w:firstLine="441"/>
        <w:spacing w:after="0" w:line="254" w:lineRule="auto"/>
        <w:rPr>
          <w:sz w:val="20"/>
          <w:szCs w:val="20"/>
          <w:color w:val="auto"/>
        </w:rPr>
      </w:pPr>
      <w:r>
        <w:rPr>
          <w:rFonts w:ascii="Times New Roman" w:cs="Times New Roman" w:eastAsia="Times New Roman" w:hAnsi="Times New Roman"/>
          <w:sz w:val="18"/>
          <w:szCs w:val="18"/>
          <w:color w:val="auto"/>
        </w:rPr>
        <w:t>The Company's chief operating decision maker has been identified as the chief executive officer, who reviews consolidated results when making decisions about allocating resources and assessing performance of the Company. For the purpose of internal reporting and management’s operation review, the Company's chief executive officer and management personnel do not segregate the Group’s business by revenue stream or geography. Management has determined that the Company has one operating segment, ophthalmology. The measure of segment assets is reported on the Consolidated Balance Sheets as total consolidated assets. The revenue, costs and expenses, and the net income for the reportable segment are the same as those presented on the Consolidated Statements of Operations. Substantially all of our long-term assets are located in the U.S. We develop, manufacture and market medical devices. Our revenues arise from the sale of consoles, delivery devices, consumables, service and support activities.</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Revenue information shown by product is as follows (in thousands):</w:t>
      </w:r>
    </w:p>
    <w:p>
      <w:pPr>
        <w:spacing w:after="0" w:line="327"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32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2024</w:t>
            </w:r>
          </w:p>
        </w:tc>
        <w:tc>
          <w:tcPr>
            <w:tcW w:w="26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December 30, 2023</w:t>
            </w:r>
          </w:p>
        </w:tc>
        <w:tc>
          <w:tcPr>
            <w:tcW w:w="80" w:type="dxa"/>
            <w:vAlign w:val="bottom"/>
          </w:tcPr>
          <w:p>
            <w:pPr>
              <w:spacing w:after="0"/>
              <w:rPr>
                <w:sz w:val="12"/>
                <w:szCs w:val="12"/>
                <w:color w:val="auto"/>
              </w:rPr>
            </w:pPr>
          </w:p>
        </w:tc>
      </w:tr>
      <w:tr>
        <w:trPr>
          <w:trHeight w:val="210"/>
        </w:trPr>
        <w:tc>
          <w:tcPr>
            <w:tcW w:w="3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Cyclo G6</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12,697</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13,461</w:t>
            </w:r>
          </w:p>
        </w:tc>
        <w:tc>
          <w:tcPr>
            <w:tcW w:w="80" w:type="dxa"/>
            <w:vAlign w:val="bottom"/>
            <w:shd w:val="clear" w:color="auto" w:fill="CFF0FC"/>
          </w:tcPr>
          <w:p>
            <w:pPr>
              <w:spacing w:after="0"/>
              <w:rPr>
                <w:sz w:val="18"/>
                <w:szCs w:val="18"/>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Retina</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29,445</w:t>
            </w:r>
          </w:p>
        </w:tc>
        <w:tc>
          <w:tcPr>
            <w:tcW w:w="80" w:type="dxa"/>
            <w:vAlign w:val="bottom"/>
          </w:tcPr>
          <w:p>
            <w:pPr>
              <w:spacing w:after="0"/>
              <w:rPr>
                <w:sz w:val="18"/>
                <w:szCs w:val="18"/>
                <w:color w:val="auto"/>
              </w:rPr>
            </w:pPr>
          </w:p>
        </w:tc>
      </w:tr>
      <w:tr>
        <w:trPr>
          <w:trHeight w:val="216"/>
        </w:trPr>
        <w:tc>
          <w:tcPr>
            <w:tcW w:w="3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Other(1)</w:t>
            </w:r>
          </w:p>
        </w:tc>
        <w:tc>
          <w:tcPr>
            <w:tcW w:w="2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8,145</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8,963</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48,669</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51,869</w:t>
            </w:r>
          </w:p>
        </w:tc>
        <w:tc>
          <w:tcPr>
            <w:tcW w:w="80" w:type="dxa"/>
            <w:vAlign w:val="bottom"/>
          </w:tcPr>
          <w:p>
            <w:pPr>
              <w:spacing w:after="0"/>
              <w:rPr>
                <w:sz w:val="18"/>
                <w:szCs w:val="18"/>
                <w:color w:val="auto"/>
              </w:rPr>
            </w:pPr>
          </w:p>
        </w:tc>
      </w:tr>
      <w:tr>
        <w:trPr>
          <w:trHeight w:val="20"/>
        </w:trPr>
        <w:tc>
          <w:tcPr>
            <w:tcW w:w="3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-170815</wp:posOffset>
            </wp:positionV>
            <wp:extent cx="514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-170815</wp:posOffset>
            </wp:positionV>
            <wp:extent cx="5143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83" w:lineRule="exact"/>
        <w:rPr>
          <w:sz w:val="20"/>
          <w:szCs w:val="20"/>
          <w:color w:val="auto"/>
        </w:rPr>
      </w:pPr>
    </w:p>
    <w:p>
      <w:pPr>
        <w:ind w:firstLine="8"/>
        <w:spacing w:after="0" w:line="266" w:lineRule="auto"/>
        <w:tabs>
          <w:tab w:leader="none" w:pos="2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service contract revenues of $1,399 thousand and $1,534 thousand recognized during fiscal years 2024 and 2023, respectively. Includes $1,455 thousand and $1,455 thousand recognized revenue related to the exclusive distribution rights during fiscal years 2024 and 2023. Other also includes revenues from paid service, royalty, freight and legacy G probes.</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Revenue information shown by geographic region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201" w:right="14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9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120" w:type="dxa"/>
            <w:vAlign w:val="bottom"/>
          </w:tcPr>
          <w:p>
            <w:pPr>
              <w:spacing w:after="0"/>
              <w:rPr>
                <w:sz w:val="12"/>
                <w:szCs w:val="12"/>
                <w:color w:val="auto"/>
              </w:rPr>
            </w:pPr>
          </w:p>
        </w:tc>
        <w:tc>
          <w:tcPr>
            <w:tcW w:w="1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2024</w:t>
            </w:r>
          </w:p>
        </w:tc>
        <w:tc>
          <w:tcPr>
            <w:tcW w:w="5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jc w:val="right"/>
              <w:ind w:right="473"/>
              <w:spacing w:after="0" w:line="142" w:lineRule="exact"/>
              <w:rPr>
                <w:sz w:val="20"/>
                <w:szCs w:val="20"/>
                <w:color w:val="auto"/>
              </w:rPr>
            </w:pPr>
            <w:r>
              <w:rPr>
                <w:rFonts w:ascii="Times New Roman" w:cs="Times New Roman" w:eastAsia="Times New Roman" w:hAnsi="Times New Roman"/>
                <w:sz w:val="14"/>
                <w:szCs w:val="14"/>
                <w:b w:val="1"/>
                <w:bCs w:val="1"/>
                <w:color w:val="auto"/>
              </w:rPr>
              <w:t>December 30, 2023</w:t>
            </w:r>
          </w:p>
        </w:tc>
        <w:tc>
          <w:tcPr>
            <w:tcW w:w="80" w:type="dxa"/>
            <w:vAlign w:val="bottom"/>
          </w:tcPr>
          <w:p>
            <w:pPr>
              <w:spacing w:after="0"/>
              <w:rPr>
                <w:sz w:val="12"/>
                <w:szCs w:val="12"/>
                <w:color w:val="auto"/>
              </w:rPr>
            </w:pPr>
          </w:p>
        </w:tc>
      </w:tr>
      <w:tr>
        <w:trPr>
          <w:trHeight w:val="210"/>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760" w:type="dxa"/>
            <w:vAlign w:val="bottom"/>
            <w:shd w:val="clear" w:color="auto" w:fill="CFF0FC"/>
          </w:tcPr>
          <w:p>
            <w:pPr>
              <w:jc w:val="right"/>
              <w:ind w:right="15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22,690</w:t>
            </w:r>
          </w:p>
        </w:tc>
        <w:tc>
          <w:tcPr>
            <w:tcW w:w="70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26,054</w:t>
            </w:r>
          </w:p>
        </w:tc>
        <w:tc>
          <w:tcPr>
            <w:tcW w:w="80" w:type="dxa"/>
            <w:vAlign w:val="bottom"/>
            <w:shd w:val="clear" w:color="auto" w:fill="CFF0FC"/>
          </w:tcPr>
          <w:p>
            <w:pPr>
              <w:spacing w:after="0"/>
              <w:rPr>
                <w:sz w:val="18"/>
                <w:szCs w:val="18"/>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7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11,824</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13,519</w:t>
            </w:r>
          </w:p>
        </w:tc>
        <w:tc>
          <w:tcPr>
            <w:tcW w:w="80" w:type="dxa"/>
            <w:vAlign w:val="bottom"/>
          </w:tcPr>
          <w:p>
            <w:pPr>
              <w:spacing w:after="0"/>
              <w:rPr>
                <w:sz w:val="18"/>
                <w:szCs w:val="18"/>
                <w:color w:val="auto"/>
              </w:rPr>
            </w:pPr>
          </w:p>
        </w:tc>
      </w:tr>
      <w:tr>
        <w:trPr>
          <w:trHeight w:val="216"/>
        </w:trPr>
        <w:tc>
          <w:tcPr>
            <w:tcW w:w="4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Asia/Pacific Rim</w:t>
            </w:r>
          </w:p>
        </w:tc>
        <w:tc>
          <w:tcPr>
            <w:tcW w:w="17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3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10,234</w:t>
            </w:r>
          </w:p>
        </w:tc>
        <w:tc>
          <w:tcPr>
            <w:tcW w:w="80" w:type="dxa"/>
            <w:vAlign w:val="bottom"/>
            <w:shd w:val="clear" w:color="auto" w:fill="CFF0FC"/>
          </w:tcPr>
          <w:p>
            <w:pPr>
              <w:spacing w:after="0"/>
              <w:rPr>
                <w:sz w:val="18"/>
                <w:szCs w:val="18"/>
                <w:color w:val="auto"/>
              </w:rPr>
            </w:pPr>
          </w:p>
        </w:tc>
      </w:tr>
      <w:tr>
        <w:trPr>
          <w:trHeight w:val="216"/>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Americas, excluding the U.S.</w:t>
            </w:r>
          </w:p>
        </w:tc>
        <w:tc>
          <w:tcPr>
            <w:tcW w:w="17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3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80" w:type="dxa"/>
            <w:vAlign w:val="bottom"/>
          </w:tcPr>
          <w:p>
            <w:pPr>
              <w:spacing w:after="0"/>
              <w:rPr>
                <w:sz w:val="18"/>
                <w:szCs w:val="18"/>
                <w:color w:val="auto"/>
              </w:rPr>
            </w:pPr>
          </w:p>
        </w:tc>
      </w:tr>
      <w:tr>
        <w:trPr>
          <w:trHeight w:val="250"/>
        </w:trPr>
        <w:tc>
          <w:tcPr>
            <w:tcW w:w="412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bottom w:val="single" w:sz="8" w:color="auto"/>
            </w:tcBorders>
            <w:shd w:val="clear" w:color="auto" w:fill="CFF0FC"/>
          </w:tcPr>
          <w:p>
            <w:pPr>
              <w:jc w:val="right"/>
              <w:ind w:right="15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48,669</w:t>
            </w:r>
          </w:p>
        </w:tc>
        <w:tc>
          <w:tcPr>
            <w:tcW w:w="3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51,869</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-24765</wp:posOffset>
            </wp:positionV>
            <wp:extent cx="514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wp:posOffset>
            </wp:positionV>
            <wp:extent cx="514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514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514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ind w:left="440"/>
        <w:spacing w:after="0"/>
        <w:rPr>
          <w:sz w:val="20"/>
          <w:szCs w:val="20"/>
          <w:color w:val="auto"/>
        </w:rPr>
      </w:pPr>
      <w:r>
        <w:rPr>
          <w:rFonts w:ascii="Times New Roman" w:cs="Times New Roman" w:eastAsia="Times New Roman" w:hAnsi="Times New Roman"/>
          <w:sz w:val="18"/>
          <w:szCs w:val="18"/>
          <w:color w:val="auto"/>
        </w:rPr>
        <w:t>Revenues are attributed to countries based on location of end customers.</w:t>
      </w:r>
    </w:p>
    <w:p>
      <w:pPr>
        <w:spacing w:after="0" w:line="207" w:lineRule="exact"/>
        <w:rPr>
          <w:sz w:val="20"/>
          <w:szCs w:val="20"/>
          <w:color w:val="auto"/>
        </w:rPr>
      </w:pPr>
    </w:p>
    <w:p>
      <w:pPr>
        <w:ind w:right="120" w:firstLine="441"/>
        <w:spacing w:after="0" w:line="261" w:lineRule="auto"/>
        <w:rPr>
          <w:sz w:val="20"/>
          <w:szCs w:val="20"/>
          <w:color w:val="auto"/>
        </w:rPr>
      </w:pPr>
      <w:r>
        <w:rPr>
          <w:rFonts w:ascii="Times New Roman" w:cs="Times New Roman" w:eastAsia="Times New Roman" w:hAnsi="Times New Roman"/>
          <w:sz w:val="18"/>
          <w:szCs w:val="18"/>
          <w:color w:val="auto"/>
        </w:rPr>
        <w:t>Other than the United States, The Netherlands accounted for more than 10% of the Company’s revenues during fiscal year 2024, representing 14.8%. The United States accounted for 46.6% of revenues in 2024. Other than the United States, The Netherlands accounted for more than 10% of the Company’s revenues during fiscal year 2023, representing 14.0%. The United States accounted for 50.2% of revenues in 2023.</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Computation of Basic and Diluted Net Loss Per Common Share</w:t>
      </w:r>
    </w:p>
    <w:p>
      <w:pPr>
        <w:spacing w:after="0" w:line="121" w:lineRule="exact"/>
        <w:rPr>
          <w:sz w:val="20"/>
          <w:szCs w:val="20"/>
          <w:color w:val="auto"/>
        </w:rPr>
      </w:pPr>
    </w:p>
    <w:p>
      <w:pPr>
        <w:ind w:right="500" w:firstLine="441"/>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 and denominator of basic and diluted net loss per common share is provided as follows (in thousands, except per share amounts):</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60" w:type="dxa"/>
            <w:vAlign w:val="bottom"/>
            <w:gridSpan w:val="5"/>
          </w:tcPr>
          <w:p>
            <w:pPr>
              <w:jc w:val="right"/>
              <w:ind w:right="148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42"/>
        </w:trPr>
        <w:tc>
          <w:tcPr>
            <w:tcW w:w="30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gridSpan w:val="2"/>
          </w:tcPr>
          <w:p>
            <w:pPr>
              <w:jc w:val="right"/>
              <w:ind w:right="1000"/>
              <w:spacing w:after="0" w:line="142" w:lineRule="exact"/>
              <w:rPr>
                <w:sz w:val="20"/>
                <w:szCs w:val="20"/>
                <w:color w:val="auto"/>
              </w:rPr>
            </w:pPr>
            <w:r>
              <w:rPr>
                <w:rFonts w:ascii="Times New Roman" w:cs="Times New Roman" w:eastAsia="Times New Roman" w:hAnsi="Times New Roman"/>
                <w:sz w:val="14"/>
                <w:szCs w:val="14"/>
                <w:b w:val="1"/>
                <w:bCs w:val="1"/>
                <w:color w:val="auto"/>
              </w:rPr>
              <w:t>December 28, 2024</w:t>
            </w:r>
          </w:p>
        </w:tc>
        <w:tc>
          <w:tcPr>
            <w:tcW w:w="18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December 30, 2023</w:t>
            </w:r>
          </w:p>
        </w:tc>
        <w:tc>
          <w:tcPr>
            <w:tcW w:w="100" w:type="dxa"/>
            <w:vAlign w:val="bottom"/>
          </w:tcPr>
          <w:p>
            <w:pPr>
              <w:spacing w:after="0"/>
              <w:rPr>
                <w:sz w:val="12"/>
                <w:szCs w:val="12"/>
                <w:color w:val="auto"/>
              </w:rPr>
            </w:pPr>
          </w:p>
        </w:tc>
      </w:tr>
      <w:tr>
        <w:trPr>
          <w:trHeight w:val="210"/>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8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(8,910 )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(9,570 )</w:t>
            </w:r>
          </w:p>
        </w:tc>
      </w:tr>
      <w:tr>
        <w:trPr>
          <w:trHeight w:val="20"/>
        </w:trPr>
        <w:tc>
          <w:tcPr>
            <w:tcW w:w="3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0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8"/>
        </w:trPr>
        <w:tc>
          <w:tcPr>
            <w:tcW w:w="302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Weighted average shares of</w:t>
            </w: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(basic)</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16,439</w:t>
            </w: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16,128</w:t>
            </w:r>
          </w:p>
        </w:tc>
        <w:tc>
          <w:tcPr>
            <w:tcW w:w="100" w:type="dxa"/>
            <w:vAlign w:val="bottom"/>
          </w:tcPr>
          <w:p>
            <w:pPr>
              <w:spacing w:after="0"/>
              <w:rPr>
                <w:sz w:val="20"/>
                <w:szCs w:val="20"/>
                <w:color w:val="auto"/>
              </w:rPr>
            </w:pPr>
          </w:p>
        </w:tc>
      </w:tr>
      <w:tr>
        <w:trPr>
          <w:trHeight w:val="198"/>
        </w:trPr>
        <w:tc>
          <w:tcPr>
            <w:tcW w:w="3020" w:type="dxa"/>
            <w:vAlign w:val="bottom"/>
            <w:shd w:val="clear" w:color="auto" w:fill="CFF0FC"/>
          </w:tcPr>
          <w:p>
            <w:pPr>
              <w:ind w:left="200"/>
              <w:spacing w:after="0" w:line="198" w:lineRule="exact"/>
              <w:rPr>
                <w:sz w:val="20"/>
                <w:szCs w:val="20"/>
                <w:color w:val="auto"/>
              </w:rPr>
            </w:pPr>
            <w:r>
              <w:rPr>
                <w:rFonts w:ascii="Times New Roman" w:cs="Times New Roman" w:eastAsia="Times New Roman" w:hAnsi="Times New Roman"/>
                <w:sz w:val="18"/>
                <w:szCs w:val="18"/>
                <w:color w:val="auto"/>
              </w:rPr>
              <w:t>Weighted average shares of</w:t>
            </w:r>
          </w:p>
        </w:tc>
        <w:tc>
          <w:tcPr>
            <w:tcW w:w="1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3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(diluted)</w:t>
            </w:r>
          </w:p>
        </w:tc>
        <w:tc>
          <w:tcPr>
            <w:tcW w:w="18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16,439</w:t>
            </w: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16,128</w:t>
            </w:r>
          </w:p>
        </w:tc>
        <w:tc>
          <w:tcPr>
            <w:tcW w:w="100" w:type="dxa"/>
            <w:vAlign w:val="bottom"/>
            <w:shd w:val="clear" w:color="auto" w:fill="CFF0FC"/>
          </w:tcPr>
          <w:p>
            <w:pPr>
              <w:spacing w:after="0"/>
              <w:rPr>
                <w:sz w:val="20"/>
                <w:szCs w:val="20"/>
                <w:color w:val="auto"/>
              </w:rPr>
            </w:pPr>
          </w:p>
        </w:tc>
      </w:tr>
      <w:tr>
        <w:trPr>
          <w:trHeight w:val="216"/>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3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Basic net loss per share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gridSpan w:val="2"/>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(0.54 )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(0.59 )</w:t>
            </w:r>
          </w:p>
        </w:tc>
      </w:tr>
      <w:tr>
        <w:trPr>
          <w:trHeight w:val="20"/>
        </w:trPr>
        <w:tc>
          <w:tcPr>
            <w:tcW w:w="30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3020" w:type="dxa"/>
            <w:vAlign w:val="bottom"/>
          </w:tcPr>
          <w:p>
            <w:pPr>
              <w:ind w:left="380"/>
              <w:spacing w:after="0" w:line="196" w:lineRule="exact"/>
              <w:rPr>
                <w:sz w:val="20"/>
                <w:szCs w:val="20"/>
                <w:color w:val="auto"/>
              </w:rPr>
            </w:pPr>
            <w:r>
              <w:rPr>
                <w:rFonts w:ascii="Times New Roman" w:cs="Times New Roman" w:eastAsia="Times New Roman" w:hAnsi="Times New Roman"/>
                <w:sz w:val="18"/>
                <w:szCs w:val="18"/>
                <w:color w:val="auto"/>
              </w:rPr>
              <w:t>Diluted net loss per share</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240" w:type="dxa"/>
            <w:vAlign w:val="bottom"/>
            <w:gridSpan w:val="2"/>
          </w:tcPr>
          <w:p>
            <w:pPr>
              <w:jc w:val="right"/>
              <w:ind w:right="640"/>
              <w:spacing w:after="0" w:line="196" w:lineRule="exact"/>
              <w:rPr>
                <w:sz w:val="20"/>
                <w:szCs w:val="20"/>
                <w:color w:val="auto"/>
              </w:rPr>
            </w:pPr>
            <w:r>
              <w:rPr>
                <w:rFonts w:ascii="Times New Roman" w:cs="Times New Roman" w:eastAsia="Times New Roman" w:hAnsi="Times New Roman"/>
                <w:sz w:val="18"/>
                <w:szCs w:val="18"/>
                <w:color w:val="auto"/>
              </w:rPr>
              <w:t>(0.54 )</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(0.59 )</w:t>
            </w:r>
          </w:p>
        </w:tc>
      </w:tr>
      <w:tr>
        <w:trPr>
          <w:trHeight w:val="20"/>
        </w:trPr>
        <w:tc>
          <w:tcPr>
            <w:tcW w:w="3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-187960</wp:posOffset>
            </wp:positionV>
            <wp:extent cx="603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-170815</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-187960</wp:posOffset>
            </wp:positionV>
            <wp:extent cx="596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596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As of December 28, 2024 and December 30, 2023, stock options, restricted stock units and restricted stock awards of 2,697,381 and 2,821,990 shares, respectively, were excluded from the computation of diluted weighted average shares outstanding because to do so would have been anti-dilutive.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21" w:lineRule="exact"/>
        <w:rPr>
          <w:sz w:val="20"/>
          <w:szCs w:val="20"/>
          <w:color w:val="auto"/>
        </w:rPr>
      </w:pPr>
    </w:p>
    <w:p>
      <w:pPr>
        <w:jc w:val="both"/>
        <w:ind w:right="40" w:firstLine="441"/>
        <w:spacing w:after="0" w:line="266" w:lineRule="auto"/>
        <w:rPr>
          <w:sz w:val="20"/>
          <w:szCs w:val="20"/>
          <w:color w:val="auto"/>
        </w:rPr>
      </w:pPr>
      <w:r>
        <w:rPr>
          <w:rFonts w:ascii="Times New Roman" w:cs="Times New Roman" w:eastAsia="Times New Roman" w:hAnsi="Times New Roman"/>
          <w:sz w:val="18"/>
          <w:szCs w:val="18"/>
          <w:color w:val="auto"/>
        </w:rPr>
        <w:t>On March 18, 2025, the Company filed a Certificate of Designation authorizing the Company to issue up to 1,000,000 shares of authorized undesignated preferred stock as shares of Series B Preferred stock, par value $0.01 per share (the “Series B Preferred Stock”).</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March 19, 2025, the Company entered into a securities purchase agreement (the “Novel Securities Agreement”)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Note Purchase Agreement (the “Novel Note Purchase Agreement) with Novel Inspirational International Co.,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(“Novel). Pursuant to the Novel Securities Agreement and the Novel Note Purchase Agreement, the Company issued 600,000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its Series B Preferred Stock at $10.00 per share, initially convertible into 3,000,000 shares of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par value $0.01 per share and an initial convertible promissory note in an aggregate principal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$4,000,000 (the “Initial Novel Note” and together with the Novel Growth Notes (as defined below), the “Novel Notes”).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Novel Initial Note is convertible into 400,000 shares of the Company’s Series B Preferred Stock.</w:t>
      </w:r>
    </w:p>
    <w:p>
      <w:pPr>
        <w:spacing w:after="0" w:line="99"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color w:val="auto"/>
        </w:rPr>
        <w:t>Concurrently with the purchase of the shares of Series B Preferred Stock and the Initial Novel Note, the Company also entered into an Investor Rights Agreement (the “Rights Agreement”) with Novel, pursuant to which the Company has agreed to, among other matters, grant Novel certain rights, including: (i) registration rights and indemnification obligations related thereto; (ii) subject to certain restrictions (including satisfying certain beneficial ownership thresholds), the right to appoint and maintain two individuals to the Company’s board of directors, which was effective as of March 19, 2024; and (iii) the right to approve certain corporate actions of the Company.</w:t>
      </w:r>
    </w:p>
    <w:p>
      <w:pPr>
        <w:spacing w:after="0" w:line="79" w:lineRule="exact"/>
        <w:rPr>
          <w:sz w:val="20"/>
          <w:szCs w:val="20"/>
          <w:color w:val="auto"/>
        </w:rPr>
      </w:pPr>
    </w:p>
    <w:p>
      <w:pPr>
        <w:jc w:val="both"/>
        <w:ind w:right="80" w:firstLine="441"/>
        <w:spacing w:after="0" w:line="266" w:lineRule="auto"/>
        <w:rPr>
          <w:sz w:val="20"/>
          <w:szCs w:val="20"/>
          <w:color w:val="auto"/>
        </w:rPr>
      </w:pPr>
      <w:r>
        <w:rPr>
          <w:rFonts w:ascii="Times New Roman" w:cs="Times New Roman" w:eastAsia="Times New Roman" w:hAnsi="Times New Roman"/>
          <w:sz w:val="18"/>
          <w:szCs w:val="18"/>
          <w:color w:val="auto"/>
        </w:rPr>
        <w:t>The Initial Novel Note has a 36-month term and will bear interest at 12% per annum. Interest on the Initial Novel Note will be payable quarterly on the first business day of each calendar quarter, beginning on July 1, 2025, in a number of shares of the common stock equal to (i) the accrued and unpaid interest due on the applicable interest payment date divided by (ii)</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100" w:right="1419" w:bottom="1440" w:gutter="0" w:footer="0" w:header="0"/>
        </w:sectPr>
      </w:pPr>
    </w:p>
    <w:bookmarkStart w:id="74" w:name="page75"/>
    <w:bookmarkEnd w:id="74"/>
    <w:p>
      <w:pPr>
        <w:ind w:right="20"/>
        <w:spacing w:after="0" w:line="261" w:lineRule="auto"/>
        <w:rPr>
          <w:sz w:val="20"/>
          <w:szCs w:val="20"/>
          <w:color w:val="auto"/>
        </w:rPr>
      </w:pPr>
      <w:r>
        <w:rPr>
          <w:rFonts w:ascii="Times New Roman" w:cs="Times New Roman" w:eastAsia="Times New Roman" w:hAnsi="Times New Roman"/>
          <w:sz w:val="18"/>
          <w:szCs w:val="18"/>
          <w:color w:val="auto"/>
        </w:rPr>
        <w:t>the greater of (a) the average closing price of the common stock for each trading day after March 19, 2025 in the calendar quarter immediately preceding such interest payment date and (b) a price floor of $0.21. The Initial Novel Note is convertible at Novel’s option into shares of the Series B Preferred Stock at an initial conversion price of $10.00, subject to adjustments set forth in the Initial Novel Note.</w:t>
      </w:r>
    </w:p>
    <w:p>
      <w:pPr>
        <w:spacing w:after="0" w:line="72" w:lineRule="exact"/>
        <w:rPr>
          <w:sz w:val="20"/>
          <w:szCs w:val="20"/>
          <w:color w:val="auto"/>
        </w:rPr>
      </w:pPr>
    </w:p>
    <w:p>
      <w:pPr>
        <w:ind w:right="40" w:firstLine="441"/>
        <w:spacing w:after="0" w:line="268" w:lineRule="auto"/>
        <w:rPr>
          <w:sz w:val="20"/>
          <w:szCs w:val="20"/>
          <w:color w:val="auto"/>
        </w:rPr>
      </w:pPr>
      <w:r>
        <w:rPr>
          <w:rFonts w:ascii="Times New Roman" w:cs="Times New Roman" w:eastAsia="Times New Roman" w:hAnsi="Times New Roman"/>
          <w:sz w:val="17"/>
          <w:szCs w:val="17"/>
          <w:color w:val="212529"/>
        </w:rPr>
        <w:t xml:space="preserve">In addition to the Initial Novel Note, Novel has the right to purchase additional convertible promissory notes (the “Growth Notes”) in an aggregate principal amount of $10,000,000. The Growth Notes are issuable in three installments, with one third of the aggregate principal amount issuable upon each yearly anniversary of the March 19, 2025. </w:t>
      </w:r>
      <w:r>
        <w:rPr>
          <w:rFonts w:ascii="Times New Roman" w:cs="Times New Roman" w:eastAsia="Times New Roman" w:hAnsi="Times New Roman"/>
          <w:sz w:val="17"/>
          <w:szCs w:val="17"/>
          <w:color w:val="000000"/>
        </w:rPr>
        <w:t>Notwithstanding</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any provision in the Transaction Documents (as defined in the Initial Novel Note) to the contrary, in no circumstance shall the Company be required to deliver to Novel any shares of Series B Preferred Stock or common stock pursuant to the terms of the Transaction Documents to the extent that (i) the aggregate of all such shares issued by the Company would exceed</w:t>
      </w:r>
    </w:p>
    <w:p>
      <w:pPr>
        <w:spacing w:after="0" w:line="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19.99% of either (a) the total number of shares of common stock outstanding as of March 19, 2025 or (b) the total voting power of the Company’s securities outstanding as of March 19, 2025 that are entitled to vote on a matter being voted on by holders of the common stock, or (ii) such delivery would cause the holder to become, directly or indirectly, a “beneficial owner” (as defined in Rule 13d-3 under the Securities Exchange Act of 1934, as amended) of more than 19.99% of either (a) the total number of shares of common stock outstanding as of such date or (b) the total voting power of the Company’s securities outstanding as of such date that are entitled to vote on a matter being voted on by holders of the common stock, in each case, unless shareholder approval has been obtained.</w:t>
      </w:r>
    </w:p>
    <w:p>
      <w:pPr>
        <w:spacing w:after="0" w:line="80"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On March 18, 2025, the Company also entered into that certain repayment notice (the “Repayment Notice”) with Lind. Pursuant to the Repayment Notice and upon the subsequent delivery of a cash payment to Lind, the Company thereafter fully discharged its outstanding obligations (other than certain indemnification obligations that survived pursuant to the terms of the Repayment Notice) under that certain Securities Purchase Agreement, dated August 4, 2024, by and between the Company and Lind, and terminated the Senior Convertible Promissory Note, dated August 7, 2024, issued by the Company to Lind thereunder.</w:t>
      </w:r>
    </w:p>
    <w:p>
      <w:pPr>
        <w:spacing w:after="0" w:line="79"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Pursuant to the Rights Agreement, the Company’s board of directors appointed William Moore and Nick Chen as members of the board of directors, effective as of March 19, 2025, each with an initial term expiring at the Company’s 2025 annual meeting of stockholders.</w:t>
      </w:r>
    </w:p>
    <w:p>
      <w:pPr>
        <w:spacing w:after="0" w:line="68" w:lineRule="exact"/>
        <w:rPr>
          <w:sz w:val="20"/>
          <w:szCs w:val="20"/>
          <w:color w:val="auto"/>
        </w:rPr>
      </w:pPr>
    </w:p>
    <w:p>
      <w:pPr>
        <w:ind w:firstLine="441"/>
        <w:spacing w:after="0" w:line="261" w:lineRule="auto"/>
        <w:rPr>
          <w:sz w:val="20"/>
          <w:szCs w:val="20"/>
          <w:color w:val="auto"/>
        </w:rPr>
      </w:pPr>
      <w:r>
        <w:rPr>
          <w:rFonts w:ascii="Times New Roman" w:cs="Times New Roman" w:eastAsia="Times New Roman" w:hAnsi="Times New Roman"/>
          <w:sz w:val="18"/>
          <w:szCs w:val="18"/>
          <w:color w:val="auto"/>
        </w:rPr>
        <w:t>In addition, effective upon closing of the foregoing transaction the Company’s board of directors appointed Romeo Dizon as the Company’s Chief Financial Officer, replacing Fuad Ahmad. Mr. Ahmad’s resignation as the Company’s Interim Chief Financial Officer is not the result of any disagreement with the Company on any matter relating to the Company’s operations, policies or practices.</w:t>
      </w:r>
    </w:p>
    <w:p>
      <w:pPr>
        <w:spacing w:after="0" w:line="7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Refer to our 8-K filed with the U.S. Securities and Exchange Commission on March 20, 2025 for further details.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60"/>
          </w:cols>
          <w:pgMar w:left="1400" w:top="1201" w:right="1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pursuant to Rule 13a-15 under the Exchange Act. 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300"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Based on management’s evaluation, our Principal Executive Officer and Principal Financial Officer concluded that, as of December 28, 2024,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11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the Company’s financial reporting. There are inherent limitations in the effectiveness of any internal control, including the possibility of human error and the circumvention or overriding of controls. Accordingly, even any effective internal control can provide only reasonable assurance with respect to financial statement preparation. Further, because of changes in conditions, the effectiveness of any internal control may vary over time. Our management assessed the effectiveness of the company’s internal control over financial reporting as of December 28, 2024. In making this assessment, we used the criteria set forth by the Committee of Sponsoring Organizations of the Treadway Commission (COSO) in </w:t>
      </w:r>
      <w:r>
        <w:rPr>
          <w:rFonts w:ascii="Times New Roman" w:cs="Times New Roman" w:eastAsia="Times New Roman" w:hAnsi="Times New Roman"/>
          <w:sz w:val="18"/>
          <w:szCs w:val="18"/>
          <w:i w:val="1"/>
          <w:iCs w:val="1"/>
          <w:color w:val="auto"/>
        </w:rPr>
        <w:t>Internal Control-Integrated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Based on our assessment using those criteria, our management concluded that, as of December 28,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internal control over financial reporting is effective.</w:t>
      </w:r>
    </w:p>
    <w:p>
      <w:pPr>
        <w:spacing w:after="0" w:line="80"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regarding internal control over financial reporting. Management’s report is not subject to attestation by our independent registered public accounting firm.</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fourth quarter of fiscal year 2024 that has materially affected, or is reasonably likely to materially affect, our internal control over financial reporting, as defined in Rule 13a-15(f) and 15(d)-15(f) under the Exchange Act.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Inherent Limitations on Effectiveness of Controls.</w:t>
      </w:r>
    </w:p>
    <w:p>
      <w:pPr>
        <w:spacing w:after="0" w:line="11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persons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89" w:right="14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119" w:lineRule="exact"/>
        <w:rPr>
          <w:sz w:val="20"/>
          <w:szCs w:val="20"/>
          <w:color w:val="auto"/>
        </w:rPr>
      </w:pPr>
    </w:p>
    <w:p>
      <w:pPr>
        <w:ind w:right="419" w:firstLine="440"/>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28, 2024, the Company did not adopt or terminate, and no directors or officers, as defined in Rule 16a-1(f), adopted or terminated a “Rule 10b5-1 trading arrangement” or a “non-Rule 10b5-1 trading arrangement,” each as defined in Regulation S-K Item 408.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59"/>
          </w:cols>
          <w:pgMar w:left="1400" w:top="1089" w:right="1440"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ind w:right="259" w:firstLine="440"/>
        <w:spacing w:after="0" w:line="266" w:lineRule="auto"/>
        <w:rPr>
          <w:sz w:val="20"/>
          <w:szCs w:val="20"/>
          <w:color w:val="auto"/>
        </w:rPr>
      </w:pPr>
      <w:r>
        <w:rPr>
          <w:rFonts w:ascii="Times New Roman" w:cs="Times New Roman" w:eastAsia="Times New Roman" w:hAnsi="Times New Roman"/>
          <w:sz w:val="18"/>
          <w:szCs w:val="18"/>
          <w:color w:val="auto"/>
        </w:rPr>
        <w:t>Certain information required by Part III has been omitted from this Form 10-K. This information is instead incorporated herein by reference to our definitive Proxy Statement, which we will file within 120 days after the end of our fiscal year pursuant to Regulation 14A in time for our Annual Meeting of Stockholders to be held in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right="239" w:firstLine="440"/>
        <w:spacing w:after="0" w:line="289" w:lineRule="auto"/>
        <w:rPr>
          <w:sz w:val="20"/>
          <w:szCs w:val="20"/>
          <w:color w:val="auto"/>
        </w:rPr>
      </w:pPr>
      <w:r>
        <w:rPr>
          <w:rFonts w:ascii="Times New Roman" w:cs="Times New Roman" w:eastAsia="Times New Roman" w:hAnsi="Times New Roman"/>
          <w:sz w:val="17"/>
          <w:szCs w:val="17"/>
          <w:color w:val="auto"/>
        </w:rPr>
        <w:t>The information required by this item will be contained in our definitive proxy statement to be filed with the SEC in connection with our 2025 Annual Meeting of Stockholders (the “Proxy Statement”), which is expected to be filed not later than 120 days after the end of our fiscal year ended December 28, 2024 and is incorporated in this report by reference.</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herein by reference.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Proxy Statement and is incorporated herein by reference.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59"/>
          </w:cols>
          <w:pgMar w:left="1400" w:top="1089" w:right="1440" w:bottom="1440" w:gutter="0" w:footer="0" w:header="0"/>
        </w:sectPr>
      </w:pPr>
    </w:p>
    <w:bookmarkStart w:id="78" w:name="page79"/>
    <w:bookmarkEnd w:id="7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4460" w:right="2259" w:hanging="4011"/>
        <w:spacing w:after="0" w:line="532" w:lineRule="auto"/>
        <w:tabs>
          <w:tab w:leader="none" w:pos="89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in Part II of this Annual Report on Form 10-K: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307975</wp:posOffset>
            </wp:positionV>
            <wp:extent cx="703770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59"/>
          </w:cols>
          <w:pgMar w:left="1400" w:top="1089" w:right="1440" w:bottom="1440" w:gutter="0" w:footer="0" w:header="0"/>
        </w:sectPr>
      </w:pPr>
    </w:p>
    <w:bookmarkStart w:id="79" w:name="page80"/>
    <w:bookmarkEnd w:id="79"/>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Page in</w:t>
            </w: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Form 10-K</w:t>
            </w:r>
          </w:p>
        </w:tc>
      </w:tr>
      <w:tr>
        <w:trPr>
          <w:trHeight w:val="194"/>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Report</w:t>
            </w:r>
          </w:p>
        </w:tc>
      </w:tr>
      <w:tr>
        <w:trPr>
          <w:trHeight w:val="198"/>
        </w:trPr>
        <w:tc>
          <w:tcPr>
            <w:tcW w:w="8240" w:type="dxa"/>
            <w:vAlign w:val="bottom"/>
            <w:gridSpan w:val="9"/>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Index to Financial Statements</w:t>
            </w:r>
          </w:p>
        </w:tc>
        <w:tc>
          <w:tcPr>
            <w:tcW w:w="820" w:type="dxa"/>
            <w:vAlign w:val="bottom"/>
          </w:tcPr>
          <w:p>
            <w:pPr>
              <w:spacing w:after="0"/>
              <w:rPr>
                <w:sz w:val="17"/>
                <w:szCs w:val="17"/>
                <w:color w:val="auto"/>
              </w:rPr>
            </w:pPr>
          </w:p>
        </w:tc>
      </w:tr>
      <w:tr>
        <w:trPr>
          <w:trHeight w:val="194"/>
        </w:trPr>
        <w:tc>
          <w:tcPr>
            <w:tcW w:w="824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207)</w:t>
            </w:r>
          </w:p>
        </w:tc>
        <w:tc>
          <w:tcPr>
            <w:tcW w:w="8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48</w:t>
            </w:r>
          </w:p>
        </w:tc>
      </w:tr>
      <w:tr>
        <w:trPr>
          <w:trHeight w:val="20"/>
        </w:trPr>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78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82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December 28, 2024 and December 30, 2023</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78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82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for the years ended December 28, 2024 and December 30, 2023</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51</w:t>
            </w:r>
          </w:p>
        </w:tc>
      </w:tr>
      <w:tr>
        <w:trPr>
          <w:trHeight w:val="20"/>
        </w:trPr>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780" w:type="dxa"/>
            <w:vAlign w:val="bottom"/>
            <w:tcBorders>
              <w:right w:val="single" w:sz="8" w:color="0000FF"/>
            </w:tcBorders>
            <w:shd w:val="clear" w:color="auto" w:fill="0000FF"/>
          </w:tcPr>
          <w:p>
            <w:pPr>
              <w:spacing w:after="0" w:line="20" w:lineRule="exact"/>
              <w:rPr>
                <w:sz w:val="1"/>
                <w:szCs w:val="1"/>
                <w:color w:val="auto"/>
              </w:rPr>
            </w:pPr>
          </w:p>
        </w:tc>
        <w:tc>
          <w:tcPr>
            <w:tcW w:w="432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82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Loss for the years ended December 28, 2024 and December 30,</w:t>
            </w:r>
          </w:p>
        </w:tc>
        <w:tc>
          <w:tcPr>
            <w:tcW w:w="8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78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4"/>
              </w:rPr>
              <w:t>2023</w:t>
            </w:r>
          </w:p>
        </w:tc>
        <w:tc>
          <w:tcPr>
            <w:tcW w:w="2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52</w:t>
            </w:r>
          </w:p>
        </w:tc>
      </w:tr>
      <w:tr>
        <w:trPr>
          <w:trHeight w:val="20"/>
        </w:trPr>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3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82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28, 2024 and December 30,</w:t>
            </w:r>
          </w:p>
        </w:tc>
        <w:tc>
          <w:tcPr>
            <w:tcW w:w="8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780" w:type="dxa"/>
            <w:vAlign w:val="bottom"/>
            <w:tcBorders>
              <w:right w:val="single" w:sz="8" w:color="0000FF"/>
            </w:tcBorders>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7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3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4"/>
              </w:rPr>
              <w:t>2023</w:t>
            </w:r>
          </w:p>
        </w:tc>
        <w:tc>
          <w:tcPr>
            <w:tcW w:w="2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53</w:t>
            </w:r>
          </w:p>
        </w:tc>
      </w:tr>
      <w:tr>
        <w:trPr>
          <w:trHeight w:val="20"/>
        </w:trPr>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36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82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28, 2024 and December 30, 2023</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54</w:t>
            </w:r>
          </w:p>
        </w:tc>
      </w:tr>
      <w:tr>
        <w:trPr>
          <w:trHeight w:val="20"/>
        </w:trPr>
        <w:tc>
          <w:tcPr>
            <w:tcW w:w="20" w:type="dxa"/>
            <w:vAlign w:val="bottom"/>
            <w:shd w:val="clear" w:color="auto" w:fill="0000EE"/>
          </w:tcPr>
          <w:p>
            <w:pPr>
              <w:spacing w:after="0" w:line="20" w:lineRule="exact"/>
              <w:rPr>
                <w:sz w:val="1"/>
                <w:szCs w:val="1"/>
                <w:color w:val="auto"/>
              </w:rPr>
            </w:pPr>
          </w:p>
        </w:tc>
        <w:tc>
          <w:tcPr>
            <w:tcW w:w="3140" w:type="dxa"/>
            <w:vAlign w:val="bottom"/>
            <w:tcBorders>
              <w:right w:val="single" w:sz="8" w:color="0000FF"/>
            </w:tcBorders>
            <w:gridSpan w:val="2"/>
            <w:shd w:val="clear" w:color="auto" w:fill="0000FF"/>
          </w:tcPr>
          <w:p>
            <w:pPr>
              <w:spacing w:after="0" w:line="20" w:lineRule="exact"/>
              <w:rPr>
                <w:sz w:val="1"/>
                <w:szCs w:val="1"/>
                <w:color w:val="auto"/>
              </w:rPr>
            </w:pPr>
          </w:p>
        </w:tc>
        <w:tc>
          <w:tcPr>
            <w:tcW w:w="4360" w:type="dxa"/>
            <w:vAlign w:val="bottom"/>
            <w:gridSpan w:val="4"/>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82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55</w:t>
            </w:r>
          </w:p>
        </w:tc>
      </w:tr>
      <w:tr>
        <w:trPr>
          <w:trHeight w:val="20"/>
        </w:trPr>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780" w:type="dxa"/>
            <w:vAlign w:val="bottom"/>
            <w:tcBorders>
              <w:right w:val="single" w:sz="8" w:color="0000EE"/>
            </w:tcBorders>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2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Statement Schedule</w:t>
      </w:r>
    </w:p>
    <w:p>
      <w:pPr>
        <w:spacing w:after="0" w:line="121" w:lineRule="exact"/>
        <w:rPr>
          <w:sz w:val="20"/>
          <w:szCs w:val="20"/>
          <w:color w:val="auto"/>
        </w:rPr>
      </w:pPr>
    </w:p>
    <w:p>
      <w:pPr>
        <w:ind w:left="980" w:right="1600" w:firstLine="440"/>
        <w:spacing w:after="0" w:line="282" w:lineRule="auto"/>
        <w:rPr>
          <w:sz w:val="20"/>
          <w:szCs w:val="20"/>
          <w:color w:val="auto"/>
        </w:rPr>
      </w:pPr>
      <w:r>
        <w:rPr>
          <w:rFonts w:ascii="Times New Roman" w:cs="Times New Roman" w:eastAsia="Times New Roman" w:hAnsi="Times New Roman"/>
          <w:sz w:val="18"/>
          <w:szCs w:val="18"/>
          <w:color w:val="auto"/>
        </w:rPr>
        <w:t>Schedules have been omitted because they are either not required, not applicable, or the required information is included in the consolidated financial statements or notes thereto.</w:t>
      </w:r>
    </w:p>
    <w:p>
      <w:pPr>
        <w:spacing w:after="0" w:line="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Exhibits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20" w:type="dxa"/>
            <w:vAlign w:val="bottom"/>
          </w:tcPr>
          <w:p>
            <w:pPr>
              <w:jc w:val="center"/>
              <w:ind w:left="75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60" w:type="dxa"/>
            <w:vAlign w:val="bottom"/>
            <w:gridSpan w:val="26"/>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20" w:type="dxa"/>
            <w:vAlign w:val="bottom"/>
          </w:tcPr>
          <w:p>
            <w:pPr>
              <w:jc w:val="center"/>
              <w:ind w:left="793"/>
              <w:spacing w:after="0" w:line="142" w:lineRule="exact"/>
              <w:rPr>
                <w:sz w:val="20"/>
                <w:szCs w:val="20"/>
                <w:color w:val="auto"/>
              </w:rPr>
            </w:pPr>
            <w:r>
              <w:rPr>
                <w:rFonts w:ascii="Times New Roman" w:cs="Times New Roman" w:eastAsia="Times New Roman" w:hAnsi="Times New Roman"/>
                <w:sz w:val="14"/>
                <w:szCs w:val="14"/>
                <w:b w:val="1"/>
                <w:bCs w:val="1"/>
                <w:color w:val="auto"/>
              </w:rPr>
              <w:t>No.</w:t>
            </w:r>
          </w:p>
        </w:tc>
        <w:tc>
          <w:tcPr>
            <w:tcW w:w="3660" w:type="dxa"/>
            <w:vAlign w:val="bottom"/>
            <w:tcBorders>
              <w:bottom w:val="single" w:sz="8" w:color="auto"/>
            </w:tcBorders>
            <w:gridSpan w:val="26"/>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0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File No.</w:t>
            </w:r>
          </w:p>
        </w:tc>
        <w:tc>
          <w:tcPr>
            <w:tcW w:w="62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1040" w:type="dxa"/>
            <w:vAlign w:val="bottom"/>
            <w:tcBorders>
              <w:bottom w:val="single" w:sz="8" w:color="auto"/>
            </w:tcBorders>
            <w:vMerge w:val="continue"/>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182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3.1</w:t>
            </w:r>
          </w:p>
        </w:tc>
        <w:tc>
          <w:tcPr>
            <w:tcW w:w="27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Amended and Restated Certificate of</w:t>
              </w:r>
            </w:hyperlink>
          </w:p>
        </w:tc>
        <w:tc>
          <w:tcPr>
            <w:tcW w:w="1100" w:type="dxa"/>
            <w:vAlign w:val="bottom"/>
            <w:gridSpan w:val="15"/>
          </w:tcPr>
          <w:p>
            <w:pPr>
              <w:spacing w:after="0"/>
              <w:rPr>
                <w:sz w:val="24"/>
                <w:szCs w:val="24"/>
                <w:color w:val="auto"/>
              </w:rPr>
            </w:pPr>
          </w:p>
        </w:tc>
        <w:tc>
          <w:tcPr>
            <w:tcW w:w="5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10-K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29, 2024</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820" w:type="dxa"/>
            <w:vAlign w:val="bottom"/>
            <w:gridSpan w:val="27"/>
          </w:tcPr>
          <w:p>
            <w:pPr>
              <w:spacing w:after="0" w:line="19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 xml:space="preserve">Incorporation of Registrant filed on </w:t>
              </w:r>
            </w:hyperlink>
            <w:r>
              <w:rPr>
                <w:rFonts w:ascii="Times New Roman" w:cs="Times New Roman" w:eastAsia="Times New Roman" w:hAnsi="Times New Roman"/>
                <w:sz w:val="18"/>
                <w:szCs w:val="18"/>
                <w:color w:val="0000FF"/>
              </w:rPr>
              <w:t>February 22,</w:t>
            </w: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460" w:type="dxa"/>
            <w:vAlign w:val="bottom"/>
            <w:tcBorders>
              <w:top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FF"/>
              </w:rPr>
              <w:t>1996.</w:t>
            </w:r>
          </w:p>
        </w:tc>
        <w:tc>
          <w:tcPr>
            <w:tcW w:w="760" w:type="dxa"/>
            <w:vAlign w:val="bottom"/>
            <w:tcBorders>
              <w:top w:val="single" w:sz="8" w:color="0000EE"/>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82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3.2</w:t>
            </w:r>
          </w:p>
        </w:tc>
        <w:tc>
          <w:tcPr>
            <w:tcW w:w="3820" w:type="dxa"/>
            <w:vAlign w:val="bottom"/>
            <w:gridSpan w:val="27"/>
          </w:tcPr>
          <w:p>
            <w:pPr>
              <w:spacing w:after="0"/>
              <w:rPr>
                <w:rFonts w:ascii="Times New Roman" w:cs="Times New Roman" w:eastAsia="Times New Roman" w:hAnsi="Times New Roman"/>
                <w:sz w:val="18"/>
                <w:szCs w:val="18"/>
                <w:color w:val="0000FF"/>
              </w:rPr>
            </w:pPr>
            <w:hyperlink r:id="rId259">
              <w:r>
                <w:rPr>
                  <w:rFonts w:ascii="Times New Roman" w:cs="Times New Roman" w:eastAsia="Times New Roman" w:hAnsi="Times New Roman"/>
                  <w:sz w:val="18"/>
                  <w:szCs w:val="18"/>
                  <w:color w:val="0000FF"/>
                </w:rPr>
                <w:t>Amended and Restated Bylaws of Registrant.</w:t>
              </w:r>
            </w:hyperlink>
          </w:p>
        </w:tc>
        <w:tc>
          <w:tcPr>
            <w:tcW w:w="52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2019</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82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3.3</w:t>
            </w:r>
          </w:p>
        </w:tc>
        <w:tc>
          <w:tcPr>
            <w:tcW w:w="36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Certificate of Designation, Preferences and Rights</w:t>
              </w:r>
            </w:hyperlink>
          </w:p>
        </w:tc>
        <w:tc>
          <w:tcPr>
            <w:tcW w:w="180" w:type="dxa"/>
            <w:vAlign w:val="bottom"/>
            <w:gridSpan w:val="2"/>
          </w:tcPr>
          <w:p>
            <w:pPr>
              <w:spacing w:after="0"/>
              <w:rPr>
                <w:sz w:val="24"/>
                <w:szCs w:val="24"/>
                <w:color w:val="auto"/>
              </w:rPr>
            </w:pPr>
          </w:p>
        </w:tc>
        <w:tc>
          <w:tcPr>
            <w:tcW w:w="52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2025</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4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of Series B Preferred Stock of Registrant, filed</w:t>
              </w:r>
            </w:hyperlink>
          </w:p>
        </w:tc>
        <w:tc>
          <w:tcPr>
            <w:tcW w:w="400" w:type="dxa"/>
            <w:vAlign w:val="bottom"/>
            <w:gridSpan w:val="7"/>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0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260">
              <w:r>
                <w:rPr>
                  <w:rFonts w:ascii="Times New Roman" w:cs="Times New Roman" w:eastAsia="Times New Roman" w:hAnsi="Times New Roman"/>
                  <w:sz w:val="18"/>
                  <w:szCs w:val="18"/>
                  <w:color w:val="0000FF"/>
                </w:rPr>
                <w:t>with the Secretary of State of the State of</w:t>
              </w:r>
            </w:hyperlink>
          </w:p>
        </w:tc>
        <w:tc>
          <w:tcPr>
            <w:tcW w:w="800" w:type="dxa"/>
            <w:vAlign w:val="bottom"/>
            <w:gridSpan w:val="14"/>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98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60">
              <w:r>
                <w:rPr>
                  <w:rFonts w:ascii="Times New Roman" w:cs="Times New Roman" w:eastAsia="Times New Roman" w:hAnsi="Times New Roman"/>
                  <w:sz w:val="18"/>
                  <w:szCs w:val="18"/>
                  <w:color w:val="0000FF"/>
                  <w:w w:val="99"/>
                </w:rPr>
                <w:t>Delaware, March 18, 2025.</w:t>
              </w:r>
            </w:hyperlink>
          </w:p>
        </w:tc>
        <w:tc>
          <w:tcPr>
            <w:tcW w:w="20" w:type="dxa"/>
            <w:vAlign w:val="bottom"/>
            <w:tcBorders>
              <w:bottom w:val="single" w:sz="8" w:color="0000EE"/>
            </w:tcBorders>
          </w:tcPr>
          <w:p>
            <w:pPr>
              <w:spacing w:after="0"/>
              <w:rPr>
                <w:sz w:val="17"/>
                <w:szCs w:val="17"/>
                <w:color w:val="auto"/>
              </w:rPr>
            </w:pPr>
          </w:p>
        </w:tc>
        <w:tc>
          <w:tcPr>
            <w:tcW w:w="1820" w:type="dxa"/>
            <w:vAlign w:val="bottom"/>
            <w:gridSpan w:val="20"/>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82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4.1</w:t>
            </w:r>
          </w:p>
        </w:tc>
        <w:tc>
          <w:tcPr>
            <w:tcW w:w="3820" w:type="dxa"/>
            <w:vAlign w:val="bottom"/>
            <w:gridSpan w:val="27"/>
          </w:tcPr>
          <w:p>
            <w:pPr>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Description of Capital Stock.</w:t>
              </w:r>
            </w:hyperlink>
          </w:p>
        </w:tc>
        <w:tc>
          <w:tcPr>
            <w:tcW w:w="5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10-K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13, 2020</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82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4.2</w:t>
            </w:r>
          </w:p>
        </w:tc>
        <w:tc>
          <w:tcPr>
            <w:tcW w:w="33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Form of Senior Convertible Promissory Note</w:t>
              </w:r>
            </w:hyperlink>
          </w:p>
        </w:tc>
        <w:tc>
          <w:tcPr>
            <w:tcW w:w="520" w:type="dxa"/>
            <w:vAlign w:val="bottom"/>
            <w:gridSpan w:val="9"/>
          </w:tcPr>
          <w:p>
            <w:pPr>
              <w:spacing w:after="0"/>
              <w:rPr>
                <w:sz w:val="24"/>
                <w:szCs w:val="24"/>
                <w:color w:val="auto"/>
              </w:rPr>
            </w:pPr>
          </w:p>
        </w:tc>
        <w:tc>
          <w:tcPr>
            <w:tcW w:w="52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5, 2024</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23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62">
              <w:r>
                <w:rPr>
                  <w:rFonts w:ascii="Times New Roman" w:cs="Times New Roman" w:eastAsia="Times New Roman" w:hAnsi="Times New Roman"/>
                  <w:sz w:val="18"/>
                  <w:szCs w:val="18"/>
                  <w:color w:val="0000FF"/>
                  <w:w w:val="99"/>
                </w:rPr>
                <w:t>(included within Exhibit 10.18).</w:t>
              </w:r>
            </w:hyperlink>
          </w:p>
        </w:tc>
        <w:tc>
          <w:tcPr>
            <w:tcW w:w="40" w:type="dxa"/>
            <w:vAlign w:val="bottom"/>
            <w:tcBorders>
              <w:bottom w:val="single" w:sz="8" w:color="0000EE"/>
            </w:tcBorders>
          </w:tcPr>
          <w:p>
            <w:pPr>
              <w:spacing w:after="0"/>
              <w:rPr>
                <w:sz w:val="17"/>
                <w:szCs w:val="17"/>
                <w:color w:val="auto"/>
              </w:rPr>
            </w:pPr>
          </w:p>
        </w:tc>
        <w:tc>
          <w:tcPr>
            <w:tcW w:w="1460" w:type="dxa"/>
            <w:vAlign w:val="bottom"/>
            <w:gridSpan w:val="17"/>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82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4.3</w:t>
            </w:r>
          </w:p>
        </w:tc>
        <w:tc>
          <w:tcPr>
            <w:tcW w:w="31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Senior Convertible Promissory Note, dated</w:t>
              </w:r>
            </w:hyperlink>
          </w:p>
        </w:tc>
        <w:tc>
          <w:tcPr>
            <w:tcW w:w="660" w:type="dxa"/>
            <w:vAlign w:val="bottom"/>
            <w:gridSpan w:val="10"/>
          </w:tcPr>
          <w:p>
            <w:pPr>
              <w:spacing w:after="0"/>
              <w:rPr>
                <w:sz w:val="24"/>
                <w:szCs w:val="24"/>
                <w:color w:val="auto"/>
              </w:rPr>
            </w:pPr>
          </w:p>
        </w:tc>
        <w:tc>
          <w:tcPr>
            <w:tcW w:w="5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10-Q</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12,</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4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August 7, 2024, by and between the Registrant</w:t>
              </w:r>
            </w:hyperlink>
          </w:p>
        </w:tc>
        <w:tc>
          <w:tcPr>
            <w:tcW w:w="400" w:type="dxa"/>
            <w:vAlign w:val="bottom"/>
            <w:gridSpan w:val="7"/>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2024</w:t>
            </w: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3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263">
              <w:r>
                <w:rPr>
                  <w:rFonts w:ascii="Times New Roman" w:cs="Times New Roman" w:eastAsia="Times New Roman" w:hAnsi="Times New Roman"/>
                  <w:sz w:val="18"/>
                  <w:szCs w:val="18"/>
                  <w:color w:val="0000FF"/>
                  <w:w w:val="99"/>
                </w:rPr>
                <w:t>and Lind Global Asset Management IX LLC.</w:t>
              </w:r>
            </w:hyperlink>
          </w:p>
        </w:tc>
        <w:tc>
          <w:tcPr>
            <w:tcW w:w="520" w:type="dxa"/>
            <w:vAlign w:val="bottom"/>
            <w:gridSpan w:val="9"/>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82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4.4</w:t>
            </w:r>
          </w:p>
        </w:tc>
        <w:tc>
          <w:tcPr>
            <w:tcW w:w="33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Investor Rights Agreement, dated March 19,</w:t>
              </w:r>
            </w:hyperlink>
          </w:p>
        </w:tc>
        <w:tc>
          <w:tcPr>
            <w:tcW w:w="520" w:type="dxa"/>
            <w:vAlign w:val="bottom"/>
            <w:gridSpan w:val="9"/>
          </w:tcPr>
          <w:p>
            <w:pPr>
              <w:spacing w:after="0"/>
              <w:rPr>
                <w:sz w:val="24"/>
                <w:szCs w:val="24"/>
                <w:color w:val="auto"/>
              </w:rPr>
            </w:pPr>
          </w:p>
        </w:tc>
        <w:tc>
          <w:tcPr>
            <w:tcW w:w="52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2025</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46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2025, by and between the Registrant and Novel</w:t>
              </w:r>
            </w:hyperlink>
          </w:p>
        </w:tc>
        <w:tc>
          <w:tcPr>
            <w:tcW w:w="36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820" w:type="dxa"/>
            <w:vAlign w:val="bottom"/>
            <w:gridSpan w:val="27"/>
          </w:tcPr>
          <w:p>
            <w:pPr>
              <w:spacing w:after="0" w:line="19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Inspiration Co., Ltd.</w:t>
              </w:r>
            </w:hyperlink>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82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10.1</w:t>
            </w:r>
          </w:p>
        </w:tc>
        <w:tc>
          <w:tcPr>
            <w:tcW w:w="30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Form of Indemnification Agreement with</w:t>
              </w:r>
            </w:hyperlink>
          </w:p>
        </w:tc>
        <w:tc>
          <w:tcPr>
            <w:tcW w:w="780" w:type="dxa"/>
            <w:vAlign w:val="bottom"/>
            <w:gridSpan w:val="13"/>
          </w:tcPr>
          <w:p>
            <w:pPr>
              <w:spacing w:after="0"/>
              <w:rPr>
                <w:sz w:val="24"/>
                <w:szCs w:val="24"/>
                <w:color w:val="auto"/>
              </w:rPr>
            </w:pPr>
          </w:p>
        </w:tc>
        <w:tc>
          <w:tcPr>
            <w:tcW w:w="5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10-K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15, 2022</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58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265">
              <w:r>
                <w:rPr>
                  <w:rFonts w:ascii="Times New Roman" w:cs="Times New Roman" w:eastAsia="Times New Roman" w:hAnsi="Times New Roman"/>
                  <w:sz w:val="18"/>
                  <w:szCs w:val="18"/>
                  <w:color w:val="0000FF"/>
                  <w:w w:val="99"/>
                </w:rPr>
                <w:t>directors and officers.</w:t>
              </w:r>
            </w:hyperlink>
          </w:p>
        </w:tc>
        <w:tc>
          <w:tcPr>
            <w:tcW w:w="20" w:type="dxa"/>
            <w:vAlign w:val="bottom"/>
            <w:tcBorders>
              <w:bottom w:val="single" w:sz="8" w:color="0000EE"/>
            </w:tcBorders>
          </w:tcPr>
          <w:p>
            <w:pPr>
              <w:spacing w:after="0"/>
              <w:rPr>
                <w:sz w:val="17"/>
                <w:szCs w:val="17"/>
                <w:color w:val="auto"/>
              </w:rPr>
            </w:pPr>
          </w:p>
        </w:tc>
        <w:tc>
          <w:tcPr>
            <w:tcW w:w="2220" w:type="dxa"/>
            <w:vAlign w:val="bottom"/>
            <w:gridSpan w:val="22"/>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82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10.2</w:t>
            </w:r>
          </w:p>
        </w:tc>
        <w:tc>
          <w:tcPr>
            <w:tcW w:w="36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Lease Agreement dated December 6, 1996 by and</w:t>
              </w:r>
            </w:hyperlink>
          </w:p>
        </w:tc>
        <w:tc>
          <w:tcPr>
            <w:tcW w:w="180" w:type="dxa"/>
            <w:vAlign w:val="bottom"/>
            <w:gridSpan w:val="2"/>
          </w:tcPr>
          <w:p>
            <w:pPr>
              <w:spacing w:after="0"/>
              <w:rPr>
                <w:sz w:val="24"/>
                <w:szCs w:val="24"/>
                <w:color w:val="auto"/>
              </w:rPr>
            </w:pPr>
          </w:p>
        </w:tc>
        <w:tc>
          <w:tcPr>
            <w:tcW w:w="5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10-K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2009</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14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between Zappettini Investment Co. and the</w:t>
              </w:r>
            </w:hyperlink>
          </w:p>
        </w:tc>
        <w:tc>
          <w:tcPr>
            <w:tcW w:w="680" w:type="dxa"/>
            <w:vAlign w:val="bottom"/>
            <w:gridSpan w:val="11"/>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50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Registrant, as amended pursuant to Amendment</w:t>
              </w:r>
            </w:hyperlink>
          </w:p>
        </w:tc>
        <w:tc>
          <w:tcPr>
            <w:tcW w:w="32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6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No. 1 dated September 15, 2003 and Amendment</w:t>
              </w:r>
            </w:hyperlink>
          </w:p>
        </w:tc>
        <w:tc>
          <w:tcPr>
            <w:tcW w:w="20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820" w:type="dxa"/>
            <w:vAlign w:val="bottom"/>
            <w:gridSpan w:val="27"/>
          </w:tcPr>
          <w:p>
            <w:pPr>
              <w:spacing w:after="0" w:line="196" w:lineRule="exact"/>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No. 2 dated December 22, 2008.</w:t>
              </w:r>
            </w:hyperlink>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360" w:type="dxa"/>
            <w:vAlign w:val="bottom"/>
            <w:tcBorders>
              <w:right w:val="single" w:sz="8" w:color="0000EE"/>
            </w:tcBorders>
            <w:gridSpan w:val="10"/>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820" w:type="dxa"/>
            <w:vAlign w:val="bottom"/>
          </w:tcPr>
          <w:p>
            <w:pPr>
              <w:jc w:val="center"/>
              <w:ind w:left="733"/>
              <w:spacing w:after="0"/>
              <w:rPr>
                <w:sz w:val="20"/>
                <w:szCs w:val="20"/>
                <w:color w:val="auto"/>
              </w:rPr>
            </w:pPr>
            <w:r>
              <w:rPr>
                <w:rFonts w:ascii="Times New Roman" w:cs="Times New Roman" w:eastAsia="Times New Roman" w:hAnsi="Times New Roman"/>
                <w:sz w:val="18"/>
                <w:szCs w:val="18"/>
                <w:color w:val="auto"/>
                <w:w w:val="97"/>
              </w:rPr>
              <w:t>10.2.1</w:t>
            </w:r>
          </w:p>
        </w:tc>
        <w:tc>
          <w:tcPr>
            <w:tcW w:w="33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Third Amendment to Lease Agreement dated</w:t>
              </w:r>
            </w:hyperlink>
          </w:p>
        </w:tc>
        <w:tc>
          <w:tcPr>
            <w:tcW w:w="500" w:type="dxa"/>
            <w:vAlign w:val="bottom"/>
            <w:gridSpan w:val="8"/>
          </w:tcPr>
          <w:p>
            <w:pPr>
              <w:spacing w:after="0"/>
              <w:rPr>
                <w:sz w:val="24"/>
                <w:szCs w:val="24"/>
                <w:color w:val="auto"/>
              </w:rPr>
            </w:pPr>
          </w:p>
        </w:tc>
        <w:tc>
          <w:tcPr>
            <w:tcW w:w="5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rPr>
              <w:t>10-Q</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3,</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12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August 4, 2014 by and between Zappettini</w:t>
              </w:r>
            </w:hyperlink>
          </w:p>
        </w:tc>
        <w:tc>
          <w:tcPr>
            <w:tcW w:w="700" w:type="dxa"/>
            <w:vAlign w:val="bottom"/>
            <w:gridSpan w:val="12"/>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2014</w:t>
            </w: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820" w:type="dxa"/>
            <w:vAlign w:val="bottom"/>
            <w:gridSpan w:val="27"/>
          </w:tcPr>
          <w:p>
            <w:pPr>
              <w:spacing w:after="0" w:line="196" w:lineRule="exact"/>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Investment Co. and the Registrant.</w:t>
              </w:r>
            </w:hyperlink>
          </w:p>
        </w:tc>
        <w:tc>
          <w:tcPr>
            <w:tcW w:w="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820" w:type="dxa"/>
            <w:vAlign w:val="bottom"/>
          </w:tcPr>
          <w:p>
            <w:pPr>
              <w:spacing w:after="0"/>
              <w:rPr>
                <w:sz w:val="24"/>
                <w:szCs w:val="24"/>
                <w:color w:val="auto"/>
              </w:rPr>
            </w:pPr>
          </w:p>
        </w:tc>
        <w:tc>
          <w:tcPr>
            <w:tcW w:w="2500" w:type="dxa"/>
            <w:vAlign w:val="bottom"/>
            <w:tcBorders>
              <w:top w:val="single" w:sz="8" w:color="0000FF"/>
            </w:tcBorders>
            <w:gridSpan w:val="11"/>
          </w:tcPr>
          <w:p>
            <w:pPr>
              <w:spacing w:after="0"/>
              <w:rPr>
                <w:sz w:val="24"/>
                <w:szCs w:val="24"/>
                <w:color w:val="auto"/>
              </w:rPr>
            </w:pPr>
          </w:p>
        </w:tc>
        <w:tc>
          <w:tcPr>
            <w:tcW w:w="1320" w:type="dxa"/>
            <w:vAlign w:val="bottom"/>
            <w:gridSpan w:val="16"/>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8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290" w:right="4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81"/>
        </w:trPr>
        <w:tc>
          <w:tcPr>
            <w:tcW w:w="182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20" w:type="dxa"/>
            <w:vAlign w:val="bottom"/>
            <w:gridSpan w:val="29"/>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4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20" w:type="dxa"/>
            <w:vAlign w:val="bottom"/>
          </w:tcPr>
          <w:p>
            <w:pPr>
              <w:ind w:left="1240"/>
              <w:spacing w:after="0" w:line="142" w:lineRule="exact"/>
              <w:rPr>
                <w:sz w:val="20"/>
                <w:szCs w:val="20"/>
                <w:color w:val="auto"/>
              </w:rPr>
            </w:pPr>
            <w:r>
              <w:rPr>
                <w:rFonts w:ascii="Times New Roman" w:cs="Times New Roman" w:eastAsia="Times New Roman" w:hAnsi="Times New Roman"/>
                <w:sz w:val="14"/>
                <w:szCs w:val="14"/>
                <w:b w:val="1"/>
                <w:bCs w:val="1"/>
                <w:color w:val="auto"/>
              </w:rPr>
              <w:t>No.</w:t>
            </w:r>
          </w:p>
        </w:tc>
        <w:tc>
          <w:tcPr>
            <w:tcW w:w="3620" w:type="dxa"/>
            <w:vAlign w:val="bottom"/>
            <w:tcBorders>
              <w:bottom w:val="single" w:sz="8" w:color="auto"/>
            </w:tcBorders>
            <w:gridSpan w:val="29"/>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960" w:type="dxa"/>
            <w:vAlign w:val="bottom"/>
            <w:tcBorders>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File No.</w:t>
            </w:r>
          </w:p>
        </w:tc>
        <w:tc>
          <w:tcPr>
            <w:tcW w:w="62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1040" w:type="dxa"/>
            <w:vAlign w:val="bottom"/>
            <w:tcBorders>
              <w:bottom w:val="single" w:sz="8" w:color="auto"/>
            </w:tcBorders>
            <w:vMerge w:val="continue"/>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820" w:type="dxa"/>
            <w:vAlign w:val="bottom"/>
          </w:tcPr>
          <w:p>
            <w:pPr>
              <w:ind w:left="1100"/>
              <w:spacing w:after="0" w:line="169" w:lineRule="exact"/>
              <w:rPr>
                <w:sz w:val="20"/>
                <w:szCs w:val="20"/>
                <w:color w:val="auto"/>
              </w:rPr>
            </w:pPr>
            <w:r>
              <w:rPr>
                <w:rFonts w:ascii="Times New Roman" w:cs="Times New Roman" w:eastAsia="Times New Roman" w:hAnsi="Times New Roman"/>
                <w:sz w:val="18"/>
                <w:szCs w:val="18"/>
                <w:color w:val="auto"/>
              </w:rPr>
              <w:t>10.2.2</w:t>
            </w:r>
          </w:p>
        </w:tc>
        <w:tc>
          <w:tcPr>
            <w:tcW w:w="3400" w:type="dxa"/>
            <w:vAlign w:val="bottom"/>
            <w:tcBorders>
              <w:bottom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Fourth Amendment to Lease Agreement dated</w:t>
              </w:r>
            </w:hyperlink>
          </w:p>
        </w:tc>
        <w:tc>
          <w:tcPr>
            <w:tcW w:w="22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10-K</w:t>
            </w:r>
          </w:p>
        </w:tc>
        <w:tc>
          <w:tcPr>
            <w:tcW w:w="9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2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March 31, 2016</w:t>
            </w: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62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January 31, 2016 by and between ZIC 1212 Terra</w:t>
              </w:r>
            </w:hyperlink>
          </w:p>
        </w:tc>
        <w:tc>
          <w:tcPr>
            <w:tcW w:w="20" w:type="dxa"/>
            <w:vAlign w:val="bottom"/>
            <w:tcBorders>
              <w:bottom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620" w:type="dxa"/>
            <w:vAlign w:val="bottom"/>
            <w:gridSpan w:val="29"/>
          </w:tcPr>
          <w:p>
            <w:pPr>
              <w:spacing w:after="0" w:line="196" w:lineRule="exact"/>
              <w:rPr>
                <w:rFonts w:ascii="Times New Roman" w:cs="Times New Roman" w:eastAsia="Times New Roman" w:hAnsi="Times New Roman"/>
                <w:sz w:val="18"/>
                <w:szCs w:val="18"/>
                <w:color w:val="0000FF"/>
              </w:rPr>
            </w:pPr>
            <w:hyperlink r:id="rId270">
              <w:r>
                <w:rPr>
                  <w:rFonts w:ascii="Times New Roman" w:cs="Times New Roman" w:eastAsia="Times New Roman" w:hAnsi="Times New Roman"/>
                  <w:sz w:val="18"/>
                  <w:szCs w:val="18"/>
                  <w:color w:val="0000FF"/>
                </w:rPr>
                <w:t>Bella LLC and the Registrant.</w:t>
              </w:r>
            </w:hyperlink>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8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10.2.3</w:t>
            </w:r>
          </w:p>
        </w:tc>
        <w:tc>
          <w:tcPr>
            <w:tcW w:w="33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Triple Net Lease dated April 26, 2017 by and</w:t>
              </w:r>
            </w:hyperlink>
          </w:p>
        </w:tc>
        <w:tc>
          <w:tcPr>
            <w:tcW w:w="30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1, 2017</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2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between ZIC 1212 Terra Bella LLC and the</w:t>
              </w:r>
            </w:hyperlink>
          </w:p>
        </w:tc>
        <w:tc>
          <w:tcPr>
            <w:tcW w:w="42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620" w:type="dxa"/>
            <w:vAlign w:val="bottom"/>
            <w:gridSpan w:val="29"/>
          </w:tcPr>
          <w:p>
            <w:pPr>
              <w:spacing w:after="0" w:line="196" w:lineRule="exact"/>
              <w:rPr>
                <w:rFonts w:ascii="Times New Roman" w:cs="Times New Roman" w:eastAsia="Times New Roman" w:hAnsi="Times New Roman"/>
                <w:sz w:val="18"/>
                <w:szCs w:val="18"/>
                <w:color w:val="0000FF"/>
              </w:rPr>
            </w:pPr>
            <w:hyperlink r:id="rId271">
              <w:r>
                <w:rPr>
                  <w:rFonts w:ascii="Times New Roman" w:cs="Times New Roman" w:eastAsia="Times New Roman" w:hAnsi="Times New Roman"/>
                  <w:sz w:val="18"/>
                  <w:szCs w:val="18"/>
                  <w:color w:val="0000FF"/>
                </w:rPr>
                <w:t>Registrant.</w:t>
              </w:r>
            </w:hyperlink>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8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10.2.4</w:t>
            </w:r>
          </w:p>
        </w:tc>
        <w:tc>
          <w:tcPr>
            <w:tcW w:w="32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First Amendment to Triple Net Lease by and</w:t>
              </w:r>
            </w:hyperlink>
          </w:p>
        </w:tc>
        <w:tc>
          <w:tcPr>
            <w:tcW w:w="34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12,</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2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between ZIC 1212 Terra Bella LLC and the</w:t>
              </w:r>
            </w:hyperlink>
          </w:p>
        </w:tc>
        <w:tc>
          <w:tcPr>
            <w:tcW w:w="42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2021</w:t>
            </w: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620" w:type="dxa"/>
            <w:vAlign w:val="bottom"/>
            <w:gridSpan w:val="29"/>
          </w:tcPr>
          <w:p>
            <w:pPr>
              <w:spacing w:after="0" w:line="196" w:lineRule="exact"/>
              <w:rPr>
                <w:rFonts w:ascii="Times New Roman" w:cs="Times New Roman" w:eastAsia="Times New Roman" w:hAnsi="Times New Roman"/>
                <w:sz w:val="18"/>
                <w:szCs w:val="18"/>
                <w:color w:val="0000FF"/>
              </w:rPr>
            </w:pPr>
            <w:hyperlink r:id="rId272">
              <w:r>
                <w:rPr>
                  <w:rFonts w:ascii="Times New Roman" w:cs="Times New Roman" w:eastAsia="Times New Roman" w:hAnsi="Times New Roman"/>
                  <w:sz w:val="18"/>
                  <w:szCs w:val="18"/>
                  <w:color w:val="0000FF"/>
                </w:rPr>
                <w:t>Registrant, executed on April 30, 2021.</w:t>
              </w:r>
            </w:hyperlink>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10.2.5</w:t>
            </w:r>
          </w:p>
        </w:tc>
        <w:tc>
          <w:tcPr>
            <w:tcW w:w="35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Second Amendment to Triple Net Lease by and</w:t>
              </w:r>
            </w:hyperlink>
          </w:p>
        </w:tc>
        <w:tc>
          <w:tcPr>
            <w:tcW w:w="1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20,</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2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between ZIC 1212 Terra Bella LLC and the</w:t>
              </w:r>
            </w:hyperlink>
          </w:p>
        </w:tc>
        <w:tc>
          <w:tcPr>
            <w:tcW w:w="42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2023</w:t>
            </w: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620" w:type="dxa"/>
            <w:vAlign w:val="bottom"/>
            <w:gridSpan w:val="29"/>
          </w:tcPr>
          <w:p>
            <w:pPr>
              <w:spacing w:after="0" w:line="196" w:lineRule="exact"/>
              <w:rPr>
                <w:rFonts w:ascii="Times New Roman" w:cs="Times New Roman" w:eastAsia="Times New Roman" w:hAnsi="Times New Roman"/>
                <w:sz w:val="18"/>
                <w:szCs w:val="18"/>
                <w:color w:val="0000FF"/>
              </w:rPr>
            </w:pPr>
            <w:hyperlink r:id="rId273">
              <w:r>
                <w:rPr>
                  <w:rFonts w:ascii="Times New Roman" w:cs="Times New Roman" w:eastAsia="Times New Roman" w:hAnsi="Times New Roman"/>
                  <w:sz w:val="18"/>
                  <w:szCs w:val="18"/>
                  <w:color w:val="0000FF"/>
                </w:rPr>
                <w:t>Registrant, dated on August 29, 2022.</w:t>
              </w:r>
            </w:hyperlink>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10.2.6</w:t>
            </w:r>
          </w:p>
        </w:tc>
        <w:tc>
          <w:tcPr>
            <w:tcW w:w="336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Third Amendment to Triple Net Lease by and</w:t>
              </w:r>
            </w:hyperlink>
          </w:p>
        </w:tc>
        <w:tc>
          <w:tcPr>
            <w:tcW w:w="26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20,</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20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between ZIC 1212 Terra Bella LLC and the</w:t>
              </w:r>
            </w:hyperlink>
          </w:p>
        </w:tc>
        <w:tc>
          <w:tcPr>
            <w:tcW w:w="42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2023</w:t>
            </w: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620" w:type="dxa"/>
            <w:vAlign w:val="bottom"/>
            <w:gridSpan w:val="29"/>
          </w:tcPr>
          <w:p>
            <w:pPr>
              <w:spacing w:after="0" w:line="196"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Registrant, dated on September 21, 2023.</w:t>
              </w:r>
            </w:hyperlink>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8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10.3*</w:t>
            </w:r>
          </w:p>
        </w:tc>
        <w:tc>
          <w:tcPr>
            <w:tcW w:w="2740" w:type="dxa"/>
            <w:vAlign w:val="bottom"/>
            <w:tcBorders>
              <w:top w:val="single" w:sz="8" w:color="0000FF"/>
              <w:bottom w:val="single" w:sz="8" w:color="0000FF"/>
            </w:tcBorders>
            <w:gridSpan w:val="10"/>
          </w:tcPr>
          <w:p>
            <w:pPr>
              <w:spacing w:after="0"/>
              <w:rPr>
                <w:rFonts w:ascii="Times New Roman" w:cs="Times New Roman" w:eastAsia="Times New Roman" w:hAnsi="Times New Roman"/>
                <w:sz w:val="18"/>
                <w:szCs w:val="18"/>
                <w:color w:val="0000FF"/>
              </w:rPr>
            </w:pPr>
            <w:hyperlink r:id="rId275">
              <w:r>
                <w:rPr>
                  <w:rFonts w:ascii="Times New Roman" w:cs="Times New Roman" w:eastAsia="Times New Roman" w:hAnsi="Times New Roman"/>
                  <w:sz w:val="18"/>
                  <w:szCs w:val="18"/>
                  <w:color w:val="0000FF"/>
                </w:rPr>
                <w:t>2005 Employee Stock Purchase Plan.</w:t>
              </w:r>
            </w:hyperlink>
          </w:p>
        </w:tc>
        <w:tc>
          <w:tcPr>
            <w:tcW w:w="240" w:type="dxa"/>
            <w:vAlign w:val="bottom"/>
            <w:tcBorders>
              <w:top w:val="single" w:sz="8" w:color="0000FF"/>
            </w:tcBorders>
            <w:gridSpan w:val="3"/>
          </w:tcPr>
          <w:p>
            <w:pPr>
              <w:spacing w:after="0"/>
              <w:rPr>
                <w:sz w:val="24"/>
                <w:szCs w:val="24"/>
                <w:color w:val="auto"/>
              </w:rPr>
            </w:pPr>
          </w:p>
        </w:tc>
        <w:tc>
          <w:tcPr>
            <w:tcW w:w="640" w:type="dxa"/>
            <w:vAlign w:val="bottom"/>
            <w:gridSpan w:val="16"/>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DEF 14A</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April 30, 2004</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8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10.4*</w:t>
            </w:r>
          </w:p>
        </w:tc>
        <w:tc>
          <w:tcPr>
            <w:tcW w:w="3620" w:type="dxa"/>
            <w:vAlign w:val="bottom"/>
            <w:gridSpan w:val="29"/>
          </w:tcPr>
          <w:p>
            <w:pPr>
              <w:spacing w:after="0"/>
              <w:rPr>
                <w:rFonts w:ascii="Times New Roman" w:cs="Times New Roman" w:eastAsia="Times New Roman" w:hAnsi="Times New Roman"/>
                <w:sz w:val="18"/>
                <w:szCs w:val="18"/>
                <w:color w:val="0000FF"/>
              </w:rPr>
            </w:pPr>
            <w:hyperlink r:id="rId276">
              <w:r>
                <w:rPr>
                  <w:rFonts w:ascii="Times New Roman" w:cs="Times New Roman" w:eastAsia="Times New Roman" w:hAnsi="Times New Roman"/>
                  <w:sz w:val="18"/>
                  <w:szCs w:val="18"/>
                  <w:color w:val="0000FF"/>
                </w:rPr>
                <w:t>2008 Equity Incentive Plan, as amended.</w:t>
              </w:r>
            </w:hyperlink>
          </w:p>
        </w:tc>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15, 2023</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8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10.5*</w:t>
            </w:r>
          </w:p>
        </w:tc>
        <w:tc>
          <w:tcPr>
            <w:tcW w:w="318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Form of 2008 Equity Incentive Plan Option</w:t>
              </w:r>
            </w:hyperlink>
          </w:p>
        </w:tc>
        <w:tc>
          <w:tcPr>
            <w:tcW w:w="44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S-8</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333-155598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21,</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620" w:type="dxa"/>
            <w:vAlign w:val="bottom"/>
            <w:gridSpan w:val="29"/>
          </w:tcPr>
          <w:p>
            <w:pPr>
              <w:spacing w:after="0" w:line="196" w:lineRule="exact"/>
              <w:rPr>
                <w:rFonts w:ascii="Times New Roman" w:cs="Times New Roman" w:eastAsia="Times New Roman" w:hAnsi="Times New Roman"/>
                <w:sz w:val="18"/>
                <w:szCs w:val="18"/>
                <w:color w:val="0000FF"/>
              </w:rPr>
            </w:pPr>
            <w:hyperlink r:id="rId277">
              <w:r>
                <w:rPr>
                  <w:rFonts w:ascii="Times New Roman" w:cs="Times New Roman" w:eastAsia="Times New Roman" w:hAnsi="Times New Roman"/>
                  <w:sz w:val="18"/>
                  <w:szCs w:val="18"/>
                  <w:color w:val="0000FF"/>
                </w:rPr>
                <w:t>Agreement.</w:t>
              </w:r>
            </w:hyperlink>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2008</w:t>
            </w: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8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10.6*</w:t>
            </w:r>
          </w:p>
        </w:tc>
        <w:tc>
          <w:tcPr>
            <w:tcW w:w="3620" w:type="dxa"/>
            <w:vAlign w:val="bottom"/>
            <w:gridSpan w:val="29"/>
          </w:tcPr>
          <w:p>
            <w:pPr>
              <w:spacing w:after="0"/>
              <w:rPr>
                <w:rFonts w:ascii="Times New Roman" w:cs="Times New Roman" w:eastAsia="Times New Roman" w:hAnsi="Times New Roman"/>
                <w:sz w:val="18"/>
                <w:szCs w:val="18"/>
                <w:color w:val="0000FF"/>
              </w:rPr>
            </w:pPr>
            <w:hyperlink r:id="rId278">
              <w:r>
                <w:rPr>
                  <w:rFonts w:ascii="Times New Roman" w:cs="Times New Roman" w:eastAsia="Times New Roman" w:hAnsi="Times New Roman"/>
                  <w:sz w:val="18"/>
                  <w:szCs w:val="18"/>
                  <w:color w:val="0000FF"/>
                </w:rPr>
                <w:t>Form of Stand-Alone Stock Option Agreement.</w:t>
              </w:r>
            </w:hyperlink>
          </w:p>
        </w:tc>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SC TO-I</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005-48169</w:t>
            </w:r>
          </w:p>
        </w:tc>
        <w:tc>
          <w:tcPr>
            <w:tcW w:w="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99.(d)</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30, 2009</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820" w:type="dxa"/>
            <w:vAlign w:val="bottom"/>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9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w:t>
            </w: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8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10.7</w:t>
            </w:r>
          </w:p>
        </w:tc>
        <w:tc>
          <w:tcPr>
            <w:tcW w:w="362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Securities Purchase Agreement, dated August 31,</w:t>
              </w:r>
            </w:hyperlink>
          </w:p>
        </w:tc>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September 7,</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48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2007, by and among BlueLine Capital Partners,</w:t>
              </w:r>
            </w:hyperlink>
          </w:p>
        </w:tc>
        <w:tc>
          <w:tcPr>
            <w:tcW w:w="14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2007</w:t>
            </w: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5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LP, BlueLine Capital Partners III, LP, BlueLine</w:t>
              </w:r>
            </w:hyperlink>
          </w:p>
        </w:tc>
        <w:tc>
          <w:tcPr>
            <w:tcW w:w="1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620" w:type="dxa"/>
            <w:vAlign w:val="bottom"/>
            <w:gridSpan w:val="29"/>
          </w:tcPr>
          <w:p>
            <w:pPr>
              <w:spacing w:after="0" w:line="196" w:lineRule="exact"/>
              <w:rPr>
                <w:rFonts w:ascii="Times New Roman" w:cs="Times New Roman" w:eastAsia="Times New Roman" w:hAnsi="Times New Roman"/>
                <w:sz w:val="18"/>
                <w:szCs w:val="18"/>
                <w:color w:val="0000FF"/>
              </w:rPr>
            </w:pPr>
            <w:hyperlink r:id="rId279">
              <w:r>
                <w:rPr>
                  <w:rFonts w:ascii="Times New Roman" w:cs="Times New Roman" w:eastAsia="Times New Roman" w:hAnsi="Times New Roman"/>
                  <w:sz w:val="18"/>
                  <w:szCs w:val="18"/>
                  <w:color w:val="0000FF"/>
                </w:rPr>
                <w:t>Capital Partners II, LP and the Registrant.</w:t>
              </w:r>
            </w:hyperlink>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8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10.8*</w:t>
            </w:r>
          </w:p>
        </w:tc>
        <w:tc>
          <w:tcPr>
            <w:tcW w:w="34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80">
              <w:r>
                <w:rPr>
                  <w:rFonts w:ascii="Times New Roman" w:cs="Times New Roman" w:eastAsia="Times New Roman" w:hAnsi="Times New Roman"/>
                  <w:sz w:val="18"/>
                  <w:szCs w:val="18"/>
                  <w:color w:val="0000FF"/>
                </w:rPr>
                <w:t>Form of 2008 Equity Incentive Plan Restricted</w:t>
              </w:r>
            </w:hyperlink>
          </w:p>
        </w:tc>
        <w:tc>
          <w:tcPr>
            <w:tcW w:w="20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4, 2011</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8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80">
              <w:r>
                <w:rPr>
                  <w:rFonts w:ascii="Times New Roman" w:cs="Times New Roman" w:eastAsia="Times New Roman" w:hAnsi="Times New Roman"/>
                  <w:sz w:val="18"/>
                  <w:szCs w:val="18"/>
                  <w:color w:val="0000FF"/>
                  <w:w w:val="99"/>
                </w:rPr>
                <w:t>Stock Award Agreement.</w:t>
              </w:r>
            </w:hyperlink>
          </w:p>
        </w:tc>
        <w:tc>
          <w:tcPr>
            <w:tcW w:w="20" w:type="dxa"/>
            <w:vAlign w:val="bottom"/>
            <w:tcBorders>
              <w:bottom w:val="single" w:sz="8" w:color="0000EE"/>
            </w:tcBorders>
          </w:tcPr>
          <w:p>
            <w:pPr>
              <w:spacing w:after="0"/>
              <w:rPr>
                <w:sz w:val="17"/>
                <w:szCs w:val="17"/>
                <w:color w:val="auto"/>
              </w:rPr>
            </w:pPr>
          </w:p>
        </w:tc>
        <w:tc>
          <w:tcPr>
            <w:tcW w:w="1760" w:type="dxa"/>
            <w:vAlign w:val="bottom"/>
            <w:gridSpan w:val="2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8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10.9*</w:t>
            </w:r>
          </w:p>
        </w:tc>
        <w:tc>
          <w:tcPr>
            <w:tcW w:w="34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Form of 2008 Equity Incentive Plan Restricted</w:t>
              </w:r>
            </w:hyperlink>
          </w:p>
        </w:tc>
        <w:tc>
          <w:tcPr>
            <w:tcW w:w="20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4, 2011</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620" w:type="dxa"/>
            <w:vAlign w:val="bottom"/>
            <w:gridSpan w:val="29"/>
          </w:tcPr>
          <w:p>
            <w:pPr>
              <w:spacing w:after="0" w:line="196" w:lineRule="exact"/>
              <w:rPr>
                <w:rFonts w:ascii="Times New Roman" w:cs="Times New Roman" w:eastAsia="Times New Roman" w:hAnsi="Times New Roman"/>
                <w:sz w:val="18"/>
                <w:szCs w:val="18"/>
                <w:color w:val="0000FF"/>
              </w:rPr>
            </w:pPr>
            <w:hyperlink r:id="rId281">
              <w:r>
                <w:rPr>
                  <w:rFonts w:ascii="Times New Roman" w:cs="Times New Roman" w:eastAsia="Times New Roman" w:hAnsi="Times New Roman"/>
                  <w:sz w:val="18"/>
                  <w:szCs w:val="18"/>
                  <w:color w:val="0000FF"/>
                </w:rPr>
                <w:t>Stock Unit Award Agreement.</w:t>
              </w:r>
            </w:hyperlink>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8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10.10</w:t>
            </w:r>
          </w:p>
        </w:tc>
        <w:tc>
          <w:tcPr>
            <w:tcW w:w="30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82">
              <w:r>
                <w:rPr>
                  <w:rFonts w:ascii="Times New Roman" w:cs="Times New Roman" w:eastAsia="Times New Roman" w:hAnsi="Times New Roman"/>
                  <w:sz w:val="18"/>
                  <w:szCs w:val="18"/>
                  <w:color w:val="0000FF"/>
                </w:rPr>
                <w:t>Loan and Security Agreement, dated as of</w:t>
              </w:r>
            </w:hyperlink>
          </w:p>
        </w:tc>
        <w:tc>
          <w:tcPr>
            <w:tcW w:w="54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3,</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62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w w:val="99"/>
              </w:rPr>
            </w:pPr>
            <w:hyperlink r:id="rId282">
              <w:r>
                <w:rPr>
                  <w:rFonts w:ascii="Times New Roman" w:cs="Times New Roman" w:eastAsia="Times New Roman" w:hAnsi="Times New Roman"/>
                  <w:sz w:val="18"/>
                  <w:szCs w:val="18"/>
                  <w:color w:val="0000FF"/>
                  <w:w w:val="99"/>
                </w:rPr>
                <w:t>November 2, 2016, between IRIDEX Corporation</w:t>
              </w:r>
            </w:hyperlink>
          </w:p>
        </w:tc>
        <w:tc>
          <w:tcPr>
            <w:tcW w:w="20" w:type="dxa"/>
            <w:vAlign w:val="bottom"/>
            <w:tcBorders>
              <w:bottom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2016</w:t>
            </w: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82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82">
              <w:r>
                <w:rPr>
                  <w:rFonts w:ascii="Times New Roman" w:cs="Times New Roman" w:eastAsia="Times New Roman" w:hAnsi="Times New Roman"/>
                  <w:sz w:val="18"/>
                  <w:szCs w:val="18"/>
                  <w:color w:val="0000FF"/>
                  <w:w w:val="99"/>
                </w:rPr>
                <w:t>and Silicon Valley Bank.</w:t>
              </w:r>
            </w:hyperlink>
          </w:p>
        </w:tc>
        <w:tc>
          <w:tcPr>
            <w:tcW w:w="20" w:type="dxa"/>
            <w:vAlign w:val="bottom"/>
            <w:tcBorders>
              <w:bottom w:val="single" w:sz="8" w:color="0000EE"/>
            </w:tcBorders>
          </w:tcPr>
          <w:p>
            <w:pPr>
              <w:spacing w:after="0"/>
              <w:rPr>
                <w:sz w:val="17"/>
                <w:szCs w:val="17"/>
                <w:color w:val="auto"/>
              </w:rPr>
            </w:pPr>
          </w:p>
        </w:tc>
        <w:tc>
          <w:tcPr>
            <w:tcW w:w="1780" w:type="dxa"/>
            <w:vAlign w:val="bottom"/>
            <w:gridSpan w:val="23"/>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8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10.11.1</w:t>
            </w:r>
          </w:p>
        </w:tc>
        <w:tc>
          <w:tcPr>
            <w:tcW w:w="28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First Amendment to Loan and Security</w:t>
              </w:r>
            </w:hyperlink>
          </w:p>
        </w:tc>
        <w:tc>
          <w:tcPr>
            <w:tcW w:w="760" w:type="dxa"/>
            <w:vAlign w:val="bottom"/>
            <w:gridSpan w:val="18"/>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10.19.1 March 13, 2020</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3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Agreement between IRIDEX Corporation and</w:t>
              </w:r>
            </w:hyperlink>
          </w:p>
        </w:tc>
        <w:tc>
          <w:tcPr>
            <w:tcW w:w="26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620" w:type="dxa"/>
            <w:vAlign w:val="bottom"/>
            <w:gridSpan w:val="29"/>
          </w:tcPr>
          <w:p>
            <w:pPr>
              <w:spacing w:after="0" w:line="196" w:lineRule="exact"/>
              <w:rPr>
                <w:rFonts w:ascii="Times New Roman" w:cs="Times New Roman" w:eastAsia="Times New Roman" w:hAnsi="Times New Roman"/>
                <w:sz w:val="18"/>
                <w:szCs w:val="18"/>
                <w:color w:val="0000FF"/>
              </w:rPr>
            </w:pPr>
            <w:hyperlink r:id="rId283">
              <w:r>
                <w:rPr>
                  <w:rFonts w:ascii="Times New Roman" w:cs="Times New Roman" w:eastAsia="Times New Roman" w:hAnsi="Times New Roman"/>
                  <w:sz w:val="18"/>
                  <w:szCs w:val="18"/>
                  <w:color w:val="0000FF"/>
                </w:rPr>
                <w:t>Silicon Valley Bank, executed on December 3,</w:t>
              </w:r>
            </w:hyperlink>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3"/>
              </w:rPr>
            </w:pPr>
            <w:hyperlink r:id="rId283">
              <w:r>
                <w:rPr>
                  <w:rFonts w:ascii="Times New Roman" w:cs="Times New Roman" w:eastAsia="Times New Roman" w:hAnsi="Times New Roman"/>
                  <w:sz w:val="18"/>
                  <w:szCs w:val="18"/>
                  <w:color w:val="0000FF"/>
                  <w:w w:val="93"/>
                </w:rPr>
                <w:t>2019.</w:t>
              </w:r>
            </w:hyperlink>
          </w:p>
        </w:tc>
        <w:tc>
          <w:tcPr>
            <w:tcW w:w="20" w:type="dxa"/>
            <w:vAlign w:val="bottom"/>
            <w:tcBorders>
              <w:top w:val="single" w:sz="8" w:color="0000FF"/>
              <w:bottom w:val="single" w:sz="8" w:color="0000EE"/>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8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10.11.2</w:t>
            </w:r>
          </w:p>
        </w:tc>
        <w:tc>
          <w:tcPr>
            <w:tcW w:w="30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Second Amendment to Loan and Security</w:t>
              </w:r>
            </w:hyperlink>
          </w:p>
        </w:tc>
        <w:tc>
          <w:tcPr>
            <w:tcW w:w="56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10.19.2 March 13, 2020</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3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Agreement between IRIDEX Corporation and</w:t>
              </w:r>
            </w:hyperlink>
          </w:p>
        </w:tc>
        <w:tc>
          <w:tcPr>
            <w:tcW w:w="26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620" w:type="dxa"/>
            <w:vAlign w:val="bottom"/>
            <w:gridSpan w:val="29"/>
          </w:tcPr>
          <w:p>
            <w:pPr>
              <w:spacing w:after="0" w:line="196" w:lineRule="exact"/>
              <w:rPr>
                <w:rFonts w:ascii="Times New Roman" w:cs="Times New Roman" w:eastAsia="Times New Roman" w:hAnsi="Times New Roman"/>
                <w:sz w:val="18"/>
                <w:szCs w:val="18"/>
                <w:color w:val="0000FF"/>
              </w:rPr>
            </w:pPr>
            <w:hyperlink r:id="rId284">
              <w:r>
                <w:rPr>
                  <w:rFonts w:ascii="Times New Roman" w:cs="Times New Roman" w:eastAsia="Times New Roman" w:hAnsi="Times New Roman"/>
                  <w:sz w:val="18"/>
                  <w:szCs w:val="18"/>
                  <w:color w:val="0000FF"/>
                </w:rPr>
                <w:t>Silicon Valley Bank, executed on January 8,</w:t>
              </w:r>
            </w:hyperlink>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3"/>
              </w:rPr>
            </w:pPr>
            <w:hyperlink r:id="rId284">
              <w:r>
                <w:rPr>
                  <w:rFonts w:ascii="Times New Roman" w:cs="Times New Roman" w:eastAsia="Times New Roman" w:hAnsi="Times New Roman"/>
                  <w:sz w:val="18"/>
                  <w:szCs w:val="18"/>
                  <w:color w:val="0000FF"/>
                  <w:w w:val="93"/>
                </w:rPr>
                <w:t>2020.</w:t>
              </w:r>
            </w:hyperlink>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8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10.11.3</w:t>
            </w:r>
          </w:p>
        </w:tc>
        <w:tc>
          <w:tcPr>
            <w:tcW w:w="296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Third Amendment to Loan and Security</w:t>
              </w:r>
            </w:hyperlink>
          </w:p>
        </w:tc>
        <w:tc>
          <w:tcPr>
            <w:tcW w:w="660" w:type="dxa"/>
            <w:vAlign w:val="bottom"/>
            <w:gridSpan w:val="17"/>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10.19.3 March 23, 2021</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3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Agreement between IRIDEX Corporation and</w:t>
              </w:r>
            </w:hyperlink>
          </w:p>
        </w:tc>
        <w:tc>
          <w:tcPr>
            <w:tcW w:w="26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620" w:type="dxa"/>
            <w:vAlign w:val="bottom"/>
            <w:gridSpan w:val="29"/>
          </w:tcPr>
          <w:p>
            <w:pPr>
              <w:spacing w:after="0" w:line="196" w:lineRule="exact"/>
              <w:rPr>
                <w:rFonts w:ascii="Times New Roman" w:cs="Times New Roman" w:eastAsia="Times New Roman" w:hAnsi="Times New Roman"/>
                <w:sz w:val="18"/>
                <w:szCs w:val="18"/>
                <w:color w:val="0000FF"/>
              </w:rPr>
            </w:pPr>
            <w:hyperlink r:id="rId285">
              <w:r>
                <w:rPr>
                  <w:rFonts w:ascii="Times New Roman" w:cs="Times New Roman" w:eastAsia="Times New Roman" w:hAnsi="Times New Roman"/>
                  <w:sz w:val="18"/>
                  <w:szCs w:val="18"/>
                  <w:color w:val="0000FF"/>
                </w:rPr>
                <w:t>Silicon Valley Bank, executed on December 31,</w:t>
              </w:r>
            </w:hyperlink>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3"/>
              </w:rPr>
            </w:pPr>
            <w:hyperlink r:id="rId285">
              <w:r>
                <w:rPr>
                  <w:rFonts w:ascii="Times New Roman" w:cs="Times New Roman" w:eastAsia="Times New Roman" w:hAnsi="Times New Roman"/>
                  <w:sz w:val="18"/>
                  <w:szCs w:val="18"/>
                  <w:color w:val="0000FF"/>
                  <w:w w:val="93"/>
                </w:rPr>
                <w:t>2020.</w:t>
              </w:r>
            </w:hyperlink>
          </w:p>
        </w:tc>
        <w:tc>
          <w:tcPr>
            <w:tcW w:w="20" w:type="dxa"/>
            <w:vAlign w:val="bottom"/>
            <w:tcBorders>
              <w:top w:val="single" w:sz="8" w:color="0000FF"/>
              <w:bottom w:val="single" w:sz="8" w:color="0000EE"/>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82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10.11.4</w:t>
            </w:r>
          </w:p>
        </w:tc>
        <w:tc>
          <w:tcPr>
            <w:tcW w:w="30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Fourth Amendment to Loan and Security</w:t>
              </w:r>
            </w:hyperlink>
          </w:p>
        </w:tc>
        <w:tc>
          <w:tcPr>
            <w:tcW w:w="58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15,</w:t>
            </w: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36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Agreement between IRIDEX Corporation and</w:t>
              </w:r>
            </w:hyperlink>
          </w:p>
        </w:tc>
        <w:tc>
          <w:tcPr>
            <w:tcW w:w="26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2022</w:t>
            </w: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3620" w:type="dxa"/>
            <w:vAlign w:val="bottom"/>
            <w:gridSpan w:val="29"/>
          </w:tcPr>
          <w:p>
            <w:pPr>
              <w:spacing w:after="0" w:line="196" w:lineRule="exact"/>
              <w:rPr>
                <w:rFonts w:ascii="Times New Roman" w:cs="Times New Roman" w:eastAsia="Times New Roman" w:hAnsi="Times New Roman"/>
                <w:sz w:val="18"/>
                <w:szCs w:val="18"/>
                <w:color w:val="0000FF"/>
              </w:rPr>
            </w:pPr>
            <w:hyperlink r:id="rId286">
              <w:r>
                <w:rPr>
                  <w:rFonts w:ascii="Times New Roman" w:cs="Times New Roman" w:eastAsia="Times New Roman" w:hAnsi="Times New Roman"/>
                  <w:sz w:val="18"/>
                  <w:szCs w:val="18"/>
                  <w:color w:val="0000FF"/>
                </w:rPr>
                <w:t>Silicon Valley Bank, executed on March 24,</w:t>
              </w:r>
            </w:hyperlink>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420" w:type="dxa"/>
            <w:vAlign w:val="bottom"/>
            <w:tcBorders>
              <w:top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286">
              <w:r>
                <w:rPr>
                  <w:rFonts w:ascii="Times New Roman" w:cs="Times New Roman" w:eastAsia="Times New Roman" w:hAnsi="Times New Roman"/>
                  <w:sz w:val="18"/>
                  <w:szCs w:val="18"/>
                  <w:color w:val="0000FF"/>
                  <w:w w:val="98"/>
                </w:rPr>
                <w:t>2022.</w:t>
              </w:r>
            </w:hyperlink>
          </w:p>
        </w:tc>
        <w:tc>
          <w:tcPr>
            <w:tcW w:w="3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9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4"/>
        </w:trPr>
        <w:tc>
          <w:tcPr>
            <w:tcW w:w="18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511"/>
              <w:spacing w:after="0"/>
              <w:rPr>
                <w:sz w:val="20"/>
                <w:szCs w:val="20"/>
                <w:color w:val="auto"/>
              </w:rPr>
            </w:pPr>
            <w:r>
              <w:rPr>
                <w:rFonts w:ascii="Times New Roman" w:cs="Times New Roman" w:eastAsia="Times New Roman" w:hAnsi="Times New Roman"/>
                <w:sz w:val="18"/>
                <w:szCs w:val="18"/>
                <w:color w:val="auto"/>
                <w:w w:val="88"/>
              </w:rPr>
              <w:t>81</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8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79" w:right="439" w:bottom="906" w:gutter="0" w:footer="0" w:header="0"/>
        </w:sectPr>
      </w:pPr>
    </w:p>
    <w:bookmarkStart w:id="81" w:name="page82"/>
    <w:bookmarkEnd w:id="81"/>
    <w:tbl>
      <w:tblPr>
        <w:tblLayout w:type="fixed"/>
        <w:tblInd w:w="40" w:type="dxa"/>
        <w:tblCellMar>
          <w:top w:w="0" w:type="dxa"/>
          <w:left w:w="0" w:type="dxa"/>
          <w:bottom w:w="0" w:type="dxa"/>
          <w:right w:w="0" w:type="dxa"/>
        </w:tblCellMar>
      </w:tblPr>
      <w:tr>
        <w:trPr>
          <w:trHeight w:val="181"/>
        </w:trPr>
        <w:tc>
          <w:tcPr>
            <w:tcW w:w="76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40" w:type="dxa"/>
            <w:vAlign w:val="bottom"/>
            <w:gridSpan w:val="3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20" w:type="dxa"/>
            <w:vAlign w:val="bottom"/>
            <w:tcBorders>
              <w:bottom w:val="single" w:sz="8" w:color="auto"/>
            </w:tcBorders>
          </w:tcPr>
          <w:p>
            <w:pPr>
              <w:spacing w:after="0"/>
              <w:rPr>
                <w:sz w:val="15"/>
                <w:szCs w:val="15"/>
                <w:color w:val="auto"/>
              </w:rPr>
            </w:pPr>
          </w:p>
        </w:tc>
        <w:tc>
          <w:tcPr>
            <w:tcW w:w="28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42"/>
        </w:trPr>
        <w:tc>
          <w:tcPr>
            <w:tcW w:w="760" w:type="dxa"/>
            <w:vAlign w:val="bottom"/>
          </w:tcPr>
          <w:p>
            <w:pPr>
              <w:jc w:val="center"/>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No.</w:t>
            </w:r>
          </w:p>
        </w:tc>
        <w:tc>
          <w:tcPr>
            <w:tcW w:w="3640" w:type="dxa"/>
            <w:vAlign w:val="bottom"/>
            <w:tcBorders>
              <w:bottom w:val="single" w:sz="8" w:color="auto"/>
            </w:tcBorders>
            <w:gridSpan w:val="35"/>
            <w:vMerge w:val="continue"/>
          </w:tcPr>
          <w:p>
            <w:pPr>
              <w:spacing w:after="0"/>
              <w:rPr>
                <w:sz w:val="12"/>
                <w:szCs w:val="12"/>
                <w:color w:val="auto"/>
              </w:rPr>
            </w:pPr>
          </w:p>
        </w:tc>
        <w:tc>
          <w:tcPr>
            <w:tcW w:w="7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0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File No.</w:t>
            </w:r>
          </w:p>
        </w:tc>
        <w:tc>
          <w:tcPr>
            <w:tcW w:w="6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10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760" w:type="dxa"/>
            <w:vAlign w:val="bottom"/>
          </w:tcPr>
          <w:p>
            <w:pPr>
              <w:jc w:val="center"/>
              <w:ind w:right="132"/>
              <w:spacing w:after="0" w:line="169" w:lineRule="exact"/>
              <w:rPr>
                <w:sz w:val="20"/>
                <w:szCs w:val="20"/>
                <w:color w:val="auto"/>
              </w:rPr>
            </w:pPr>
            <w:r>
              <w:rPr>
                <w:rFonts w:ascii="Times New Roman" w:cs="Times New Roman" w:eastAsia="Times New Roman" w:hAnsi="Times New Roman"/>
                <w:sz w:val="18"/>
                <w:szCs w:val="18"/>
                <w:color w:val="auto"/>
                <w:w w:val="99"/>
              </w:rPr>
              <w:t>10.11.5</w:t>
            </w:r>
          </w:p>
        </w:tc>
        <w:tc>
          <w:tcPr>
            <w:tcW w:w="2880" w:type="dxa"/>
            <w:vAlign w:val="bottom"/>
            <w:tcBorders>
              <w:bottom w:val="single" w:sz="8" w:color="0000FF"/>
            </w:tcBorders>
            <w:gridSpan w:val="15"/>
          </w:tcPr>
          <w:p>
            <w:pPr>
              <w:spacing w:after="0" w:line="169"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Fifth Amendment to Loan and Security</w:t>
              </w:r>
            </w:hyperlink>
          </w:p>
        </w:tc>
        <w:tc>
          <w:tcPr>
            <w:tcW w:w="760" w:type="dxa"/>
            <w:vAlign w:val="bottom"/>
            <w:gridSpan w:val="20"/>
          </w:tcPr>
          <w:p>
            <w:pPr>
              <w:spacing w:after="0"/>
              <w:rPr>
                <w:sz w:val="14"/>
                <w:szCs w:val="14"/>
                <w:color w:val="auto"/>
              </w:rPr>
            </w:pPr>
          </w:p>
        </w:tc>
        <w:tc>
          <w:tcPr>
            <w:tcW w:w="7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10-Q</w:t>
            </w:r>
          </w:p>
        </w:tc>
        <w:tc>
          <w:tcPr>
            <w:tcW w:w="10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22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August 15,</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36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289">
              <w:r>
                <w:rPr>
                  <w:rFonts w:ascii="Times New Roman" w:cs="Times New Roman" w:eastAsia="Times New Roman" w:hAnsi="Times New Roman"/>
                  <w:sz w:val="18"/>
                  <w:szCs w:val="18"/>
                  <w:color w:val="0000FF"/>
                </w:rPr>
                <w:t>Agreement between IRIDEX Corporation and</w:t>
              </w:r>
            </w:hyperlink>
          </w:p>
        </w:tc>
        <w:tc>
          <w:tcPr>
            <w:tcW w:w="280" w:type="dxa"/>
            <w:vAlign w:val="bottom"/>
            <w:gridSpan w:val="9"/>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2022</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52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w w:val="99"/>
              </w:rPr>
            </w:pPr>
            <w:hyperlink r:id="rId289">
              <w:r>
                <w:rPr>
                  <w:rFonts w:ascii="Times New Roman" w:cs="Times New Roman" w:eastAsia="Times New Roman" w:hAnsi="Times New Roman"/>
                  <w:sz w:val="18"/>
                  <w:szCs w:val="18"/>
                  <w:color w:val="0000FF"/>
                  <w:w w:val="99"/>
                </w:rPr>
                <w:t>Silicon Valley Bank, executed on June 15, 2022.</w:t>
              </w:r>
            </w:hyperlink>
          </w:p>
        </w:tc>
        <w:tc>
          <w:tcPr>
            <w:tcW w:w="20" w:type="dxa"/>
            <w:vAlign w:val="bottom"/>
            <w:tcBorders>
              <w:bottom w:val="single" w:sz="8" w:color="0000EE"/>
            </w:tcBorders>
          </w:tcPr>
          <w:p>
            <w:pPr>
              <w:spacing w:after="0"/>
              <w:rPr>
                <w:sz w:val="17"/>
                <w:szCs w:val="17"/>
                <w:color w:val="auto"/>
              </w:rPr>
            </w:pPr>
          </w:p>
        </w:tc>
        <w:tc>
          <w:tcPr>
            <w:tcW w:w="10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10.11*</w:t>
            </w:r>
          </w:p>
        </w:tc>
        <w:tc>
          <w:tcPr>
            <w:tcW w:w="364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290">
              <w:r>
                <w:rPr>
                  <w:rFonts w:ascii="Times New Roman" w:cs="Times New Roman" w:eastAsia="Times New Roman" w:hAnsi="Times New Roman"/>
                  <w:sz w:val="18"/>
                  <w:szCs w:val="18"/>
                  <w:color w:val="0000FF"/>
                </w:rPr>
                <w:t>Offer Letter between the Company and Mr. Bruce</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14, 2019</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1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90">
              <w:r>
                <w:rPr>
                  <w:rFonts w:ascii="Times New Roman" w:cs="Times New Roman" w:eastAsia="Times New Roman" w:hAnsi="Times New Roman"/>
                  <w:sz w:val="18"/>
                  <w:szCs w:val="18"/>
                  <w:color w:val="0000FF"/>
                  <w:w w:val="99"/>
                </w:rPr>
                <w:t>effective as of May 20, 2019.</w:t>
              </w:r>
            </w:hyperlink>
          </w:p>
        </w:tc>
        <w:tc>
          <w:tcPr>
            <w:tcW w:w="20" w:type="dxa"/>
            <w:vAlign w:val="bottom"/>
            <w:tcBorders>
              <w:bottom w:val="single" w:sz="8" w:color="0000EE"/>
            </w:tcBorders>
          </w:tcPr>
          <w:p>
            <w:pPr>
              <w:spacing w:after="0"/>
              <w:rPr>
                <w:sz w:val="17"/>
                <w:szCs w:val="17"/>
                <w:color w:val="auto"/>
              </w:rPr>
            </w:pPr>
          </w:p>
        </w:tc>
        <w:tc>
          <w:tcPr>
            <w:tcW w:w="1500" w:type="dxa"/>
            <w:vAlign w:val="bottom"/>
            <w:gridSpan w:val="25"/>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10.12*</w:t>
            </w:r>
          </w:p>
        </w:tc>
        <w:tc>
          <w:tcPr>
            <w:tcW w:w="364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Change in Control Severance Agreement dated as</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October 28,</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5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of October 25, 2019, between the Company and</w:t>
              </w:r>
            </w:hyperlink>
          </w:p>
        </w:tc>
        <w:tc>
          <w:tcPr>
            <w:tcW w:w="14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2019</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640" w:type="dxa"/>
            <w:vAlign w:val="bottom"/>
            <w:gridSpan w:val="35"/>
          </w:tcPr>
          <w:p>
            <w:pPr>
              <w:spacing w:after="0" w:line="196" w:lineRule="exact"/>
              <w:rPr>
                <w:rFonts w:ascii="Times New Roman" w:cs="Times New Roman" w:eastAsia="Times New Roman" w:hAnsi="Times New Roman"/>
                <w:sz w:val="18"/>
                <w:szCs w:val="18"/>
                <w:color w:val="0000FF"/>
              </w:rPr>
            </w:pPr>
            <w:hyperlink r:id="rId291">
              <w:r>
                <w:rPr>
                  <w:rFonts w:ascii="Times New Roman" w:cs="Times New Roman" w:eastAsia="Times New Roman" w:hAnsi="Times New Roman"/>
                  <w:sz w:val="18"/>
                  <w:szCs w:val="18"/>
                  <w:color w:val="0000FF"/>
                </w:rPr>
                <w:t>Mr. Bruce.</w:t>
              </w:r>
            </w:hyperlink>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10.13*</w:t>
            </w:r>
          </w:p>
        </w:tc>
        <w:tc>
          <w:tcPr>
            <w:tcW w:w="31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Amended and Restated Change in Control</w:t>
              </w:r>
            </w:hyperlink>
          </w:p>
        </w:tc>
        <w:tc>
          <w:tcPr>
            <w:tcW w:w="540" w:type="dxa"/>
            <w:vAlign w:val="bottom"/>
            <w:gridSpan w:val="15"/>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13,</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5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292">
              <w:r>
                <w:rPr>
                  <w:rFonts w:ascii="Times New Roman" w:cs="Times New Roman" w:eastAsia="Times New Roman" w:hAnsi="Times New Roman"/>
                  <w:sz w:val="18"/>
                  <w:szCs w:val="18"/>
                  <w:color w:val="0000FF"/>
                </w:rPr>
                <w:t>Severance Agreement dated as of November 7,</w:t>
              </w:r>
            </w:hyperlink>
          </w:p>
        </w:tc>
        <w:tc>
          <w:tcPr>
            <w:tcW w:w="14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2024</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30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w w:val="99"/>
              </w:rPr>
            </w:pPr>
            <w:hyperlink r:id="rId292">
              <w:r>
                <w:rPr>
                  <w:rFonts w:ascii="Times New Roman" w:cs="Times New Roman" w:eastAsia="Times New Roman" w:hAnsi="Times New Roman"/>
                  <w:sz w:val="18"/>
                  <w:szCs w:val="18"/>
                  <w:color w:val="0000FF"/>
                  <w:w w:val="99"/>
                </w:rPr>
                <w:t>2024, between the Company and Mr. Mercer.</w:t>
              </w:r>
            </w:hyperlink>
          </w:p>
        </w:tc>
        <w:tc>
          <w:tcPr>
            <w:tcW w:w="340" w:type="dxa"/>
            <w:vAlign w:val="bottom"/>
            <w:gridSpan w:val="10"/>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10.14</w:t>
            </w:r>
          </w:p>
        </w:tc>
        <w:tc>
          <w:tcPr>
            <w:tcW w:w="350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Asset Purchase Agreement dated as of March 2,</w:t>
              </w:r>
            </w:hyperlink>
          </w:p>
        </w:tc>
        <w:tc>
          <w:tcPr>
            <w:tcW w:w="140" w:type="dxa"/>
            <w:vAlign w:val="bottom"/>
            <w:gridSpan w:val="5"/>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28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2021, among the Company, Topcon Medical</w:t>
              </w:r>
            </w:hyperlink>
          </w:p>
        </w:tc>
        <w:tc>
          <w:tcPr>
            <w:tcW w:w="360" w:type="dxa"/>
            <w:vAlign w:val="bottom"/>
            <w:gridSpan w:val="11"/>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04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293">
              <w:r>
                <w:rPr>
                  <w:rFonts w:ascii="Times New Roman" w:cs="Times New Roman" w:eastAsia="Times New Roman" w:hAnsi="Times New Roman"/>
                  <w:sz w:val="18"/>
                  <w:szCs w:val="18"/>
                  <w:color w:val="0000FF"/>
                </w:rPr>
                <w:t>Laser Systems, Inc. and Topcon America</w:t>
              </w:r>
            </w:hyperlink>
          </w:p>
        </w:tc>
        <w:tc>
          <w:tcPr>
            <w:tcW w:w="600" w:type="dxa"/>
            <w:vAlign w:val="bottom"/>
            <w:gridSpan w:val="17"/>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9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293">
              <w:r>
                <w:rPr>
                  <w:rFonts w:ascii="Times New Roman" w:cs="Times New Roman" w:eastAsia="Times New Roman" w:hAnsi="Times New Roman"/>
                  <w:sz w:val="18"/>
                  <w:szCs w:val="18"/>
                  <w:color w:val="0000FF"/>
                  <w:w w:val="98"/>
                </w:rPr>
                <w:t>Corporation.</w:t>
              </w:r>
            </w:hyperlink>
          </w:p>
        </w:tc>
        <w:tc>
          <w:tcPr>
            <w:tcW w:w="2720" w:type="dxa"/>
            <w:vAlign w:val="bottom"/>
            <w:gridSpan w:val="33"/>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10.15</w:t>
            </w:r>
          </w:p>
        </w:tc>
        <w:tc>
          <w:tcPr>
            <w:tcW w:w="328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Distribution Agreement dated as of March 2,</w:t>
              </w:r>
            </w:hyperlink>
          </w:p>
        </w:tc>
        <w:tc>
          <w:tcPr>
            <w:tcW w:w="360" w:type="dxa"/>
            <w:vAlign w:val="bottom"/>
            <w:gridSpan w:val="11"/>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54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294">
              <w:r>
                <w:rPr>
                  <w:rFonts w:ascii="Times New Roman" w:cs="Times New Roman" w:eastAsia="Times New Roman" w:hAnsi="Times New Roman"/>
                  <w:sz w:val="18"/>
                  <w:szCs w:val="18"/>
                  <w:color w:val="0000FF"/>
                </w:rPr>
                <w:t>2021, by and between the Company and Topcon</w:t>
              </w:r>
            </w:hyperlink>
          </w:p>
        </w:tc>
        <w:tc>
          <w:tcPr>
            <w:tcW w:w="10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9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294">
              <w:r>
                <w:rPr>
                  <w:rFonts w:ascii="Times New Roman" w:cs="Times New Roman" w:eastAsia="Times New Roman" w:hAnsi="Times New Roman"/>
                  <w:sz w:val="18"/>
                  <w:szCs w:val="18"/>
                  <w:color w:val="0000FF"/>
                  <w:w w:val="98"/>
                </w:rPr>
                <w:t>Corporation.</w:t>
              </w:r>
            </w:hyperlink>
          </w:p>
        </w:tc>
        <w:tc>
          <w:tcPr>
            <w:tcW w:w="20" w:type="dxa"/>
            <w:vAlign w:val="bottom"/>
            <w:tcBorders>
              <w:bottom w:val="single" w:sz="8" w:color="0000EE"/>
            </w:tcBorders>
          </w:tcPr>
          <w:p>
            <w:pPr>
              <w:spacing w:after="0"/>
              <w:rPr>
                <w:sz w:val="17"/>
                <w:szCs w:val="17"/>
                <w:color w:val="auto"/>
              </w:rPr>
            </w:pPr>
          </w:p>
        </w:tc>
        <w:tc>
          <w:tcPr>
            <w:tcW w:w="2700" w:type="dxa"/>
            <w:vAlign w:val="bottom"/>
            <w:gridSpan w:val="32"/>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10.16</w:t>
            </w:r>
          </w:p>
        </w:tc>
        <w:tc>
          <w:tcPr>
            <w:tcW w:w="364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Investment Agreement dated as of March 2, 2021,</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08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by and between the Company and Topcon</w:t>
              </w:r>
            </w:hyperlink>
          </w:p>
        </w:tc>
        <w:tc>
          <w:tcPr>
            <w:tcW w:w="560" w:type="dxa"/>
            <w:vAlign w:val="bottom"/>
            <w:gridSpan w:val="16"/>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640" w:type="dxa"/>
            <w:vAlign w:val="bottom"/>
            <w:gridSpan w:val="35"/>
          </w:tcPr>
          <w:p>
            <w:pPr>
              <w:spacing w:after="0" w:line="196" w:lineRule="exact"/>
              <w:rPr>
                <w:rFonts w:ascii="Times New Roman" w:cs="Times New Roman" w:eastAsia="Times New Roman" w:hAnsi="Times New Roman"/>
                <w:sz w:val="18"/>
                <w:szCs w:val="18"/>
                <w:color w:val="0000FF"/>
              </w:rPr>
            </w:pPr>
            <w:hyperlink r:id="rId295">
              <w:r>
                <w:rPr>
                  <w:rFonts w:ascii="Times New Roman" w:cs="Times New Roman" w:eastAsia="Times New Roman" w:hAnsi="Times New Roman"/>
                  <w:sz w:val="18"/>
                  <w:szCs w:val="18"/>
                  <w:color w:val="0000FF"/>
                </w:rPr>
                <w:t>America Corporation.</w:t>
              </w:r>
            </w:hyperlink>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80" w:type="dxa"/>
            <w:vAlign w:val="bottom"/>
            <w:tcBorders>
              <w:right w:val="single" w:sz="8" w:color="0000FF"/>
            </w:tcBorders>
            <w:gridSpan w:val="4"/>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10.17</w:t>
            </w:r>
          </w:p>
        </w:tc>
        <w:tc>
          <w:tcPr>
            <w:tcW w:w="362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Registration Rights Agreement dated as of March</w:t>
              </w:r>
            </w:hyperlink>
          </w:p>
        </w:tc>
        <w:tc>
          <w:tcPr>
            <w:tcW w:w="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4, 2021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1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96">
              <w:r>
                <w:rPr>
                  <w:rFonts w:ascii="Times New Roman" w:cs="Times New Roman" w:eastAsia="Times New Roman" w:hAnsi="Times New Roman"/>
                  <w:sz w:val="18"/>
                  <w:szCs w:val="18"/>
                  <w:color w:val="0000FF"/>
                </w:rPr>
                <w:t>2, 2021, by and between the Company and</w:t>
              </w:r>
            </w:hyperlink>
          </w:p>
        </w:tc>
        <w:tc>
          <w:tcPr>
            <w:tcW w:w="500" w:type="dxa"/>
            <w:vAlign w:val="bottom"/>
            <w:gridSpan w:val="13"/>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1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296">
              <w:r>
                <w:rPr>
                  <w:rFonts w:ascii="Times New Roman" w:cs="Times New Roman" w:eastAsia="Times New Roman" w:hAnsi="Times New Roman"/>
                  <w:sz w:val="18"/>
                  <w:szCs w:val="18"/>
                  <w:color w:val="0000FF"/>
                  <w:w w:val="99"/>
                </w:rPr>
                <w:t>Topcon America Corporation.</w:t>
              </w:r>
            </w:hyperlink>
          </w:p>
        </w:tc>
        <w:tc>
          <w:tcPr>
            <w:tcW w:w="20" w:type="dxa"/>
            <w:vAlign w:val="bottom"/>
            <w:tcBorders>
              <w:bottom w:val="single" w:sz="8" w:color="0000EE"/>
            </w:tcBorders>
          </w:tcPr>
          <w:p>
            <w:pPr>
              <w:spacing w:after="0"/>
              <w:rPr>
                <w:sz w:val="17"/>
                <w:szCs w:val="17"/>
                <w:color w:val="auto"/>
              </w:rPr>
            </w:pPr>
          </w:p>
        </w:tc>
        <w:tc>
          <w:tcPr>
            <w:tcW w:w="1440" w:type="dxa"/>
            <w:vAlign w:val="bottom"/>
            <w:gridSpan w:val="23"/>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10.18</w:t>
            </w:r>
          </w:p>
        </w:tc>
        <w:tc>
          <w:tcPr>
            <w:tcW w:w="31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Securities Purchase Agreement dated as of</w:t>
              </w:r>
            </w:hyperlink>
          </w:p>
        </w:tc>
        <w:tc>
          <w:tcPr>
            <w:tcW w:w="520" w:type="dxa"/>
            <w:vAlign w:val="bottom"/>
            <w:gridSpan w:val="14"/>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5, 2024</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640" w:type="dxa"/>
            <w:vAlign w:val="bottom"/>
            <w:tcBorders>
              <w:bottom w:val="single" w:sz="8" w:color="0000FF"/>
            </w:tcBorders>
            <w:gridSpan w:val="35"/>
          </w:tcPr>
          <w:p>
            <w:pPr>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August 4, 2024 by and between the Company and</w:t>
              </w:r>
            </w:hyperlink>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9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262">
              <w:r>
                <w:rPr>
                  <w:rFonts w:ascii="Times New Roman" w:cs="Times New Roman" w:eastAsia="Times New Roman" w:hAnsi="Times New Roman"/>
                  <w:sz w:val="18"/>
                  <w:szCs w:val="18"/>
                  <w:color w:val="0000FF"/>
                  <w:w w:val="99"/>
                </w:rPr>
                <w:t>Lind Global Asset Management IX LLC.</w:t>
              </w:r>
            </w:hyperlink>
          </w:p>
        </w:tc>
        <w:tc>
          <w:tcPr>
            <w:tcW w:w="660" w:type="dxa"/>
            <w:vAlign w:val="bottom"/>
            <w:gridSpan w:val="19"/>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10.19</w:t>
            </w:r>
          </w:p>
        </w:tc>
        <w:tc>
          <w:tcPr>
            <w:tcW w:w="34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Separation and Release Agreement dated as of</w:t>
              </w:r>
            </w:hyperlink>
          </w:p>
        </w:tc>
        <w:tc>
          <w:tcPr>
            <w:tcW w:w="240" w:type="dxa"/>
            <w:vAlign w:val="bottom"/>
            <w:gridSpan w:val="8"/>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13,</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50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November 11, 2024, between the Company and</w:t>
              </w:r>
            </w:hyperlink>
          </w:p>
        </w:tc>
        <w:tc>
          <w:tcPr>
            <w:tcW w:w="14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2024</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640" w:type="dxa"/>
            <w:vAlign w:val="bottom"/>
            <w:gridSpan w:val="35"/>
          </w:tcPr>
          <w:p>
            <w:pPr>
              <w:spacing w:after="0" w:line="196" w:lineRule="exact"/>
              <w:rPr>
                <w:rFonts w:ascii="Times New Roman" w:cs="Times New Roman" w:eastAsia="Times New Roman" w:hAnsi="Times New Roman"/>
                <w:sz w:val="18"/>
                <w:szCs w:val="18"/>
                <w:color w:val="0000FF"/>
              </w:rPr>
            </w:pPr>
            <w:hyperlink r:id="rId297">
              <w:r>
                <w:rPr>
                  <w:rFonts w:ascii="Times New Roman" w:cs="Times New Roman" w:eastAsia="Times New Roman" w:hAnsi="Times New Roman"/>
                  <w:sz w:val="18"/>
                  <w:szCs w:val="18"/>
                  <w:color w:val="0000FF"/>
                </w:rPr>
                <w:t>Mr. Bruce.</w:t>
              </w:r>
            </w:hyperlink>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10.20</w:t>
            </w:r>
          </w:p>
        </w:tc>
        <w:tc>
          <w:tcPr>
            <w:tcW w:w="356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Securities Purchase Agreement, dated March 19,</w:t>
              </w:r>
            </w:hyperlink>
          </w:p>
        </w:tc>
        <w:tc>
          <w:tcPr>
            <w:tcW w:w="80" w:type="dxa"/>
            <w:vAlign w:val="bottom"/>
            <w:gridSpan w:val="2"/>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2025</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44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2025 by and between the Registrant and Novel</w:t>
              </w:r>
            </w:hyperlink>
          </w:p>
        </w:tc>
        <w:tc>
          <w:tcPr>
            <w:tcW w:w="200" w:type="dxa"/>
            <w:vAlign w:val="bottom"/>
            <w:gridSpan w:val="6"/>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640" w:type="dxa"/>
            <w:vAlign w:val="bottom"/>
            <w:gridSpan w:val="35"/>
          </w:tcPr>
          <w:p>
            <w:pPr>
              <w:spacing w:after="0" w:line="196" w:lineRule="exact"/>
              <w:rPr>
                <w:rFonts w:ascii="Times New Roman" w:cs="Times New Roman" w:eastAsia="Times New Roman" w:hAnsi="Times New Roman"/>
                <w:sz w:val="18"/>
                <w:szCs w:val="18"/>
                <w:color w:val="0000FF"/>
              </w:rPr>
            </w:pPr>
            <w:hyperlink r:id="rId298">
              <w:r>
                <w:rPr>
                  <w:rFonts w:ascii="Times New Roman" w:cs="Times New Roman" w:eastAsia="Times New Roman" w:hAnsi="Times New Roman"/>
                  <w:sz w:val="18"/>
                  <w:szCs w:val="18"/>
                  <w:color w:val="0000FF"/>
                </w:rPr>
                <w:t>Inspiration Co., Ltd.</w:t>
              </w:r>
            </w:hyperlink>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80" w:type="dxa"/>
            <w:vAlign w:val="bottom"/>
            <w:tcBorders>
              <w:right w:val="single" w:sz="8" w:color="0000EE"/>
            </w:tcBorders>
            <w:gridSpan w:val="4"/>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10.21</w:t>
            </w:r>
          </w:p>
        </w:tc>
        <w:tc>
          <w:tcPr>
            <w:tcW w:w="364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Note Purchase Agreement, dated March 19, 2025,</w:t>
              </w:r>
            </w:hyperlink>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2025</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02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by and between the Registrant and Novel</w:t>
              </w:r>
            </w:hyperlink>
          </w:p>
        </w:tc>
        <w:tc>
          <w:tcPr>
            <w:tcW w:w="620" w:type="dxa"/>
            <w:vAlign w:val="bottom"/>
            <w:gridSpan w:val="18"/>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640" w:type="dxa"/>
            <w:vAlign w:val="bottom"/>
            <w:gridSpan w:val="35"/>
          </w:tcPr>
          <w:p>
            <w:pPr>
              <w:spacing w:after="0" w:line="196" w:lineRule="exact"/>
              <w:rPr>
                <w:rFonts w:ascii="Times New Roman" w:cs="Times New Roman" w:eastAsia="Times New Roman" w:hAnsi="Times New Roman"/>
                <w:sz w:val="18"/>
                <w:szCs w:val="18"/>
                <w:color w:val="0000FF"/>
              </w:rPr>
            </w:pPr>
            <w:hyperlink r:id="rId299">
              <w:r>
                <w:rPr>
                  <w:rFonts w:ascii="Times New Roman" w:cs="Times New Roman" w:eastAsia="Times New Roman" w:hAnsi="Times New Roman"/>
                  <w:sz w:val="18"/>
                  <w:szCs w:val="18"/>
                  <w:color w:val="0000FF"/>
                </w:rPr>
                <w:t>Inspiration Co., Ltd.</w:t>
              </w:r>
            </w:hyperlink>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80" w:type="dxa"/>
            <w:vAlign w:val="bottom"/>
            <w:tcBorders>
              <w:right w:val="single" w:sz="8" w:color="0000EE"/>
            </w:tcBorders>
            <w:gridSpan w:val="4"/>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9"/>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10.22</w:t>
            </w:r>
          </w:p>
        </w:tc>
        <w:tc>
          <w:tcPr>
            <w:tcW w:w="32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Form of Convertible Promissory Note, dated</w:t>
              </w:r>
            </w:hyperlink>
          </w:p>
        </w:tc>
        <w:tc>
          <w:tcPr>
            <w:tcW w:w="380" w:type="dxa"/>
            <w:vAlign w:val="bottom"/>
            <w:gridSpan w:val="12"/>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2025</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4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March 19, 2025, by and between the registrant</w:t>
              </w:r>
            </w:hyperlink>
          </w:p>
        </w:tc>
        <w:tc>
          <w:tcPr>
            <w:tcW w:w="240" w:type="dxa"/>
            <w:vAlign w:val="bottom"/>
            <w:gridSpan w:val="8"/>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2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300">
              <w:r>
                <w:rPr>
                  <w:rFonts w:ascii="Times New Roman" w:cs="Times New Roman" w:eastAsia="Times New Roman" w:hAnsi="Times New Roman"/>
                  <w:sz w:val="18"/>
                  <w:szCs w:val="18"/>
                  <w:color w:val="0000FF"/>
                  <w:w w:val="99"/>
                </w:rPr>
                <w:t>and Novel Inspiration Co., Ltd.</w:t>
              </w:r>
            </w:hyperlink>
          </w:p>
        </w:tc>
        <w:tc>
          <w:tcPr>
            <w:tcW w:w="20" w:type="dxa"/>
            <w:vAlign w:val="bottom"/>
            <w:tcBorders>
              <w:bottom w:val="single" w:sz="8" w:color="0000EE"/>
            </w:tcBorders>
          </w:tcPr>
          <w:p>
            <w:pPr>
              <w:spacing w:after="0"/>
              <w:rPr>
                <w:sz w:val="17"/>
                <w:szCs w:val="17"/>
                <w:color w:val="auto"/>
              </w:rPr>
            </w:pPr>
          </w:p>
        </w:tc>
        <w:tc>
          <w:tcPr>
            <w:tcW w:w="1360" w:type="dxa"/>
            <w:vAlign w:val="bottom"/>
            <w:gridSpan w:val="21"/>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76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10.23</w:t>
            </w:r>
          </w:p>
        </w:tc>
        <w:tc>
          <w:tcPr>
            <w:tcW w:w="344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Convertible Promissory Note, dated March 19,</w:t>
              </w:r>
            </w:hyperlink>
          </w:p>
        </w:tc>
        <w:tc>
          <w:tcPr>
            <w:tcW w:w="200" w:type="dxa"/>
            <w:vAlign w:val="bottom"/>
            <w:gridSpan w:val="6"/>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2025</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40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2025, by and between the registrant and Novel</w:t>
              </w:r>
            </w:hyperlink>
          </w:p>
        </w:tc>
        <w:tc>
          <w:tcPr>
            <w:tcW w:w="240" w:type="dxa"/>
            <w:vAlign w:val="bottom"/>
            <w:gridSpan w:val="8"/>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640" w:type="dxa"/>
            <w:vAlign w:val="bottom"/>
            <w:gridSpan w:val="35"/>
          </w:tcPr>
          <w:p>
            <w:pPr>
              <w:spacing w:after="0" w:line="196" w:lineRule="exact"/>
              <w:rPr>
                <w:rFonts w:ascii="Times New Roman" w:cs="Times New Roman" w:eastAsia="Times New Roman" w:hAnsi="Times New Roman"/>
                <w:sz w:val="18"/>
                <w:szCs w:val="18"/>
                <w:color w:val="0000FF"/>
              </w:rPr>
            </w:pPr>
            <w:hyperlink r:id="rId300">
              <w:r>
                <w:rPr>
                  <w:rFonts w:ascii="Times New Roman" w:cs="Times New Roman" w:eastAsia="Times New Roman" w:hAnsi="Times New Roman"/>
                  <w:sz w:val="18"/>
                  <w:szCs w:val="18"/>
                  <w:color w:val="0000FF"/>
                </w:rPr>
                <w:t>Inspiration Co., Ltd.</w:t>
              </w:r>
            </w:hyperlink>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480" w:type="dxa"/>
            <w:vAlign w:val="bottom"/>
            <w:tcBorders>
              <w:right w:val="single" w:sz="8" w:color="0000EE"/>
            </w:tcBorders>
            <w:gridSpan w:val="4"/>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2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line="20" w:lineRule="exact"/>
              <w:rPr>
                <w:sz w:val="1"/>
                <w:szCs w:val="1"/>
                <w:color w:val="auto"/>
              </w:rPr>
            </w:pPr>
          </w:p>
        </w:tc>
      </w:tr>
      <w:tr>
        <w:trPr>
          <w:trHeight w:val="277"/>
        </w:trPr>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19.1</w:t>
            </w:r>
          </w:p>
        </w:tc>
        <w:tc>
          <w:tcPr>
            <w:tcW w:w="364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Insider Trading Policy</w:t>
            </w: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640" w:type="dxa"/>
            <w:vAlign w:val="bottom"/>
            <w:tcBorders>
              <w:right w:val="single" w:sz="8" w:color="0000EE"/>
            </w:tcBorders>
            <w:gridSpan w:val="6"/>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gridSpan w:val="2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line="20" w:lineRule="exact"/>
              <w:rPr>
                <w:sz w:val="1"/>
                <w:szCs w:val="1"/>
                <w:color w:val="auto"/>
              </w:rPr>
            </w:pPr>
          </w:p>
        </w:tc>
      </w:tr>
      <w:tr>
        <w:trPr>
          <w:trHeight w:val="290"/>
        </w:trPr>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21.1</w:t>
            </w:r>
          </w:p>
        </w:tc>
        <w:tc>
          <w:tcPr>
            <w:tcW w:w="364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Subsidiaries of Registrant</w:t>
            </w: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0" w:type="dxa"/>
            <w:vAlign w:val="bottom"/>
            <w:tcBorders>
              <w:right w:val="single" w:sz="8" w:color="0000FF"/>
            </w:tcBorders>
            <w:gridSpan w:val="7"/>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540" w:type="dxa"/>
            <w:vAlign w:val="bottom"/>
            <w:gridSpan w:val="2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line="20" w:lineRule="exact"/>
              <w:rPr>
                <w:sz w:val="1"/>
                <w:szCs w:val="1"/>
                <w:color w:val="auto"/>
              </w:rPr>
            </w:pPr>
          </w:p>
        </w:tc>
      </w:tr>
      <w:tr>
        <w:trPr>
          <w:trHeight w:val="291"/>
        </w:trPr>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23.1</w:t>
            </w:r>
          </w:p>
        </w:tc>
        <w:tc>
          <w:tcPr>
            <w:tcW w:w="342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Consent of BPM LLP, Independent Registered</w:t>
            </w:r>
          </w:p>
        </w:tc>
        <w:tc>
          <w:tcPr>
            <w:tcW w:w="220" w:type="dxa"/>
            <w:vAlign w:val="bottom"/>
            <w:gridSpan w:val="7"/>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64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FF"/>
              </w:rPr>
              <w:t>Public Accounting Firm.</w:t>
            </w: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0" w:type="dxa"/>
            <w:vAlign w:val="bottom"/>
            <w:tcBorders>
              <w:right w:val="single" w:sz="8" w:color="0000EE"/>
            </w:tcBorders>
            <w:gridSpan w:val="7"/>
            <w:shd w:val="clear" w:color="auto" w:fill="0000FF"/>
          </w:tcPr>
          <w:p>
            <w:pPr>
              <w:spacing w:after="0" w:line="20" w:lineRule="exact"/>
              <w:rPr>
                <w:sz w:val="1"/>
                <w:szCs w:val="1"/>
                <w:color w:val="auto"/>
              </w:rPr>
            </w:pPr>
          </w:p>
        </w:tc>
        <w:tc>
          <w:tcPr>
            <w:tcW w:w="1700" w:type="dxa"/>
            <w:vAlign w:val="bottom"/>
            <w:gridSpan w:val="23"/>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w w:val="87"/>
              </w:rPr>
              <w:t>X</w:t>
            </w:r>
          </w:p>
        </w:tc>
        <w:tc>
          <w:tcPr>
            <w:tcW w:w="0" w:type="dxa"/>
            <w:vAlign w:val="bottom"/>
          </w:tcPr>
          <w:p>
            <w:pPr>
              <w:spacing w:after="0" w:line="20" w:lineRule="exact"/>
              <w:rPr>
                <w:sz w:val="1"/>
                <w:szCs w:val="1"/>
                <w:color w:val="auto"/>
              </w:rPr>
            </w:pPr>
          </w:p>
        </w:tc>
      </w:tr>
      <w:tr>
        <w:trPr>
          <w:trHeight w:val="318"/>
        </w:trPr>
        <w:tc>
          <w:tcPr>
            <w:tcW w:w="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24.1</w:t>
            </w:r>
          </w:p>
        </w:tc>
        <w:tc>
          <w:tcPr>
            <w:tcW w:w="364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Power of Attorney (included on signature page).</w:t>
            </w: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484505</wp:posOffset>
            </wp:positionV>
            <wp:extent cx="703770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40"/>
          </w:cols>
          <w:pgMar w:left="1440" w:top="1079" w:right="1419" w:bottom="1440" w:gutter="0" w:footer="0" w:header="0"/>
        </w:sectPr>
      </w:pPr>
    </w:p>
    <w:bookmarkStart w:id="82" w:name="page83"/>
    <w:bookmarkEnd w:id="82"/>
    <w:tbl>
      <w:tblPr>
        <w:tblLayout w:type="fixed"/>
        <w:tblInd w:w="20" w:type="dxa"/>
        <w:tblCellMar>
          <w:top w:w="0" w:type="dxa"/>
          <w:left w:w="0" w:type="dxa"/>
          <w:bottom w:w="0" w:type="dxa"/>
          <w:right w:w="0" w:type="dxa"/>
        </w:tblCellMar>
      </w:tblPr>
      <w:tr>
        <w:trPr>
          <w:trHeight w:val="181"/>
        </w:trPr>
        <w:tc>
          <w:tcPr>
            <w:tcW w:w="82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640" w:type="dxa"/>
            <w:vAlign w:val="bottom"/>
            <w:gridSpan w:val="1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00" w:type="dxa"/>
            <w:vAlign w:val="bottom"/>
            <w:tcBorders>
              <w:bottom w:val="single" w:sz="8" w:color="auto"/>
            </w:tcBorders>
          </w:tcPr>
          <w:p>
            <w:pPr>
              <w:spacing w:after="0"/>
              <w:rPr>
                <w:sz w:val="15"/>
                <w:szCs w:val="15"/>
                <w:color w:val="auto"/>
              </w:rPr>
            </w:pPr>
          </w:p>
        </w:tc>
        <w:tc>
          <w:tcPr>
            <w:tcW w:w="286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 Herewith</w:t>
            </w:r>
          </w:p>
        </w:tc>
        <w:tc>
          <w:tcPr>
            <w:tcW w:w="0" w:type="dxa"/>
            <w:vAlign w:val="bottom"/>
          </w:tcPr>
          <w:p>
            <w:pPr>
              <w:spacing w:after="0"/>
              <w:rPr>
                <w:sz w:val="1"/>
                <w:szCs w:val="1"/>
                <w:color w:val="auto"/>
              </w:rPr>
            </w:pPr>
          </w:p>
        </w:tc>
      </w:tr>
      <w:tr>
        <w:trPr>
          <w:trHeight w:val="142"/>
        </w:trPr>
        <w:tc>
          <w:tcPr>
            <w:tcW w:w="820" w:type="dxa"/>
            <w:vAlign w:val="bottom"/>
          </w:tcPr>
          <w:p>
            <w:pPr>
              <w:jc w:val="center"/>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No.</w:t>
            </w:r>
          </w:p>
        </w:tc>
        <w:tc>
          <w:tcPr>
            <w:tcW w:w="3640" w:type="dxa"/>
            <w:vAlign w:val="bottom"/>
            <w:tcBorders>
              <w:bottom w:val="single" w:sz="8" w:color="auto"/>
            </w:tcBorders>
            <w:gridSpan w:val="12"/>
            <w:vMerge w:val="continue"/>
          </w:tcPr>
          <w:p>
            <w:pPr>
              <w:spacing w:after="0"/>
              <w:rPr>
                <w:sz w:val="12"/>
                <w:szCs w:val="12"/>
                <w:color w:val="auto"/>
              </w:rPr>
            </w:pPr>
          </w:p>
        </w:tc>
        <w:tc>
          <w:tcPr>
            <w:tcW w:w="7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0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File No.</w:t>
            </w:r>
          </w:p>
        </w:tc>
        <w:tc>
          <w:tcPr>
            <w:tcW w:w="6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Filing Date</w:t>
            </w:r>
          </w:p>
        </w:tc>
        <w:tc>
          <w:tcPr>
            <w:tcW w:w="10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820" w:type="dxa"/>
            <w:vAlign w:val="bottom"/>
          </w:tcPr>
          <w:p>
            <w:pPr>
              <w:ind w:left="100"/>
              <w:spacing w:after="0" w:line="149" w:lineRule="exact"/>
              <w:rPr>
                <w:sz w:val="20"/>
                <w:szCs w:val="20"/>
                <w:color w:val="auto"/>
              </w:rPr>
            </w:pPr>
            <w:r>
              <w:rPr>
                <w:rFonts w:ascii="Times New Roman" w:cs="Times New Roman" w:eastAsia="Times New Roman" w:hAnsi="Times New Roman"/>
                <w:sz w:val="17"/>
                <w:szCs w:val="17"/>
                <w:color w:val="auto"/>
              </w:rPr>
              <w:t>31.1</w:t>
            </w:r>
          </w:p>
        </w:tc>
        <w:tc>
          <w:tcPr>
            <w:tcW w:w="3180" w:type="dxa"/>
            <w:vAlign w:val="bottom"/>
            <w:tcBorders>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Certification of Principal Executive Officer</w:t>
            </w:r>
          </w:p>
        </w:tc>
        <w:tc>
          <w:tcPr>
            <w:tcW w:w="460" w:type="dxa"/>
            <w:vAlign w:val="bottom"/>
            <w:gridSpan w:val="7"/>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40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w:t>
            </w:r>
          </w:p>
        </w:tc>
        <w:tc>
          <w:tcPr>
            <w:tcW w:w="24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6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line="20" w:lineRule="exact"/>
              <w:rPr>
                <w:sz w:val="1"/>
                <w:szCs w:val="1"/>
                <w:color w:val="auto"/>
              </w:rPr>
            </w:pPr>
          </w:p>
        </w:tc>
      </w:tr>
      <w:tr>
        <w:trPr>
          <w:trHeight w:val="318"/>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31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520" w:type="dxa"/>
            <w:vAlign w:val="bottom"/>
            <w:gridSpan w:val="8"/>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40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w:t>
            </w:r>
          </w:p>
        </w:tc>
        <w:tc>
          <w:tcPr>
            <w:tcW w:w="24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6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line="20" w:lineRule="exact"/>
              <w:rPr>
                <w:sz w:val="1"/>
                <w:szCs w:val="1"/>
                <w:color w:val="auto"/>
              </w:rPr>
            </w:pPr>
          </w:p>
        </w:tc>
      </w:tr>
      <w:tr>
        <w:trPr>
          <w:trHeight w:val="318"/>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31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w:t>
            </w:r>
          </w:p>
        </w:tc>
        <w:tc>
          <w:tcPr>
            <w:tcW w:w="460" w:type="dxa"/>
            <w:vAlign w:val="bottom"/>
            <w:gridSpan w:val="7"/>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52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pursuant to 18 U.S.C. Section 1350, as Adopted</w:t>
            </w:r>
          </w:p>
        </w:tc>
        <w:tc>
          <w:tcPr>
            <w:tcW w:w="12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42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w:t>
            </w:r>
          </w:p>
        </w:tc>
        <w:tc>
          <w:tcPr>
            <w:tcW w:w="22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6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X</w:t>
            </w:r>
          </w:p>
        </w:tc>
        <w:tc>
          <w:tcPr>
            <w:tcW w:w="0" w:type="dxa"/>
            <w:vAlign w:val="bottom"/>
          </w:tcPr>
          <w:p>
            <w:pPr>
              <w:spacing w:after="0" w:line="20" w:lineRule="exact"/>
              <w:rPr>
                <w:sz w:val="1"/>
                <w:szCs w:val="1"/>
                <w:color w:val="auto"/>
              </w:rPr>
            </w:pPr>
          </w:p>
        </w:tc>
      </w:tr>
      <w:tr>
        <w:trPr>
          <w:trHeight w:val="277"/>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31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520" w:type="dxa"/>
            <w:vAlign w:val="bottom"/>
            <w:gridSpan w:val="8"/>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52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pursuant to 18 U.S.C. Section 1350, as Adopted</w:t>
            </w:r>
          </w:p>
        </w:tc>
        <w:tc>
          <w:tcPr>
            <w:tcW w:w="12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42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w:t>
            </w:r>
          </w:p>
        </w:tc>
        <w:tc>
          <w:tcPr>
            <w:tcW w:w="22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6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35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Compensation Recovery Policy of Registrant as</w:t>
              </w:r>
            </w:hyperlink>
          </w:p>
        </w:tc>
        <w:tc>
          <w:tcPr>
            <w:tcW w:w="140" w:type="dxa"/>
            <w:vAlign w:val="bottom"/>
            <w:gridSpan w:val="3"/>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10-K</w:t>
            </w: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March 29, 2024</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640" w:type="dxa"/>
            <w:vAlign w:val="bottom"/>
            <w:gridSpan w:val="12"/>
          </w:tcPr>
          <w:p>
            <w:pPr>
              <w:spacing w:after="0" w:line="196" w:lineRule="exact"/>
              <w:rPr>
                <w:rFonts w:ascii="Times New Roman" w:cs="Times New Roman" w:eastAsia="Times New Roman" w:hAnsi="Times New Roman"/>
                <w:sz w:val="18"/>
                <w:szCs w:val="18"/>
                <w:color w:val="0000FF"/>
              </w:rPr>
            </w:pPr>
            <w:hyperlink r:id="rId302">
              <w:r>
                <w:rPr>
                  <w:rFonts w:ascii="Times New Roman" w:cs="Times New Roman" w:eastAsia="Times New Roman" w:hAnsi="Times New Roman"/>
                  <w:sz w:val="18"/>
                  <w:szCs w:val="18"/>
                  <w:color w:val="0000FF"/>
                </w:rPr>
                <w:t>adopted on November 20, 2023.</w:t>
              </w:r>
            </w:hyperlink>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354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Verified Petition for Relief Pursuant to 8 Del. C.</w:t>
              </w:r>
            </w:hyperlink>
          </w:p>
        </w:tc>
        <w:tc>
          <w:tcPr>
            <w:tcW w:w="100" w:type="dxa"/>
            <w:vAlign w:val="bottom"/>
          </w:tcPr>
          <w:p>
            <w:pPr>
              <w:spacing w:after="0"/>
              <w:rPr>
                <w:sz w:val="17"/>
                <w:szCs w:val="17"/>
                <w:color w:val="auto"/>
              </w:rPr>
            </w:pPr>
          </w:p>
        </w:tc>
        <w:tc>
          <w:tcPr>
            <w:tcW w:w="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October 18,</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3640" w:type="dxa"/>
            <w:vAlign w:val="bottom"/>
            <w:gridSpan w:val="12"/>
          </w:tcPr>
          <w:p>
            <w:pPr>
              <w:spacing w:after="0" w:line="196" w:lineRule="exact"/>
              <w:rPr>
                <w:rFonts w:ascii="Times New Roman" w:cs="Times New Roman" w:eastAsia="Times New Roman" w:hAnsi="Times New Roman"/>
                <w:sz w:val="18"/>
                <w:szCs w:val="18"/>
                <w:color w:val="0000FF"/>
              </w:rPr>
            </w:pPr>
            <w:hyperlink r:id="rId303">
              <w:r>
                <w:rPr>
                  <w:rFonts w:ascii="Times New Roman" w:cs="Times New Roman" w:eastAsia="Times New Roman" w:hAnsi="Times New Roman"/>
                  <w:sz w:val="18"/>
                  <w:szCs w:val="18"/>
                  <w:color w:val="0000FF"/>
                </w:rPr>
                <w:t>§ 205 of the Registrant, filed October 2, 2023.</w:t>
              </w:r>
            </w:hyperlink>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1720" w:type="dxa"/>
            <w:vAlign w:val="bottom"/>
            <w:tcBorders>
              <w:right w:val="single" w:sz="8" w:color="0000EE"/>
            </w:tcBorders>
            <w:gridSpan w:val="4"/>
            <w:shd w:val="clear" w:color="auto" w:fill="0000FF"/>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99.2</w:t>
            </w:r>
          </w:p>
        </w:tc>
        <w:tc>
          <w:tcPr>
            <w:tcW w:w="36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304">
              <w:r>
                <w:rPr>
                  <w:rFonts w:ascii="Times New Roman" w:cs="Times New Roman" w:eastAsia="Times New Roman" w:hAnsi="Times New Roman"/>
                  <w:sz w:val="18"/>
                  <w:szCs w:val="18"/>
                  <w:color w:val="0000FF"/>
                </w:rPr>
                <w:t>Order entered by the Delaware Court of Chancery</w:t>
              </w:r>
            </w:hyperlink>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000-27598</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November 7,</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6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304">
              <w:r>
                <w:rPr>
                  <w:rFonts w:ascii="Times New Roman" w:cs="Times New Roman" w:eastAsia="Times New Roman" w:hAnsi="Times New Roman"/>
                  <w:sz w:val="18"/>
                  <w:szCs w:val="18"/>
                  <w:color w:val="0000FF"/>
                  <w:w w:val="99"/>
                </w:rPr>
                <w:t>on November 1, 2023.</w:t>
              </w:r>
            </w:hyperlink>
          </w:p>
        </w:tc>
        <w:tc>
          <w:tcPr>
            <w:tcW w:w="2020" w:type="dxa"/>
            <w:vAlign w:val="bottom"/>
            <w:gridSpan w:val="10"/>
          </w:tcPr>
          <w:p>
            <w:pPr>
              <w:spacing w:after="0"/>
              <w:rPr>
                <w:sz w:val="17"/>
                <w:szCs w:val="17"/>
                <w:color w:val="auto"/>
              </w:rPr>
            </w:pPr>
          </w:p>
        </w:tc>
        <w:tc>
          <w:tcPr>
            <w:tcW w:w="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2023</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File as its XBRL tags are embedded within the</w:t>
            </w: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3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820" w:type="dxa"/>
            <w:vAlign w:val="bottom"/>
          </w:tcPr>
          <w:p>
            <w:pPr>
              <w:jc w:val="center"/>
              <w:ind w:right="74"/>
              <w:spacing w:after="0"/>
              <w:rPr>
                <w:sz w:val="20"/>
                <w:szCs w:val="20"/>
                <w:color w:val="auto"/>
              </w:rPr>
            </w:pPr>
            <w:r>
              <w:rPr>
                <w:rFonts w:ascii="Times New Roman" w:cs="Times New Roman" w:eastAsia="Times New Roman" w:hAnsi="Times New Roman"/>
                <w:sz w:val="18"/>
                <w:szCs w:val="18"/>
                <w:color w:val="auto"/>
                <w:w w:val="99"/>
              </w:rPr>
              <w:t>101.SCH</w:t>
            </w:r>
          </w:p>
        </w:tc>
        <w:tc>
          <w:tcPr>
            <w:tcW w:w="3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w:t>
            </w:r>
          </w:p>
        </w:tc>
        <w:tc>
          <w:tcPr>
            <w:tcW w:w="7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820" w:type="dxa"/>
            <w:vAlign w:val="bottom"/>
          </w:tcPr>
          <w:p>
            <w:pPr>
              <w:spacing w:after="0"/>
              <w:rPr>
                <w:sz w:val="20"/>
                <w:szCs w:val="20"/>
                <w:color w:val="auto"/>
              </w:rPr>
            </w:pPr>
          </w:p>
        </w:tc>
        <w:tc>
          <w:tcPr>
            <w:tcW w:w="36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Embedded Linkbase Document.</w:t>
            </w:r>
          </w:p>
        </w:tc>
        <w:tc>
          <w:tcPr>
            <w:tcW w:w="7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840" w:right="5160" w:hanging="819"/>
        <w:spacing w:after="0" w:line="282" w:lineRule="auto"/>
        <w:tabs>
          <w:tab w:leader="none" w:pos="8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formatted as Inline XBRL and contained in Exhibit 101</w:t>
      </w:r>
    </w:p>
    <w:p>
      <w:pPr>
        <w:spacing w:after="0" w:line="16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or compensatory plan or arrangement.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 Acknowledgments</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Iridex, the Iridex logo, IRIS Medical, MicroPulse, OcuLight, EndoProbe, MicroPulse P3, G-Probe, G-Probe Illuminate, TruFocus LIO Premiere, IQ 577, IQ532, Cyclo G6, and TxCell are our registered trademarks. All other trademarks or trade names appearing in this Annual Report on Form 10-K are the property of their respective owners.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484505</wp:posOffset>
            </wp:positionV>
            <wp:extent cx="703770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80"/>
          </w:cols>
          <w:pgMar w:left="1400" w:top="1079" w:right="1419" w:bottom="1440" w:gutter="0" w:footer="0" w:header="0"/>
        </w:sectPr>
      </w:pPr>
    </w:p>
    <w:bookmarkStart w:id="83" w:name="page84"/>
    <w:bookmarkEnd w:id="8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left="980" w:right="13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in the City of Mountain View, State of California, on the 27th day of March 2025.</w:t>
      </w:r>
    </w:p>
    <w:p>
      <w:pPr>
        <w:spacing w:after="0" w:line="19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b w:val="1"/>
          <w:bCs w:val="1"/>
          <w:color w:val="auto"/>
        </w:rPr>
        <w:t>IRIDEX CORPORATION</w:t>
      </w:r>
    </w:p>
    <w:p>
      <w:pPr>
        <w:spacing w:after="0" w:line="229"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Patrick Mercer</w:t>
            </w:r>
          </w:p>
        </w:tc>
        <w:tc>
          <w:tcPr>
            <w:tcW w:w="20" w:type="dxa"/>
            <w:vAlign w:val="bottom"/>
          </w:tcPr>
          <w:p>
            <w:pPr>
              <w:spacing w:after="0"/>
              <w:rPr>
                <w:sz w:val="20"/>
                <w:szCs w:val="20"/>
                <w:color w:val="auto"/>
              </w:rPr>
            </w:pPr>
          </w:p>
        </w:tc>
      </w:tr>
      <w:tr>
        <w:trPr>
          <w:trHeight w:val="189"/>
        </w:trPr>
        <w:tc>
          <w:tcPr>
            <w:tcW w:w="640" w:type="dxa"/>
            <w:vAlign w:val="bottom"/>
          </w:tcPr>
          <w:p>
            <w:pPr>
              <w:spacing w:after="0"/>
              <w:rPr>
                <w:sz w:val="16"/>
                <w:szCs w:val="16"/>
                <w:color w:val="auto"/>
              </w:rPr>
            </w:pPr>
          </w:p>
        </w:tc>
        <w:tc>
          <w:tcPr>
            <w:tcW w:w="34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Patrick Mercer</w:t>
            </w:r>
          </w:p>
        </w:tc>
        <w:tc>
          <w:tcPr>
            <w:tcW w:w="20" w:type="dxa"/>
            <w:vAlign w:val="bottom"/>
          </w:tcPr>
          <w:p>
            <w:pPr>
              <w:spacing w:after="0"/>
              <w:rPr>
                <w:sz w:val="16"/>
                <w:szCs w:val="16"/>
                <w:color w:val="auto"/>
              </w:rPr>
            </w:pPr>
          </w:p>
        </w:tc>
      </w:tr>
      <w:tr>
        <w:trPr>
          <w:trHeight w:val="236"/>
        </w:trPr>
        <w:tc>
          <w:tcPr>
            <w:tcW w:w="64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20" w:type="dxa"/>
            <w:vAlign w:val="bottom"/>
          </w:tcPr>
          <w:p>
            <w:pPr>
              <w:spacing w:after="0"/>
              <w:rPr>
                <w:sz w:val="20"/>
                <w:szCs w:val="20"/>
                <w:color w:val="auto"/>
              </w:rPr>
            </w:pPr>
          </w:p>
        </w:tc>
      </w:tr>
      <w:tr>
        <w:trPr>
          <w:trHeight w:val="459"/>
        </w:trPr>
        <w:tc>
          <w:tcPr>
            <w:tcW w:w="640" w:type="dxa"/>
            <w:vAlign w:val="bottom"/>
          </w:tcPr>
          <w:p>
            <w:pPr>
              <w:spacing w:after="0"/>
              <w:rPr>
                <w:sz w:val="24"/>
                <w:szCs w:val="24"/>
                <w:color w:val="auto"/>
              </w:rPr>
            </w:pPr>
          </w:p>
        </w:tc>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Romeo R. Dizon</w:t>
            </w:r>
          </w:p>
        </w:tc>
        <w:tc>
          <w:tcPr>
            <w:tcW w:w="20" w:type="dxa"/>
            <w:vAlign w:val="bottom"/>
            <w:tcBorders>
              <w:bottom w:val="single" w:sz="8" w:color="auto"/>
            </w:tcBorders>
          </w:tcPr>
          <w:p>
            <w:pPr>
              <w:spacing w:after="0"/>
              <w:rPr>
                <w:sz w:val="24"/>
                <w:szCs w:val="24"/>
                <w:color w:val="auto"/>
              </w:rPr>
            </w:pPr>
          </w:p>
        </w:tc>
      </w:tr>
      <w:tr>
        <w:trPr>
          <w:trHeight w:val="189"/>
        </w:trPr>
        <w:tc>
          <w:tcPr>
            <w:tcW w:w="640" w:type="dxa"/>
            <w:vAlign w:val="bottom"/>
          </w:tcPr>
          <w:p>
            <w:pPr>
              <w:spacing w:after="0"/>
              <w:rPr>
                <w:sz w:val="16"/>
                <w:szCs w:val="16"/>
                <w:color w:val="auto"/>
              </w:rPr>
            </w:pPr>
          </w:p>
        </w:tc>
        <w:tc>
          <w:tcPr>
            <w:tcW w:w="34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Romeo R. Dizon</w:t>
            </w:r>
          </w:p>
        </w:tc>
        <w:tc>
          <w:tcPr>
            <w:tcW w:w="20" w:type="dxa"/>
            <w:vAlign w:val="bottom"/>
          </w:tcPr>
          <w:p>
            <w:pPr>
              <w:spacing w:after="0"/>
              <w:rPr>
                <w:sz w:val="16"/>
                <w:szCs w:val="16"/>
                <w:color w:val="auto"/>
              </w:rPr>
            </w:pPr>
          </w:p>
        </w:tc>
      </w:tr>
      <w:tr>
        <w:trPr>
          <w:trHeight w:val="236"/>
        </w:trPr>
        <w:tc>
          <w:tcPr>
            <w:tcW w:w="640" w:type="dxa"/>
            <w:vAlign w:val="bottom"/>
          </w:tcPr>
          <w:p>
            <w:pPr>
              <w:spacing w:after="0"/>
              <w:rPr>
                <w:sz w:val="20"/>
                <w:szCs w:val="20"/>
                <w:color w:val="auto"/>
              </w:rPr>
            </w:pPr>
          </w:p>
        </w:tc>
        <w:tc>
          <w:tcPr>
            <w:tcW w:w="34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20" w:type="dxa"/>
            <w:vAlign w:val="bottom"/>
          </w:tcPr>
          <w:p>
            <w:pPr>
              <w:spacing w:after="0"/>
              <w:rPr>
                <w:sz w:val="20"/>
                <w:szCs w:val="20"/>
                <w:color w:val="auto"/>
              </w:rPr>
            </w:pPr>
          </w:p>
        </w:tc>
      </w:tr>
    </w:tbl>
    <w:p>
      <w:pPr>
        <w:spacing w:after="0" w:line="225" w:lineRule="exact"/>
        <w:rPr>
          <w:sz w:val="20"/>
          <w:szCs w:val="20"/>
          <w:color w:val="auto"/>
        </w:rPr>
      </w:pPr>
    </w:p>
    <w:p>
      <w:pPr>
        <w:ind w:left="980" w:right="1060" w:firstLine="440"/>
        <w:spacing w:after="0" w:line="256"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Patrick Mercer and Romeo R. Dizon, jointly and severally, their attorney-in-fact, each with full power of substitution, for him in any and all capacities, to sign on behalf of the undersigned any amendments to this Annual Report on Form 10-K, and to file the same, with exhibits thereto and other documents in connection therewith, with the Securities and Exchange Commission, and each of the undersigned does hereby ratifying and confirming all that each of said attorneys-in-fact, or his substitutes, may do or cause to be done by virtue hereof.</w:t>
      </w:r>
    </w:p>
    <w:p>
      <w:pPr>
        <w:spacing w:after="0" w:line="79" w:lineRule="exact"/>
        <w:rPr>
          <w:sz w:val="20"/>
          <w:szCs w:val="20"/>
          <w:color w:val="auto"/>
        </w:rPr>
      </w:pPr>
    </w:p>
    <w:p>
      <w:pPr>
        <w:ind w:left="980" w:right="11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this report has been signed by the following persons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80" w:type="dxa"/>
            <w:vAlign w:val="bottom"/>
          </w:tcPr>
          <w:p>
            <w:pPr>
              <w:spacing w:after="0"/>
              <w:rPr>
                <w:sz w:val="15"/>
                <w:szCs w:val="15"/>
                <w:color w:val="auto"/>
              </w:rPr>
            </w:pPr>
          </w:p>
        </w:tc>
        <w:tc>
          <w:tcPr>
            <w:tcW w:w="326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5"/>
                <w:szCs w:val="15"/>
                <w:color w:val="auto"/>
              </w:rPr>
            </w:pPr>
          </w:p>
        </w:tc>
        <w:tc>
          <w:tcPr>
            <w:tcW w:w="446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8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80" w:type="dxa"/>
            <w:vAlign w:val="bottom"/>
          </w:tcPr>
          <w:p>
            <w:pPr>
              <w:spacing w:after="0"/>
              <w:rPr>
                <w:sz w:val="15"/>
                <w:szCs w:val="15"/>
                <w:color w:val="auto"/>
              </w:rPr>
            </w:pPr>
          </w:p>
        </w:tc>
      </w:tr>
      <w:tr>
        <w:trPr>
          <w:trHeight w:val="318"/>
        </w:trPr>
        <w:tc>
          <w:tcPr>
            <w:tcW w:w="980" w:type="dxa"/>
            <w:vAlign w:val="bottom"/>
          </w:tcPr>
          <w:p>
            <w:pPr>
              <w:spacing w:after="0"/>
              <w:rPr>
                <w:sz w:val="24"/>
                <w:szCs w:val="24"/>
                <w:color w:val="auto"/>
              </w:rPr>
            </w:pPr>
          </w:p>
        </w:tc>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Patrick Mercer</w:t>
            </w:r>
          </w:p>
        </w:tc>
        <w:tc>
          <w:tcPr>
            <w:tcW w:w="10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c>
          <w:tcPr>
            <w:tcW w:w="980" w:type="dxa"/>
            <w:vAlign w:val="bottom"/>
          </w:tcPr>
          <w:p>
            <w:pPr>
              <w:spacing w:after="0"/>
              <w:rPr>
                <w:sz w:val="24"/>
                <w:szCs w:val="24"/>
                <w:color w:val="auto"/>
              </w:rPr>
            </w:pPr>
          </w:p>
        </w:tc>
      </w:tr>
      <w:tr>
        <w:trPr>
          <w:trHeight w:val="228"/>
        </w:trPr>
        <w:tc>
          <w:tcPr>
            <w:tcW w:w="980" w:type="dxa"/>
            <w:vAlign w:val="bottom"/>
          </w:tcPr>
          <w:p>
            <w:pPr>
              <w:spacing w:after="0"/>
              <w:rPr>
                <w:sz w:val="19"/>
                <w:szCs w:val="19"/>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(Patrick Mercer)</w:t>
            </w:r>
          </w:p>
        </w:tc>
        <w:tc>
          <w:tcPr>
            <w:tcW w:w="10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14"/>
        </w:trPr>
        <w:tc>
          <w:tcPr>
            <w:tcW w:w="980" w:type="dxa"/>
            <w:vAlign w:val="bottom"/>
          </w:tcPr>
          <w:p>
            <w:pPr>
              <w:spacing w:after="0"/>
              <w:rPr>
                <w:sz w:val="24"/>
                <w:szCs w:val="24"/>
                <w:color w:val="auto"/>
              </w:rPr>
            </w:pPr>
          </w:p>
        </w:tc>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Romeo R. Dizon</w:t>
            </w:r>
          </w:p>
        </w:tc>
        <w:tc>
          <w:tcPr>
            <w:tcW w:w="10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c>
          <w:tcPr>
            <w:tcW w:w="980" w:type="dxa"/>
            <w:vAlign w:val="bottom"/>
          </w:tcPr>
          <w:p>
            <w:pPr>
              <w:spacing w:after="0"/>
              <w:rPr>
                <w:sz w:val="24"/>
                <w:szCs w:val="24"/>
                <w:color w:val="auto"/>
              </w:rPr>
            </w:pPr>
          </w:p>
        </w:tc>
      </w:tr>
      <w:tr>
        <w:trPr>
          <w:trHeight w:val="189"/>
        </w:trPr>
        <w:tc>
          <w:tcPr>
            <w:tcW w:w="980" w:type="dxa"/>
            <w:vAlign w:val="bottom"/>
          </w:tcPr>
          <w:p>
            <w:pPr>
              <w:spacing w:after="0"/>
              <w:rPr>
                <w:sz w:val="16"/>
                <w:szCs w:val="16"/>
                <w:color w:val="auto"/>
              </w:rPr>
            </w:pPr>
          </w:p>
        </w:tc>
        <w:tc>
          <w:tcPr>
            <w:tcW w:w="32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(Romeo R. Dizon)</w:t>
            </w:r>
          </w:p>
        </w:tc>
        <w:tc>
          <w:tcPr>
            <w:tcW w:w="100" w:type="dxa"/>
            <w:vAlign w:val="bottom"/>
          </w:tcPr>
          <w:p>
            <w:pPr>
              <w:spacing w:after="0"/>
              <w:rPr>
                <w:sz w:val="16"/>
                <w:szCs w:val="16"/>
                <w:color w:val="auto"/>
              </w:rPr>
            </w:pPr>
          </w:p>
        </w:tc>
        <w:tc>
          <w:tcPr>
            <w:tcW w:w="4460" w:type="dxa"/>
            <w:vAlign w:val="bottom"/>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(Principal Financial Officer and</w:t>
            </w: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6"/>
        </w:trPr>
        <w:tc>
          <w:tcPr>
            <w:tcW w:w="9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Scott Shuda</w:t>
            </w:r>
          </w:p>
        </w:tc>
        <w:tc>
          <w:tcPr>
            <w:tcW w:w="10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Chairperson of the Board</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c>
          <w:tcPr>
            <w:tcW w:w="980" w:type="dxa"/>
            <w:vAlign w:val="bottom"/>
          </w:tcPr>
          <w:p>
            <w:pPr>
              <w:spacing w:after="0"/>
              <w:rPr>
                <w:sz w:val="24"/>
                <w:szCs w:val="24"/>
                <w:color w:val="auto"/>
              </w:rPr>
            </w:pPr>
          </w:p>
        </w:tc>
      </w:tr>
      <w:tr>
        <w:trPr>
          <w:trHeight w:val="228"/>
        </w:trPr>
        <w:tc>
          <w:tcPr>
            <w:tcW w:w="980" w:type="dxa"/>
            <w:vAlign w:val="bottom"/>
          </w:tcPr>
          <w:p>
            <w:pPr>
              <w:spacing w:after="0"/>
              <w:rPr>
                <w:sz w:val="19"/>
                <w:szCs w:val="19"/>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Shuda)</w:t>
            </w:r>
          </w:p>
        </w:tc>
        <w:tc>
          <w:tcPr>
            <w:tcW w:w="1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14"/>
        </w:trPr>
        <w:tc>
          <w:tcPr>
            <w:tcW w:w="980" w:type="dxa"/>
            <w:vAlign w:val="bottom"/>
          </w:tcPr>
          <w:p>
            <w:pPr>
              <w:spacing w:after="0"/>
              <w:rPr>
                <w:sz w:val="24"/>
                <w:szCs w:val="24"/>
                <w:color w:val="auto"/>
              </w:rPr>
            </w:pPr>
          </w:p>
        </w:tc>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Grove</w:t>
            </w:r>
          </w:p>
        </w:tc>
        <w:tc>
          <w:tcPr>
            <w:tcW w:w="10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c>
          <w:tcPr>
            <w:tcW w:w="980" w:type="dxa"/>
            <w:vAlign w:val="bottom"/>
          </w:tcPr>
          <w:p>
            <w:pPr>
              <w:spacing w:after="0"/>
              <w:rPr>
                <w:sz w:val="24"/>
                <w:szCs w:val="24"/>
                <w:color w:val="auto"/>
              </w:rPr>
            </w:pPr>
          </w:p>
        </w:tc>
      </w:tr>
      <w:tr>
        <w:trPr>
          <w:trHeight w:val="228"/>
        </w:trPr>
        <w:tc>
          <w:tcPr>
            <w:tcW w:w="980" w:type="dxa"/>
            <w:vAlign w:val="bottom"/>
          </w:tcPr>
          <w:p>
            <w:pPr>
              <w:spacing w:after="0"/>
              <w:rPr>
                <w:sz w:val="19"/>
                <w:szCs w:val="19"/>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Grove)</w:t>
            </w:r>
          </w:p>
        </w:tc>
        <w:tc>
          <w:tcPr>
            <w:tcW w:w="1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14"/>
        </w:trPr>
        <w:tc>
          <w:tcPr>
            <w:tcW w:w="980" w:type="dxa"/>
            <w:vAlign w:val="bottom"/>
          </w:tcPr>
          <w:p>
            <w:pPr>
              <w:spacing w:after="0"/>
              <w:rPr>
                <w:sz w:val="24"/>
                <w:szCs w:val="24"/>
                <w:color w:val="auto"/>
              </w:rPr>
            </w:pPr>
          </w:p>
        </w:tc>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Beverly A. Huss</w:t>
            </w:r>
          </w:p>
        </w:tc>
        <w:tc>
          <w:tcPr>
            <w:tcW w:w="10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c>
          <w:tcPr>
            <w:tcW w:w="980" w:type="dxa"/>
            <w:vAlign w:val="bottom"/>
          </w:tcPr>
          <w:p>
            <w:pPr>
              <w:spacing w:after="0"/>
              <w:rPr>
                <w:sz w:val="24"/>
                <w:szCs w:val="24"/>
                <w:color w:val="auto"/>
              </w:rPr>
            </w:pPr>
          </w:p>
        </w:tc>
      </w:tr>
      <w:tr>
        <w:trPr>
          <w:trHeight w:val="228"/>
        </w:trPr>
        <w:tc>
          <w:tcPr>
            <w:tcW w:w="980" w:type="dxa"/>
            <w:vAlign w:val="bottom"/>
          </w:tcPr>
          <w:p>
            <w:pPr>
              <w:spacing w:after="0"/>
              <w:rPr>
                <w:sz w:val="19"/>
                <w:szCs w:val="19"/>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(Beverly A. Huss)</w:t>
            </w:r>
          </w:p>
        </w:tc>
        <w:tc>
          <w:tcPr>
            <w:tcW w:w="1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14"/>
        </w:trPr>
        <w:tc>
          <w:tcPr>
            <w:tcW w:w="980" w:type="dxa"/>
            <w:vAlign w:val="bottom"/>
          </w:tcPr>
          <w:p>
            <w:pPr>
              <w:spacing w:after="0"/>
              <w:rPr>
                <w:sz w:val="24"/>
                <w:szCs w:val="24"/>
                <w:color w:val="auto"/>
              </w:rPr>
            </w:pPr>
          </w:p>
        </w:tc>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Kenneth E. Ludlum</w:t>
            </w:r>
          </w:p>
        </w:tc>
        <w:tc>
          <w:tcPr>
            <w:tcW w:w="10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c>
          <w:tcPr>
            <w:tcW w:w="980" w:type="dxa"/>
            <w:vAlign w:val="bottom"/>
          </w:tcPr>
          <w:p>
            <w:pPr>
              <w:spacing w:after="0"/>
              <w:rPr>
                <w:sz w:val="24"/>
                <w:szCs w:val="24"/>
                <w:color w:val="auto"/>
              </w:rPr>
            </w:pPr>
          </w:p>
        </w:tc>
      </w:tr>
      <w:tr>
        <w:trPr>
          <w:trHeight w:val="228"/>
        </w:trPr>
        <w:tc>
          <w:tcPr>
            <w:tcW w:w="980" w:type="dxa"/>
            <w:vAlign w:val="bottom"/>
          </w:tcPr>
          <w:p>
            <w:pPr>
              <w:spacing w:after="0"/>
              <w:rPr>
                <w:sz w:val="19"/>
                <w:szCs w:val="19"/>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(Kenneth E. Ludlum)</w:t>
            </w:r>
          </w:p>
        </w:tc>
        <w:tc>
          <w:tcPr>
            <w:tcW w:w="1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14"/>
        </w:trPr>
        <w:tc>
          <w:tcPr>
            <w:tcW w:w="980" w:type="dxa"/>
            <w:vAlign w:val="bottom"/>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c>
          <w:tcPr>
            <w:tcW w:w="980" w:type="dxa"/>
            <w:vAlign w:val="bottom"/>
          </w:tcPr>
          <w:p>
            <w:pPr>
              <w:spacing w:after="0"/>
              <w:rPr>
                <w:sz w:val="24"/>
                <w:szCs w:val="24"/>
                <w:color w:val="auto"/>
              </w:rPr>
            </w:pPr>
          </w:p>
        </w:tc>
      </w:tr>
      <w:tr>
        <w:trPr>
          <w:trHeight w:val="228"/>
        </w:trPr>
        <w:tc>
          <w:tcPr>
            <w:tcW w:w="980" w:type="dxa"/>
            <w:vAlign w:val="bottom"/>
          </w:tcPr>
          <w:p>
            <w:pPr>
              <w:spacing w:after="0"/>
              <w:rPr>
                <w:sz w:val="19"/>
                <w:szCs w:val="19"/>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Moore)</w:t>
            </w:r>
          </w:p>
        </w:tc>
        <w:tc>
          <w:tcPr>
            <w:tcW w:w="1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14"/>
        </w:trPr>
        <w:tc>
          <w:tcPr>
            <w:tcW w:w="980" w:type="dxa"/>
            <w:vAlign w:val="bottom"/>
          </w:tcPr>
          <w:p>
            <w:pPr>
              <w:spacing w:after="0"/>
              <w:rPr>
                <w:sz w:val="24"/>
                <w:szCs w:val="24"/>
                <w:color w:val="auto"/>
              </w:rPr>
            </w:pPr>
          </w:p>
        </w:tc>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Nick Chen</w:t>
            </w:r>
          </w:p>
        </w:tc>
        <w:tc>
          <w:tcPr>
            <w:tcW w:w="10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8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27, 2025</w:t>
            </w:r>
          </w:p>
        </w:tc>
        <w:tc>
          <w:tcPr>
            <w:tcW w:w="980" w:type="dxa"/>
            <w:vAlign w:val="bottom"/>
          </w:tcPr>
          <w:p>
            <w:pPr>
              <w:spacing w:after="0"/>
              <w:rPr>
                <w:sz w:val="24"/>
                <w:szCs w:val="24"/>
                <w:color w:val="auto"/>
              </w:rPr>
            </w:pPr>
          </w:p>
        </w:tc>
      </w:tr>
      <w:tr>
        <w:trPr>
          <w:trHeight w:val="228"/>
        </w:trPr>
        <w:tc>
          <w:tcPr>
            <w:tcW w:w="980" w:type="dxa"/>
            <w:vAlign w:val="bottom"/>
          </w:tcPr>
          <w:p>
            <w:pPr>
              <w:spacing w:after="0"/>
              <w:rPr>
                <w:sz w:val="19"/>
                <w:szCs w:val="19"/>
                <w:color w:val="auto"/>
              </w:rPr>
            </w:pPr>
          </w:p>
        </w:tc>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(Nick Chen)</w:t>
            </w:r>
          </w:p>
        </w:tc>
        <w:tc>
          <w:tcPr>
            <w:tcW w:w="10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630"/>
        </w:trPr>
        <w:tc>
          <w:tcPr>
            <w:tcW w:w="9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560" w:type="dxa"/>
            <w:vAlign w:val="bottom"/>
            <w:gridSpan w:val="2"/>
          </w:tcPr>
          <w:p>
            <w:pPr>
              <w:jc w:val="right"/>
              <w:ind w:right="3092"/>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763"/>
        </w:trPr>
        <w:tc>
          <w:tcPr>
            <w:tcW w:w="98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0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089" w:right="439" w:bottom="1440" w:gutter="0" w:footer="0" w:header="0"/>
        </w:sectPr>
      </w:pPr>
    </w:p>
    <w:bookmarkStart w:id="84" w:name="page85"/>
    <w:bookmarkEnd w:id="84"/>
    <w:p>
      <w:pPr>
        <w:jc w:val="right"/>
        <w:ind w:right="299"/>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IRIDEX CORPORATION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(March 11, 2025)</w:t>
      </w:r>
    </w:p>
    <w:p>
      <w:pPr>
        <w:spacing w:after="0" w:line="212" w:lineRule="exact"/>
        <w:rPr>
          <w:sz w:val="20"/>
          <w:szCs w:val="20"/>
          <w:color w:val="auto"/>
        </w:rPr>
      </w:pPr>
    </w:p>
    <w:p>
      <w:pPr>
        <w:ind w:left="940" w:hanging="648"/>
        <w:spacing w:after="0"/>
        <w:tabs>
          <w:tab w:leader="none" w:pos="94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POLICY OVERVIEW</w:t>
      </w:r>
    </w:p>
    <w:p>
      <w:pPr>
        <w:spacing w:after="0" w:line="216" w:lineRule="exact"/>
        <w:rPr>
          <w:sz w:val="20"/>
          <w:szCs w:val="20"/>
          <w:color w:val="auto"/>
        </w:rPr>
      </w:pPr>
    </w:p>
    <w:p>
      <w:pPr>
        <w:jc w:val="both"/>
        <w:ind w:left="300" w:right="299" w:firstLine="648"/>
        <w:spacing w:after="0" w:line="250" w:lineRule="auto"/>
        <w:rPr>
          <w:sz w:val="20"/>
          <w:szCs w:val="20"/>
          <w:color w:val="auto"/>
        </w:rPr>
      </w:pPr>
      <w:r>
        <w:rPr>
          <w:rFonts w:ascii="Times New Roman" w:cs="Times New Roman" w:eastAsia="Times New Roman" w:hAnsi="Times New Roman"/>
          <w:sz w:val="20"/>
          <w:szCs w:val="20"/>
          <w:color w:val="auto"/>
        </w:rPr>
        <w:t>IRIDEX Corporation (together with any subsidiaries, collectively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has adopted this Insider Trading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to help you comply with the federal and state securities laws and regulations that govern trading in securities and to help the Company minimize its own legal and reputational risk.</w:t>
      </w:r>
    </w:p>
    <w:p>
      <w:pPr>
        <w:spacing w:after="0" w:line="180" w:lineRule="exact"/>
        <w:rPr>
          <w:sz w:val="20"/>
          <w:szCs w:val="20"/>
          <w:color w:val="auto"/>
        </w:rPr>
      </w:pPr>
    </w:p>
    <w:p>
      <w:pPr>
        <w:jc w:val="both"/>
        <w:ind w:left="300" w:right="299" w:firstLine="648"/>
        <w:spacing w:after="0" w:line="243" w:lineRule="auto"/>
        <w:rPr>
          <w:sz w:val="20"/>
          <w:szCs w:val="20"/>
          <w:color w:val="auto"/>
        </w:rPr>
      </w:pPr>
      <w:r>
        <w:rPr>
          <w:rFonts w:ascii="Times New Roman" w:cs="Times New Roman" w:eastAsia="Times New Roman" w:hAnsi="Times New Roman"/>
          <w:sz w:val="20"/>
          <w:szCs w:val="20"/>
          <w:color w:val="auto"/>
        </w:rPr>
        <w:t>It is your responsibility to understand and follow this Policy. Insider trading is illegal and a violation of this Policy. In addition to your own liability for insider trading, the Company, as well as individual directors, officers and other supervisory personnel, could face liability. In furtherance of the Policy’s goals, the Company will not transact in its own securities except in compliance with securities laws</w:t>
      </w:r>
      <w:r>
        <w:rPr>
          <w:rFonts w:ascii="Times New Roman" w:cs="Times New Roman" w:eastAsia="Times New Roman" w:hAnsi="Times New Roman"/>
          <w:sz w:val="14"/>
          <w:szCs w:val="14"/>
          <w:color w:val="auto"/>
        </w:rPr>
        <w:t>.</w:t>
      </w:r>
      <w:r>
        <w:rPr>
          <w:rFonts w:ascii="Times New Roman" w:cs="Times New Roman" w:eastAsia="Times New Roman" w:hAnsi="Times New Roman"/>
          <w:sz w:val="20"/>
          <w:szCs w:val="20"/>
          <w:color w:val="auto"/>
        </w:rPr>
        <w:t xml:space="preserve"> Even the appearance of insider trading can lead to government investigations or lawsuits that are time-consuming, expensive and can lead to criminal and civil liability, including damages and fines, imprisonment and bars on serving as an officer or director of a public company, not to mention irreparable damage to both your and the Company’s reputation.</w:t>
      </w:r>
    </w:p>
    <w:p>
      <w:pPr>
        <w:spacing w:after="0" w:line="189"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For purposes of this Policy, the Company’s Chief Financial Officer serves as the Compliance Officer. The Compliance Officer may designate others, from time to time, to assist with the execution of his or her duties under this Policy.</w:t>
      </w:r>
    </w:p>
    <w:p>
      <w:pPr>
        <w:spacing w:after="0" w:line="170" w:lineRule="exact"/>
        <w:rPr>
          <w:sz w:val="20"/>
          <w:szCs w:val="20"/>
          <w:color w:val="auto"/>
        </w:rPr>
      </w:pPr>
    </w:p>
    <w:p>
      <w:pPr>
        <w:ind w:left="940" w:hanging="648"/>
        <w:spacing w:after="0"/>
        <w:tabs>
          <w:tab w:leader="none" w:pos="94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POLICY STATEMENT</w:t>
      </w:r>
    </w:p>
    <w:p>
      <w:pPr>
        <w:spacing w:after="0" w:line="219" w:lineRule="exact"/>
        <w:rPr>
          <w:rFonts w:ascii="Times New Roman" w:cs="Times New Roman" w:eastAsia="Times New Roman" w:hAnsi="Times New Roman"/>
          <w:sz w:val="20"/>
          <w:szCs w:val="20"/>
          <w:b w:val="1"/>
          <w:bCs w:val="1"/>
          <w:color w:val="auto"/>
        </w:rPr>
      </w:pPr>
    </w:p>
    <w:p>
      <w:pPr>
        <w:jc w:val="both"/>
        <w:ind w:left="300" w:right="299" w:firstLine="640"/>
        <w:spacing w:after="0" w:line="254" w:lineRule="auto"/>
        <w:tabs>
          <w:tab w:leader="none" w:pos="1181"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Trading on Material Nonpublic Information</w:t>
      </w:r>
      <w:r>
        <w:rPr>
          <w:rFonts w:ascii="Times New Roman" w:cs="Times New Roman" w:eastAsia="Times New Roman" w:hAnsi="Times New Roman"/>
          <w:sz w:val="20"/>
          <w:szCs w:val="20"/>
          <w:color w:val="auto"/>
        </w:rPr>
        <w:t>. It is illegal for anyone to trade in securities on the basis of material nonpublic information. If you are in possession of material nonpublic information about the Company, you are prohibited from:</w:t>
      </w:r>
    </w:p>
    <w:p>
      <w:pPr>
        <w:spacing w:after="0" w:line="174" w:lineRule="exact"/>
        <w:rPr>
          <w:rFonts w:ascii="Times New Roman" w:cs="Times New Roman" w:eastAsia="Times New Roman" w:hAnsi="Times New Roman"/>
          <w:sz w:val="20"/>
          <w:szCs w:val="20"/>
          <w:color w:val="auto"/>
        </w:rPr>
      </w:pPr>
    </w:p>
    <w:p>
      <w:pPr>
        <w:ind w:left="1920" w:hanging="656"/>
        <w:spacing w:after="0"/>
        <w:tabs>
          <w:tab w:leader="none" w:pos="1920" w:val="left"/>
        </w:tabs>
        <w:numPr>
          <w:ilvl w:val="2"/>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using it to transact in securities of the Company;</w:t>
      </w:r>
    </w:p>
    <w:p>
      <w:pPr>
        <w:spacing w:after="0" w:line="215" w:lineRule="exact"/>
        <w:rPr>
          <w:rFonts w:ascii="Times New Roman" w:cs="Times New Roman" w:eastAsia="Times New Roman" w:hAnsi="Times New Roman"/>
          <w:sz w:val="20"/>
          <w:szCs w:val="20"/>
          <w:color w:val="auto"/>
        </w:rPr>
      </w:pPr>
    </w:p>
    <w:p>
      <w:pPr>
        <w:ind w:left="1920" w:right="299" w:hanging="656"/>
        <w:spacing w:after="0" w:line="269" w:lineRule="auto"/>
        <w:tabs>
          <w:tab w:leader="none" w:pos="1920" w:val="left"/>
        </w:tabs>
        <w:numPr>
          <w:ilvl w:val="2"/>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disclosing it to other directors, officers, employees, consultants, contractors or advisors whose roles do not require them to have the information;</w:t>
      </w:r>
    </w:p>
    <w:p>
      <w:pPr>
        <w:spacing w:after="0" w:line="159" w:lineRule="exact"/>
        <w:rPr>
          <w:rFonts w:ascii="Times New Roman" w:cs="Times New Roman" w:eastAsia="Times New Roman" w:hAnsi="Times New Roman"/>
          <w:sz w:val="20"/>
          <w:szCs w:val="20"/>
          <w:color w:val="auto"/>
        </w:rPr>
      </w:pPr>
    </w:p>
    <w:p>
      <w:pPr>
        <w:jc w:val="both"/>
        <w:ind w:left="1920" w:right="319" w:hanging="656"/>
        <w:spacing w:after="0" w:line="254" w:lineRule="auto"/>
        <w:tabs>
          <w:tab w:leader="none" w:pos="1920" w:val="left"/>
        </w:tabs>
        <w:numPr>
          <w:ilvl w:val="2"/>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disclosing it to anyone outside of the Company, including family, friends, business associates, investors or consulting firms, without prior written authorization from the Compliance Officer; or</w:t>
      </w:r>
    </w:p>
    <w:p>
      <w:pPr>
        <w:spacing w:after="0" w:line="174" w:lineRule="exact"/>
        <w:rPr>
          <w:rFonts w:ascii="Times New Roman" w:cs="Times New Roman" w:eastAsia="Times New Roman" w:hAnsi="Times New Roman"/>
          <w:sz w:val="20"/>
          <w:szCs w:val="20"/>
          <w:color w:val="auto"/>
        </w:rPr>
      </w:pPr>
    </w:p>
    <w:p>
      <w:pPr>
        <w:ind w:left="1920" w:right="299" w:hanging="656"/>
        <w:spacing w:after="0" w:line="269" w:lineRule="auto"/>
        <w:tabs>
          <w:tab w:leader="none" w:pos="1920" w:val="left"/>
        </w:tabs>
        <w:numPr>
          <w:ilvl w:val="2"/>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using it to express an opinion or make a recommendation about trading in the Company’s securities.</w:t>
      </w:r>
    </w:p>
    <w:p>
      <w:pPr>
        <w:spacing w:after="0" w:line="159"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In addition, if you learn of material nonpublic information through your service with the Company that could be expected to affect the trading price of the securities of another company, you cannot (x) use that information to trade, directly or indirectly through others, or (y) provide that information to another person in order to trade, in the securities of that other company. Any such action will be deemed a violation of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1010920</wp:posOffset>
            </wp:positionV>
            <wp:extent cx="703770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0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61" w:right="1440" w:bottom="1440" w:gutter="0" w:footer="0" w:header="0"/>
        </w:sectPr>
      </w:pPr>
    </w:p>
    <w:bookmarkStart w:id="85" w:name="page86"/>
    <w:bookmarkEnd w:id="85"/>
    <w:p>
      <w:pPr>
        <w:spacing w:after="0" w:line="189" w:lineRule="exact"/>
        <w:rPr>
          <w:sz w:val="20"/>
          <w:szCs w:val="20"/>
          <w:color w:val="auto"/>
        </w:rPr>
      </w:pPr>
    </w:p>
    <w:p>
      <w:pPr>
        <w:jc w:val="both"/>
        <w:ind w:left="300" w:right="299" w:firstLine="640"/>
        <w:spacing w:after="0" w:line="244" w:lineRule="auto"/>
        <w:tabs>
          <w:tab w:leader="none" w:pos="1181"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Disclosure of Confidential Information</w:t>
      </w:r>
      <w:r>
        <w:rPr>
          <w:rFonts w:ascii="Times New Roman" w:cs="Times New Roman" w:eastAsia="Times New Roman" w:hAnsi="Times New Roman"/>
          <w:sz w:val="20"/>
          <w:szCs w:val="20"/>
          <w:color w:val="auto"/>
        </w:rPr>
        <w:t>. You may not at any time disclose material nonpublic information about the Company or about another company that you obtained in connection with your service with the Company to friends, family members or any other person or entity that the Company has not authorized to know such information. In addition, you must handle the confidential information of others in accordance with any related non-disclosure agreements and other obligations that the Company has with them and limit your use of the confidential information to the purpose for which it was disclosed.</w:t>
      </w:r>
    </w:p>
    <w:p>
      <w:pPr>
        <w:spacing w:after="0" w:line="186"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If you receive an inquiry for information from someone outside of the Company, such as a stock analyst, or a request for sensitive information outside the ordinary course of business from someone outside of the Company, such as a business partner, vendor, supplier or salesperson, then you should refer the inquiry to the Chief Executive Officer, Chief Financial Officer or other such individual designated as the Compliance Officer. Responding to a request yourself may violate this Policy and, in some circumstances, the law.</w:t>
      </w:r>
    </w:p>
    <w:p>
      <w:pPr>
        <w:spacing w:after="0" w:line="180" w:lineRule="exact"/>
        <w:rPr>
          <w:sz w:val="20"/>
          <w:szCs w:val="20"/>
          <w:color w:val="auto"/>
        </w:rPr>
      </w:pPr>
    </w:p>
    <w:p>
      <w:pPr>
        <w:jc w:val="both"/>
        <w:ind w:left="300" w:right="299" w:firstLine="640"/>
        <w:spacing w:after="0" w:line="246" w:lineRule="auto"/>
        <w:tabs>
          <w:tab w:leader="none" w:pos="1181"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 of Material Nonpublic Information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Material information</w:t>
      </w:r>
      <w:r>
        <w:rPr>
          <w:rFonts w:ascii="Times New Roman" w:cs="Times New Roman" w:eastAsia="Times New Roman" w:hAnsi="Times New Roman"/>
          <w:sz w:val="20"/>
          <w:szCs w:val="20"/>
          <w:color w:val="auto"/>
        </w:rPr>
        <w:t>” means information that a reasonable investor would be substantially likely to consider important in deciding whether to buy, hold or sell securities or would view as significantly altering the total mix of information available in the marketplace about the issuer of the securities. In general, any information that could reasonably be expected to affect the market price of a security is likely to be material. Either positive or negative information may be material.</w:t>
      </w:r>
    </w:p>
    <w:p>
      <w:pPr>
        <w:spacing w:after="0" w:line="183" w:lineRule="exact"/>
        <w:rPr>
          <w:sz w:val="20"/>
          <w:szCs w:val="20"/>
          <w:color w:val="auto"/>
        </w:rPr>
      </w:pPr>
    </w:p>
    <w:p>
      <w:pPr>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It is not possible to define all categories of “material” information. However, some examples of information that could be regarded as material include, but are not limited to:</w:t>
      </w:r>
    </w:p>
    <w:p>
      <w:pPr>
        <w:spacing w:after="0" w:line="159" w:lineRule="exact"/>
        <w:rPr>
          <w:sz w:val="20"/>
          <w:szCs w:val="20"/>
          <w:color w:val="auto"/>
        </w:rPr>
      </w:pPr>
    </w:p>
    <w:p>
      <w:pPr>
        <w:jc w:val="both"/>
        <w:ind w:left="1920" w:right="299" w:hanging="656"/>
        <w:spacing w:after="0" w:line="254" w:lineRule="auto"/>
        <w:tabs>
          <w:tab w:leader="none" w:pos="19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results, key metrics, financial condition, earnings pre-announcements, guidance, projections or forecasts, particularly if inconsistent with the Company’s guidance or the expectations of the investment community;</w:t>
      </w:r>
    </w:p>
    <w:p>
      <w:pPr>
        <w:spacing w:after="0" w:line="174" w:lineRule="exact"/>
        <w:rPr>
          <w:rFonts w:ascii="Times New Roman" w:cs="Times New Roman" w:eastAsia="Times New Roman" w:hAnsi="Times New Roman"/>
          <w:sz w:val="20"/>
          <w:szCs w:val="20"/>
          <w:color w:val="auto"/>
        </w:rPr>
      </w:pPr>
    </w:p>
    <w:p>
      <w:pPr>
        <w:ind w:left="1920" w:hanging="656"/>
        <w:spacing w:after="0"/>
        <w:tabs>
          <w:tab w:leader="none" w:pos="1920" w:val="left"/>
        </w:tabs>
        <w:numPr>
          <w:ilvl w:val="0"/>
          <w:numId w:val="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restatements of financial results, or material impairments, write-offs or restructurings;</w:t>
      </w:r>
    </w:p>
    <w:p>
      <w:pPr>
        <w:spacing w:after="0" w:line="227" w:lineRule="exact"/>
        <w:rPr>
          <w:rFonts w:ascii="Times New Roman" w:cs="Times New Roman" w:eastAsia="Times New Roman" w:hAnsi="Times New Roman"/>
          <w:sz w:val="19"/>
          <w:szCs w:val="19"/>
          <w:color w:val="auto"/>
        </w:rPr>
      </w:pPr>
    </w:p>
    <w:p>
      <w:pPr>
        <w:ind w:left="1920" w:right="299" w:hanging="656"/>
        <w:spacing w:after="0" w:line="269" w:lineRule="auto"/>
        <w:tabs>
          <w:tab w:leader="none" w:pos="19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independent auditors, or notification that the Company may no longer rely on an audit report;</w:t>
      </w:r>
    </w:p>
    <w:p>
      <w:pPr>
        <w:spacing w:after="0" w:line="159" w:lineRule="exact"/>
        <w:rPr>
          <w:rFonts w:ascii="Times New Roman" w:cs="Times New Roman" w:eastAsia="Times New Roman" w:hAnsi="Times New Roman"/>
          <w:sz w:val="20"/>
          <w:szCs w:val="20"/>
          <w:color w:val="auto"/>
        </w:rPr>
      </w:pPr>
    </w:p>
    <w:p>
      <w:pPr>
        <w:ind w:left="1920" w:hanging="656"/>
        <w:spacing w:after="0"/>
        <w:tabs>
          <w:tab w:leader="none" w:pos="19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plans or budgets;</w:t>
      </w:r>
    </w:p>
    <w:p>
      <w:pPr>
        <w:spacing w:after="0" w:line="215" w:lineRule="exact"/>
        <w:rPr>
          <w:rFonts w:ascii="Times New Roman" w:cs="Times New Roman" w:eastAsia="Times New Roman" w:hAnsi="Times New Roman"/>
          <w:sz w:val="20"/>
          <w:szCs w:val="20"/>
          <w:color w:val="auto"/>
        </w:rPr>
      </w:pPr>
    </w:p>
    <w:p>
      <w:pPr>
        <w:ind w:left="1920" w:right="319" w:hanging="656"/>
        <w:spacing w:after="0" w:line="269" w:lineRule="auto"/>
        <w:tabs>
          <w:tab w:leader="none" w:pos="19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creation of significant financial obligations, or any significant default under or acceleration of any financial obligation;</w:t>
      </w:r>
    </w:p>
    <w:p>
      <w:pPr>
        <w:spacing w:after="0" w:line="159" w:lineRule="exact"/>
        <w:rPr>
          <w:rFonts w:ascii="Times New Roman" w:cs="Times New Roman" w:eastAsia="Times New Roman" w:hAnsi="Times New Roman"/>
          <w:sz w:val="20"/>
          <w:szCs w:val="20"/>
          <w:color w:val="auto"/>
        </w:rPr>
      </w:pPr>
    </w:p>
    <w:p>
      <w:pPr>
        <w:ind w:left="1920" w:hanging="656"/>
        <w:spacing w:after="0"/>
        <w:tabs>
          <w:tab w:leader="none" w:pos="19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impending bankruptcy or financial liquidity problems;</w:t>
      </w:r>
    </w:p>
    <w:p>
      <w:pPr>
        <w:spacing w:after="0" w:line="215" w:lineRule="exact"/>
        <w:rPr>
          <w:rFonts w:ascii="Times New Roman" w:cs="Times New Roman" w:eastAsia="Times New Roman" w:hAnsi="Times New Roman"/>
          <w:sz w:val="20"/>
          <w:szCs w:val="20"/>
          <w:color w:val="auto"/>
        </w:rPr>
      </w:pPr>
    </w:p>
    <w:p>
      <w:pPr>
        <w:jc w:val="both"/>
        <w:ind w:left="1920" w:right="299" w:hanging="656"/>
        <w:spacing w:after="0" w:line="254" w:lineRule="auto"/>
        <w:tabs>
          <w:tab w:leader="none" w:pos="19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developments involving business relationships, including execution, modification or termination of significant agreements or orders with customers, suppliers, distributors, manufacturers or other business partners;</w:t>
      </w:r>
    </w:p>
    <w:p>
      <w:pPr>
        <w:spacing w:after="0" w:line="174" w:lineRule="exact"/>
        <w:rPr>
          <w:rFonts w:ascii="Times New Roman" w:cs="Times New Roman" w:eastAsia="Times New Roman" w:hAnsi="Times New Roman"/>
          <w:sz w:val="20"/>
          <w:szCs w:val="20"/>
          <w:color w:val="auto"/>
        </w:rPr>
      </w:pPr>
    </w:p>
    <w:p>
      <w:pPr>
        <w:jc w:val="both"/>
        <w:ind w:left="1920" w:right="319" w:hanging="656"/>
        <w:spacing w:after="0" w:line="268" w:lineRule="auto"/>
        <w:tabs>
          <w:tab w:leader="none" w:pos="19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information relating to the operation of product or service, such as new products or services, major modifications or performance issues, defects or recalls, significant pricing changes or other announcements of a significant nature;</w:t>
      </w:r>
    </w:p>
    <w:p>
      <w:pPr>
        <w:spacing w:after="0" w:line="161" w:lineRule="exact"/>
        <w:rPr>
          <w:rFonts w:ascii="Times New Roman" w:cs="Times New Roman" w:eastAsia="Times New Roman" w:hAnsi="Times New Roman"/>
          <w:sz w:val="20"/>
          <w:szCs w:val="20"/>
          <w:color w:val="auto"/>
        </w:rPr>
      </w:pPr>
    </w:p>
    <w:p>
      <w:pPr>
        <w:jc w:val="both"/>
        <w:ind w:left="1920" w:right="299" w:hanging="656"/>
        <w:spacing w:after="0" w:line="254" w:lineRule="auto"/>
        <w:tabs>
          <w:tab w:leader="none" w:pos="19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developments in research and development, relating to the Company’s clinical studies, including, without limitation, status, results and communications with regulatory agencies, or relating to intellectual property;</w:t>
      </w:r>
    </w:p>
    <w:p>
      <w:pPr>
        <w:spacing w:after="0" w:line="36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627380</wp:posOffset>
            </wp:positionV>
            <wp:extent cx="703770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0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6" w:name="page87"/>
    <w:bookmarkEnd w:id="86"/>
    <w:p>
      <w:pPr>
        <w:spacing w:after="0" w:line="189" w:lineRule="exact"/>
        <w:rPr>
          <w:sz w:val="20"/>
          <w:szCs w:val="20"/>
          <w:color w:val="auto"/>
        </w:rPr>
      </w:pPr>
    </w:p>
    <w:p>
      <w:pPr>
        <w:ind w:left="1920" w:right="299" w:hanging="656"/>
        <w:spacing w:after="0" w:line="269" w:lineRule="auto"/>
        <w:tabs>
          <w:tab w:leader="none" w:pos="19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legal or regulatory developments, whether positive or negative, actual or threatened, including litigation or resolving litigation;</w:t>
      </w:r>
    </w:p>
    <w:p>
      <w:pPr>
        <w:spacing w:after="0" w:line="159" w:lineRule="exact"/>
        <w:rPr>
          <w:rFonts w:ascii="Times New Roman" w:cs="Times New Roman" w:eastAsia="Times New Roman" w:hAnsi="Times New Roman"/>
          <w:sz w:val="20"/>
          <w:szCs w:val="20"/>
          <w:color w:val="auto"/>
        </w:rPr>
      </w:pPr>
    </w:p>
    <w:p>
      <w:pPr>
        <w:jc w:val="both"/>
        <w:ind w:left="1920" w:right="299" w:hanging="656"/>
        <w:spacing w:after="0" w:line="249" w:lineRule="auto"/>
        <w:tabs>
          <w:tab w:leader="none" w:pos="19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p>
      <w:pPr>
        <w:spacing w:after="0" w:line="179" w:lineRule="exact"/>
        <w:rPr>
          <w:rFonts w:ascii="Times New Roman" w:cs="Times New Roman" w:eastAsia="Times New Roman" w:hAnsi="Times New Roman"/>
          <w:sz w:val="20"/>
          <w:szCs w:val="20"/>
          <w:color w:val="auto"/>
        </w:rPr>
      </w:pPr>
    </w:p>
    <w:p>
      <w:pPr>
        <w:jc w:val="both"/>
        <w:ind w:left="1920" w:right="299" w:hanging="656"/>
        <w:spacing w:after="0" w:line="254" w:lineRule="auto"/>
        <w:tabs>
          <w:tab w:leader="none" w:pos="19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corporate events, such as a pending or proposed merger, joint venture or tender offer, a significant investment, the acquisition or disposition of a significant business or asset or a change in control of the Company;</w:t>
      </w:r>
    </w:p>
    <w:p>
      <w:pPr>
        <w:spacing w:after="0" w:line="174" w:lineRule="exact"/>
        <w:rPr>
          <w:rFonts w:ascii="Times New Roman" w:cs="Times New Roman" w:eastAsia="Times New Roman" w:hAnsi="Times New Roman"/>
          <w:sz w:val="20"/>
          <w:szCs w:val="20"/>
          <w:color w:val="auto"/>
        </w:rPr>
      </w:pPr>
    </w:p>
    <w:p>
      <w:pPr>
        <w:ind w:left="1920" w:right="319" w:hanging="656"/>
        <w:spacing w:after="0" w:line="269" w:lineRule="auto"/>
        <w:tabs>
          <w:tab w:leader="none" w:pos="19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personnel changes, such as changes in senior management or employee layoffs;</w:t>
      </w:r>
    </w:p>
    <w:p>
      <w:pPr>
        <w:spacing w:after="0" w:line="159" w:lineRule="exact"/>
        <w:rPr>
          <w:rFonts w:ascii="Times New Roman" w:cs="Times New Roman" w:eastAsia="Times New Roman" w:hAnsi="Times New Roman"/>
          <w:sz w:val="20"/>
          <w:szCs w:val="20"/>
          <w:color w:val="auto"/>
        </w:rPr>
      </w:pPr>
    </w:p>
    <w:p>
      <w:pPr>
        <w:ind w:left="1920" w:hanging="656"/>
        <w:spacing w:after="0"/>
        <w:tabs>
          <w:tab w:leader="none" w:pos="19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data breaches or other cybersecurity events;</w:t>
      </w:r>
    </w:p>
    <w:p>
      <w:pPr>
        <w:spacing w:after="0" w:line="215" w:lineRule="exact"/>
        <w:rPr>
          <w:rFonts w:ascii="Times New Roman" w:cs="Times New Roman" w:eastAsia="Times New Roman" w:hAnsi="Times New Roman"/>
          <w:sz w:val="20"/>
          <w:szCs w:val="20"/>
          <w:color w:val="auto"/>
        </w:rPr>
      </w:pPr>
    </w:p>
    <w:p>
      <w:pPr>
        <w:ind w:left="1920" w:hanging="656"/>
        <w:spacing w:after="0"/>
        <w:tabs>
          <w:tab w:leader="none" w:pos="19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updates regarding any prior material disclosure that has materially changed; and</w:t>
      </w:r>
    </w:p>
    <w:p>
      <w:pPr>
        <w:spacing w:after="0" w:line="215" w:lineRule="exact"/>
        <w:rPr>
          <w:rFonts w:ascii="Times New Roman" w:cs="Times New Roman" w:eastAsia="Times New Roman" w:hAnsi="Times New Roman"/>
          <w:sz w:val="20"/>
          <w:szCs w:val="20"/>
          <w:color w:val="auto"/>
        </w:rPr>
      </w:pPr>
    </w:p>
    <w:p>
      <w:pPr>
        <w:ind w:left="1920" w:hanging="656"/>
        <w:spacing w:after="0"/>
        <w:tabs>
          <w:tab w:leader="none" w:pos="19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a special blackout period.</w:t>
      </w:r>
    </w:p>
    <w:p>
      <w:pPr>
        <w:spacing w:after="0" w:line="212" w:lineRule="exact"/>
        <w:rPr>
          <w:sz w:val="20"/>
          <w:szCs w:val="20"/>
          <w:color w:val="auto"/>
        </w:rPr>
      </w:pPr>
    </w:p>
    <w:p>
      <w:pPr>
        <w:jc w:val="both"/>
        <w:ind w:left="300" w:right="299"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nonpublic information</w:t>
      </w:r>
      <w:r>
        <w:rPr>
          <w:rFonts w:ascii="Times New Roman" w:cs="Times New Roman" w:eastAsia="Times New Roman" w:hAnsi="Times New Roman"/>
          <w:sz w:val="20"/>
          <w:szCs w:val="20"/>
          <w:color w:val="auto"/>
        </w:rPr>
        <w:t>” means material information that is not generally known or made available to the public. Even if information is widely known throughout the Company, it may still be nonpublic. Generally, in order for information to be considered public, it must be made generally available through media outlets or SEC filings.</w:t>
      </w:r>
    </w:p>
    <w:p>
      <w:pPr>
        <w:spacing w:after="0" w:line="180"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After the release of information, a reasonable period of time must elapse in order to provide the public an opportunity to absorb and evaluate the information provided. As a general rule, at least two full trading days must pass after the dissemination of information before such information is considered public.</w:t>
      </w:r>
    </w:p>
    <w:p>
      <w:pPr>
        <w:spacing w:after="0" w:line="180"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As a rule of thumb, if you think something might be material nonpublic information, it probably is. You can always reach out to the Compliance Officer if you have questions.</w:t>
      </w:r>
    </w:p>
    <w:p>
      <w:pPr>
        <w:spacing w:after="0" w:line="155" w:lineRule="exact"/>
        <w:rPr>
          <w:sz w:val="20"/>
          <w:szCs w:val="20"/>
          <w:color w:val="auto"/>
        </w:rPr>
      </w:pPr>
    </w:p>
    <w:p>
      <w:pPr>
        <w:ind w:left="940" w:hanging="648"/>
        <w:spacing w:after="0"/>
        <w:tabs>
          <w:tab w:leader="none" w:pos="940"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PERSONS COVERED BY THIS POLICY</w:t>
      </w:r>
    </w:p>
    <w:p>
      <w:pPr>
        <w:spacing w:after="0" w:line="220"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This Policy applies to you if you are a director, officer, employee, consultant, contractor or advisor of the Company, both inside and outside of the United States. To the extent applicable to you, this Policy also covers your immediate family members, persons with whom you share a household, persons who are your economic dependents and any entity whose transactions in securities you influence, direct or control (collectively referred to as “</w:t>
      </w:r>
      <w:r>
        <w:rPr>
          <w:rFonts w:ascii="Times New Roman" w:cs="Times New Roman" w:eastAsia="Times New Roman" w:hAnsi="Times New Roman"/>
          <w:sz w:val="20"/>
          <w:szCs w:val="20"/>
          <w:b w:val="1"/>
          <w:bCs w:val="1"/>
          <w:color w:val="auto"/>
        </w:rPr>
        <w:t>Insiders</w:t>
      </w:r>
      <w:r>
        <w:rPr>
          <w:rFonts w:ascii="Times New Roman" w:cs="Times New Roman" w:eastAsia="Times New Roman" w:hAnsi="Times New Roman"/>
          <w:sz w:val="20"/>
          <w:szCs w:val="20"/>
          <w:color w:val="auto"/>
        </w:rPr>
        <w:t>”). You are responsible for making sure that these other individuals and entities comply with this Policy.</w:t>
      </w:r>
    </w:p>
    <w:p>
      <w:pPr>
        <w:spacing w:after="0" w:line="198"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This Policy continues to apply even if you leave the Company or are otherwise no longer affiliated with or providing services to the Company, for as long as you remain in possession of material nonpublic information. In addition, if you are subject to a trading blackout under this Policy at the time you leave the Company, you must abide by the applicable trading restrictions until at least the end of the relevant blackout period.</w:t>
      </w:r>
    </w:p>
    <w:p>
      <w:pPr>
        <w:spacing w:after="0" w:line="181" w:lineRule="exact"/>
        <w:rPr>
          <w:sz w:val="20"/>
          <w:szCs w:val="20"/>
          <w:color w:val="auto"/>
        </w:rPr>
      </w:pPr>
    </w:p>
    <w:p>
      <w:pPr>
        <w:ind w:left="940" w:hanging="648"/>
        <w:spacing w:after="0"/>
        <w:tabs>
          <w:tab w:leader="none" w:pos="940"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TRADING COVERED BY THIS POLICY</w:t>
      </w:r>
    </w:p>
    <w:p>
      <w:pPr>
        <w:spacing w:after="0" w:line="216" w:lineRule="exact"/>
        <w:rPr>
          <w:sz w:val="20"/>
          <w:szCs w:val="20"/>
          <w:color w:val="auto"/>
        </w:rPr>
      </w:pPr>
    </w:p>
    <w:p>
      <w:pPr>
        <w:ind w:left="300" w:right="299" w:firstLine="648"/>
        <w:spacing w:after="0" w:line="273" w:lineRule="auto"/>
        <w:rPr>
          <w:sz w:val="20"/>
          <w:szCs w:val="20"/>
          <w:color w:val="auto"/>
        </w:rPr>
      </w:pPr>
      <w:r>
        <w:rPr>
          <w:rFonts w:ascii="Times New Roman" w:cs="Times New Roman" w:eastAsia="Times New Roman" w:hAnsi="Times New Roman"/>
          <w:sz w:val="20"/>
          <w:szCs w:val="20"/>
          <w:color w:val="auto"/>
        </w:rPr>
        <w:t>Except as discussed in Section H (</w:t>
      </w:r>
      <w:r>
        <w:rPr>
          <w:rFonts w:ascii="Times New Roman" w:cs="Times New Roman" w:eastAsia="Times New Roman" w:hAnsi="Times New Roman"/>
          <w:sz w:val="20"/>
          <w:szCs w:val="20"/>
          <w:i w:val="1"/>
          <w:iCs w:val="1"/>
          <w:color w:val="auto"/>
        </w:rPr>
        <w:t>Exceptions to Trading Restrictions</w:t>
      </w:r>
      <w:r>
        <w:rPr>
          <w:rFonts w:ascii="Times New Roman" w:cs="Times New Roman" w:eastAsia="Times New Roman" w:hAnsi="Times New Roman"/>
          <w:sz w:val="20"/>
          <w:szCs w:val="20"/>
          <w:color w:val="auto"/>
        </w:rPr>
        <w:t>), this Policy applies to all transactions involving the Company’s securities or other companies’ securities for which you possess</w:t>
      </w:r>
    </w:p>
    <w:p>
      <w:pPr>
        <w:spacing w:after="0" w:line="34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627380</wp:posOffset>
            </wp:positionV>
            <wp:extent cx="703770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7" w:name="page88"/>
    <w:bookmarkEnd w:id="87"/>
    <w:p>
      <w:pPr>
        <w:spacing w:after="0" w:line="189" w:lineRule="exact"/>
        <w:rPr>
          <w:sz w:val="20"/>
          <w:szCs w:val="20"/>
          <w:color w:val="auto"/>
        </w:rPr>
      </w:pPr>
    </w:p>
    <w:p>
      <w:pPr>
        <w:ind w:left="300" w:right="319"/>
        <w:spacing w:after="0" w:line="269" w:lineRule="auto"/>
        <w:rPr>
          <w:sz w:val="20"/>
          <w:szCs w:val="20"/>
          <w:color w:val="auto"/>
        </w:rPr>
      </w:pPr>
      <w:r>
        <w:rPr>
          <w:rFonts w:ascii="Times New Roman" w:cs="Times New Roman" w:eastAsia="Times New Roman" w:hAnsi="Times New Roman"/>
          <w:sz w:val="20"/>
          <w:szCs w:val="20"/>
          <w:color w:val="auto"/>
        </w:rPr>
        <w:t>material nonpublic information obtained in connection with your service with the Company. This Policy therefore applies to:</w:t>
      </w:r>
    </w:p>
    <w:p>
      <w:pPr>
        <w:spacing w:after="0" w:line="159" w:lineRule="exact"/>
        <w:rPr>
          <w:sz w:val="20"/>
          <w:szCs w:val="20"/>
          <w:color w:val="auto"/>
        </w:rPr>
      </w:pPr>
    </w:p>
    <w:p>
      <w:pPr>
        <w:jc w:val="both"/>
        <w:ind w:left="300" w:right="299" w:firstLine="640"/>
        <w:spacing w:after="0" w:line="246" w:lineRule="auto"/>
        <w:tabs>
          <w:tab w:leader="none" w:pos="1181"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purchase, sale, loan or other transfer or disposition of any equity securities (including common stock, options, restricted stock units, warrants and preferred stock) and debt securities (including debentures, bonds and notes) of the Company and such other companies, whether direct or indirect (including transactions made on your behalf by money managers), and any offer to engage in the foregoing transactions;</w:t>
      </w:r>
    </w:p>
    <w:p>
      <w:pPr>
        <w:spacing w:after="0" w:line="184" w:lineRule="exact"/>
        <w:rPr>
          <w:rFonts w:ascii="Times New Roman" w:cs="Times New Roman" w:eastAsia="Times New Roman" w:hAnsi="Times New Roman"/>
          <w:sz w:val="20"/>
          <w:szCs w:val="20"/>
          <w:color w:val="auto"/>
        </w:rPr>
      </w:pPr>
    </w:p>
    <w:p>
      <w:pPr>
        <w:ind w:left="1180" w:hanging="240"/>
        <w:spacing w:after="0"/>
        <w:tabs>
          <w:tab w:leader="none" w:pos="11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disposition in the form of a gift of any securities of the Company;</w:t>
      </w:r>
    </w:p>
    <w:p>
      <w:pPr>
        <w:spacing w:after="0" w:line="215" w:lineRule="exact"/>
        <w:rPr>
          <w:rFonts w:ascii="Times New Roman" w:cs="Times New Roman" w:eastAsia="Times New Roman" w:hAnsi="Times New Roman"/>
          <w:sz w:val="20"/>
          <w:szCs w:val="20"/>
          <w:color w:val="auto"/>
        </w:rPr>
      </w:pPr>
    </w:p>
    <w:p>
      <w:pPr>
        <w:ind w:left="1180" w:hanging="240"/>
        <w:spacing w:after="0"/>
        <w:tabs>
          <w:tab w:leader="none" w:pos="118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distribution to holders of interests in an entity if the entity is subject to this Policy; and</w:t>
      </w:r>
    </w:p>
    <w:p>
      <w:pPr>
        <w:spacing w:after="0" w:line="215" w:lineRule="exact"/>
        <w:rPr>
          <w:rFonts w:ascii="Times New Roman" w:cs="Times New Roman" w:eastAsia="Times New Roman" w:hAnsi="Times New Roman"/>
          <w:sz w:val="20"/>
          <w:szCs w:val="20"/>
          <w:color w:val="auto"/>
        </w:rPr>
      </w:pPr>
    </w:p>
    <w:p>
      <w:pPr>
        <w:jc w:val="both"/>
        <w:ind w:left="300" w:right="319" w:firstLine="640"/>
        <w:spacing w:after="0" w:line="240" w:lineRule="exact"/>
        <w:tabs>
          <w:tab w:leader="none" w:pos="1181"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arrangement that generates gains or losses from or based on changes in the prices of such securities including derivative securities (for example, exchange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traded put or call options, swaps, caps and collars), hedging and pledging transactions, short sales and certain arrangements regarding participation in benefit plans, and any offer to engage in the foregoing transactions.</w:t>
      </w:r>
    </w:p>
    <w:p>
      <w:pPr>
        <w:spacing w:after="0" w:line="189" w:lineRule="exact"/>
        <w:rPr>
          <w:sz w:val="20"/>
          <w:szCs w:val="20"/>
          <w:color w:val="auto"/>
        </w:rPr>
      </w:pPr>
    </w:p>
    <w:p>
      <w:pPr>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There are no exceptions from insider trading laws or this Policy based on the size of the transaction or the type of consideration received.</w:t>
      </w:r>
    </w:p>
    <w:p>
      <w:pPr>
        <w:spacing w:after="0" w:line="155" w:lineRule="exact"/>
        <w:rPr>
          <w:sz w:val="20"/>
          <w:szCs w:val="20"/>
          <w:color w:val="auto"/>
        </w:rPr>
      </w:pPr>
    </w:p>
    <w:p>
      <w:pPr>
        <w:ind w:left="940" w:hanging="648"/>
        <w:spacing w:after="0"/>
        <w:tabs>
          <w:tab w:leader="none" w:pos="940" w:val="left"/>
        </w:tabs>
        <w:numPr>
          <w:ilvl w:val="0"/>
          <w:numId w:val="4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TRADING RESTRICTIONS</w:t>
      </w:r>
    </w:p>
    <w:p>
      <w:pPr>
        <w:spacing w:after="0" w:line="220" w:lineRule="exact"/>
        <w:rPr>
          <w:sz w:val="20"/>
          <w:szCs w:val="20"/>
          <w:color w:val="auto"/>
        </w:rPr>
      </w:pPr>
    </w:p>
    <w:p>
      <w:pPr>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Subject to the exceptions set forth below, this Policy restricts trading during certain periods and by certain people as follows:</w:t>
      </w:r>
    </w:p>
    <w:p>
      <w:pPr>
        <w:spacing w:after="0" w:line="155" w:lineRule="exact"/>
        <w:rPr>
          <w:sz w:val="20"/>
          <w:szCs w:val="20"/>
          <w:color w:val="auto"/>
        </w:rPr>
      </w:pPr>
    </w:p>
    <w:p>
      <w:pPr>
        <w:jc w:val="both"/>
        <w:ind w:left="300" w:right="299" w:firstLine="640"/>
        <w:spacing w:after="0" w:line="242" w:lineRule="auto"/>
        <w:tabs>
          <w:tab w:leader="none" w:pos="1181"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Quarterly Blackout Periods</w:t>
      </w:r>
      <w:r>
        <w:rPr>
          <w:rFonts w:ascii="Times New Roman" w:cs="Times New Roman" w:eastAsia="Times New Roman" w:hAnsi="Times New Roman"/>
          <w:sz w:val="20"/>
          <w:szCs w:val="20"/>
          <w:color w:val="auto"/>
        </w:rPr>
        <w:t>. Except as discussed in Section H (</w:t>
      </w:r>
      <w:r>
        <w:rPr>
          <w:rFonts w:ascii="Times New Roman" w:cs="Times New Roman" w:eastAsia="Times New Roman" w:hAnsi="Times New Roman"/>
          <w:sz w:val="20"/>
          <w:szCs w:val="20"/>
          <w:i w:val="1"/>
          <w:iCs w:val="1"/>
          <w:color w:val="auto"/>
        </w:rPr>
        <w:t>Exceptions to Trading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Restrictions</w:t>
      </w:r>
      <w:r>
        <w:rPr>
          <w:rFonts w:ascii="Times New Roman" w:cs="Times New Roman" w:eastAsia="Times New Roman" w:hAnsi="Times New Roman"/>
          <w:sz w:val="20"/>
          <w:szCs w:val="20"/>
          <w:color w:val="auto"/>
        </w:rPr>
        <w:t>), all directors and officers of the Company, and those employees, consultants, contractors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advisors identified by the Company, must refrain from conducting transactions involving the Company’s securities during quarterly blackout periods. Individuals subject to quarterly blackout periods will be informed by the Compliance Officer that they are listed on the insider list maintained by the Compliance Officer, included herein as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color w:val="auto"/>
        </w:rPr>
        <w:t>Insider List</w:t>
      </w:r>
      <w:r>
        <w:rPr>
          <w:rFonts w:ascii="Times New Roman" w:cs="Times New Roman" w:eastAsia="Times New Roman" w:hAnsi="Times New Roman"/>
          <w:sz w:val="20"/>
          <w:szCs w:val="20"/>
          <w:color w:val="auto"/>
        </w:rPr>
        <w:t>”). To the extent applicable to you, quarterly blackout periods also cover your immediate family members, persons with whom you share a household, persons who are your economic dependents and any entity whose transactions in securities you influence, direct or control. Even if you are not specifically identified as being subject to quarterly blackout periods, you should exercise caution when engaging in transactions during quarterly blackout periods because of the heightened risk of insider trading exposure.</w:t>
      </w:r>
    </w:p>
    <w:p>
      <w:pPr>
        <w:spacing w:after="0" w:line="194"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Quarterly blackout periods will start at the end of the last trading day that is two full calendar weeks prior to the last day of each fiscal quarter and will end at the start of the third full trading day following the Company’s earnings release.</w:t>
      </w:r>
    </w:p>
    <w:p>
      <w:pPr>
        <w:spacing w:after="0" w:line="174" w:lineRule="exact"/>
        <w:rPr>
          <w:sz w:val="20"/>
          <w:szCs w:val="20"/>
          <w:color w:val="auto"/>
        </w:rPr>
      </w:pPr>
    </w:p>
    <w:p>
      <w:pPr>
        <w:jc w:val="both"/>
        <w:ind w:left="300" w:right="299" w:firstLine="648"/>
        <w:spacing w:after="0" w:line="244" w:lineRule="auto"/>
        <w:rPr>
          <w:sz w:val="20"/>
          <w:szCs w:val="20"/>
          <w:color w:val="auto"/>
        </w:rPr>
      </w:pPr>
      <w:r>
        <w:rPr>
          <w:rFonts w:ascii="Times New Roman" w:cs="Times New Roman" w:eastAsia="Times New Roman" w:hAnsi="Times New Roman"/>
          <w:sz w:val="20"/>
          <w:szCs w:val="20"/>
          <w:color w:val="auto"/>
        </w:rPr>
        <w:t>The prohibition against trading during the blackout period also means that brokers cannot fulfill open orders on your behalf or on behalf of your immediate family members, persons with whom you share a household, persons who are your economic dependents or any entity whose transactions in securities you influence, direct or control, during the blackout period, including “limit orders” to buy or sell stock at a specific price or better and “stop orders” to buy or sell stock once the price of the stock reaches a specified price. If you are subject to blackout periods or pre-clearance requirements, you should so inform any broker with whom such an open order is placed at the time it is placed.</w:t>
      </w:r>
    </w:p>
    <w:p>
      <w:pPr>
        <w:spacing w:after="0" w:line="37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627380</wp:posOffset>
            </wp:positionV>
            <wp:extent cx="703770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8" w:name="page89"/>
    <w:bookmarkEnd w:id="88"/>
    <w:p>
      <w:pPr>
        <w:spacing w:after="0" w:line="189"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 xml:space="preserve">From time to time, the Company may identify other persons who should be subject to quarterly blackout periods, and the Compliance Officer may update and revise the Insider List on </w:t>
      </w:r>
      <w:r>
        <w:rPr>
          <w:rFonts w:ascii="Times New Roman" w:cs="Times New Roman" w:eastAsia="Times New Roman" w:hAnsi="Times New Roman"/>
          <w:sz w:val="20"/>
          <w:szCs w:val="20"/>
          <w:u w:val="single" w:color="auto"/>
          <w:color w:val="auto"/>
        </w:rPr>
        <w:t>Schedule A</w:t>
      </w:r>
      <w:r>
        <w:rPr>
          <w:rFonts w:ascii="Times New Roman" w:cs="Times New Roman" w:eastAsia="Times New Roman" w:hAnsi="Times New Roman"/>
          <w:sz w:val="20"/>
          <w:szCs w:val="20"/>
          <w:color w:val="auto"/>
        </w:rPr>
        <w:t xml:space="preserve"> as appropriate.</w:t>
      </w:r>
    </w:p>
    <w:p>
      <w:pPr>
        <w:spacing w:after="0" w:line="174" w:lineRule="exact"/>
        <w:rPr>
          <w:sz w:val="20"/>
          <w:szCs w:val="20"/>
          <w:color w:val="auto"/>
        </w:rPr>
      </w:pPr>
    </w:p>
    <w:p>
      <w:pPr>
        <w:jc w:val="both"/>
        <w:ind w:left="300" w:right="299" w:firstLine="640"/>
        <w:spacing w:after="0" w:line="242" w:lineRule="auto"/>
        <w:tabs>
          <w:tab w:leader="none" w:pos="118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Special Blackout Periods</w:t>
      </w:r>
      <w:r>
        <w:rPr>
          <w:rFonts w:ascii="Times New Roman" w:cs="Times New Roman" w:eastAsia="Times New Roman" w:hAnsi="Times New Roman"/>
          <w:sz w:val="20"/>
          <w:szCs w:val="20"/>
          <w:color w:val="auto"/>
        </w:rPr>
        <w:t>. The Company always retains the right to impose additional or longer trading blackout periods at any time on any or all of its directors, officers, employees, consultants, contractors and advisors. The Compliance Officer will notify you if you are subject to a special blackout period by providing to you a notice in writing or via email. If you are notified that you are subject to a special blackout period, you may not engage in any transaction involving the Company’s securities until the special blackout period has ended other than the transactions that are covered by the exceptions below. You also may not disclose to anyone else that the Company has imposed a special blackout period. To the extent applicable to you, special blackout periods also cover your immediate family members, persons with whom you share a household, persons who are your economic dependents and any entity whose transactions in securities you influence, direct or control.</w:t>
      </w:r>
    </w:p>
    <w:p>
      <w:pPr>
        <w:spacing w:after="0" w:line="192" w:lineRule="exact"/>
        <w:rPr>
          <w:sz w:val="20"/>
          <w:szCs w:val="20"/>
          <w:color w:val="auto"/>
        </w:rPr>
      </w:pPr>
    </w:p>
    <w:p>
      <w:pPr>
        <w:jc w:val="both"/>
        <w:ind w:left="300" w:right="299" w:firstLine="648"/>
        <w:spacing w:after="0" w:line="242" w:lineRule="auto"/>
        <w:rPr>
          <w:sz w:val="20"/>
          <w:szCs w:val="20"/>
          <w:color w:val="auto"/>
        </w:rPr>
      </w:pPr>
      <w:r>
        <w:rPr>
          <w:rFonts w:ascii="Times New Roman" w:cs="Times New Roman" w:eastAsia="Times New Roman" w:hAnsi="Times New Roman"/>
          <w:sz w:val="20"/>
          <w:szCs w:val="20"/>
          <w:color w:val="auto"/>
        </w:rPr>
        <w:t>10.</w:t>
      </w:r>
      <w:r>
        <w:rPr>
          <w:rFonts w:ascii="Times New Roman" w:cs="Times New Roman" w:eastAsia="Times New Roman" w:hAnsi="Times New Roman"/>
          <w:sz w:val="20"/>
          <w:szCs w:val="20"/>
          <w:u w:val="single" w:color="auto"/>
          <w:color w:val="auto"/>
        </w:rPr>
        <w:t>Regulation BTR Blackouts</w:t>
      </w:r>
      <w:r>
        <w:rPr>
          <w:rFonts w:ascii="Times New Roman" w:cs="Times New Roman" w:eastAsia="Times New Roman" w:hAnsi="Times New Roman"/>
          <w:sz w:val="20"/>
          <w:szCs w:val="20"/>
          <w:color w:val="auto"/>
        </w:rPr>
        <w:t>. Directors and officers may also be subject to trading blackouts pursuant to Regulation Blackout Trading Restriction, or Regulation BTR, under U.S. federal securities laws. In general, Regulation BTR prohibits any director or officer from engaging in certain transactions involving the Company securities during periods when 401(k) plan participants are prevented from purchasing, selling or otherwise acquiring or transferring an interest in certain securities held in individual account plans. Any profits realized from a transaction that violates Regulation BTR are recoverable by the Company, regardless of the intentions of the director or officer effecting the transaction. In addition, individuals who engage in such transactions are subject to sanction by the SEC as well as potential criminal liability. The Company will notify directors and officers if they are subject to a blackout trading restriction under Regulation BTR. Failure to comply with an applicable trading blackout in accordance with Regulation BTR is a violation of law and this Policy.</w:t>
      </w:r>
    </w:p>
    <w:p>
      <w:pPr>
        <w:spacing w:after="0" w:line="186" w:lineRule="exact"/>
        <w:rPr>
          <w:sz w:val="20"/>
          <w:szCs w:val="20"/>
          <w:color w:val="auto"/>
        </w:rPr>
      </w:pPr>
    </w:p>
    <w:p>
      <w:pPr>
        <w:ind w:left="940" w:hanging="648"/>
        <w:spacing w:after="0"/>
        <w:tabs>
          <w:tab w:leader="none" w:pos="940" w:val="left"/>
        </w:tabs>
        <w:numPr>
          <w:ilvl w:val="0"/>
          <w:numId w:val="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PROHIBITED TRANSACTIONS</w:t>
      </w:r>
    </w:p>
    <w:p>
      <w:pPr>
        <w:spacing w:after="0" w:line="220"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You may not engage in any of the following types of transactions other than as noted below, regardless of whether you have material nonpublic information or not.</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11.</w:t>
      </w:r>
      <w:r>
        <w:rPr>
          <w:rFonts w:ascii="Times New Roman" w:cs="Times New Roman" w:eastAsia="Times New Roman" w:hAnsi="Times New Roman"/>
          <w:sz w:val="20"/>
          <w:szCs w:val="20"/>
          <w:u w:val="single" w:color="auto"/>
          <w:color w:val="auto"/>
        </w:rPr>
        <w:t>Short Sales</w:t>
      </w:r>
      <w:r>
        <w:rPr>
          <w:rFonts w:ascii="Times New Roman" w:cs="Times New Roman" w:eastAsia="Times New Roman" w:hAnsi="Times New Roman"/>
          <w:sz w:val="20"/>
          <w:szCs w:val="20"/>
          <w:color w:val="auto"/>
        </w:rPr>
        <w:t>. You may not engage in short sales (meaning the sale of a security that must be borrowed to make delivery) or “sell short against the box” (meaning the sale of a security with a delayed delivery) if such sales involve the Company’s securities.</w:t>
      </w:r>
    </w:p>
    <w:p>
      <w:pPr>
        <w:spacing w:after="0" w:line="174"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12.</w:t>
      </w:r>
      <w:r>
        <w:rPr>
          <w:rFonts w:ascii="Times New Roman" w:cs="Times New Roman" w:eastAsia="Times New Roman" w:hAnsi="Times New Roman"/>
          <w:sz w:val="20"/>
          <w:szCs w:val="20"/>
          <w:u w:val="single" w:color="auto"/>
          <w:color w:val="auto"/>
        </w:rPr>
        <w:t>Derivative Securities and Hedging Transactions</w:t>
      </w:r>
      <w:r>
        <w:rPr>
          <w:rFonts w:ascii="Times New Roman" w:cs="Times New Roman" w:eastAsia="Times New Roman" w:hAnsi="Times New Roman"/>
          <w:sz w:val="20"/>
          <w:szCs w:val="20"/>
          <w:color w:val="auto"/>
        </w:rPr>
        <w:t>. You may not, directly or indirectly, (a) trade in publicly-traded options, such as puts and calls, and other derivative securities with respect to the Company’s securities (other than stock options, restricted stock units and other compensatory awards issued to you by the Company) or (b) purchase financial instruments (including prepaid variable forward contracts, equity swaps, collars and exchange funds), or otherwise engage in transactions, that hedge or offset, or are</w:t>
      </w:r>
    </w:p>
    <w:p>
      <w:pPr>
        <w:spacing w:after="0" w:line="37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627380</wp:posOffset>
            </wp:positionV>
            <wp:extent cx="703770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9" w:name="page90"/>
    <w:bookmarkEnd w:id="89"/>
    <w:p>
      <w:pPr>
        <w:spacing w:after="0" w:line="189" w:lineRule="exact"/>
        <w:rPr>
          <w:sz w:val="20"/>
          <w:szCs w:val="20"/>
          <w:color w:val="auto"/>
        </w:rPr>
      </w:pPr>
    </w:p>
    <w:p>
      <w:pPr>
        <w:jc w:val="both"/>
        <w:ind w:left="300" w:right="319"/>
        <w:spacing w:after="0" w:line="269" w:lineRule="auto"/>
        <w:rPr>
          <w:sz w:val="20"/>
          <w:szCs w:val="20"/>
          <w:color w:val="auto"/>
        </w:rPr>
      </w:pPr>
      <w:r>
        <w:rPr>
          <w:rFonts w:ascii="Times New Roman" w:cs="Times New Roman" w:eastAsia="Times New Roman" w:hAnsi="Times New Roman"/>
          <w:sz w:val="20"/>
          <w:szCs w:val="20"/>
          <w:color w:val="auto"/>
        </w:rPr>
        <w:t>designed to hedge or offset, any decrease in the market value of Company equity securities either (i) granted to you by the Company as part of your compensation or (ii) held, directly or indirectly, by you.</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13.</w:t>
      </w:r>
      <w:r>
        <w:rPr>
          <w:rFonts w:ascii="Times New Roman" w:cs="Times New Roman" w:eastAsia="Times New Roman" w:hAnsi="Times New Roman"/>
          <w:sz w:val="20"/>
          <w:szCs w:val="20"/>
          <w:u w:val="single" w:color="auto"/>
          <w:color w:val="auto"/>
        </w:rPr>
        <w:t>Pledging Transactions</w:t>
      </w:r>
      <w:r>
        <w:rPr>
          <w:rFonts w:ascii="Times New Roman" w:cs="Times New Roman" w:eastAsia="Times New Roman" w:hAnsi="Times New Roman"/>
          <w:sz w:val="20"/>
          <w:szCs w:val="20"/>
          <w:color w:val="auto"/>
        </w:rPr>
        <w:t>. If you are required to comply with the blackout periods or pre-clearance requirements under this Policy, you may not pledge the Company’s securities as collateral for any loan or as part of any other pledging transaction.</w:t>
      </w:r>
    </w:p>
    <w:p>
      <w:pPr>
        <w:spacing w:after="0" w:line="17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14.</w:t>
      </w:r>
      <w:r>
        <w:rPr>
          <w:rFonts w:ascii="Times New Roman" w:cs="Times New Roman" w:eastAsia="Times New Roman" w:hAnsi="Times New Roman"/>
          <w:sz w:val="20"/>
          <w:szCs w:val="20"/>
          <w:u w:val="single" w:color="auto"/>
          <w:color w:val="auto"/>
        </w:rPr>
        <w:t>Margin Accounts</w:t>
      </w:r>
      <w:r>
        <w:rPr>
          <w:rFonts w:ascii="Times New Roman" w:cs="Times New Roman" w:eastAsia="Times New Roman" w:hAnsi="Times New Roman"/>
          <w:sz w:val="20"/>
          <w:szCs w:val="20"/>
          <w:color w:val="auto"/>
        </w:rPr>
        <w:t>. If you are required to comply with the blackout periods or pre-clearance requirements under this Policy, you may not hold the Company’s common stock in margin accounts.</w:t>
      </w:r>
    </w:p>
    <w:p>
      <w:pPr>
        <w:spacing w:after="0" w:line="155" w:lineRule="exact"/>
        <w:rPr>
          <w:sz w:val="20"/>
          <w:szCs w:val="20"/>
          <w:color w:val="auto"/>
        </w:rPr>
      </w:pPr>
    </w:p>
    <w:p>
      <w:pPr>
        <w:ind w:left="940" w:hanging="648"/>
        <w:spacing w:after="0"/>
        <w:tabs>
          <w:tab w:leader="none" w:pos="940" w:val="left"/>
        </w:tabs>
        <w:numPr>
          <w:ilvl w:val="0"/>
          <w:numId w:val="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PRE-CLEARANCE OF TRADES</w:t>
      </w:r>
    </w:p>
    <w:p>
      <w:pPr>
        <w:spacing w:after="0" w:line="220" w:lineRule="exact"/>
        <w:rPr>
          <w:sz w:val="20"/>
          <w:szCs w:val="20"/>
          <w:color w:val="auto"/>
        </w:rPr>
      </w:pPr>
    </w:p>
    <w:p>
      <w:pPr>
        <w:jc w:val="both"/>
        <w:ind w:left="300" w:right="319" w:firstLine="648"/>
        <w:spacing w:after="0" w:line="243" w:lineRule="auto"/>
        <w:rPr>
          <w:sz w:val="20"/>
          <w:szCs w:val="20"/>
          <w:color w:val="auto"/>
        </w:rPr>
      </w:pPr>
      <w:r>
        <w:rPr>
          <w:rFonts w:ascii="Times New Roman" w:cs="Times New Roman" w:eastAsia="Times New Roman" w:hAnsi="Times New Roman"/>
          <w:sz w:val="20"/>
          <w:szCs w:val="20"/>
          <w:color w:val="auto"/>
        </w:rPr>
        <w:t>The Company’s directors and officers and any other persons identified on the Insider List of this Policy as being subject to pre-clearance requirements must obtain pre-clearance prior to trading the Company’s securities. If you are subject to pre-clearance requirements, you should submit a pre-clearance request to the Compliance Officer prior to your desired trade date. The pre-clearance request must be made on the form provided by the Compliance Officer. The person requesting pre-clearance will be asked to certify that he or she is not in possession of material nonpublic information about the Company. The Compliance Officer is under no obligation to approve a transaction submitted for pre-clearance and may determine not to permit the transaction.</w:t>
      </w:r>
    </w:p>
    <w:p>
      <w:pPr>
        <w:spacing w:after="0" w:line="18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If the Compliance Officer is the requester, then the Company’s Chief Executive Officer, Chief Financial Officer, or their delegate, must pre-clear or deny any trade. All trades must be executed within two business days of any pre-clearance.</w:t>
      </w:r>
    </w:p>
    <w:p>
      <w:pPr>
        <w:spacing w:after="0" w:line="17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Even after preclearance, a person may not trade the Company’s securities if they become subject to a blackout period or aware of material nonpublic information prior to the trade being executed.</w:t>
      </w:r>
    </w:p>
    <w:p>
      <w:pPr>
        <w:spacing w:after="0" w:line="159"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From time to time, the Company may identify other persons who should be subject to the pre-clearance requirements set forth above, and the Compliance Officer may update and revise the Insider List as appropriate.</w:t>
      </w:r>
    </w:p>
    <w:p>
      <w:pPr>
        <w:spacing w:after="0" w:line="170" w:lineRule="exact"/>
        <w:rPr>
          <w:sz w:val="20"/>
          <w:szCs w:val="20"/>
          <w:color w:val="auto"/>
        </w:rPr>
      </w:pPr>
    </w:p>
    <w:p>
      <w:pPr>
        <w:ind w:left="940" w:hanging="648"/>
        <w:spacing w:after="0"/>
        <w:tabs>
          <w:tab w:leader="none" w:pos="940" w:val="left"/>
        </w:tabs>
        <w:numPr>
          <w:ilvl w:val="0"/>
          <w:numId w:val="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EXCEPTIONS TO TRADING RESTRICTIONS</w:t>
      </w:r>
    </w:p>
    <w:p>
      <w:pPr>
        <w:spacing w:after="0" w:line="220"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There are no unconditional “safe harbors” for trades made at particular times, and all persons subject to this Policy should exercise good judgment at all times. Even when a quarterly blackout period is not in effect, you may be prohibited from engaging in transactions involving the Company’s securities because you possess material nonpublic information, are subject to a special blackout period or are otherwise restricted under this Policy.</w:t>
      </w:r>
    </w:p>
    <w:p>
      <w:pPr>
        <w:spacing w:after="0" w:line="185"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Other than the limited exceptions set forth below, any other exceptions to this Policy must be approved by the Compliance Officer, in consultation with the Company’s board of directors or an independent committee of the board of directors.</w:t>
      </w:r>
    </w:p>
    <w:p>
      <w:pPr>
        <w:spacing w:after="0" w:line="174"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The following are certain limited exceptions to the quarterly and special blackout period restrictions and pre-clearance requirements imposed by the Company under this Policy:</w:t>
      </w:r>
    </w:p>
    <w:p>
      <w:pPr>
        <w:spacing w:after="0" w:line="15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15.stock option exercises where the purchase price of such stock options is paid in cash and there is no other associated market activity;</w:t>
      </w:r>
    </w:p>
    <w:p>
      <w:pPr>
        <w:spacing w:after="0" w:line="34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627380</wp:posOffset>
            </wp:positionV>
            <wp:extent cx="703770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1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0" w:name="page91"/>
    <w:bookmarkEnd w:id="90"/>
    <w:p>
      <w:pPr>
        <w:spacing w:after="0" w:line="189"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16.receipt and vesting of stock options, restricted stock units, restricted stock or other equity compensation awards from the Company;</w:t>
      </w:r>
    </w:p>
    <w:p>
      <w:pPr>
        <w:spacing w:after="0" w:line="15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17.net share withholding with respect to equity awards where shares are withheld by the Company in order to satisfy tax withholding requirements so long as the election is irrevocable and made in writing at a time when a trading blackout is not in place and you are not in possession of material nonpublic information;</w:t>
      </w:r>
    </w:p>
    <w:p>
      <w:pPr>
        <w:spacing w:after="0" w:line="180"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18. sell to cover transactions where shares are sold on your behalf upon vesting of equity awards and sold in order to satisfy tax withholding requirements, so long as the election is irrevocable and made in writing at a time when a trading blackout is not in place and you are not in possession of material nonpublic information; however, this exception does not apply to any other market sale for the purposes of paying required withholding;</w:t>
      </w:r>
    </w:p>
    <w:p>
      <w:pPr>
        <w:spacing w:after="0" w:line="153" w:lineRule="exact"/>
        <w:rPr>
          <w:sz w:val="20"/>
          <w:szCs w:val="20"/>
          <w:color w:val="auto"/>
        </w:rPr>
      </w:pPr>
    </w:p>
    <w:p>
      <w:pPr>
        <w:jc w:val="both"/>
        <w:ind w:left="300" w:right="319" w:firstLine="648"/>
        <w:spacing w:after="0" w:line="267" w:lineRule="exact"/>
        <w:rPr>
          <w:sz w:val="20"/>
          <w:szCs w:val="20"/>
          <w:color w:val="auto"/>
        </w:rPr>
      </w:pPr>
      <w:r>
        <w:rPr>
          <w:rFonts w:ascii="Times New Roman" w:cs="Times New Roman" w:eastAsia="Times New Roman" w:hAnsi="Times New Roman"/>
          <w:sz w:val="20"/>
          <w:szCs w:val="20"/>
          <w:color w:val="auto"/>
        </w:rPr>
        <w:t>19.transactions made pursuant to a valid 10b5</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 trading plan approved by the Company (see Section I (</w:t>
      </w:r>
      <w:r>
        <w:rPr>
          <w:rFonts w:ascii="Times New Roman" w:cs="Times New Roman" w:eastAsia="Times New Roman" w:hAnsi="Times New Roman"/>
          <w:sz w:val="20"/>
          <w:szCs w:val="20"/>
          <w:i w:val="1"/>
          <w:iCs w:val="1"/>
          <w:color w:val="auto"/>
        </w:rPr>
        <w:t>10b5-1 Trading Plans</w:t>
      </w:r>
      <w:r>
        <w:rPr>
          <w:rFonts w:ascii="Times New Roman" w:cs="Times New Roman" w:eastAsia="Times New Roman" w:hAnsi="Times New Roman"/>
          <w:sz w:val="20"/>
          <w:szCs w:val="20"/>
          <w:color w:val="auto"/>
        </w:rPr>
        <w:t>) below);</w:t>
      </w:r>
    </w:p>
    <w:p>
      <w:pPr>
        <w:spacing w:after="0" w:line="188" w:lineRule="exact"/>
        <w:rPr>
          <w:sz w:val="20"/>
          <w:szCs w:val="20"/>
          <w:color w:val="auto"/>
        </w:rPr>
      </w:pPr>
    </w:p>
    <w:p>
      <w:pPr>
        <w:jc w:val="both"/>
        <w:ind w:left="300" w:right="319" w:firstLine="648"/>
        <w:spacing w:after="0" w:line="249" w:lineRule="auto"/>
        <w:rPr>
          <w:sz w:val="20"/>
          <w:szCs w:val="20"/>
          <w:color w:val="auto"/>
        </w:rPr>
      </w:pPr>
      <w:r>
        <w:rPr>
          <w:rFonts w:ascii="Times New Roman" w:cs="Times New Roman" w:eastAsia="Times New Roman" w:hAnsi="Times New Roman"/>
          <w:sz w:val="20"/>
          <w:szCs w:val="20"/>
          <w:color w:val="auto"/>
        </w:rPr>
        <w:t>20.transfers by will or the laws of descent or distribution and, provided that prior written notice is provided to the Compliance Officer, distributions or transfers (such as certain tax planning or estate planning transfers) that effect only a change in the form of beneficial interest without changing your pecuniary interest in the Company’s securities; and</w:t>
      </w:r>
    </w:p>
    <w:p>
      <w:pPr>
        <w:spacing w:after="0" w:line="180"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21.changes in the number of the Company’s securities you hold due to a stock split or a stock dividend that applies equally to all securities of a class, or similar transactions.</w:t>
      </w:r>
    </w:p>
    <w:p>
      <w:pPr>
        <w:spacing w:after="0" w:line="15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If there is a Regulation BTR blackout (and no quarterly or special blackout period), then the limited exceptions set forth in Regulation BTR will apply. Please be aware that even if a transaction is subject to an exception to this Policy, you will need to separately assess whether the transaction complies with applicable law.</w:t>
      </w:r>
    </w:p>
    <w:p>
      <w:pPr>
        <w:spacing w:after="0" w:line="176" w:lineRule="exact"/>
        <w:rPr>
          <w:sz w:val="20"/>
          <w:szCs w:val="20"/>
          <w:color w:val="auto"/>
        </w:rPr>
      </w:pPr>
    </w:p>
    <w:p>
      <w:pPr>
        <w:ind w:left="940" w:hanging="648"/>
        <w:spacing w:after="0"/>
        <w:tabs>
          <w:tab w:leader="none" w:pos="940" w:val="left"/>
        </w:tabs>
        <w:numPr>
          <w:ilvl w:val="0"/>
          <w:numId w:val="5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10B5-1 TRADING PLANS</w:t>
      </w:r>
    </w:p>
    <w:p>
      <w:pPr>
        <w:spacing w:after="0" w:line="188" w:lineRule="exact"/>
        <w:rPr>
          <w:sz w:val="20"/>
          <w:szCs w:val="20"/>
          <w:color w:val="auto"/>
        </w:rPr>
      </w:pPr>
    </w:p>
    <w:p>
      <w:pPr>
        <w:jc w:val="both"/>
        <w:ind w:left="300" w:right="299" w:firstLine="648"/>
        <w:spacing w:after="0" w:line="239" w:lineRule="exact"/>
        <w:rPr>
          <w:sz w:val="20"/>
          <w:szCs w:val="20"/>
          <w:color w:val="auto"/>
        </w:rPr>
      </w:pPr>
      <w:r>
        <w:rPr>
          <w:rFonts w:ascii="Times New Roman" w:cs="Times New Roman" w:eastAsia="Times New Roman" w:hAnsi="Times New Roman"/>
          <w:sz w:val="20"/>
          <w:szCs w:val="20"/>
          <w:color w:val="auto"/>
        </w:rPr>
        <w:t>The Company permits its directors, officers and employees to adopt written 10b5</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 trading plans in order to mitigate the risk of trading on material nonpublic information. These plans allow for individuals to enter into a prearranged trading plan as long as the plan is not established or modified during a blackout period or when the individual is otherwise in possession of material nonpublic information. To be approved by the Company and qualify for the exception to this Policy, any 10b5</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1 trading plan adopted by a director, officer or employee must be submitted to the Compliance Officer for approval and comply with the requirements set forth in the Requirements for Trading Plans attached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If the Compliance Officer is the requester, then the Company’s Chief Executive Officer, Chief Financial Officer, or their delegate, must approve the written 10b5-1 trading plan.</w:t>
      </w:r>
    </w:p>
    <w:p>
      <w:pPr>
        <w:spacing w:after="0" w:line="189" w:lineRule="exact"/>
        <w:rPr>
          <w:sz w:val="20"/>
          <w:szCs w:val="20"/>
          <w:color w:val="auto"/>
        </w:rPr>
      </w:pPr>
    </w:p>
    <w:p>
      <w:pPr>
        <w:ind w:left="940" w:hanging="648"/>
        <w:spacing w:after="0"/>
        <w:tabs>
          <w:tab w:leader="none" w:pos="940" w:val="left"/>
        </w:tabs>
        <w:numPr>
          <w:ilvl w:val="0"/>
          <w:numId w:val="5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SECTION 16 COMPLIANCE</w:t>
      </w:r>
    </w:p>
    <w:p>
      <w:pPr>
        <w:spacing w:after="0" w:line="220" w:lineRule="exact"/>
        <w:rPr>
          <w:sz w:val="20"/>
          <w:szCs w:val="20"/>
          <w:color w:val="auto"/>
        </w:rPr>
      </w:pPr>
    </w:p>
    <w:p>
      <w:pPr>
        <w:jc w:val="both"/>
        <w:ind w:left="300" w:right="299" w:firstLine="648"/>
        <w:spacing w:after="0" w:line="266" w:lineRule="auto"/>
        <w:rPr>
          <w:sz w:val="20"/>
          <w:szCs w:val="20"/>
          <w:color w:val="auto"/>
        </w:rPr>
      </w:pPr>
      <w:r>
        <w:rPr>
          <w:rFonts w:ascii="Times New Roman" w:cs="Times New Roman" w:eastAsia="Times New Roman" w:hAnsi="Times New Roman"/>
          <w:sz w:val="19"/>
          <w:szCs w:val="19"/>
          <w:color w:val="auto"/>
        </w:rPr>
        <w:t>All of the Company’s officers and directors and certain other individuals are required to comply with Section 16 of the Securities and Exchange Act of 1934 and related rules and regulations which set forth reporting obligations, limitations on “short swing” transactions, which are certain matching purchases and sales of the Company’s securities within a six-month period, and limitations on short sales.</w:t>
      </w:r>
    </w:p>
    <w:p>
      <w:pPr>
        <w:spacing w:after="0" w:line="35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627380</wp:posOffset>
            </wp:positionV>
            <wp:extent cx="703770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1" w:name="page92"/>
    <w:bookmarkEnd w:id="91"/>
    <w:p>
      <w:pPr>
        <w:spacing w:after="0" w:line="189" w:lineRule="exact"/>
        <w:rPr>
          <w:sz w:val="20"/>
          <w:szCs w:val="20"/>
          <w:color w:val="auto"/>
        </w:rPr>
      </w:pPr>
    </w:p>
    <w:p>
      <w:pPr>
        <w:jc w:val="both"/>
        <w:ind w:left="300" w:right="299" w:firstLine="648"/>
        <w:spacing w:after="0" w:line="274" w:lineRule="auto"/>
        <w:rPr>
          <w:sz w:val="20"/>
          <w:szCs w:val="20"/>
          <w:color w:val="auto"/>
        </w:rPr>
      </w:pPr>
      <w:r>
        <w:rPr>
          <w:rFonts w:ascii="Times New Roman" w:cs="Times New Roman" w:eastAsia="Times New Roman" w:hAnsi="Times New Roman"/>
          <w:sz w:val="19"/>
          <w:szCs w:val="19"/>
          <w:color w:val="auto"/>
        </w:rPr>
        <w:t xml:space="preserve">To ensure transactions subject to Section 16 requirements are reported on time, each person subject to these requirements must provide the Company with detailed information (for example, trade date, number of shares, exact price, </w:t>
      </w:r>
      <w:r>
        <w:rPr>
          <w:rFonts w:ascii="Times New Roman" w:cs="Times New Roman" w:eastAsia="Times New Roman" w:hAnsi="Times New Roman"/>
          <w:sz w:val="19"/>
          <w:szCs w:val="19"/>
          <w:i w:val="1"/>
          <w:iCs w:val="1"/>
          <w:color w:val="auto"/>
        </w:rPr>
        <w:t>etc.</w:t>
      </w:r>
      <w:r>
        <w:rPr>
          <w:rFonts w:ascii="Times New Roman" w:cs="Times New Roman" w:eastAsia="Times New Roman" w:hAnsi="Times New Roman"/>
          <w:sz w:val="19"/>
          <w:szCs w:val="19"/>
          <w:color w:val="auto"/>
        </w:rPr>
        <w:t>) about his or her transactions involving the Company’s securities.</w:t>
      </w:r>
    </w:p>
    <w:p>
      <w:pPr>
        <w:spacing w:after="0" w:line="156"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The Company is available to assist in filing Section 16 reports, but the obligation to comply with Section 16 is personal. If you have any questions, you should check with the Compliance Officer.</w:t>
      </w:r>
    </w:p>
    <w:p>
      <w:pPr>
        <w:spacing w:after="0" w:line="155" w:lineRule="exact"/>
        <w:rPr>
          <w:sz w:val="20"/>
          <w:szCs w:val="20"/>
          <w:color w:val="auto"/>
        </w:rPr>
      </w:pPr>
    </w:p>
    <w:p>
      <w:pPr>
        <w:ind w:left="940" w:hanging="648"/>
        <w:spacing w:after="0"/>
        <w:tabs>
          <w:tab w:leader="none" w:pos="940"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VIOLATIONS OF THIS POLICY</w:t>
      </w:r>
    </w:p>
    <w:p>
      <w:pPr>
        <w:spacing w:after="0" w:line="220" w:lineRule="exact"/>
        <w:rPr>
          <w:sz w:val="20"/>
          <w:szCs w:val="20"/>
          <w:color w:val="auto"/>
        </w:rPr>
      </w:pPr>
    </w:p>
    <w:p>
      <w:pPr>
        <w:jc w:val="both"/>
        <w:ind w:left="300" w:right="299" w:firstLine="648"/>
        <w:spacing w:after="0" w:line="246" w:lineRule="auto"/>
        <w:rPr>
          <w:sz w:val="20"/>
          <w:szCs w:val="20"/>
          <w:color w:val="auto"/>
        </w:rPr>
      </w:pPr>
      <w:r>
        <w:rPr>
          <w:rFonts w:ascii="Times New Roman" w:cs="Times New Roman" w:eastAsia="Times New Roman" w:hAnsi="Times New Roman"/>
          <w:sz w:val="20"/>
          <w:szCs w:val="20"/>
          <w:color w:val="auto"/>
        </w:rPr>
        <w:t>Company directors, officers, employees, consultants, contractors and advisors who violate this Policy will be subject to disciplinary action by the Company, including ineligibility for future Company equity or incentive programs or termination of employment or an ongoing relationship with the Company. The Company has full discretion to determine whether this Policy has been violated based on the information available.</w:t>
      </w:r>
    </w:p>
    <w:p>
      <w:pPr>
        <w:spacing w:after="0" w:line="185" w:lineRule="exact"/>
        <w:rPr>
          <w:sz w:val="20"/>
          <w:szCs w:val="20"/>
          <w:color w:val="auto"/>
        </w:rPr>
      </w:pPr>
    </w:p>
    <w:p>
      <w:pPr>
        <w:jc w:val="both"/>
        <w:ind w:left="300" w:right="299" w:firstLine="648"/>
        <w:spacing w:after="0" w:line="245" w:lineRule="auto"/>
        <w:rPr>
          <w:sz w:val="20"/>
          <w:szCs w:val="20"/>
          <w:color w:val="auto"/>
        </w:rPr>
      </w:pPr>
      <w:r>
        <w:rPr>
          <w:rFonts w:ascii="Times New Roman" w:cs="Times New Roman" w:eastAsia="Times New Roman" w:hAnsi="Times New Roman"/>
          <w:sz w:val="20"/>
          <w:szCs w:val="20"/>
          <w:color w:val="auto"/>
        </w:rPr>
        <w:t>There are also serious legal consequences for individuals who violate insider trading laws, including large criminal and civil fines, significant imprisonment terms and disgorgement of any profits gained or losses avoided. You may also be liable for improper securities trading by any person (commonly referred to as a “tippee”) to whom you have disclosed material nonpublic information that you have learned through your position at the Company or made recommendations or expressed opinions about securities trading on the basis of such information.</w:t>
      </w:r>
    </w:p>
    <w:p>
      <w:pPr>
        <w:spacing w:after="0" w:line="184" w:lineRule="exact"/>
        <w:rPr>
          <w:sz w:val="20"/>
          <w:szCs w:val="20"/>
          <w:color w:val="auto"/>
        </w:rPr>
      </w:pPr>
    </w:p>
    <w:p>
      <w:pPr>
        <w:jc w:val="both"/>
        <w:ind w:left="300" w:right="299" w:firstLine="648"/>
        <w:spacing w:after="0" w:line="255" w:lineRule="auto"/>
        <w:rPr>
          <w:sz w:val="20"/>
          <w:szCs w:val="20"/>
          <w:color w:val="auto"/>
        </w:rPr>
      </w:pPr>
      <w:r>
        <w:rPr>
          <w:rFonts w:ascii="Times New Roman" w:cs="Times New Roman" w:eastAsia="Times New Roman" w:hAnsi="Times New Roman"/>
          <w:sz w:val="19"/>
          <w:szCs w:val="19"/>
          <w:color w:val="auto"/>
        </w:rPr>
        <w:t>Please consult with your personal legal and financial advisors as needed. Note that the Company’s legal counsel, both internal and external, represent the Company and not you personally. There may be instances where you suffer financial harm or other hardship or are otherwise required to forego a planned transaction because of the restrictions imposed by this Policy or under securities laws. If you were aware of the material nonpublic information at the time of the trade, it is not a defense that you did not “use” the information for the trade. Personal financial emergency or other personal circumstances are not mitigating factors under securities laws and will not excuse your failure to comply with this Policy. In addition, a blackout or trading-restricted period will not extend the term of your options. As a consequence, you may be prevented from exercising your options by this Policy or as a result of a blackout or other restriction on your trading, and as a result your options may expire by their term. It is your responsibility to manage your economic interests and to consider potential trading restrictions when determining whether to exercise your options. In such instances, the Company cannot extend the term of your options and has no obligation or liability to replace the economic value or lost benefit to you.</w:t>
      </w:r>
    </w:p>
    <w:p>
      <w:pPr>
        <w:spacing w:after="0" w:line="178" w:lineRule="exact"/>
        <w:rPr>
          <w:sz w:val="20"/>
          <w:szCs w:val="20"/>
          <w:color w:val="auto"/>
        </w:rPr>
      </w:pPr>
    </w:p>
    <w:p>
      <w:pPr>
        <w:ind w:left="940" w:hanging="648"/>
        <w:spacing w:after="0"/>
        <w:tabs>
          <w:tab w:leader="none" w:pos="94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PROTECTED ACTIVITY NOT PROHIBITED</w:t>
      </w:r>
    </w:p>
    <w:p>
      <w:pPr>
        <w:spacing w:after="0" w:line="220" w:lineRule="exact"/>
        <w:rPr>
          <w:sz w:val="20"/>
          <w:szCs w:val="20"/>
          <w:color w:val="auto"/>
        </w:rPr>
      </w:pPr>
    </w:p>
    <w:p>
      <w:pPr>
        <w:jc w:val="both"/>
        <w:ind w:left="300" w:right="299" w:firstLine="648"/>
        <w:spacing w:after="0" w:line="254" w:lineRule="auto"/>
        <w:rPr>
          <w:sz w:val="20"/>
          <w:szCs w:val="20"/>
          <w:color w:val="auto"/>
        </w:rPr>
      </w:pPr>
      <w:r>
        <w:rPr>
          <w:rFonts w:ascii="Times New Roman" w:cs="Times New Roman" w:eastAsia="Times New Roman" w:hAnsi="Times New Roman"/>
          <w:sz w:val="20"/>
          <w:szCs w:val="20"/>
          <w:color w:val="auto"/>
        </w:rPr>
        <w:t>Nothing in this Policy, or any related guidelines or other documents or information provided in connection with this Policy, shall in any way limit or prohibit you from engaging in any of the protected activities set forth in the Company’s Whistleblower Policy, as amended from time to time.</w:t>
      </w:r>
    </w:p>
    <w:p>
      <w:pPr>
        <w:spacing w:after="0" w:line="170" w:lineRule="exact"/>
        <w:rPr>
          <w:sz w:val="20"/>
          <w:szCs w:val="20"/>
          <w:color w:val="auto"/>
        </w:rPr>
      </w:pPr>
    </w:p>
    <w:p>
      <w:pPr>
        <w:ind w:left="940" w:hanging="648"/>
        <w:spacing w:after="0"/>
        <w:tabs>
          <w:tab w:leader="none" w:pos="94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REPORTING</w:t>
      </w:r>
    </w:p>
    <w:p>
      <w:pPr>
        <w:spacing w:after="0" w:line="220"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If you believe someone is violating this Policy or otherwise using material nonpublic information that they learned through their position at the Company to trade securities, you should report it to the Compliance Officer, or if the Compliance Officer is implicated in your report, then you should report it in accordance with the Company’s Whistleblower Policy.</w:t>
      </w:r>
    </w:p>
    <w:p>
      <w:pPr>
        <w:spacing w:after="0" w:line="36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627380</wp:posOffset>
            </wp:positionV>
            <wp:extent cx="703770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1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2" w:name="page93"/>
    <w:bookmarkEnd w:id="92"/>
    <w:p>
      <w:pPr>
        <w:spacing w:after="0" w:line="185" w:lineRule="exact"/>
        <w:rPr>
          <w:sz w:val="20"/>
          <w:szCs w:val="20"/>
          <w:color w:val="auto"/>
        </w:rPr>
      </w:pPr>
    </w:p>
    <w:p>
      <w:pPr>
        <w:ind w:left="940" w:hanging="648"/>
        <w:spacing w:after="0"/>
        <w:tabs>
          <w:tab w:leader="none" w:pos="94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AMENDMENTS</w:t>
      </w:r>
    </w:p>
    <w:p>
      <w:pPr>
        <w:spacing w:after="0" w:line="220"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The Company reserves the right to amend this Policy at any time, for any reason, subject to applicable laws, rules and regulations, and with or without notice, although it will attempt to provide notice in advance of any change. Unless otherwise permitted by this Policy, any amendments must be approved by the Board of Directors of the Company.</w:t>
      </w:r>
    </w:p>
    <w:p>
      <w:pPr>
        <w:spacing w:after="0" w:line="36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627380</wp:posOffset>
            </wp:positionV>
            <wp:extent cx="703770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REQUIREMENTS FOR TRADING PLANS</w:t>
      </w:r>
    </w:p>
    <w:p>
      <w:pPr>
        <w:spacing w:after="0" w:line="220" w:lineRule="exact"/>
        <w:rPr>
          <w:sz w:val="20"/>
          <w:szCs w:val="20"/>
          <w:color w:val="auto"/>
        </w:rPr>
      </w:pPr>
    </w:p>
    <w:p>
      <w:pPr>
        <w:jc w:val="both"/>
        <w:ind w:left="300" w:right="299" w:firstLine="648"/>
        <w:spacing w:after="0" w:line="260" w:lineRule="auto"/>
        <w:rPr>
          <w:sz w:val="20"/>
          <w:szCs w:val="20"/>
          <w:color w:val="auto"/>
        </w:rPr>
      </w:pPr>
      <w:r>
        <w:rPr>
          <w:rFonts w:ascii="Times New Roman" w:cs="Times New Roman" w:eastAsia="Times New Roman" w:hAnsi="Times New Roman"/>
          <w:sz w:val="19"/>
          <w:szCs w:val="19"/>
          <w:color w:val="auto"/>
        </w:rPr>
        <w:t>For transactions under a trading plan to be exempt from (A) the prohibitions in the Company’s Insider Trading Policy (the “</w:t>
      </w:r>
      <w:r>
        <w:rPr>
          <w:rFonts w:ascii="Times New Roman" w:cs="Times New Roman" w:eastAsia="Times New Roman" w:hAnsi="Times New Roman"/>
          <w:sz w:val="19"/>
          <w:szCs w:val="19"/>
          <w:b w:val="1"/>
          <w:bCs w:val="1"/>
          <w:color w:val="auto"/>
        </w:rPr>
        <w:t>Policy</w:t>
      </w:r>
      <w:r>
        <w:rPr>
          <w:rFonts w:ascii="Times New Roman" w:cs="Times New Roman" w:eastAsia="Times New Roman" w:hAnsi="Times New Roman"/>
          <w:sz w:val="19"/>
          <w:szCs w:val="19"/>
          <w:color w:val="auto"/>
        </w:rPr>
        <w:t>”) of IRIDEX Corporation (together with any subsidiaries, collectively the “</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with respect to transactions made while aware of material nonpublic information and</w:t>
      </w:r>
    </w:p>
    <w:p>
      <w:pPr>
        <w:jc w:val="both"/>
        <w:ind w:left="300" w:right="299" w:hanging="8"/>
        <w:spacing w:after="0" w:line="236" w:lineRule="exact"/>
        <w:tabs>
          <w:tab w:leader="none" w:pos="619"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pre-clearance procedures and blackout periods established under the Policy, the trading plan must comply with the affirmative defense set forth in Exchange Act Rule 10b5</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 and must meet the following requirements (collectively, the “</w:t>
      </w:r>
      <w:r>
        <w:rPr>
          <w:rFonts w:ascii="Times New Roman" w:cs="Times New Roman" w:eastAsia="Times New Roman" w:hAnsi="Times New Roman"/>
          <w:sz w:val="20"/>
          <w:szCs w:val="20"/>
          <w:b w:val="1"/>
          <w:bCs w:val="1"/>
          <w:color w:val="auto"/>
        </w:rPr>
        <w:t>Trading Plan Requirements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1180" w:hanging="240"/>
        <w:spacing w:after="0"/>
        <w:tabs>
          <w:tab w:leader="none" w:pos="118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in writing and signed by the person adopting the trading plan.</w:t>
      </w:r>
    </w:p>
    <w:p>
      <w:pPr>
        <w:spacing w:after="0" w:line="215" w:lineRule="exact"/>
        <w:rPr>
          <w:rFonts w:ascii="Times New Roman" w:cs="Times New Roman" w:eastAsia="Times New Roman" w:hAnsi="Times New Roman"/>
          <w:sz w:val="20"/>
          <w:szCs w:val="20"/>
          <w:color w:val="auto"/>
        </w:rPr>
      </w:pPr>
    </w:p>
    <w:p>
      <w:pPr>
        <w:ind w:left="1180" w:hanging="240"/>
        <w:spacing w:after="0"/>
        <w:tabs>
          <w:tab w:leader="none" w:pos="118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adopted at a time when:</w:t>
      </w:r>
    </w:p>
    <w:p>
      <w:pPr>
        <w:spacing w:after="0" w:line="215" w:lineRule="exact"/>
        <w:rPr>
          <w:rFonts w:ascii="Times New Roman" w:cs="Times New Roman" w:eastAsia="Times New Roman" w:hAnsi="Times New Roman"/>
          <w:sz w:val="20"/>
          <w:szCs w:val="20"/>
          <w:color w:val="auto"/>
        </w:rPr>
      </w:pPr>
    </w:p>
    <w:p>
      <w:pPr>
        <w:ind w:left="1920" w:right="319" w:hanging="656"/>
        <w:spacing w:after="0" w:line="269" w:lineRule="auto"/>
        <w:tabs>
          <w:tab w:leader="none" w:pos="1920"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is not aware of any material nonpublic information; and</w:t>
      </w:r>
    </w:p>
    <w:p>
      <w:pPr>
        <w:spacing w:after="0" w:line="159" w:lineRule="exact"/>
        <w:rPr>
          <w:rFonts w:ascii="Times New Roman" w:cs="Times New Roman" w:eastAsia="Times New Roman" w:hAnsi="Times New Roman"/>
          <w:sz w:val="20"/>
          <w:szCs w:val="20"/>
          <w:color w:val="auto"/>
        </w:rPr>
      </w:pPr>
    </w:p>
    <w:p>
      <w:pPr>
        <w:ind w:left="1920" w:right="319" w:hanging="656"/>
        <w:spacing w:after="0" w:line="269" w:lineRule="auto"/>
        <w:tabs>
          <w:tab w:leader="none" w:pos="1920" w:val="left"/>
        </w:tabs>
        <w:numPr>
          <w:ilvl w:val="2"/>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quarterly, special or other trading blackout in effect with respect to the person adopting the plan.</w:t>
      </w:r>
    </w:p>
    <w:p>
      <w:pPr>
        <w:spacing w:after="0" w:line="159" w:lineRule="exact"/>
        <w:rPr>
          <w:rFonts w:ascii="Times New Roman" w:cs="Times New Roman" w:eastAsia="Times New Roman" w:hAnsi="Times New Roman"/>
          <w:sz w:val="20"/>
          <w:szCs w:val="20"/>
          <w:color w:val="auto"/>
        </w:rPr>
      </w:pPr>
    </w:p>
    <w:p>
      <w:pPr>
        <w:jc w:val="both"/>
        <w:ind w:left="300" w:right="299" w:firstLine="640"/>
        <w:spacing w:after="0" w:line="244" w:lineRule="exact"/>
        <w:tabs>
          <w:tab w:leader="none" w:pos="1181"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be entered in good faith and not as part of a plan or scheme to evade the prohibitions of Rule 10b5</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 and the person adopting the trading plan must act in good faith with respect to the trading plan.</w:t>
      </w:r>
    </w:p>
    <w:p>
      <w:pPr>
        <w:spacing w:after="0" w:line="187" w:lineRule="exact"/>
        <w:rPr>
          <w:rFonts w:ascii="Times New Roman" w:cs="Times New Roman" w:eastAsia="Times New Roman" w:hAnsi="Times New Roman"/>
          <w:sz w:val="20"/>
          <w:szCs w:val="20"/>
          <w:color w:val="auto"/>
        </w:rPr>
      </w:pPr>
    </w:p>
    <w:p>
      <w:pPr>
        <w:ind w:left="300" w:right="299" w:firstLine="640"/>
        <w:spacing w:after="0" w:line="269" w:lineRule="auto"/>
        <w:tabs>
          <w:tab w:leader="none" w:pos="1181"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include representations that, on the date of adoption of the trading plan, the person adopting the trading plan:</w:t>
      </w:r>
    </w:p>
    <w:p>
      <w:pPr>
        <w:spacing w:after="0" w:line="159" w:lineRule="exact"/>
        <w:rPr>
          <w:sz w:val="20"/>
          <w:szCs w:val="20"/>
          <w:color w:val="auto"/>
        </w:rPr>
      </w:pPr>
    </w:p>
    <w:p>
      <w:pPr>
        <w:ind w:left="1580" w:hanging="316"/>
        <w:spacing w:after="0"/>
        <w:tabs>
          <w:tab w:leader="none" w:pos="158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not aware of material nonpublic information about the securities or the Company; and</w:t>
      </w:r>
    </w:p>
    <w:p>
      <w:pPr>
        <w:spacing w:after="0" w:line="215" w:lineRule="exact"/>
        <w:rPr>
          <w:rFonts w:ascii="Times New Roman" w:cs="Times New Roman" w:eastAsia="Times New Roman" w:hAnsi="Times New Roman"/>
          <w:sz w:val="20"/>
          <w:szCs w:val="20"/>
          <w:color w:val="auto"/>
        </w:rPr>
      </w:pPr>
    </w:p>
    <w:p>
      <w:pPr>
        <w:ind w:left="1580" w:right="319" w:hanging="316"/>
        <w:spacing w:after="0" w:line="269" w:lineRule="auto"/>
        <w:tabs>
          <w:tab w:leader="none" w:pos="158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adopting the trading plan in good faith and not as part of a plan or scheme to evade the prohibitions of Rule 10b5-1.</w:t>
      </w:r>
    </w:p>
    <w:p>
      <w:pPr>
        <w:spacing w:after="0" w:line="159" w:lineRule="exact"/>
        <w:rPr>
          <w:rFonts w:ascii="Times New Roman" w:cs="Times New Roman" w:eastAsia="Times New Roman" w:hAnsi="Times New Roman"/>
          <w:sz w:val="20"/>
          <w:szCs w:val="20"/>
          <w:color w:val="auto"/>
        </w:rPr>
      </w:pPr>
    </w:p>
    <w:p>
      <w:pPr>
        <w:jc w:val="both"/>
        <w:ind w:left="300" w:right="319" w:firstLine="640"/>
        <w:spacing w:after="0" w:line="254" w:lineRule="auto"/>
        <w:tabs>
          <w:tab w:leader="none" w:pos="1181"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may not have entered into or altered a corresponding or hedging transaction or position with respect to the securities subject to the trading plan and must agree not to enter into any such transaction while the trading plan is in effect.</w:t>
      </w:r>
    </w:p>
    <w:p>
      <w:pPr>
        <w:spacing w:after="0" w:line="174" w:lineRule="exact"/>
        <w:rPr>
          <w:rFonts w:ascii="Times New Roman" w:cs="Times New Roman" w:eastAsia="Times New Roman" w:hAnsi="Times New Roman"/>
          <w:sz w:val="20"/>
          <w:szCs w:val="20"/>
          <w:color w:val="auto"/>
        </w:rPr>
      </w:pPr>
    </w:p>
    <w:p>
      <w:pPr>
        <w:jc w:val="both"/>
        <w:ind w:left="300" w:right="299" w:firstLine="640"/>
        <w:spacing w:after="0" w:line="246" w:lineRule="auto"/>
        <w:tabs>
          <w:tab w:leader="none" w:pos="1181"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first trade under the trading plan may not occur until the expiration of a cooling-off period consisting of the later of (a) 90 calendar days after the adoption of the trading plan and (b) two business days after the filing by the Company of its financial results in a Form 10-Q or Form 10-K for the completed fiscal quarter in which the trading plan was adopted (but, in any event, this required cooling-off period is subject to a maximum of 120 days after adoption of the trading plan).</w:t>
      </w:r>
    </w:p>
    <w:p>
      <w:pPr>
        <w:spacing w:after="0" w:line="184" w:lineRule="exact"/>
        <w:rPr>
          <w:rFonts w:ascii="Times New Roman" w:cs="Times New Roman" w:eastAsia="Times New Roman" w:hAnsi="Times New Roman"/>
          <w:sz w:val="20"/>
          <w:szCs w:val="20"/>
          <w:color w:val="auto"/>
        </w:rPr>
      </w:pPr>
    </w:p>
    <w:p>
      <w:pPr>
        <w:ind w:left="300" w:right="299" w:firstLine="640"/>
        <w:spacing w:after="0" w:line="269" w:lineRule="auto"/>
        <w:tabs>
          <w:tab w:leader="none" w:pos="1181"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trading plan must have a minimum term of one year (starting from date of adoption of the trading plan).</w:t>
      </w:r>
    </w:p>
    <w:p>
      <w:pPr>
        <w:spacing w:after="0" w:line="159" w:lineRule="exact"/>
        <w:rPr>
          <w:rFonts w:ascii="Times New Roman" w:cs="Times New Roman" w:eastAsia="Times New Roman" w:hAnsi="Times New Roman"/>
          <w:sz w:val="20"/>
          <w:szCs w:val="20"/>
          <w:color w:val="auto"/>
        </w:rPr>
      </w:pPr>
    </w:p>
    <w:p>
      <w:pPr>
        <w:jc w:val="both"/>
        <w:ind w:left="300" w:right="299" w:firstLine="640"/>
        <w:spacing w:after="0" w:line="242" w:lineRule="auto"/>
        <w:tabs>
          <w:tab w:leader="none" w:pos="1181"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transactions may occur during the term of the trading plan (except for the “Exceptions to Trading Restrictions” identified in the Policy and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gifts) except for those transactions specified in the trading plan. In addition, the person adopting the trading plan may not have an outstanding (and may not subsequently enter into any additional) trading plan except as permitted by Rule 10b5-1. For example, as contemplated by Rule 10b5-1, a person may adopt a new trading plan before the scheduled termination date of an existing trading plan, so long as the first scheduled trade under the new trading plan does not occur prior to the last scheduled trade(s) of the existing trading plan and otherwise complies with these guidelines. Termination of the existing trading plan prior to its scheduled termination date may impact the timing of the first trade or the availability of the affirmative defense for the new trading plan; therefore,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543560</wp:posOffset>
            </wp:positionV>
            <wp:extent cx="703770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94" w:name="page95"/>
    <w:bookmarkEnd w:id="94"/>
    <w:p>
      <w:pPr>
        <w:ind w:left="300" w:right="319"/>
        <w:spacing w:after="0" w:line="269" w:lineRule="auto"/>
        <w:rPr>
          <w:sz w:val="20"/>
          <w:szCs w:val="20"/>
          <w:color w:val="auto"/>
        </w:rPr>
      </w:pPr>
      <w:r>
        <w:rPr>
          <w:rFonts w:ascii="Times New Roman" w:cs="Times New Roman" w:eastAsia="Times New Roman" w:hAnsi="Times New Roman"/>
          <w:sz w:val="20"/>
          <w:szCs w:val="20"/>
          <w:color w:val="auto"/>
        </w:rPr>
        <w:t>persons adopting a new trading plan are advised to exercise caution and consult with the Compliance Officer prior to the early termination of an existing trading plan.</w:t>
      </w:r>
    </w:p>
    <w:p>
      <w:pPr>
        <w:spacing w:after="0" w:line="159" w:lineRule="exact"/>
        <w:rPr>
          <w:sz w:val="20"/>
          <w:szCs w:val="20"/>
          <w:color w:val="auto"/>
        </w:rPr>
      </w:pPr>
    </w:p>
    <w:p>
      <w:pPr>
        <w:jc w:val="both"/>
        <w:ind w:left="300" w:right="319" w:firstLine="640"/>
        <w:spacing w:after="0" w:line="249" w:lineRule="auto"/>
        <w:tabs>
          <w:tab w:leader="none" w:pos="1181"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modification or change to the amount, price or timing of transactions under the trading plan is deemed the termination of the trading plan, and the adoption of a new trading plan (“</w:t>
      </w:r>
      <w:r>
        <w:rPr>
          <w:rFonts w:ascii="Times New Roman" w:cs="Times New Roman" w:eastAsia="Times New Roman" w:hAnsi="Times New Roman"/>
          <w:sz w:val="20"/>
          <w:szCs w:val="20"/>
          <w:b w:val="1"/>
          <w:bCs w:val="1"/>
          <w:color w:val="auto"/>
        </w:rPr>
        <w:t>Modification</w:t>
      </w:r>
      <w:r>
        <w:rPr>
          <w:rFonts w:ascii="Times New Roman" w:cs="Times New Roman" w:eastAsia="Times New Roman" w:hAnsi="Times New Roman"/>
          <w:sz w:val="20"/>
          <w:szCs w:val="20"/>
          <w:color w:val="auto"/>
        </w:rPr>
        <w:t>”). Therefore, a Modification is subject to the same conditions as a new trading plan as set forth in Sections 1 through 8 herein.</w:t>
      </w:r>
    </w:p>
    <w:p>
      <w:pPr>
        <w:spacing w:after="0" w:line="180"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10.Within the one year preceding the adoption or a Modification of a trading plan, a person may not have otherwise adopted or made a Modification to a plan more than once.</w:t>
      </w:r>
    </w:p>
    <w:p>
      <w:pPr>
        <w:spacing w:after="0" w:line="159"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11.A person may adopt a trading plan designed to cover a single trade only once in any consecutive 12-month period except as permitted by Rule 10b5-1.</w:t>
      </w:r>
    </w:p>
    <w:p>
      <w:pPr>
        <w:spacing w:after="0" w:line="159" w:lineRule="exact"/>
        <w:rPr>
          <w:sz w:val="20"/>
          <w:szCs w:val="20"/>
          <w:color w:val="auto"/>
        </w:rPr>
      </w:pPr>
    </w:p>
    <w:p>
      <w:pPr>
        <w:jc w:val="both"/>
        <w:ind w:left="300" w:right="319" w:firstLine="648"/>
        <w:spacing w:after="0" w:line="254" w:lineRule="auto"/>
        <w:rPr>
          <w:sz w:val="20"/>
          <w:szCs w:val="20"/>
          <w:color w:val="auto"/>
        </w:rPr>
      </w:pPr>
      <w:r>
        <w:rPr>
          <w:rFonts w:ascii="Times New Roman" w:cs="Times New Roman" w:eastAsia="Times New Roman" w:hAnsi="Times New Roman"/>
          <w:sz w:val="20"/>
          <w:szCs w:val="20"/>
          <w:color w:val="auto"/>
        </w:rPr>
        <w:t>12.If the person that adopted the trading plan terminates the plan prior to its stated duration, he or she may not trade in the Company’s securities until after the expiration of 30 calendar days following termination, and then only in accordance with the Policy.</w:t>
      </w:r>
    </w:p>
    <w:p>
      <w:pPr>
        <w:spacing w:after="0" w:line="174" w:lineRule="exact"/>
        <w:rPr>
          <w:sz w:val="20"/>
          <w:szCs w:val="20"/>
          <w:color w:val="auto"/>
        </w:rPr>
      </w:pPr>
    </w:p>
    <w:p>
      <w:pPr>
        <w:jc w:val="both"/>
        <w:ind w:left="300" w:right="319" w:firstLine="648"/>
        <w:spacing w:after="0" w:line="269" w:lineRule="auto"/>
        <w:rPr>
          <w:sz w:val="20"/>
          <w:szCs w:val="20"/>
          <w:color w:val="auto"/>
        </w:rPr>
      </w:pPr>
      <w:r>
        <w:rPr>
          <w:rFonts w:ascii="Times New Roman" w:cs="Times New Roman" w:eastAsia="Times New Roman" w:hAnsi="Times New Roman"/>
          <w:sz w:val="20"/>
          <w:szCs w:val="20"/>
          <w:color w:val="auto"/>
        </w:rPr>
        <w:t>13. The Company must be promptly notified of any termination of the trading plan, including any suspension of trading under the trading plan.</w:t>
      </w:r>
    </w:p>
    <w:p>
      <w:pPr>
        <w:spacing w:after="0" w:line="159"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14.The Company must have authority to require the suspension of the plan if there are legal, regulatory or contractual restrictions applicable to the Company or the person that adopted the trading plan, or to require the cancellation of the trading plan at any time, subject to any reasonable broker notice requirements as may be set forth in the trading plan.</w:t>
      </w:r>
    </w:p>
    <w:p>
      <w:pPr>
        <w:spacing w:after="0" w:line="180" w:lineRule="exact"/>
        <w:rPr>
          <w:sz w:val="20"/>
          <w:szCs w:val="20"/>
          <w:color w:val="auto"/>
        </w:rPr>
      </w:pPr>
    </w:p>
    <w:p>
      <w:pPr>
        <w:jc w:val="both"/>
        <w:ind w:left="300" w:right="299" w:firstLine="648"/>
        <w:spacing w:after="0" w:line="269" w:lineRule="auto"/>
        <w:rPr>
          <w:sz w:val="20"/>
          <w:szCs w:val="20"/>
          <w:color w:val="auto"/>
        </w:rPr>
      </w:pPr>
      <w:r>
        <w:rPr>
          <w:rFonts w:ascii="Times New Roman" w:cs="Times New Roman" w:eastAsia="Times New Roman" w:hAnsi="Times New Roman"/>
          <w:sz w:val="20"/>
          <w:szCs w:val="20"/>
          <w:color w:val="auto"/>
        </w:rPr>
        <w:t>15.If the trading plan grants discretion to a stockbroker or other person with respect to the execution of trades under the trading plan:</w:t>
      </w:r>
    </w:p>
    <w:p>
      <w:pPr>
        <w:spacing w:after="0" w:line="159" w:lineRule="exact"/>
        <w:rPr>
          <w:sz w:val="20"/>
          <w:szCs w:val="20"/>
          <w:color w:val="auto"/>
        </w:rPr>
      </w:pPr>
    </w:p>
    <w:p>
      <w:pPr>
        <w:ind w:left="1920" w:right="299" w:hanging="656"/>
        <w:spacing w:after="0" w:line="269" w:lineRule="auto"/>
        <w:tabs>
          <w:tab w:leader="none" w:pos="19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may not exercise any subsequent influence over how, when or whether to effect purchases or sales under the plan;</w:t>
      </w:r>
    </w:p>
    <w:p>
      <w:pPr>
        <w:spacing w:after="0" w:line="159" w:lineRule="exact"/>
        <w:rPr>
          <w:rFonts w:ascii="Times New Roman" w:cs="Times New Roman" w:eastAsia="Times New Roman" w:hAnsi="Times New Roman"/>
          <w:sz w:val="20"/>
          <w:szCs w:val="20"/>
          <w:color w:val="auto"/>
        </w:rPr>
      </w:pPr>
    </w:p>
    <w:p>
      <w:pPr>
        <w:ind w:left="1920" w:right="319" w:hanging="656"/>
        <w:spacing w:after="0" w:line="269" w:lineRule="auto"/>
        <w:tabs>
          <w:tab w:leader="none" w:pos="19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adopting the trading plan may not confer with the person administering the trading plan regarding the Company or its securities; and</w:t>
      </w:r>
    </w:p>
    <w:p>
      <w:pPr>
        <w:spacing w:after="0" w:line="159" w:lineRule="exact"/>
        <w:rPr>
          <w:rFonts w:ascii="Times New Roman" w:cs="Times New Roman" w:eastAsia="Times New Roman" w:hAnsi="Times New Roman"/>
          <w:sz w:val="20"/>
          <w:szCs w:val="20"/>
          <w:color w:val="auto"/>
        </w:rPr>
      </w:pPr>
    </w:p>
    <w:p>
      <w:pPr>
        <w:ind w:left="1920" w:right="299" w:hanging="656"/>
        <w:spacing w:after="0" w:line="269" w:lineRule="auto"/>
        <w:tabs>
          <w:tab w:leader="none" w:pos="19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administering the trading plan must provide prompt notice to the Company of the execution of a transaction pursuant to the plan.</w:t>
      </w:r>
    </w:p>
    <w:p>
      <w:pPr>
        <w:spacing w:after="0" w:line="15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0"/>
          <w:szCs w:val="20"/>
          <w:color w:val="auto"/>
        </w:rPr>
        <w:t>16.All transactions under the trading plan must be in accordance with applicable law.</w:t>
      </w:r>
    </w:p>
    <w:p>
      <w:pPr>
        <w:spacing w:after="0" w:line="216" w:lineRule="exact"/>
        <w:rPr>
          <w:sz w:val="20"/>
          <w:szCs w:val="20"/>
          <w:color w:val="auto"/>
        </w:rPr>
      </w:pPr>
    </w:p>
    <w:p>
      <w:pPr>
        <w:jc w:val="both"/>
        <w:ind w:left="300" w:right="299" w:firstLine="648"/>
        <w:spacing w:after="0" w:line="249" w:lineRule="auto"/>
        <w:rPr>
          <w:sz w:val="20"/>
          <w:szCs w:val="20"/>
          <w:color w:val="auto"/>
        </w:rPr>
      </w:pPr>
      <w:r>
        <w:rPr>
          <w:rFonts w:ascii="Times New Roman" w:cs="Times New Roman" w:eastAsia="Times New Roman" w:hAnsi="Times New Roman"/>
          <w:sz w:val="20"/>
          <w:szCs w:val="20"/>
          <w:color w:val="auto"/>
        </w:rPr>
        <w:t>17.Any exceptions to the Trading Plan Requirements must be approved by the Compliance Officer or, in the case of directors and officers who are subject Section 16 of the Securities Exchange Act of 1934, by the Compliance Officer, in consultation with the Company’s board of directors or an independent committee of the board of directors.</w:t>
      </w:r>
    </w:p>
    <w:p>
      <w:pPr>
        <w:spacing w:after="0" w:line="180" w:lineRule="exact"/>
        <w:rPr>
          <w:sz w:val="20"/>
          <w:szCs w:val="20"/>
          <w:color w:val="auto"/>
        </w:rPr>
      </w:pPr>
    </w:p>
    <w:p>
      <w:pPr>
        <w:jc w:val="both"/>
        <w:ind w:left="300" w:right="299" w:firstLine="648"/>
        <w:spacing w:after="0" w:line="250" w:lineRule="auto"/>
        <w:rPr>
          <w:sz w:val="20"/>
          <w:szCs w:val="20"/>
          <w:color w:val="auto"/>
        </w:rPr>
      </w:pPr>
      <w:r>
        <w:rPr>
          <w:rFonts w:ascii="Times New Roman" w:cs="Times New Roman" w:eastAsia="Times New Roman" w:hAnsi="Times New Roman"/>
          <w:sz w:val="20"/>
          <w:szCs w:val="20"/>
          <w:color w:val="auto"/>
        </w:rPr>
        <w:t>18.The trading plan, including any Modification, must meet such other requirements as the Compliance Officer may determine.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A</w:t>
      </w:r>
    </w:p>
    <w:p>
      <w:pPr>
        <w:spacing w:after="0" w:line="190"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0"/>
          <w:szCs w:val="20"/>
          <w:b w:val="1"/>
          <w:bCs w:val="1"/>
          <w:color w:val="auto"/>
        </w:rPr>
        <w:t>PERSONS SUBJECT TO QUARTERLY BLACKOUT PERIODS AND</w:t>
      </w:r>
    </w:p>
    <w:p>
      <w:pPr>
        <w:spacing w:after="0" w:line="2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b w:val="1"/>
          <w:bCs w:val="1"/>
          <w:color w:val="auto"/>
        </w:rPr>
        <w:t>PRE-CLEARANCE REQUIREMENTS UNDER THE POLICY</w:t>
      </w:r>
    </w:p>
    <w:p>
      <w:pPr>
        <w:spacing w:after="0" w:line="194" w:lineRule="exact"/>
        <w:rPr>
          <w:sz w:val="20"/>
          <w:szCs w:val="20"/>
          <w:color w:val="auto"/>
        </w:rPr>
      </w:pPr>
    </w:p>
    <w:p>
      <w:pPr>
        <w:ind w:left="940" w:hanging="324"/>
        <w:spacing w:after="0"/>
        <w:tabs>
          <w:tab w:leader="none" w:pos="94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Corporate directors and Sec. 16 Officers.</w:t>
      </w:r>
    </w:p>
    <w:p>
      <w:pPr>
        <w:spacing w:after="0" w:line="229" w:lineRule="exact"/>
        <w:rPr>
          <w:rFonts w:ascii="Times New Roman" w:cs="Times New Roman" w:eastAsia="Times New Roman" w:hAnsi="Times New Roman"/>
          <w:sz w:val="20"/>
          <w:szCs w:val="20"/>
          <w:color w:val="auto"/>
        </w:rPr>
      </w:pPr>
    </w:p>
    <w:p>
      <w:pPr>
        <w:ind w:left="940" w:hanging="324"/>
        <w:spacing w:after="0"/>
        <w:tabs>
          <w:tab w:leader="none" w:pos="94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direct reports to the CEO who regularly attend the CEO’s senior team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833120</wp:posOffset>
            </wp:positionV>
            <wp:extent cx="703770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1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95" w:name="page96"/>
    <w:bookmarkEnd w:id="95"/>
    <w:p>
      <w:pPr>
        <w:ind w:left="940" w:right="619" w:hanging="324"/>
        <w:spacing w:after="0" w:line="269" w:lineRule="auto"/>
        <w:tabs>
          <w:tab w:leader="none" w:pos="989"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Finance department members with the title of Vice President, Director, Controller, Senior Manager and Accounting Manager.</w:t>
      </w:r>
    </w:p>
    <w:p>
      <w:pPr>
        <w:spacing w:after="0" w:line="388" w:lineRule="exact"/>
        <w:rPr>
          <w:rFonts w:ascii="Times New Roman" w:cs="Times New Roman" w:eastAsia="Times New Roman" w:hAnsi="Times New Roman"/>
          <w:sz w:val="20"/>
          <w:szCs w:val="20"/>
          <w:color w:val="auto"/>
        </w:rPr>
      </w:pPr>
    </w:p>
    <w:p>
      <w:pPr>
        <w:ind w:left="940" w:hanging="324"/>
        <w:spacing w:after="0"/>
        <w:tabs>
          <w:tab w:leader="none" w:pos="9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Vice Presidents of Sales, US and OUS.</w:t>
      </w:r>
    </w:p>
    <w:p>
      <w:pPr>
        <w:spacing w:after="0" w:line="200" w:lineRule="exact"/>
        <w:rPr>
          <w:rFonts w:ascii="Times New Roman" w:cs="Times New Roman" w:eastAsia="Times New Roman" w:hAnsi="Times New Roman"/>
          <w:sz w:val="20"/>
          <w:szCs w:val="20"/>
          <w:color w:val="auto"/>
        </w:rPr>
      </w:pPr>
    </w:p>
    <w:p>
      <w:pPr>
        <w:spacing w:after="0" w:line="245" w:lineRule="exact"/>
        <w:rPr>
          <w:rFonts w:ascii="Times New Roman" w:cs="Times New Roman" w:eastAsia="Times New Roman" w:hAnsi="Times New Roman"/>
          <w:sz w:val="20"/>
          <w:szCs w:val="20"/>
          <w:color w:val="auto"/>
        </w:rPr>
      </w:pPr>
    </w:p>
    <w:p>
      <w:pPr>
        <w:ind w:left="940" w:hanging="324"/>
        <w:spacing w:after="0"/>
        <w:tabs>
          <w:tab w:leader="none" w:pos="9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employees as determined from time-to-time by the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978535</wp:posOffset>
            </wp:positionV>
            <wp:extent cx="703770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96" w:name="page97"/>
    <w:bookmarkEnd w:id="96"/>
    <w:p>
      <w:pPr>
        <w:ind w:left="9260"/>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60" w:type="dxa"/>
            <w:vAlign w:val="bottom"/>
            <w:gridSpan w:val="3"/>
          </w:tcPr>
          <w:p>
            <w:pPr>
              <w:jc w:val="right"/>
              <w:ind w:right="3680"/>
              <w:spacing w:after="0"/>
              <w:rPr>
                <w:sz w:val="20"/>
                <w:szCs w:val="20"/>
                <w:color w:val="auto"/>
              </w:rPr>
            </w:pPr>
            <w:r>
              <w:rPr>
                <w:rFonts w:ascii="Times New Roman" w:cs="Times New Roman" w:eastAsia="Times New Roman" w:hAnsi="Times New Roman"/>
                <w:sz w:val="23"/>
                <w:szCs w:val="23"/>
                <w:b w:val="1"/>
                <w:bCs w:val="1"/>
                <w:color w:val="auto"/>
              </w:rPr>
              <w:t>Subsidiaries of IRIDEX Corporation</w:t>
            </w:r>
          </w:p>
        </w:tc>
      </w:tr>
      <w:tr>
        <w:trPr>
          <w:trHeight w:val="234"/>
        </w:trPr>
        <w:tc>
          <w:tcPr>
            <w:tcW w:w="6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60" w:type="dxa"/>
            <w:vAlign w:val="bottom"/>
            <w:gridSpan w:val="3"/>
          </w:tcPr>
          <w:p>
            <w:pPr>
              <w:ind w:left="1380"/>
              <w:spacing w:after="0"/>
              <w:rPr>
                <w:sz w:val="20"/>
                <w:szCs w:val="20"/>
                <w:color w:val="auto"/>
              </w:rPr>
            </w:pPr>
            <w:r>
              <w:rPr>
                <w:rFonts w:ascii="Times New Roman" w:cs="Times New Roman" w:eastAsia="Times New Roman" w:hAnsi="Times New Roman"/>
                <w:sz w:val="18"/>
                <w:szCs w:val="18"/>
                <w:color w:val="auto"/>
              </w:rPr>
              <w:t>(as of December 28, 2024)</w:t>
            </w:r>
          </w:p>
        </w:tc>
      </w:tr>
      <w:tr>
        <w:trPr>
          <w:trHeight w:val="608"/>
        </w:trPr>
        <w:tc>
          <w:tcPr>
            <w:tcW w:w="66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1800" w:type="dxa"/>
            <w:vAlign w:val="bottom"/>
          </w:tcPr>
          <w:p>
            <w:pPr>
              <w:spacing w:after="0"/>
              <w:rPr>
                <w:sz w:val="24"/>
                <w:szCs w:val="24"/>
                <w:color w:val="auto"/>
              </w:rPr>
            </w:pPr>
          </w:p>
        </w:tc>
        <w:tc>
          <w:tcPr>
            <w:tcW w:w="6060" w:type="dxa"/>
            <w:vAlign w:val="bottom"/>
            <w:gridSpan w:val="2"/>
          </w:tcPr>
          <w:p>
            <w:pPr>
              <w:jc w:val="right"/>
              <w:ind w:right="3660"/>
              <w:spacing w:after="0"/>
              <w:rPr>
                <w:sz w:val="20"/>
                <w:szCs w:val="20"/>
                <w:color w:val="auto"/>
              </w:rPr>
            </w:pPr>
            <w:r>
              <w:rPr>
                <w:rFonts w:ascii="Times New Roman" w:cs="Times New Roman" w:eastAsia="Times New Roman" w:hAnsi="Times New Roman"/>
                <w:sz w:val="18"/>
                <w:szCs w:val="18"/>
                <w:b w:val="1"/>
                <w:bCs w:val="1"/>
                <w:color w:val="auto"/>
                <w:w w:val="99"/>
              </w:rPr>
              <w:t>COUNTRY OF FORMATION</w:t>
            </w:r>
          </w:p>
        </w:tc>
      </w:tr>
      <w:tr>
        <w:trPr>
          <w:trHeight w:val="453"/>
        </w:trPr>
        <w:tc>
          <w:tcPr>
            <w:tcW w:w="660" w:type="dxa"/>
            <w:vAlign w:val="bottom"/>
          </w:tcPr>
          <w:p>
            <w:pPr>
              <w:spacing w:after="0"/>
              <w:rPr>
                <w:sz w:val="24"/>
                <w:szCs w:val="24"/>
                <w:color w:val="auto"/>
              </w:rPr>
            </w:pPr>
          </w:p>
        </w:tc>
        <w:tc>
          <w:tcPr>
            <w:tcW w:w="2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IRIDEX Europe GmbH</w:t>
            </w:r>
          </w:p>
        </w:tc>
        <w:tc>
          <w:tcPr>
            <w:tcW w:w="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0" w:type="dxa"/>
            <w:vAlign w:val="bottom"/>
            <w:tcBorders>
              <w:top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color w:val="auto"/>
                <w:w w:val="98"/>
              </w:rPr>
              <w:t>Germany</w:t>
            </w:r>
          </w:p>
        </w:tc>
        <w:tc>
          <w:tcPr>
            <w:tcW w:w="3660" w:type="dxa"/>
            <w:vAlign w:val="bottom"/>
          </w:tcPr>
          <w:p>
            <w:pPr>
              <w:spacing w:after="0"/>
              <w:rPr>
                <w:sz w:val="24"/>
                <w:szCs w:val="24"/>
                <w:color w:val="auto"/>
              </w:rPr>
            </w:pPr>
          </w:p>
        </w:tc>
      </w:tr>
      <w:tr>
        <w:trPr>
          <w:trHeight w:val="763"/>
        </w:trPr>
        <w:tc>
          <w:tcPr>
            <w:tcW w:w="6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981" w:right="4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S-3 (333-281947, 333-257807, 333-213094) and Form S-8 (333-272983, 333-257808, 333-233628, 333-226358, 333-219448, 333-197934, 333-183513, 333-161630, 333-155598, 333-147866, 333-135822, 333-127716, 333-117885, 333-107700, 333-97541, 333-67480, 333-45736, 333-86091, 333-57573, 333-32161) of our report dated March 27, 2025 relating to the consolidated financial statements of IRIDEX Corporation as of December 28, 2024, which appears in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BPM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473075</wp:posOffset>
            </wp:positionV>
            <wp:extent cx="703770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65" w:right="1099" w:bottom="1440" w:gutter="0" w:footer="0" w:header="0"/>
        </w:sectPr>
      </w:pPr>
    </w:p>
    <w:bookmarkStart w:id="98" w:name="page99"/>
    <w:bookmarkEnd w:id="98"/>
    <w:p>
      <w:pPr>
        <w:ind w:left="860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13(a) or 15 (d)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Patrick Mercer, certify that:</w:t>
      </w:r>
    </w:p>
    <w:p>
      <w:pPr>
        <w:spacing w:after="0" w:line="117" w:lineRule="exact"/>
        <w:rPr>
          <w:sz w:val="20"/>
          <w:szCs w:val="20"/>
          <w:color w:val="auto"/>
        </w:rPr>
      </w:pPr>
    </w:p>
    <w:p>
      <w:pPr>
        <w:ind w:left="880" w:hanging="435"/>
        <w:spacing w:after="0"/>
        <w:tabs>
          <w:tab w:leader="none" w:pos="8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IRIDEX Corporation;</w:t>
      </w:r>
    </w:p>
    <w:p>
      <w:pPr>
        <w:spacing w:after="0" w:line="117" w:lineRule="exact"/>
        <w:rPr>
          <w:rFonts w:ascii="Times New Roman" w:cs="Times New Roman" w:eastAsia="Times New Roman" w:hAnsi="Times New Roman"/>
          <w:sz w:val="18"/>
          <w:szCs w:val="18"/>
          <w:color w:val="auto"/>
        </w:rPr>
      </w:pPr>
    </w:p>
    <w:p>
      <w:pPr>
        <w:ind w:left="880" w:hanging="435"/>
        <w:spacing w:after="0" w:line="266" w:lineRule="auto"/>
        <w:tabs>
          <w:tab w:leader="none" w:pos="8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880" w:hanging="435"/>
        <w:spacing w:after="0" w:line="266" w:lineRule="auto"/>
        <w:tabs>
          <w:tab w:leader="none" w:pos="8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880" w:right="200" w:hanging="435"/>
        <w:spacing w:after="0" w:line="266" w:lineRule="auto"/>
        <w:tabs>
          <w:tab w:leader="none" w:pos="8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20" w:right="20" w:hanging="435"/>
        <w:spacing w:after="0" w:line="261" w:lineRule="auto"/>
        <w:tabs>
          <w:tab w:leader="none" w:pos="13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320" w:hanging="435"/>
        <w:spacing w:after="0" w:line="261" w:lineRule="auto"/>
        <w:tabs>
          <w:tab w:leader="none" w:pos="13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1320" w:right="40" w:hanging="435"/>
        <w:spacing w:after="0" w:line="266" w:lineRule="auto"/>
        <w:tabs>
          <w:tab w:leader="none" w:pos="13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320" w:right="80" w:hanging="435"/>
        <w:spacing w:after="0" w:line="261" w:lineRule="auto"/>
        <w:tabs>
          <w:tab w:leader="none" w:pos="13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changes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880" w:right="300" w:hanging="435"/>
        <w:spacing w:after="0" w:line="266" w:lineRule="auto"/>
        <w:tabs>
          <w:tab w:leader="none" w:pos="8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320" w:right="200" w:hanging="435"/>
        <w:spacing w:after="0" w:line="266" w:lineRule="auto"/>
        <w:tabs>
          <w:tab w:leader="none" w:pos="13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320" w:right="40" w:hanging="435"/>
        <w:spacing w:after="0" w:line="282" w:lineRule="auto"/>
        <w:tabs>
          <w:tab w:leader="none" w:pos="13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2025</w:t>
      </w:r>
    </w:p>
    <w:p>
      <w:pPr>
        <w:spacing w:after="0" w:line="25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By: /s/ Patrick Mercer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17145</wp:posOffset>
            </wp:positionV>
            <wp:extent cx="269176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23">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2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Name: Patrick Mercer</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721995</wp:posOffset>
            </wp:positionV>
            <wp:extent cx="703770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2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65" w:right="1099" w:bottom="1440" w:gutter="0" w:footer="0" w:header="0"/>
        </w:sectPr>
      </w:pPr>
    </w:p>
    <w:bookmarkStart w:id="99" w:name="page100"/>
    <w:bookmarkEnd w:id="99"/>
    <w:p>
      <w:pPr>
        <w:ind w:left="860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13(a) or 15 (d) OF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Romeo R. Dizon, certify that:</w:t>
      </w:r>
    </w:p>
    <w:p>
      <w:pPr>
        <w:spacing w:after="0" w:line="117" w:lineRule="exact"/>
        <w:rPr>
          <w:sz w:val="20"/>
          <w:szCs w:val="20"/>
          <w:color w:val="auto"/>
        </w:rPr>
      </w:pPr>
    </w:p>
    <w:p>
      <w:pPr>
        <w:ind w:left="880" w:hanging="435"/>
        <w:spacing w:after="0"/>
        <w:tabs>
          <w:tab w:leader="none" w:pos="8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IRIDEX Corporation;</w:t>
      </w:r>
    </w:p>
    <w:p>
      <w:pPr>
        <w:spacing w:after="0" w:line="117" w:lineRule="exact"/>
        <w:rPr>
          <w:rFonts w:ascii="Times New Roman" w:cs="Times New Roman" w:eastAsia="Times New Roman" w:hAnsi="Times New Roman"/>
          <w:sz w:val="18"/>
          <w:szCs w:val="18"/>
          <w:color w:val="auto"/>
        </w:rPr>
      </w:pPr>
    </w:p>
    <w:p>
      <w:pPr>
        <w:ind w:left="880" w:hanging="435"/>
        <w:spacing w:after="0" w:line="266" w:lineRule="auto"/>
        <w:tabs>
          <w:tab w:leader="none" w:pos="8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880" w:hanging="435"/>
        <w:spacing w:after="0" w:line="266" w:lineRule="auto"/>
        <w:tabs>
          <w:tab w:leader="none" w:pos="8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880" w:right="200" w:hanging="435"/>
        <w:spacing w:after="0" w:line="266" w:lineRule="auto"/>
        <w:tabs>
          <w:tab w:leader="none" w:pos="8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20" w:right="20" w:hanging="435"/>
        <w:spacing w:after="0" w:line="261" w:lineRule="auto"/>
        <w:tabs>
          <w:tab w:leader="none" w:pos="13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8"/>
          <w:szCs w:val="18"/>
          <w:color w:val="auto"/>
        </w:rPr>
      </w:pPr>
    </w:p>
    <w:p>
      <w:pPr>
        <w:ind w:left="1320" w:hanging="435"/>
        <w:spacing w:after="0" w:line="261" w:lineRule="auto"/>
        <w:tabs>
          <w:tab w:leader="none" w:pos="13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left="1320" w:right="40" w:hanging="435"/>
        <w:spacing w:after="0" w:line="266" w:lineRule="auto"/>
        <w:tabs>
          <w:tab w:leader="none" w:pos="13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1320" w:right="80" w:hanging="435"/>
        <w:spacing w:after="0" w:line="261" w:lineRule="auto"/>
        <w:tabs>
          <w:tab w:leader="none" w:pos="13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changes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880" w:right="300" w:hanging="435"/>
        <w:spacing w:after="0" w:line="266" w:lineRule="auto"/>
        <w:tabs>
          <w:tab w:leader="none" w:pos="8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1320" w:right="200" w:hanging="435"/>
        <w:spacing w:after="0" w:line="266" w:lineRule="auto"/>
        <w:tabs>
          <w:tab w:leader="none" w:pos="13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1320" w:right="40" w:hanging="435"/>
        <w:spacing w:after="0" w:line="282" w:lineRule="auto"/>
        <w:tabs>
          <w:tab w:leader="none" w:pos="13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2025</w:t>
      </w:r>
    </w:p>
    <w:p>
      <w:pPr>
        <w:spacing w:after="0" w:line="25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By: /s/ Romeo R. Dizon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3482975</wp:posOffset>
            </wp:positionH>
            <wp:positionV relativeFrom="paragraph">
              <wp:posOffset>17145</wp:posOffset>
            </wp:positionV>
            <wp:extent cx="269176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25">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2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Name: Romeo R. Dizon</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721995</wp:posOffset>
            </wp:positionV>
            <wp:extent cx="703770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65" w:right="109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80" w:firstLine="441"/>
        <w:spacing w:after="0" w:line="258" w:lineRule="auto"/>
        <w:rPr>
          <w:sz w:val="20"/>
          <w:szCs w:val="20"/>
          <w:color w:val="auto"/>
        </w:rPr>
      </w:pPr>
      <w:r>
        <w:rPr>
          <w:rFonts w:ascii="Times New Roman" w:cs="Times New Roman" w:eastAsia="Times New Roman" w:hAnsi="Times New Roman"/>
          <w:sz w:val="18"/>
          <w:szCs w:val="18"/>
          <w:color w:val="auto"/>
        </w:rPr>
        <w:t>I, Patrick Mercer, pursuant to 18 U.S.C. Section 1350, as adopted pursuant to Section 906 of the Sarbanes-Oxley Act of 2002, certify that the Annual Report of IRIDEX Corporation on Form 10-K for the fiscal year ended December 28, 2024 (i) fully complies with the requirements of Section 13(a) or 15(d) of the Securities Exchange Act of 1934 and (ii) that information contained in such Annual Report on Form 10-K fairly presents, in all material respects, the financial condition and results of operations of IRIDEX Corporation.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2025</w:t>
      </w:r>
    </w:p>
    <w:p>
      <w:pPr>
        <w:spacing w:after="0" w:line="266" w:lineRule="exact"/>
        <w:rPr>
          <w:sz w:val="20"/>
          <w:szCs w:val="20"/>
          <w:color w:val="auto"/>
        </w:rPr>
      </w:pPr>
    </w:p>
    <w:p>
      <w:pPr>
        <w:ind w:left="5140"/>
        <w:spacing w:after="0"/>
        <w:tabs>
          <w:tab w:leader="none" w:pos="5580" w:val="left"/>
        </w:tabs>
        <w:rPr>
          <w:sz w:val="20"/>
          <w:szCs w:val="20"/>
          <w:color w:val="auto"/>
        </w:rPr>
      </w:pPr>
      <w:r>
        <w:rPr>
          <w:rFonts w:ascii="Times New Roman" w:cs="Times New Roman" w:eastAsia="Times New Roman" w:hAnsi="Times New Roman"/>
          <w:sz w:val="18"/>
          <w:szCs w:val="18"/>
          <w:color w:val="auto"/>
        </w:rPr>
        <w:t>By:</w:t>
        <w:tab/>
        <w:t>/s/ Patrick Mercer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3551555</wp:posOffset>
            </wp:positionH>
            <wp:positionV relativeFrom="paragraph">
              <wp:posOffset>17145</wp:posOffset>
            </wp:positionV>
            <wp:extent cx="262318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7">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Name: Patrick Mercer</w:t>
      </w:r>
    </w:p>
    <w:p>
      <w:pPr>
        <w:spacing w:after="0" w:line="3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3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621665</wp:posOffset>
            </wp:positionV>
            <wp:extent cx="703770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65" w:right="109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firstLine="441"/>
        <w:spacing w:after="0" w:line="258" w:lineRule="auto"/>
        <w:rPr>
          <w:sz w:val="20"/>
          <w:szCs w:val="20"/>
          <w:color w:val="auto"/>
        </w:rPr>
      </w:pPr>
      <w:r>
        <w:rPr>
          <w:rFonts w:ascii="Times New Roman" w:cs="Times New Roman" w:eastAsia="Times New Roman" w:hAnsi="Times New Roman"/>
          <w:sz w:val="18"/>
          <w:szCs w:val="18"/>
          <w:color w:val="auto"/>
        </w:rPr>
        <w:t>I, Romeo R. Dizon, pursuant to 18 U.S.C. Section 1350, as adopted pursuant to Section 906 of the Sarbanes-Oxley Act of 2002, certify that the Annual Report of IRIDEX Corporation on Form 10-K for the fiscal year ended December 28, 2024 (i) fully complies with the requirements of Section 13(a) or 15(d) of the Securities Exchange Act of 1934 and (ii) that information contained in such Annual Report on Form 10-K fairly presents, in all material respects, the financial condition and results of operations of IRIDEX Corporation.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2025</w:t>
      </w:r>
    </w:p>
    <w:p>
      <w:pPr>
        <w:spacing w:after="0" w:line="266" w:lineRule="exact"/>
        <w:rPr>
          <w:sz w:val="20"/>
          <w:szCs w:val="20"/>
          <w:color w:val="auto"/>
        </w:rPr>
      </w:pPr>
    </w:p>
    <w:p>
      <w:pPr>
        <w:ind w:left="5140"/>
        <w:spacing w:after="0"/>
        <w:tabs>
          <w:tab w:leader="none" w:pos="5580" w:val="left"/>
        </w:tabs>
        <w:rPr>
          <w:sz w:val="20"/>
          <w:szCs w:val="20"/>
          <w:color w:val="auto"/>
        </w:rPr>
      </w:pPr>
      <w:r>
        <w:rPr>
          <w:rFonts w:ascii="Times New Roman" w:cs="Times New Roman" w:eastAsia="Times New Roman" w:hAnsi="Times New Roman"/>
          <w:sz w:val="18"/>
          <w:szCs w:val="18"/>
          <w:color w:val="auto"/>
        </w:rPr>
        <w:t>By:</w:t>
        <w:tab/>
        <w:t>/s/ Romeo R. Dizon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3551555</wp:posOffset>
            </wp:positionH>
            <wp:positionV relativeFrom="paragraph">
              <wp:posOffset>17145</wp:posOffset>
            </wp:positionV>
            <wp:extent cx="262318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9">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3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Name: Romeo R. Dizon</w:t>
      </w:r>
    </w:p>
    <w:p>
      <w:pPr>
        <w:spacing w:after="0" w:line="3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3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621665</wp:posOffset>
            </wp:positionV>
            <wp:extent cx="703770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765" w:right="1099" w:bottom="1440" w:gutter="0" w:footer="0" w:header="0"/>
        </w:sectPr>
      </w:pPr>
    </w:p>
    <w:bookmarkStart w:id="102" w:name="page103"/>
    <w:bookmarkEnd w:id="10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1"/>
      <w:numFmt w:val="upperLetter"/>
      <w:start w:val="6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1)"/>
      <w:numFmt w:val="decimal"/>
      <w:start w:val="1"/>
    </w:lvl>
    <w:lvl w:ilvl="1">
      <w:lvlJc w:val="left"/>
      <w:lvlText w:val="%2."/>
      <w:numFmt w:val="lowerLetter"/>
      <w:start w:val="1"/>
    </w:lvl>
  </w:abstractNum>
  <w:abstractNum w:abstractNumId="28">
    <w:nsid w:val="6DE91B18"/>
    <w:multiLevelType w:val="hybridMultilevel"/>
    <w:lvl w:ilvl="0">
      <w:lvlJc w:val="left"/>
      <w:lvlText w:val="(%1)"/>
      <w:numFmt w:val="decimal"/>
      <w:start w:val="5"/>
    </w:lvl>
  </w:abstractNum>
  <w:abstractNum w:abstractNumId="29">
    <w:nsid w:val="38437FDB"/>
    <w:multiLevelType w:val="hybridMultilevel"/>
    <w:lvl w:ilvl="0">
      <w:lvlJc w:val="left"/>
      <w:lvlText w:val="(%1)"/>
      <w:numFmt w:val="decimal"/>
      <w:start w:val="1"/>
    </w:lvl>
  </w:abstractNum>
  <w:abstractNum w:abstractNumId="30">
    <w:nsid w:val="7644A45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1">
    <w:nsid w:val="32FFF902"/>
    <w:multiLevelType w:val="hybridMultilevel"/>
    <w:lvl w:ilvl="0">
      <w:lvlJc w:val="left"/>
      <w:lvlText w:val="(%1)"/>
      <w:numFmt w:val="decimal"/>
      <w:start w:val="3"/>
    </w:lvl>
    <w:lvl w:ilvl="1">
      <w:lvlJc w:val="left"/>
      <w:lvlText w:val="(%2)"/>
      <w:numFmt w:val="decimal"/>
      <w:start w:val="5"/>
    </w:lvl>
    <w:lvl w:ilvl="2">
      <w:lvlJc w:val="left"/>
      <w:lvlText w:val="%3"/>
      <w:numFmt w:val="lowerLetter"/>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1)"/>
      <w:numFmt w:val="decimal"/>
      <w:start w:val="1"/>
    </w:lvl>
  </w:abstractNum>
  <w:abstractNum w:abstractNumId="34">
    <w:nsid w:val="749ABB43"/>
    <w:multiLevelType w:val="hybridMultilevel"/>
    <w:lvl w:ilvl="0">
      <w:lvlJc w:val="left"/>
      <w:lvlText w:val="(%1)"/>
      <w:numFmt w:val="lowerLetter"/>
      <w:start w:val="1"/>
    </w:lvl>
  </w:abstractNum>
  <w:abstractNum w:abstractNumId="35">
    <w:nsid w:val="3DC240FB"/>
    <w:multiLevelType w:val="hybridMultilevel"/>
    <w:lvl w:ilvl="0">
      <w:lvlJc w:val="left"/>
      <w:lvlText w:val="*"/>
      <w:numFmt w:val="bullet"/>
      <w:start w:val="1"/>
    </w:lvl>
    <w:lvl w:ilvl="1">
      <w:lvlJc w:val="left"/>
      <w:lvlText w:val="%2"/>
      <w:numFmt w:val="decimal"/>
      <w:start w:val="104"/>
    </w:lvl>
  </w:abstractNum>
  <w:abstractNum w:abstractNumId="36">
    <w:nsid w:val="1BA026FA"/>
    <w:multiLevelType w:val="hybridMultilevel"/>
    <w:lvl w:ilvl="0">
      <w:lvlJc w:val="left"/>
      <w:lvlText w:val="%1."/>
      <w:numFmt w:val="upperLetter"/>
      <w:start w:val="1"/>
    </w:lvl>
  </w:abstractNum>
  <w:abstractNum w:abstractNumId="37">
    <w:nsid w:val="79A1DEAA"/>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38">
    <w:nsid w:val="75C6C33A"/>
    <w:multiLevelType w:val="hybridMultilevel"/>
    <w:lvl w:ilvl="0">
      <w:lvlJc w:val="left"/>
      <w:lvlText w:val="%1."/>
      <w:numFmt w:val="decimal"/>
      <w:start w:val="2"/>
    </w:lvl>
  </w:abstractNum>
  <w:abstractNum w:abstractNumId="39">
    <w:nsid w:val="12E685FB"/>
    <w:multiLevelType w:val="hybridMultilevel"/>
    <w:lvl w:ilvl="0">
      <w:lvlJc w:val="left"/>
      <w:lvlText w:val="%1."/>
      <w:numFmt w:val="decimal"/>
      <w:start w:val="3"/>
    </w:lvl>
  </w:abstractNum>
  <w:abstractNum w:abstractNumId="40">
    <w:nsid w:val="70C6A529"/>
    <w:multiLevelType w:val="hybridMultilevel"/>
    <w:lvl w:ilvl="0">
      <w:lvlJc w:val="left"/>
      <w:lvlText w:val="%1."/>
      <w:numFmt w:val="lowerLetter"/>
      <w:start w:val="5"/>
    </w:lvl>
  </w:abstractNum>
  <w:abstractNum w:abstractNumId="41">
    <w:nsid w:val="520EEDD1"/>
    <w:multiLevelType w:val="hybridMultilevel"/>
    <w:lvl w:ilvl="0">
      <w:lvlJc w:val="left"/>
      <w:lvlText w:val="%1."/>
      <w:numFmt w:val="lowerLetter"/>
      <w:start w:val="14"/>
    </w:lvl>
  </w:abstractNum>
  <w:abstractNum w:abstractNumId="42">
    <w:nsid w:val="374A3FE6"/>
    <w:multiLevelType w:val="hybridMultilevel"/>
    <w:lvl w:ilvl="0">
      <w:lvlJc w:val="left"/>
      <w:lvlText w:val="%1."/>
      <w:numFmt w:val="upperLetter"/>
      <w:start w:val="3"/>
    </w:lvl>
  </w:abstractNum>
  <w:abstractNum w:abstractNumId="43">
    <w:nsid w:val="4F4EF005"/>
    <w:multiLevelType w:val="hybridMultilevel"/>
    <w:lvl w:ilvl="0">
      <w:lvlJc w:val="left"/>
      <w:lvlText w:val="%1."/>
      <w:numFmt w:val="upperLetter"/>
      <w:start w:val="4"/>
    </w:lvl>
  </w:abstractNum>
  <w:abstractNum w:abstractNumId="44">
    <w:nsid w:val="23F9C13C"/>
    <w:multiLevelType w:val="hybridMultilevel"/>
    <w:lvl w:ilvl="0">
      <w:lvlJc w:val="left"/>
      <w:lvlText w:val="%1."/>
      <w:numFmt w:val="decimal"/>
      <w:start w:val="4"/>
    </w:lvl>
  </w:abstractNum>
  <w:abstractNum w:abstractNumId="45">
    <w:nsid w:val="649BB77C"/>
    <w:multiLevelType w:val="hybridMultilevel"/>
    <w:lvl w:ilvl="0">
      <w:lvlJc w:val="left"/>
      <w:lvlText w:val="%1."/>
      <w:numFmt w:val="upperLetter"/>
      <w:start w:val="5"/>
    </w:lvl>
  </w:abstractNum>
  <w:abstractNum w:abstractNumId="46">
    <w:nsid w:val="275AC794"/>
    <w:multiLevelType w:val="hybridMultilevel"/>
    <w:lvl w:ilvl="0">
      <w:lvlJc w:val="left"/>
      <w:lvlText w:val="%1."/>
      <w:numFmt w:val="decimal"/>
      <w:start w:val="8"/>
    </w:lvl>
  </w:abstractNum>
  <w:abstractNum w:abstractNumId="47">
    <w:nsid w:val="39386575"/>
    <w:multiLevelType w:val="hybridMultilevel"/>
    <w:lvl w:ilvl="0">
      <w:lvlJc w:val="left"/>
      <w:lvlText w:val="%1."/>
      <w:numFmt w:val="decimal"/>
      <w:start w:val="9"/>
    </w:lvl>
  </w:abstractNum>
  <w:abstractNum w:abstractNumId="48">
    <w:nsid w:val="1CF10FD8"/>
    <w:multiLevelType w:val="hybridMultilevel"/>
    <w:lvl w:ilvl="0">
      <w:lvlJc w:val="left"/>
      <w:lvlText w:val="%1."/>
      <w:numFmt w:val="upperLetter"/>
      <w:start w:val="6"/>
    </w:lvl>
  </w:abstractNum>
  <w:abstractNum w:abstractNumId="49">
    <w:nsid w:val="180115BE"/>
    <w:multiLevelType w:val="hybridMultilevel"/>
    <w:lvl w:ilvl="0">
      <w:lvlJc w:val="left"/>
      <w:lvlText w:val="%1."/>
      <w:numFmt w:val="upperLetter"/>
      <w:start w:val="7"/>
    </w:lvl>
  </w:abstractNum>
  <w:abstractNum w:abstractNumId="50">
    <w:nsid w:val="235BA861"/>
    <w:multiLevelType w:val="hybridMultilevel"/>
    <w:lvl w:ilvl="0">
      <w:lvlJc w:val="left"/>
      <w:lvlText w:val="%1."/>
      <w:numFmt w:val="upperLetter"/>
      <w:start w:val="8"/>
    </w:lvl>
  </w:abstractNum>
  <w:abstractNum w:abstractNumId="51">
    <w:nsid w:val="47398C89"/>
    <w:multiLevelType w:val="hybridMultilevel"/>
    <w:lvl w:ilvl="0">
      <w:lvlJc w:val="left"/>
      <w:lvlText w:val="%1."/>
      <w:numFmt w:val="upperLetter"/>
      <w:start w:val="9"/>
    </w:lvl>
  </w:abstractNum>
  <w:abstractNum w:abstractNumId="52">
    <w:nsid w:val="354FE9F9"/>
    <w:multiLevelType w:val="hybridMultilevel"/>
    <w:lvl w:ilvl="0">
      <w:lvlJc w:val="left"/>
      <w:lvlText w:val="%1."/>
      <w:numFmt w:val="upperLetter"/>
      <w:start w:val="10"/>
    </w:lvl>
  </w:abstractNum>
  <w:abstractNum w:abstractNumId="53">
    <w:nsid w:val="15B5AF5C"/>
    <w:multiLevelType w:val="hybridMultilevel"/>
    <w:lvl w:ilvl="0">
      <w:lvlJc w:val="left"/>
      <w:lvlText w:val="%1."/>
      <w:numFmt w:val="upperLetter"/>
      <w:start w:val="11"/>
    </w:lvl>
  </w:abstractNum>
  <w:abstractNum w:abstractNumId="54">
    <w:nsid w:val="741226BB"/>
    <w:multiLevelType w:val="hybridMultilevel"/>
    <w:lvl w:ilvl="0">
      <w:lvlJc w:val="left"/>
      <w:lvlText w:val="%1."/>
      <w:numFmt w:val="upperLetter"/>
      <w:start w:val="12"/>
    </w:lvl>
  </w:abstractNum>
  <w:abstractNum w:abstractNumId="55">
    <w:nsid w:val="D34B6A8"/>
    <w:multiLevelType w:val="hybridMultilevel"/>
    <w:lvl w:ilvl="0">
      <w:lvlJc w:val="left"/>
      <w:lvlText w:val="%1."/>
      <w:numFmt w:val="upperLetter"/>
      <w:start w:val="13"/>
    </w:lvl>
  </w:abstractNum>
  <w:abstractNum w:abstractNumId="56">
    <w:nsid w:val="10233C99"/>
    <w:multiLevelType w:val="hybridMultilevel"/>
    <w:lvl w:ilvl="0">
      <w:lvlJc w:val="left"/>
      <w:lvlText w:val="%1."/>
      <w:numFmt w:val="upperLetter"/>
      <w:start w:val="14"/>
    </w:lvl>
  </w:abstractNum>
  <w:abstractNum w:abstractNumId="57">
    <w:nsid w:val="3F6AB60F"/>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58">
    <w:nsid w:val="61574095"/>
    <w:multiLevelType w:val="hybridMultilevel"/>
    <w:lvl w:ilvl="0">
      <w:lvlJc w:val="left"/>
      <w:lvlText w:val="%1."/>
      <w:numFmt w:val="decimal"/>
      <w:start w:val="4"/>
    </w:lvl>
    <w:lvl w:ilvl="1">
      <w:lvlJc w:val="left"/>
      <w:lvlText w:val="•"/>
      <w:numFmt w:val="bullet"/>
      <w:start w:val="1"/>
    </w:lvl>
  </w:abstractNum>
  <w:abstractNum w:abstractNumId="59">
    <w:nsid w:val="7E0C57B1"/>
    <w:multiLevelType w:val="hybridMultilevel"/>
    <w:lvl w:ilvl="0">
      <w:lvlJc w:val="left"/>
      <w:lvlText w:val="%1."/>
      <w:numFmt w:val="decimal"/>
      <w:start w:val="9"/>
    </w:lvl>
  </w:abstractNum>
  <w:abstractNum w:abstractNumId="60">
    <w:nsid w:val="77AE35EB"/>
    <w:multiLevelType w:val="hybridMultilevel"/>
    <w:lvl w:ilvl="0">
      <w:lvlJc w:val="left"/>
      <w:lvlText w:val="%1."/>
      <w:numFmt w:val="lowerLetter"/>
      <w:start w:val="1"/>
    </w:lvl>
  </w:abstractNum>
  <w:abstractNum w:abstractNumId="61">
    <w:nsid w:val="579BE4F1"/>
    <w:multiLevelType w:val="hybridMultilevel"/>
    <w:lvl w:ilvl="0">
      <w:lvlJc w:val="left"/>
      <w:lvlText w:val="%1."/>
      <w:numFmt w:val="decimal"/>
      <w:start w:val="1"/>
    </w:lvl>
  </w:abstractNum>
  <w:abstractNum w:abstractNumId="62">
    <w:nsid w:val="310C50B3"/>
    <w:multiLevelType w:val="hybridMultilevel"/>
    <w:lvl w:ilvl="0">
      <w:lvlJc w:val="left"/>
      <w:lvlText w:val="%1."/>
      <w:numFmt w:val="decimal"/>
      <w:start w:val="3"/>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68" Type="http://schemas.openxmlformats.org/officeDocument/2006/relationships/image" Target="media/image251.png"/><Relationship Id="rId269" Type="http://schemas.openxmlformats.org/officeDocument/2006/relationships/image" Target="media/image252.png"/><Relationship Id="rId287" Type="http://schemas.openxmlformats.org/officeDocument/2006/relationships/image" Target="media/image253.png"/><Relationship Id="rId288" Type="http://schemas.openxmlformats.org/officeDocument/2006/relationships/image" Target="media/image254.png"/><Relationship Id="rId301" Type="http://schemas.openxmlformats.org/officeDocument/2006/relationships/image" Target="media/image255.png"/><Relationship Id="rId305" Type="http://schemas.openxmlformats.org/officeDocument/2006/relationships/image" Target="media/image256.png"/><Relationship Id="rId306" Type="http://schemas.openxmlformats.org/officeDocument/2006/relationships/image" Target="media/image257.png"/><Relationship Id="rId307" Type="http://schemas.openxmlformats.org/officeDocument/2006/relationships/image" Target="media/image258.png"/><Relationship Id="rId308" Type="http://schemas.openxmlformats.org/officeDocument/2006/relationships/image" Target="media/image259.png"/><Relationship Id="rId309" Type="http://schemas.openxmlformats.org/officeDocument/2006/relationships/image" Target="media/image260.png"/><Relationship Id="rId310" Type="http://schemas.openxmlformats.org/officeDocument/2006/relationships/image" Target="media/image261.png"/><Relationship Id="rId311" Type="http://schemas.openxmlformats.org/officeDocument/2006/relationships/image" Target="media/image262.png"/><Relationship Id="rId312" Type="http://schemas.openxmlformats.org/officeDocument/2006/relationships/image" Target="media/image263.png"/><Relationship Id="rId313" Type="http://schemas.openxmlformats.org/officeDocument/2006/relationships/image" Target="media/image264.png"/><Relationship Id="rId314" Type="http://schemas.openxmlformats.org/officeDocument/2006/relationships/image" Target="media/image265.png"/><Relationship Id="rId315" Type="http://schemas.openxmlformats.org/officeDocument/2006/relationships/image" Target="media/image266.png"/><Relationship Id="rId316" Type="http://schemas.openxmlformats.org/officeDocument/2006/relationships/image" Target="media/image267.png"/><Relationship Id="rId317" Type="http://schemas.openxmlformats.org/officeDocument/2006/relationships/image" Target="media/image268.png"/><Relationship Id="rId318" Type="http://schemas.openxmlformats.org/officeDocument/2006/relationships/image" Target="media/image269.png"/><Relationship Id="rId319" Type="http://schemas.openxmlformats.org/officeDocument/2006/relationships/image" Target="media/image270.png"/><Relationship Id="rId320" Type="http://schemas.openxmlformats.org/officeDocument/2006/relationships/image" Target="media/image271.png"/><Relationship Id="rId321" Type="http://schemas.openxmlformats.org/officeDocument/2006/relationships/image" Target="media/image272.png"/><Relationship Id="rId322" Type="http://schemas.openxmlformats.org/officeDocument/2006/relationships/image" Target="media/image273.png"/><Relationship Id="rId323" Type="http://schemas.openxmlformats.org/officeDocument/2006/relationships/image" Target="media/image274.png"/><Relationship Id="rId324" Type="http://schemas.openxmlformats.org/officeDocument/2006/relationships/image" Target="media/image275.png"/><Relationship Id="rId325" Type="http://schemas.openxmlformats.org/officeDocument/2006/relationships/image" Target="media/image276.png"/><Relationship Id="rId326" Type="http://schemas.openxmlformats.org/officeDocument/2006/relationships/image" Target="media/image277.png"/><Relationship Id="rId327" Type="http://schemas.openxmlformats.org/officeDocument/2006/relationships/image" Target="media/image278.png"/><Relationship Id="rId328" Type="http://schemas.openxmlformats.org/officeDocument/2006/relationships/image" Target="media/image279.png"/><Relationship Id="rId329" Type="http://schemas.openxmlformats.org/officeDocument/2006/relationships/image" Target="media/image280.png"/><Relationship Id="rId330" Type="http://schemas.openxmlformats.org/officeDocument/2006/relationships/image" Target="media/image281.png"/><Relationship Id="rId258" Type="http://schemas.openxmlformats.org/officeDocument/2006/relationships/hyperlink" Target="https://www.sec.gov/Archives/edgar/data/1006045/000095017024038650/irix-ex3_1.htm" TargetMode="External"/><Relationship Id="rId259" Type="http://schemas.openxmlformats.org/officeDocument/2006/relationships/hyperlink" Target="https://www.sec.gov/Archives/edgar/data/1006045/000156459019010390/irix-ex31_7.htm" TargetMode="External"/><Relationship Id="rId260" Type="http://schemas.openxmlformats.org/officeDocument/2006/relationships/hyperlink" Target="https://www.sec.gov/Archives/edgar/data/1006045/000095017025042190/irix-ex3_1.htm" TargetMode="External"/><Relationship Id="rId261" Type="http://schemas.openxmlformats.org/officeDocument/2006/relationships/hyperlink" Target="https://www.sec.gov/Archives/edgar/data/1006045/000156459020010869/irix-ex43_14.htm" TargetMode="External"/><Relationship Id="rId262" Type="http://schemas.openxmlformats.org/officeDocument/2006/relationships/hyperlink" Target="https://www.sec.gov/Archives/edgar/data/1006045/000095017024090371/irix-ex10_1.htm" TargetMode="External"/><Relationship Id="rId263" Type="http://schemas.openxmlformats.org/officeDocument/2006/relationships/hyperlink" Target="https://www.sec.gov/Archives/edgar/data/1006045/000095017024125541/irix-ex4_1.htm" TargetMode="External"/><Relationship Id="rId264" Type="http://schemas.openxmlformats.org/officeDocument/2006/relationships/hyperlink" Target="https://www.sec.gov/Archives/edgar/data/1006045/000095017025042190/irix-ex4_1.htm" TargetMode="External"/><Relationship Id="rId265" Type="http://schemas.openxmlformats.org/officeDocument/2006/relationships/hyperlink" Target="https://www.sec.gov/Archives/edgar/data/1006045/000156459022010477/irix-ex102_73.htm" TargetMode="External"/><Relationship Id="rId266" Type="http://schemas.openxmlformats.org/officeDocument/2006/relationships/hyperlink" Target="https://www.sec.gov/Archives/edgar/data/1006045/000119312509070788/dex102.htm" TargetMode="External"/><Relationship Id="rId267" Type="http://schemas.openxmlformats.org/officeDocument/2006/relationships/hyperlink" Target="https://www.sec.gov/Archives/edgar/data/1006045/000156459014004861/irix-ex101_2014092780.htm" TargetMode="External"/><Relationship Id="rId270" Type="http://schemas.openxmlformats.org/officeDocument/2006/relationships/hyperlink" Target="https://www.sec.gov/Archives/edgar/data/1006045/000156459016015763/irix-ex101_303.htm" TargetMode="External"/><Relationship Id="rId271" Type="http://schemas.openxmlformats.org/officeDocument/2006/relationships/hyperlink" Target="https://www.sec.gov/Archives/edgar/data/1006045/000156459017007969/irix-ex101_6.htm" TargetMode="External"/><Relationship Id="rId272" Type="http://schemas.openxmlformats.org/officeDocument/2006/relationships/hyperlink" Target="https://www.sec.gov/Archives/edgar/data/1006045/000156459021044004/irix-ex101_29.htm" TargetMode="External"/><Relationship Id="rId273" Type="http://schemas.openxmlformats.org/officeDocument/2006/relationships/hyperlink" Target="https://www.sec.gov/Archives/edgar/data/1006045/000095017023065162/irix-ex10_1.htm" TargetMode="External"/><Relationship Id="rId274" Type="http://schemas.openxmlformats.org/officeDocument/2006/relationships/hyperlink" Target="https://www.sec.gov/Archives/edgar/data/1006045/000095017023065162/irix-ex10_2.htm" TargetMode="External"/><Relationship Id="rId275" Type="http://schemas.openxmlformats.org/officeDocument/2006/relationships/hyperlink" Target="https://www.sec.gov/Archives/edgar/data/1006045/000095013404006335/f98194dedef14a.htm#075" TargetMode="External"/><Relationship Id="rId276" Type="http://schemas.openxmlformats.org/officeDocument/2006/relationships/hyperlink" Target="https://www.sec.gov/Archives/edgar/data/1006045/000095017023028282/irix-ex10_1.htm" TargetMode="External"/><Relationship Id="rId277" Type="http://schemas.openxmlformats.org/officeDocument/2006/relationships/hyperlink" Target="https://www.sec.gov/Archives/edgar/data/1006045/000119312508241322/dex991.htm" TargetMode="External"/><Relationship Id="rId278" Type="http://schemas.openxmlformats.org/officeDocument/2006/relationships/hyperlink" Target="https://www.sec.gov/Archives/edgar/data/1006045/000119312509159297/dex99d5.htm" TargetMode="External"/><Relationship Id="rId279" Type="http://schemas.openxmlformats.org/officeDocument/2006/relationships/hyperlink" Target="https://www.sec.gov/Archives/edgar/data/1006045/000089161807000540/f33502exv10w1.htm" TargetMode="External"/><Relationship Id="rId280" Type="http://schemas.openxmlformats.org/officeDocument/2006/relationships/hyperlink" Target="https://www.sec.gov/Archives/edgar/data/1006045/000119312511210538/dex101.htm" TargetMode="External"/><Relationship Id="rId281" Type="http://schemas.openxmlformats.org/officeDocument/2006/relationships/hyperlink" Target="https://www.sec.gov/Archives/edgar/data/1006045/000119312511210538/dex102.htm" TargetMode="External"/><Relationship Id="rId282" Type="http://schemas.openxmlformats.org/officeDocument/2006/relationships/hyperlink" Target="https://www.sec.gov/Archives/edgar/data/1006045/000156459016027421/irix-ex101_40.htm" TargetMode="External"/><Relationship Id="rId283" Type="http://schemas.openxmlformats.org/officeDocument/2006/relationships/hyperlink" Target="https://www.sec.gov/Archives/edgar/data/1006045/000156459020010869/irix-ex10191_57.htm" TargetMode="External"/><Relationship Id="rId284" Type="http://schemas.openxmlformats.org/officeDocument/2006/relationships/hyperlink" Target="https://www.sec.gov/Archives/edgar/data/1006045/000156459020010869/irix-ex10192_58.htm" TargetMode="External"/><Relationship Id="rId285" Type="http://schemas.openxmlformats.org/officeDocument/2006/relationships/hyperlink" Target="https://www.sec.gov/Archives/edgar/data/1006045/000156459021014859/irix-ex10193_10.htm" TargetMode="External"/><Relationship Id="rId286" Type="http://schemas.openxmlformats.org/officeDocument/2006/relationships/hyperlink" Target="https://www.sec.gov/Archives/edgar/data/1006045/000095017022017441/irix-ex10_1.htm" TargetMode="External"/><Relationship Id="rId289" Type="http://schemas.openxmlformats.org/officeDocument/2006/relationships/hyperlink" Target="https://www.sec.gov/Archives/edgar/data/1006045/000095017022017441/irix-ex10_2.htm" TargetMode="External"/><Relationship Id="rId290" Type="http://schemas.openxmlformats.org/officeDocument/2006/relationships/hyperlink" Target="https://www.sec.gov/Archives/edgar/data/1006045/000156459019022508/irix-ex101_6.htm" TargetMode="External"/><Relationship Id="rId291" Type="http://schemas.openxmlformats.org/officeDocument/2006/relationships/hyperlink" Target="https://www.sec.gov/Archives/edgar/data/1006045/000156459019038138/irix-ex101_7.htm" TargetMode="External"/><Relationship Id="rId292" Type="http://schemas.openxmlformats.org/officeDocument/2006/relationships/hyperlink" Target="https://www.sec.gov/Archives/edgar/data/1006045/000095017024126507/irix-ex10_2.htm" TargetMode="External"/><Relationship Id="rId293" Type="http://schemas.openxmlformats.org/officeDocument/2006/relationships/hyperlink" Target="https://www.sec.gov/Archives/edgar/data/1006045/000156459021010940/irix-ex101_11.htm" TargetMode="External"/><Relationship Id="rId294" Type="http://schemas.openxmlformats.org/officeDocument/2006/relationships/hyperlink" Target="https://www.sec.gov/Archives/edgar/data/1006045/000156459021010940/irix-ex102_7.htm" TargetMode="External"/><Relationship Id="rId295" Type="http://schemas.openxmlformats.org/officeDocument/2006/relationships/hyperlink" Target="https://www.sec.gov/Archives/edgar/data/1006045/000156459021010940/irix-ex103_6.htm" TargetMode="External"/><Relationship Id="rId296" Type="http://schemas.openxmlformats.org/officeDocument/2006/relationships/hyperlink" Target="https://www.sec.gov/Archives/edgar/data/1006045/000156459021010940/irix-ex104_8.htm" TargetMode="External"/><Relationship Id="rId297" Type="http://schemas.openxmlformats.org/officeDocument/2006/relationships/hyperlink" Target="https://www.sec.gov/Archives/edgar/data/1006045/000095017024126507/irix-ex10_1.htm" TargetMode="External"/><Relationship Id="rId298" Type="http://schemas.openxmlformats.org/officeDocument/2006/relationships/hyperlink" Target="https://www.sec.gov/Archives/edgar/data/1006045/000095017025042190/irix-ex10_1.htm" TargetMode="External"/><Relationship Id="rId299" Type="http://schemas.openxmlformats.org/officeDocument/2006/relationships/hyperlink" Target="https://www.sec.gov/Archives/edgar/data/1006045/000095017025042190/irix-ex10_2.htm" TargetMode="External"/><Relationship Id="rId300" Type="http://schemas.openxmlformats.org/officeDocument/2006/relationships/hyperlink" Target="https://www.sec.gov/Archives/edgar/data/1006045/000095017025042190/irix-ex10_3.htm" TargetMode="External"/><Relationship Id="rId302" Type="http://schemas.openxmlformats.org/officeDocument/2006/relationships/hyperlink" Target="https://www.sec.gov/Archives/edgar/data/1006045/000095017024038650/irix-ex97_1.htm" TargetMode="External"/><Relationship Id="rId303" Type="http://schemas.openxmlformats.org/officeDocument/2006/relationships/hyperlink" Target="https://www.sec.gov/Archives/edgar/data/1006045/000117494723001213/ex99-1.htm" TargetMode="External"/><Relationship Id="rId304" Type="http://schemas.openxmlformats.org/officeDocument/2006/relationships/hyperlink" Target="https://www.sec.gov/ix?doc=/Archives/edgar/data/0001006045/000119312523272521/d588842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2025-03-27T15:58:08Z</dcterms:created>
  <dcterms:modified xsi:type="dcterms:W3CDTF">2025-03-27T15:58:08Z</dcterms:modified>
</cp:coreProperties>
</file>