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irix-20230701.htm"/>
      <w:bookmarkStart w:id="1" w:name="ksirix20230701"/>
      <w:bookmarkEnd w:id="0"/>
      <w:bookmarkEnd w:id="1"/>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bidi w:val="0"/>
        <w:spacing w:before="0" w:after="120"/>
        <w:jc w:val="center"/>
        <w:rPr/>
      </w:pPr>
      <w:r>
        <w:rPr/>
        <w:t> </w:t>
      </w:r>
    </w:p>
    <w:p>
      <w:pPr>
        <w:pStyle w:val="TextBody"/>
        <w:bidi w:val="0"/>
        <w:spacing w:before="12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bidi w:val="0"/>
        <w:spacing w:before="0" w:after="0"/>
        <w:jc w:val="center"/>
        <w:rPr/>
      </w:pPr>
      <w:r>
        <w:rPr/>
        <w:t> </w:t>
      </w:r>
    </w:p>
    <w:p>
      <w:pPr>
        <w:pStyle w:val="TextBody"/>
        <w:bidi w:val="0"/>
        <w:spacing w:before="80" w:after="0"/>
        <w:jc w:val="left"/>
        <w:rPr>
          <w:rFonts w:ascii="Times New Roman;serif" w:hAnsi="Times New Roman;serif"/>
          <w:b/>
          <w:sz w:val="20"/>
        </w:rPr>
      </w:pPr>
      <w:r>
        <w:rPr>
          <w:rFonts w:ascii="Times New Roman;serif" w:hAnsi="Times New Roman;serif"/>
          <w:b/>
          <w:sz w:val="20"/>
        </w:rPr>
        <w:t>(Mark One)</w:t>
      </w:r>
    </w:p>
    <w:p>
      <w:pPr>
        <w:pStyle w:val="TextBody"/>
        <w:bidi w:val="0"/>
        <w:spacing w:before="0" w:after="0"/>
        <w:jc w:val="left"/>
        <w:rPr/>
      </w:pPr>
      <w:r>
        <w:rPr/>
        <w:t xml:space="preserve">☑ </w:t>
      </w:r>
      <w:r>
        <w:rPr>
          <w:rFonts w:ascii="Times New Roman;serif" w:hAnsi="Times New Roman;serif"/>
          <w:b/>
          <w:sz w:val="24"/>
        </w:rPr>
        <w:t>QUARTERLY REPORT PURSUANT TO SECTION 13 OR 15(d) OF THE SECURITIES EXCHANGE ACT OF 1934</w:t>
      </w:r>
    </w:p>
    <w:p>
      <w:pPr>
        <w:pStyle w:val="TextBody"/>
        <w:bidi w:val="0"/>
        <w:spacing w:before="80" w:after="0"/>
        <w:jc w:val="center"/>
        <w:rPr>
          <w:rFonts w:ascii="Times New Roman;serif" w:hAnsi="Times New Roman;serif"/>
          <w:b/>
          <w:sz w:val="20"/>
        </w:rPr>
      </w:pPr>
      <w:r>
        <w:rPr>
          <w:rFonts w:ascii="Times New Roman;serif" w:hAnsi="Times New Roman;serif"/>
          <w:b/>
          <w:sz w:val="20"/>
        </w:rPr>
        <w:t>For the quarterly period ended July 1, 2023</w:t>
      </w:r>
    </w:p>
    <w:p>
      <w:pPr>
        <w:pStyle w:val="TextBody"/>
        <w:bidi w:val="0"/>
        <w:spacing w:before="120" w:after="0"/>
        <w:jc w:val="center"/>
        <w:rPr>
          <w:rFonts w:ascii="Times New Roman;serif" w:hAnsi="Times New Roman;serif"/>
          <w:b/>
          <w:sz w:val="20"/>
        </w:rPr>
      </w:pPr>
      <w:r>
        <w:rPr>
          <w:rFonts w:ascii="Times New Roman;serif" w:hAnsi="Times New Roman;serif"/>
          <w:b/>
          <w:sz w:val="20"/>
        </w:rPr>
        <w:t>Or</w:t>
      </w:r>
    </w:p>
    <w:p>
      <w:pPr>
        <w:pStyle w:val="TextBody"/>
        <w:bidi w:val="0"/>
        <w:spacing w:before="80" w:after="0"/>
        <w:jc w:val="left"/>
        <w:rPr/>
      </w:pPr>
      <w:r>
        <w:rPr/>
        <w:t xml:space="preserve">☐ </w:t>
      </w:r>
      <w:r>
        <w:rPr>
          <w:rFonts w:ascii="Times New Roman;serif" w:hAnsi="Times New Roman;serif"/>
          <w:b/>
          <w:sz w:val="24"/>
        </w:rPr>
        <w:t>TRANSITION REPORT PURSUANT TO SECTION 13 OR 15(d) OF THE SECURITIES EXCHANGE ACT OF 1934</w:t>
      </w:r>
    </w:p>
    <w:p>
      <w:pPr>
        <w:pStyle w:val="TextBody"/>
        <w:bidi w:val="0"/>
        <w:spacing w:before="8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bidi w:val="0"/>
        <w:spacing w:before="80" w:after="0"/>
        <w:jc w:val="center"/>
        <w:rPr>
          <w:rFonts w:ascii="Times New Roman;serif" w:hAnsi="Times New Roman;serif"/>
          <w:b/>
          <w:sz w:val="20"/>
        </w:rPr>
      </w:pPr>
      <w:r>
        <w:rPr>
          <w:rFonts w:ascii="Times New Roman;serif" w:hAnsi="Times New Roman;serif"/>
          <w:b/>
          <w:sz w:val="20"/>
        </w:rPr>
        <w:t>Commission file number: 0-27598</w:t>
      </w:r>
    </w:p>
    <w:p>
      <w:pPr>
        <w:pStyle w:val="TextBody"/>
        <w:pBdr>
          <w:bottom w:val="single" w:sz="4" w:space="1" w:color="000000"/>
        </w:pBdr>
        <w:bidi w:val="0"/>
        <w:spacing w:before="0" w:after="0"/>
        <w:jc w:val="center"/>
        <w:rPr/>
      </w:pPr>
      <w:r>
        <w:rPr/>
        <w:t> </w:t>
      </w:r>
    </w:p>
    <w:p>
      <w:pPr>
        <w:pStyle w:val="TextBody"/>
        <w:bidi w:val="0"/>
        <w:spacing w:before="80" w:after="0"/>
        <w:jc w:val="center"/>
        <w:rPr>
          <w:rFonts w:ascii="Times New Roman;serif" w:hAnsi="Times New Roman;serif"/>
          <w:b/>
          <w:sz w:val="48"/>
        </w:rPr>
      </w:pPr>
      <w:r>
        <w:rPr>
          <w:rFonts w:ascii="Times New Roman;serif" w:hAnsi="Times New Roman;serif"/>
          <w:b/>
          <w:sz w:val="48"/>
        </w:rPr>
        <w:t>IRIDEX CORPORATION</w:t>
      </w:r>
    </w:p>
    <w:p>
      <w:pPr>
        <w:pStyle w:val="TextBody"/>
        <w:bidi w:val="0"/>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bidi w:val="0"/>
        <w:spacing w:before="0" w:after="0"/>
        <w:jc w:val="center"/>
        <w:rPr/>
      </w:pPr>
      <w:r>
        <w:rPr/>
        <w:t> </w:t>
      </w:r>
    </w:p>
    <w:p>
      <w:pPr>
        <w:pStyle w:val="TextBody"/>
        <w:bidi w:val="0"/>
        <w:spacing w:before="0" w:after="0"/>
        <w:jc w:val="left"/>
        <w:rPr/>
      </w:pPr>
      <w:r>
        <w:rPr/>
        <w:t> </w:t>
      </w:r>
    </w:p>
    <w:tbl>
      <w:tblPr>
        <w:tblW w:w="4851" w:type="dxa"/>
        <w:jc w:val="left"/>
        <w:tblInd w:w="0" w:type="dxa"/>
        <w:tblLayout w:type="fixed"/>
        <w:tblCellMar>
          <w:top w:w="28" w:type="dxa"/>
          <w:left w:w="28" w:type="dxa"/>
          <w:bottom w:w="28" w:type="dxa"/>
          <w:right w:w="28" w:type="dxa"/>
        </w:tblCellMar>
      </w:tblPr>
      <w:tblGrid>
        <w:gridCol w:w="2926"/>
        <w:gridCol w:w="109"/>
        <w:gridCol w:w="1816"/>
      </w:tblGrid>
      <w:tr>
        <w:trPr/>
        <w:tc>
          <w:tcPr>
            <w:tcW w:w="2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81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77-0210467</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81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Identification Number)</w:t>
            </w:r>
          </w:p>
        </w:tc>
      </w:tr>
      <w:tr>
        <w:trPr/>
        <w:tc>
          <w:tcPr>
            <w:tcW w:w="2926" w:type="dxa"/>
            <w:tcBorders/>
            <w:vAlign w:val="center"/>
          </w:tcPr>
          <w:p>
            <w:pPr>
              <w:pStyle w:val="TableContents"/>
              <w:bidi w:val="0"/>
              <w:spacing w:before="0" w:after="283"/>
              <w:ind w:left="0" w:right="0" w:hanging="0"/>
              <w:jc w:val="left"/>
              <w:rPr>
                <w:sz w:val="4"/>
                <w:szCs w:val="4"/>
              </w:rPr>
            </w:pPr>
            <w:r>
              <w:rPr>
                <w:sz w:val="4"/>
                <w:szCs w:val="4"/>
              </w:rPr>
            </w:r>
          </w:p>
        </w:tc>
        <w:tc>
          <w:tcPr>
            <w:tcW w:w="1925"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1212 Terra Bella Avenue</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Mountain View, California</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81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94043-1824</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81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Registrant’s telephone number, including area code: (650) 940-4700</w:t>
      </w:r>
    </w:p>
    <w:p>
      <w:pPr>
        <w:pStyle w:val="TextBody"/>
        <w:pBdr>
          <w:bottom w:val="single" w:sz="4" w:space="1" w:color="000000"/>
        </w:pBdr>
        <w:bidi w:val="0"/>
        <w:spacing w:before="0" w:after="0"/>
        <w:jc w:val="center"/>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Securities registered pursuant to Section 12(b) of the Act:</w:t>
      </w:r>
      <w:r>
        <w:rPr>
          <w:rFonts w:ascii="Times New Roman" w:hAnsi="Times New Roman"/>
          <w:sz w:val="20"/>
        </w:rPr>
        <w:t xml:space="preserve"> </w:t>
      </w:r>
    </w:p>
    <w:p>
      <w:pPr>
        <w:pStyle w:val="TextBody"/>
        <w:bidi w:val="0"/>
        <w:spacing w:before="0" w:after="0"/>
        <w:jc w:val="left"/>
        <w:rPr/>
      </w:pPr>
      <w:r>
        <w:rPr/>
        <w:t> </w:t>
      </w:r>
    </w:p>
    <w:tbl>
      <w:tblPr>
        <w:tblW w:w="8650" w:type="dxa"/>
        <w:jc w:val="left"/>
        <w:tblInd w:w="0" w:type="dxa"/>
        <w:tblLayout w:type="fixed"/>
        <w:tblCellMar>
          <w:top w:w="28" w:type="dxa"/>
          <w:left w:w="28" w:type="dxa"/>
          <w:bottom w:w="28" w:type="dxa"/>
          <w:right w:w="28" w:type="dxa"/>
        </w:tblCellMar>
      </w:tblPr>
      <w:tblGrid>
        <w:gridCol w:w="3496"/>
        <w:gridCol w:w="146"/>
        <w:gridCol w:w="1426"/>
        <w:gridCol w:w="146"/>
        <w:gridCol w:w="343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Title of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Name of Exchange on Which Registered</w:t>
            </w:r>
          </w:p>
        </w:tc>
      </w:tr>
      <w:tr>
        <w:trPr/>
        <w:tc>
          <w:tcPr>
            <w:tcW w:w="349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Common Stock, par value $0.01 per share</w:t>
            </w:r>
          </w:p>
        </w:tc>
        <w:tc>
          <w:tcPr>
            <w:tcW w:w="146" w:type="dxa"/>
            <w:tcBorders/>
            <w:vAlign w:val="center"/>
          </w:tcPr>
          <w:p>
            <w:pPr>
              <w:pStyle w:val="TableContents"/>
              <w:bidi w:val="0"/>
              <w:spacing w:before="0" w:after="0"/>
              <w:ind w:left="0" w:right="0" w:hanging="0"/>
              <w:jc w:val="center"/>
              <w:rPr/>
            </w:pPr>
            <w:r>
              <w:rPr/>
              <w:t> </w:t>
            </w:r>
          </w:p>
        </w:tc>
        <w:tc>
          <w:tcPr>
            <w:tcW w:w="14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IRIX</w:t>
            </w:r>
          </w:p>
        </w:tc>
        <w:tc>
          <w:tcPr>
            <w:tcW w:w="146" w:type="dxa"/>
            <w:tcBorders/>
            <w:vAlign w:val="center"/>
          </w:tcPr>
          <w:p>
            <w:pPr>
              <w:pStyle w:val="TableContents"/>
              <w:bidi w:val="0"/>
              <w:spacing w:before="0" w:after="0"/>
              <w:ind w:left="0" w:right="0" w:hanging="0"/>
              <w:jc w:val="center"/>
              <w:rPr/>
            </w:pPr>
            <w:r>
              <w:rPr/>
              <w:t> </w:t>
            </w:r>
          </w:p>
        </w:tc>
        <w:tc>
          <w:tcPr>
            <w:tcW w:w="34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Nasdaq Global Market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20"/>
        </w:rPr>
        <w:t xml:space="preserve">No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20"/>
        </w:rPr>
        <w:t xml:space="preserve">No </w:t>
      </w:r>
      <w:r>
        <w:rPr>
          <w:rFonts w:ascii="Times New Roman" w:hAnsi="Times New Roman"/>
          <w:sz w:val="20"/>
        </w:rPr>
        <w:t>☐</w:t>
      </w:r>
    </w:p>
    <w:p>
      <w:pPr>
        <w:pStyle w:val="TextBody"/>
        <w:bidi w:val="0"/>
        <w:spacing w:before="80" w:after="0"/>
        <w:jc w:val="left"/>
        <w:rPr>
          <w:rFonts w:ascii="Times New Roman;serif" w:hAnsi="Times New Roman;serif"/>
          <w:b w:val="false"/>
          <w:sz w:val="20"/>
        </w:rPr>
      </w:pPr>
      <w:r>
        <w:rPr>
          <w:rFonts w:ascii="Times New Roman;serif" w:hAnsi="Times New Roman;serif"/>
          <w:b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5752" w:type="dxa"/>
        <w:jc w:val="left"/>
        <w:tblInd w:w="0" w:type="dxa"/>
        <w:tblLayout w:type="fixed"/>
        <w:tblCellMar>
          <w:top w:w="28" w:type="dxa"/>
          <w:left w:w="28" w:type="dxa"/>
          <w:bottom w:w="28" w:type="dxa"/>
          <w:right w:w="28" w:type="dxa"/>
        </w:tblCellMar>
      </w:tblPr>
      <w:tblGrid>
        <w:gridCol w:w="2326"/>
        <w:gridCol w:w="146"/>
        <w:gridCol w:w="316"/>
        <w:gridCol w:w="146"/>
        <w:gridCol w:w="2311"/>
        <w:gridCol w:w="146"/>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Large 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left"/>
              <w:rPr/>
            </w:pPr>
            <w:r>
              <w:rPr/>
              <w:t>☐</w:t>
            </w:r>
          </w:p>
        </w:tc>
      </w:tr>
      <w:tr>
        <w:trPr/>
        <w:tc>
          <w:tcPr>
            <w:tcW w:w="23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2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Smaller reporting company</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left"/>
              <w:rPr/>
            </w:pPr>
            <w:r>
              <w:rPr/>
              <w:t>☑</w:t>
            </w:r>
          </w:p>
        </w:tc>
      </w:tr>
      <w:tr>
        <w:trPr/>
        <w:tc>
          <w:tcPr>
            <w:tcW w:w="23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2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Emerging growth company</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20"/>
        </w:rPr>
        <w:t xml:space="preserve">No </w:t>
      </w:r>
      <w:r>
        <w:rPr>
          <w:rFonts w:ascii="Times New Roman" w:hAnsi="Times New Roman"/>
          <w:sz w:val="20"/>
        </w:rPr>
        <w: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number of shares of common stock, $0.01 par value, issued and outstanding as of August 3, 2023 was 16,229,103.</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36"/>
        <w:gridCol w:w="146"/>
        <w:gridCol w:w="8811"/>
        <w:gridCol w:w="512"/>
      </w:tblGrid>
      <w:tr>
        <w:trPr/>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73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Items</w:t>
            </w:r>
          </w:p>
        </w:tc>
        <w:tc>
          <w:tcPr>
            <w:tcW w:w="14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283"/>
              <w:ind w:left="0" w:right="0" w:hanging="0"/>
              <w:jc w:val="left"/>
              <w:rPr>
                <w:sz w:val="4"/>
                <w:szCs w:val="4"/>
              </w:rPr>
            </w:pPr>
            <w:r>
              <w:rPr>
                <w:sz w:val="4"/>
                <w:szCs w:val="4"/>
              </w:rPr>
            </w:r>
          </w:p>
        </w:tc>
        <w:tc>
          <w:tcPr>
            <w:tcW w:w="512"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9693" w:type="dxa"/>
            <w:gridSpan w:val="3"/>
            <w:tcBorders/>
            <w:vAlign w:val="center"/>
          </w:tcPr>
          <w:p>
            <w:pPr>
              <w:pStyle w:val="TableContents"/>
              <w:bidi w:val="0"/>
              <w:spacing w:before="0" w:after="0"/>
              <w:ind w:left="0" w:right="0" w:hanging="0"/>
              <w:jc w:val="left"/>
              <w:rPr/>
            </w:pPr>
            <w:hyperlink w:anchor="part_i_financial_information">
              <w:r>
                <w:rPr>
                  <w:rStyle w:val="InternetLink"/>
                  <w:rFonts w:ascii="Times New Roman;serif" w:hAnsi="Times New Roman;serif"/>
                  <w:b w:val="false"/>
                  <w:sz w:val="20"/>
                  <w:u w:val="single"/>
                </w:rPr>
                <w:t>PART I. FINANCIAL INFORMATION</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hyperlink w:anchor="item_1_condensed_consolidated_financial_">
              <w:r>
                <w:rPr>
                  <w:rStyle w:val="InternetLink"/>
                  <w:rFonts w:ascii="Times New Roman;serif" w:hAnsi="Times New Roman;serif"/>
                  <w:b w:val="false"/>
                  <w:sz w:val="20"/>
                  <w:u w:val="single"/>
                </w:rPr>
                <w:t>Condensed Consolidated Financial Statements (Unaudited)</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hyperlink w:anchor="condensed_consolidated_balance_sheets">
              <w:r>
                <w:rPr>
                  <w:rStyle w:val="InternetLink"/>
                  <w:rFonts w:ascii="Times New Roman;serif" w:hAnsi="Times New Roman;serif"/>
                  <w:b w:val="false"/>
                  <w:sz w:val="20"/>
                  <w:u w:val="single"/>
                </w:rPr>
                <w:t>Unaudited Condensed Consolidated Balance Sheets as of July 1, 2023 and December 31, 2022</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hyperlink w:anchor="condensed_consolidated_statements_operat">
              <w:r>
                <w:rPr>
                  <w:rStyle w:val="InternetLink"/>
                  <w:rFonts w:ascii="Times New Roman;serif" w:hAnsi="Times New Roman;serif"/>
                  <w:b w:val="false"/>
                  <w:sz w:val="20"/>
                  <w:u w:val="single"/>
                </w:rPr>
                <w:t>Unaudited Condensed Consolidated Statements of Operations for the three and six months ended July 1, 2023 and July 2, 2022</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hyperlink w:anchor="condensed_consolidated_statements_compre">
              <w:r>
                <w:rPr>
                  <w:rStyle w:val="InternetLink"/>
                  <w:rFonts w:ascii="Times New Roman;serif" w:hAnsi="Times New Roman;serif"/>
                  <w:b w:val="false"/>
                  <w:sz w:val="20"/>
                  <w:u w:val="single"/>
                </w:rPr>
                <w:t>Unaudited Condensed Consolidated Statements of Comprehensive Loss for the three and six months ended July 1, 2023 and July 2, 2022</w:t>
              </w:r>
            </w:hyperlink>
            <w:r>
              <w:rPr>
                <w:rFonts w:ascii="Times New Roman" w:hAnsi="Times New Roman"/>
                <w:sz w:val="20"/>
              </w:rPr>
              <w:t xml:space="preserve"> </w:t>
            </w:r>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hyperlink w:anchor="condensed_consolidated_statements_stockh">
              <w:r>
                <w:rPr>
                  <w:rStyle w:val="InternetLink"/>
                  <w:rFonts w:ascii="Times New Roman;serif" w:hAnsi="Times New Roman;serif"/>
                  <w:b w:val="false"/>
                  <w:sz w:val="20"/>
                  <w:u w:val="single"/>
                </w:rPr>
                <w:t>Unaudited Condensed Consolidated Statements of Stockholders’ Equity for the three and six months ended July 1, 2023 and July 2, 2022</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r>
      <w:tr>
        <w:trPr/>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hyperlink w:anchor="condensed_consolidated_statements_cash_f">
              <w:r>
                <w:rPr>
                  <w:rStyle w:val="InternetLink"/>
                  <w:rFonts w:ascii="Times New Roman;serif" w:hAnsi="Times New Roman;serif"/>
                  <w:b w:val="false"/>
                  <w:sz w:val="20"/>
                  <w:u w:val="single"/>
                </w:rPr>
                <w:t>Unaudited Condensed Consolidated Statements of Cash Flows for the six months ended July 1, 2023 and July 2, 2022</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r>
      <w:tr>
        <w:trPr/>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hyperlink w:anchor="notes_to_unaudited_condensed_consolidate">
              <w:r>
                <w:rPr>
                  <w:rStyle w:val="InternetLink"/>
                  <w:rFonts w:ascii="Times New Roman;serif" w:hAnsi="Times New Roman;serif"/>
                  <w:b w:val="false"/>
                  <w:sz w:val="20"/>
                  <w:u w:val="single"/>
                </w:rPr>
                <w:t>Notes to Unaudited Condensed Consolidated Financial Statements</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r>
      <w:tr>
        <w:trPr/>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r>
      <w:tr>
        <w:trPr/>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r>
      <w:tr>
        <w:trPr/>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r>
      <w:tr>
        <w:trPr/>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9693" w:type="dxa"/>
            <w:gridSpan w:val="3"/>
            <w:tcBorders/>
            <w:vAlign w:val="center"/>
          </w:tcPr>
          <w:p>
            <w:pPr>
              <w:pStyle w:val="TableContents"/>
              <w:bidi w:val="0"/>
              <w:spacing w:before="0" w:after="0"/>
              <w:ind w:left="0" w:right="0" w:hanging="0"/>
              <w:jc w:val="left"/>
              <w:rPr/>
            </w:pPr>
            <w:hyperlink w:anchor="part_ii_or_information">
              <w:r>
                <w:rPr>
                  <w:rStyle w:val="InternetLink"/>
                  <w:rFonts w:ascii="Times New Roman;serif" w:hAnsi="Times New Roman;serif"/>
                  <w:b w:val="false"/>
                  <w:sz w:val="20"/>
                  <w:u w:val="single"/>
                </w:rPr>
                <w:t>PART II. OTHER INFORMATION</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r>
      <w:tr>
        <w:trPr/>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r>
      <w:tr>
        <w:trPr/>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r>
      <w:tr>
        <w:trPr/>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r>
      <w:tr>
        <w:trPr/>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r>
      <w:tr>
        <w:trPr/>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r>
      <w:tr>
        <w:trPr/>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r>
      <w:tr>
        <w:trPr/>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r>
      <w:tr>
        <w:trPr/>
        <w:tc>
          <w:tcPr>
            <w:tcW w:w="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11"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right"/>
              <w:rPr/>
            </w:pPr>
            <w:r>
              <w:rPr/>
              <w:t> </w:t>
            </w:r>
          </w:p>
        </w:tc>
      </w:tr>
      <w:tr>
        <w:trPr/>
        <w:tc>
          <w:tcPr>
            <w:tcW w:w="9693" w:type="dxa"/>
            <w:gridSpan w:val="3"/>
            <w:tcBorders/>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NOTE REGARDING FORWARD-LOOKING STATEMENTS</w:t>
      </w:r>
    </w:p>
    <w:p>
      <w:pPr>
        <w:pStyle w:val="TextBody"/>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This Quarterly Report on Form 10-Q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macroeconomic conditions, including impact of the resurgence of the COVID-19 pandemic or other public health emergencies or outbreaks, foreign exchange fluctuation, inflation concerns, rising interest rates and recessionary fears and uncertainty in the global banking and financial services market, on our business and results of operations;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customer acceptance and purchase of our existing products and new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maintain and expand our customer base;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competition from other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foreign currency exchange rate and interest rate fluctuations on our results and sales;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pace of change and innovation in the markets in which we participate and the competitive nature of those markets;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business strategy and our plan to build our business;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effectively manage our growth;</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success of our strategic partnership with Topcon Corporation;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costs of manufacturing and reliance on third party manufacturers;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forecast and meet product demand;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discover defects in our products and systems;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international expansion and sales strategy;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operating results and cash flows;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beliefs and objectives for future operations;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relationships with third parties;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maintain, protect, and enhance our intellectual property rights;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maintain, protect, and enhance our information technology systems and data;</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maintain our facilities in good working order;</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recover the carrying value of goodwill;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expensing stock options and other equity awards;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successfully defend litigation brought against us;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indemnify our directors and officers;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repay indebtedness and have indebtedness forgiven;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successfully expand in our existing markets and into new markets;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sufficiency of cash to meet cash needs for at least the next 12 months;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our ability to comply with laws, policies, and regulations that currently apply or become applicable to our business both in the United States and internationally;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attract and retain qualified employees and key personnel, and source suppliers;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raise additional capital;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future trading prices of our common stock;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our ability to pay dividends in the future.</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You should read this Quarterly Report on Form 10-Q and the documents that we reference in this Quarterly Report on Form 10-Q and have filed with the Securities and Exchange Commission (“SEC”) as exhibits to this Quarterly Report on Form 10-Q with the understanding that our actual future results, levels of activity, performance and events and circumstances may be materially different from what we expect. The outcome of the events described in these forward-looking statements is subject to risks, uncertainties, and other factors described in and should be read in conjunction with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forward-looking statements made in this Quarterly Report on Form 10-Q relate only to events as of the date on which such statements are made. We undertake no obligation to update any forward-looking statements made in this Quarterly Report on Form 10-Q to reflect events or circumstances after the date of this Quarterly Report on Form 10-Q or to conform such statements to actual results or revised expectations,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used in this Quarterly Report on Form 10-Q, the terms “Company,” “IRIDEX,” “we,” “us” and “our” refer to IRIDEX Corporation, and its consolidated subsidiaries.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2" w:name="part_i_financial_information"/>
      <w:bookmarkEnd w:id="2"/>
      <w:r>
        <w:rPr>
          <w:rFonts w:ascii="Times New Roman;serif" w:hAnsi="Times New Roman;serif"/>
          <w:b/>
          <w:sz w:val="20"/>
        </w:rPr>
        <w:t>PART I. FINANCIAL INFORMATION</w:t>
      </w:r>
    </w:p>
    <w:p>
      <w:pPr>
        <w:pStyle w:val="TextBody"/>
        <w:bidi w:val="0"/>
        <w:spacing w:before="120" w:after="0"/>
        <w:jc w:val="left"/>
        <w:rPr>
          <w:rFonts w:ascii="Times New Roman;serif" w:hAnsi="Times New Roman;serif"/>
          <w:b/>
          <w:sz w:val="20"/>
        </w:rPr>
      </w:pPr>
      <w:bookmarkStart w:id="3" w:name="item_1_condensed_consolidated_financial_"/>
      <w:bookmarkEnd w:id="3"/>
      <w:r>
        <w:rPr>
          <w:rFonts w:ascii="Times New Roman;serif" w:hAnsi="Times New Roman;serif"/>
          <w:b/>
          <w:sz w:val="20"/>
        </w:rPr>
        <w:t>Item 1. Condensed Consolidated Financial Statements (Unaudited)</w:t>
      </w:r>
    </w:p>
    <w:p>
      <w:pPr>
        <w:pStyle w:val="TextBody"/>
        <w:bidi w:val="0"/>
        <w:spacing w:before="120" w:after="0"/>
        <w:jc w:val="center"/>
        <w:rPr>
          <w:rFonts w:ascii="Times New Roman;serif" w:hAnsi="Times New Roman;serif"/>
          <w:b/>
          <w:sz w:val="20"/>
        </w:rPr>
      </w:pPr>
      <w:r>
        <w:rPr>
          <w:rFonts w:ascii="Times New Roman;serif" w:hAnsi="Times New Roman;serif"/>
          <w:b/>
          <w:sz w:val="20"/>
        </w:rPr>
        <w:t>IRIDEX Corporation</w:t>
      </w:r>
    </w:p>
    <w:p>
      <w:pPr>
        <w:pStyle w:val="TextBody"/>
        <w:bidi w:val="0"/>
        <w:spacing w:before="0" w:after="0"/>
        <w:jc w:val="center"/>
        <w:rPr>
          <w:rFonts w:ascii="Times New Roman;serif" w:hAnsi="Times New Roman;serif"/>
          <w:b/>
          <w:sz w:val="20"/>
        </w:rPr>
      </w:pPr>
      <w:bookmarkStart w:id="4" w:name="condensed_consolidated_balance_sheets"/>
      <w:bookmarkEnd w:id="4"/>
      <w:r>
        <w:rPr>
          <w:rFonts w:ascii="Times New Roman;serif" w:hAnsi="Times New Roman;serif"/>
          <w:b/>
          <w:sz w:val="20"/>
        </w:rPr>
        <w:t>CONDENSED CONSOLIDATED BALANCE SHEETS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 in thousands except share and per share data)</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6940"/>
        <w:gridCol w:w="146"/>
        <w:gridCol w:w="219"/>
        <w:gridCol w:w="766"/>
        <w:gridCol w:w="166"/>
        <w:gridCol w:w="146"/>
        <w:gridCol w:w="318"/>
        <w:gridCol w:w="1110"/>
        <w:gridCol w:w="394"/>
      </w:tblGrid>
      <w:tr>
        <w:trPr/>
        <w:tc>
          <w:tcPr>
            <w:tcW w:w="6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69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1,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2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December 31, 2022 </w:t>
            </w:r>
            <w:r>
              <w:rPr>
                <w:rFonts w:ascii="Times New Roman;serif" w:hAnsi="Times New Roman;serif"/>
                <w:b/>
                <w:sz w:val="11"/>
              </w:rPr>
              <w:t>(1)</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940"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98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28"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hanging="0"/>
              <w:jc w:val="right"/>
              <w:rPr/>
            </w:pPr>
            <w:r>
              <w:rPr/>
              <w:t> </w:t>
            </w:r>
          </w:p>
        </w:tc>
      </w:tr>
      <w:tr>
        <w:trPr/>
        <w:tc>
          <w:tcPr>
            <w:tcW w:w="69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98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28"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firstLine="200"/>
              <w:jc w:val="right"/>
              <w:rPr/>
            </w:pPr>
            <w:r>
              <w:rPr/>
              <w:t> </w:t>
            </w:r>
          </w:p>
        </w:tc>
      </w:tr>
      <w:tr>
        <w:trPr/>
        <w:tc>
          <w:tcPr>
            <w:tcW w:w="694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13,922</w:t>
            </w:r>
          </w:p>
        </w:tc>
        <w:tc>
          <w:tcPr>
            <w:tcW w:w="394" w:type="dxa"/>
            <w:tcBorders/>
            <w:vAlign w:val="center"/>
          </w:tcPr>
          <w:p>
            <w:pPr>
              <w:pStyle w:val="TableContents"/>
              <w:bidi w:val="0"/>
              <w:spacing w:before="0" w:after="0"/>
              <w:ind w:left="0" w:right="0" w:firstLine="200"/>
              <w:jc w:val="left"/>
              <w:rPr/>
            </w:pPr>
            <w:r>
              <w:rPr/>
              <w:t> </w:t>
            </w:r>
          </w:p>
        </w:tc>
      </w:tr>
      <w:tr>
        <w:trPr/>
        <w:tc>
          <w:tcPr>
            <w:tcW w:w="6940"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Accounts receivable, net of allowance for credit losses of $146</w:t>
            </w:r>
            <w:r>
              <w:rPr>
                <w:rFonts w:ascii="Times New Roman" w:hAnsi="Times New Roman"/>
                <w:sz w:val="20"/>
              </w:rPr>
              <w:t> </w:t>
            </w:r>
            <w:r>
              <w:rPr>
                <w:rFonts w:ascii="Times New Roman;serif" w:hAnsi="Times New Roman;serif"/>
                <w:b w:val="false"/>
                <w:sz w:val="20"/>
              </w:rPr>
              <w:t>as of July 1, 2023 and $0</w:t>
            </w:r>
            <w:r>
              <w:rPr>
                <w:rFonts w:ascii="Times New Roman" w:hAnsi="Times New Roman"/>
                <w:sz w:val="20"/>
              </w:rPr>
              <w:t> </w:t>
            </w:r>
            <w:r>
              <w:rPr>
                <w:rFonts w:ascii="Times New Roman;serif" w:hAnsi="Times New Roman;serif"/>
                <w:b w:val="false"/>
                <w:sz w:val="20"/>
              </w:rPr>
              <w:t>as of December 31, 2022</w:t>
            </w:r>
            <w:r>
              <w:rPr>
                <w:rFonts w:ascii="Times New Roman;serif" w:hAnsi="Times New Roman;serif"/>
                <w:b w:val="false"/>
                <w:sz w:val="13"/>
              </w:rPr>
              <w:t>(2)</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6,229</w:t>
            </w:r>
          </w:p>
        </w:tc>
        <w:tc>
          <w:tcPr>
            <w:tcW w:w="394" w:type="dxa"/>
            <w:tcBorders/>
            <w:vAlign w:val="center"/>
          </w:tcPr>
          <w:p>
            <w:pPr>
              <w:pStyle w:val="TableContents"/>
              <w:bidi w:val="0"/>
              <w:spacing w:before="0" w:after="0"/>
              <w:ind w:left="0" w:right="0" w:firstLine="200"/>
              <w:jc w:val="left"/>
              <w:rPr/>
            </w:pPr>
            <w:r>
              <w:rPr/>
              <w:t> </w:t>
            </w:r>
          </w:p>
        </w:tc>
      </w:tr>
      <w:tr>
        <w:trPr/>
        <w:tc>
          <w:tcPr>
            <w:tcW w:w="694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Receivable from related party</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3,539</w:t>
            </w:r>
          </w:p>
        </w:tc>
        <w:tc>
          <w:tcPr>
            <w:tcW w:w="394" w:type="dxa"/>
            <w:tcBorders/>
            <w:vAlign w:val="center"/>
          </w:tcPr>
          <w:p>
            <w:pPr>
              <w:pStyle w:val="TableContents"/>
              <w:bidi w:val="0"/>
              <w:spacing w:before="0" w:after="0"/>
              <w:ind w:left="0" w:right="0" w:firstLine="200"/>
              <w:jc w:val="left"/>
              <w:rPr/>
            </w:pPr>
            <w:r>
              <w:rPr/>
              <w:t> </w:t>
            </w:r>
          </w:p>
        </w:tc>
      </w:tr>
      <w:tr>
        <w:trPr/>
        <w:tc>
          <w:tcPr>
            <w:tcW w:w="694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Inventories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10,608</w:t>
            </w:r>
          </w:p>
        </w:tc>
        <w:tc>
          <w:tcPr>
            <w:tcW w:w="394" w:type="dxa"/>
            <w:tcBorders/>
            <w:vAlign w:val="center"/>
          </w:tcPr>
          <w:p>
            <w:pPr>
              <w:pStyle w:val="TableContents"/>
              <w:bidi w:val="0"/>
              <w:spacing w:before="0" w:after="0"/>
              <w:ind w:left="0" w:right="0" w:firstLine="200"/>
              <w:jc w:val="left"/>
              <w:rPr/>
            </w:pPr>
            <w:r>
              <w:rPr/>
              <w:t> </w:t>
            </w:r>
          </w:p>
        </w:tc>
      </w:tr>
      <w:tr>
        <w:trPr/>
        <w:tc>
          <w:tcPr>
            <w:tcW w:w="694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1,468</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9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35,766</w:t>
            </w:r>
          </w:p>
        </w:tc>
        <w:tc>
          <w:tcPr>
            <w:tcW w:w="394" w:type="dxa"/>
            <w:tcBorders/>
            <w:vAlign w:val="center"/>
          </w:tcPr>
          <w:p>
            <w:pPr>
              <w:pStyle w:val="TableContents"/>
              <w:bidi w:val="0"/>
              <w:spacing w:before="0" w:after="0"/>
              <w:ind w:left="0" w:right="0" w:hanging="0"/>
              <w:jc w:val="left"/>
              <w:rPr/>
            </w:pPr>
            <w:r>
              <w:rPr/>
              <w:t> </w:t>
            </w:r>
          </w:p>
        </w:tc>
      </w:tr>
      <w:tr>
        <w:trPr/>
        <w:tc>
          <w:tcPr>
            <w:tcW w:w="69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462</w:t>
            </w:r>
          </w:p>
        </w:tc>
        <w:tc>
          <w:tcPr>
            <w:tcW w:w="394" w:type="dxa"/>
            <w:tcBorders/>
            <w:vAlign w:val="center"/>
          </w:tcPr>
          <w:p>
            <w:pPr>
              <w:pStyle w:val="TableContents"/>
              <w:bidi w:val="0"/>
              <w:spacing w:before="0" w:after="0"/>
              <w:ind w:left="0" w:right="0" w:hanging="0"/>
              <w:jc w:val="left"/>
              <w:rPr/>
            </w:pPr>
            <w:r>
              <w:rPr/>
              <w:t> </w:t>
            </w:r>
          </w:p>
        </w:tc>
      </w:tr>
      <w:tr>
        <w:trPr/>
        <w:tc>
          <w:tcPr>
            <w:tcW w:w="69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1,977</w:t>
            </w:r>
          </w:p>
        </w:tc>
        <w:tc>
          <w:tcPr>
            <w:tcW w:w="394" w:type="dxa"/>
            <w:tcBorders/>
            <w:vAlign w:val="center"/>
          </w:tcPr>
          <w:p>
            <w:pPr>
              <w:pStyle w:val="TableContents"/>
              <w:bidi w:val="0"/>
              <w:spacing w:before="0" w:after="0"/>
              <w:ind w:left="0" w:right="0" w:hanging="0"/>
              <w:jc w:val="left"/>
              <w:rPr/>
            </w:pPr>
            <w:r>
              <w:rPr/>
              <w:t> </w:t>
            </w:r>
          </w:p>
        </w:tc>
      </w:tr>
      <w:tr>
        <w:trPr/>
        <w:tc>
          <w:tcPr>
            <w:tcW w:w="69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965</w:t>
            </w:r>
          </w:p>
        </w:tc>
        <w:tc>
          <w:tcPr>
            <w:tcW w:w="394" w:type="dxa"/>
            <w:tcBorders/>
            <w:vAlign w:val="center"/>
          </w:tcPr>
          <w:p>
            <w:pPr>
              <w:pStyle w:val="TableContents"/>
              <w:bidi w:val="0"/>
              <w:spacing w:before="0" w:after="0"/>
              <w:ind w:left="0" w:right="0" w:hanging="0"/>
              <w:jc w:val="left"/>
              <w:rPr/>
            </w:pPr>
            <w:r>
              <w:rPr/>
              <w:t> </w:t>
            </w:r>
          </w:p>
        </w:tc>
      </w:tr>
      <w:tr>
        <w:trPr/>
        <w:tc>
          <w:tcPr>
            <w:tcW w:w="69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 net</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1,665</w:t>
            </w:r>
          </w:p>
        </w:tc>
        <w:tc>
          <w:tcPr>
            <w:tcW w:w="394" w:type="dxa"/>
            <w:tcBorders/>
            <w:vAlign w:val="center"/>
          </w:tcPr>
          <w:p>
            <w:pPr>
              <w:pStyle w:val="TableContents"/>
              <w:bidi w:val="0"/>
              <w:spacing w:before="0" w:after="0"/>
              <w:ind w:left="0" w:right="0" w:hanging="0"/>
              <w:jc w:val="left"/>
              <w:rPr/>
            </w:pPr>
            <w:r>
              <w:rPr/>
              <w:t> </w:t>
            </w:r>
          </w:p>
        </w:tc>
      </w:tr>
      <w:tr>
        <w:trPr/>
        <w:tc>
          <w:tcPr>
            <w:tcW w:w="69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long-term assets</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1,455</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9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36,939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42,290</w:t>
            </w:r>
          </w:p>
        </w:tc>
        <w:tc>
          <w:tcPr>
            <w:tcW w:w="3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940"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98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28"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hanging="0"/>
              <w:jc w:val="right"/>
              <w:rPr/>
            </w:pPr>
            <w:r>
              <w:rPr/>
              <w:t> </w:t>
            </w:r>
          </w:p>
        </w:tc>
      </w:tr>
      <w:tr>
        <w:trPr/>
        <w:tc>
          <w:tcPr>
            <w:tcW w:w="69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98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28"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firstLine="200"/>
              <w:jc w:val="right"/>
              <w:rPr/>
            </w:pPr>
            <w:r>
              <w:rPr/>
              <w:t> </w:t>
            </w:r>
          </w:p>
        </w:tc>
      </w:tr>
      <w:tr>
        <w:trPr/>
        <w:tc>
          <w:tcPr>
            <w:tcW w:w="694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3,858</w:t>
            </w:r>
          </w:p>
        </w:tc>
        <w:tc>
          <w:tcPr>
            <w:tcW w:w="394" w:type="dxa"/>
            <w:tcBorders/>
            <w:vAlign w:val="center"/>
          </w:tcPr>
          <w:p>
            <w:pPr>
              <w:pStyle w:val="TableContents"/>
              <w:bidi w:val="0"/>
              <w:spacing w:before="0" w:after="0"/>
              <w:ind w:left="0" w:right="0" w:firstLine="200"/>
              <w:jc w:val="left"/>
              <w:rPr/>
            </w:pPr>
            <w:r>
              <w:rPr/>
              <w:t> </w:t>
            </w:r>
          </w:p>
        </w:tc>
      </w:tr>
      <w:tr>
        <w:trPr/>
        <w:tc>
          <w:tcPr>
            <w:tcW w:w="694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Payable to related party</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94" w:type="dxa"/>
            <w:tcBorders/>
            <w:vAlign w:val="center"/>
          </w:tcPr>
          <w:p>
            <w:pPr>
              <w:pStyle w:val="TableContents"/>
              <w:bidi w:val="0"/>
              <w:spacing w:before="0" w:after="0"/>
              <w:ind w:left="0" w:right="0" w:firstLine="200"/>
              <w:jc w:val="left"/>
              <w:rPr/>
            </w:pPr>
            <w:r>
              <w:rPr/>
              <w:t> </w:t>
            </w:r>
          </w:p>
        </w:tc>
      </w:tr>
      <w:tr>
        <w:trPr/>
        <w:tc>
          <w:tcPr>
            <w:tcW w:w="694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compensation</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2,448</w:t>
            </w:r>
          </w:p>
        </w:tc>
        <w:tc>
          <w:tcPr>
            <w:tcW w:w="394" w:type="dxa"/>
            <w:tcBorders/>
            <w:vAlign w:val="center"/>
          </w:tcPr>
          <w:p>
            <w:pPr>
              <w:pStyle w:val="TableContents"/>
              <w:bidi w:val="0"/>
              <w:spacing w:before="0" w:after="0"/>
              <w:ind w:left="0" w:right="0" w:firstLine="200"/>
              <w:jc w:val="left"/>
              <w:rPr/>
            </w:pPr>
            <w:r>
              <w:rPr/>
              <w:t> </w:t>
            </w:r>
          </w:p>
        </w:tc>
      </w:tr>
      <w:tr>
        <w:trPr/>
        <w:tc>
          <w:tcPr>
            <w:tcW w:w="694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1,548</w:t>
            </w:r>
          </w:p>
        </w:tc>
        <w:tc>
          <w:tcPr>
            <w:tcW w:w="394" w:type="dxa"/>
            <w:tcBorders/>
            <w:vAlign w:val="center"/>
          </w:tcPr>
          <w:p>
            <w:pPr>
              <w:pStyle w:val="TableContents"/>
              <w:bidi w:val="0"/>
              <w:spacing w:before="0" w:after="0"/>
              <w:ind w:left="0" w:right="0" w:firstLine="200"/>
              <w:jc w:val="left"/>
              <w:rPr/>
            </w:pPr>
            <w:r>
              <w:rPr/>
              <w:t> </w:t>
            </w:r>
          </w:p>
        </w:tc>
      </w:tr>
      <w:tr>
        <w:trPr/>
        <w:tc>
          <w:tcPr>
            <w:tcW w:w="694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current liabilities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968</w:t>
            </w:r>
          </w:p>
        </w:tc>
        <w:tc>
          <w:tcPr>
            <w:tcW w:w="394" w:type="dxa"/>
            <w:tcBorders/>
            <w:vAlign w:val="center"/>
          </w:tcPr>
          <w:p>
            <w:pPr>
              <w:pStyle w:val="TableContents"/>
              <w:bidi w:val="0"/>
              <w:spacing w:before="0" w:after="0"/>
              <w:ind w:left="0" w:right="0" w:firstLine="200"/>
              <w:jc w:val="left"/>
              <w:rPr/>
            </w:pPr>
            <w:r>
              <w:rPr/>
              <w:t> </w:t>
            </w:r>
          </w:p>
        </w:tc>
      </w:tr>
      <w:tr>
        <w:trPr/>
        <w:tc>
          <w:tcPr>
            <w:tcW w:w="694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warranty</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394" w:type="dxa"/>
            <w:tcBorders/>
            <w:vAlign w:val="center"/>
          </w:tcPr>
          <w:p>
            <w:pPr>
              <w:pStyle w:val="TableContents"/>
              <w:bidi w:val="0"/>
              <w:spacing w:before="0" w:after="0"/>
              <w:ind w:left="0" w:right="0" w:firstLine="200"/>
              <w:jc w:val="left"/>
              <w:rPr/>
            </w:pPr>
            <w:r>
              <w:rPr/>
              <w:t> </w:t>
            </w:r>
          </w:p>
        </w:tc>
      </w:tr>
      <w:tr>
        <w:trPr/>
        <w:tc>
          <w:tcPr>
            <w:tcW w:w="694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2,411</w:t>
            </w:r>
          </w:p>
        </w:tc>
        <w:tc>
          <w:tcPr>
            <w:tcW w:w="394" w:type="dxa"/>
            <w:tcBorders/>
            <w:vAlign w:val="center"/>
          </w:tcPr>
          <w:p>
            <w:pPr>
              <w:pStyle w:val="TableContents"/>
              <w:bidi w:val="0"/>
              <w:spacing w:before="0" w:after="0"/>
              <w:ind w:left="0" w:right="0" w:firstLine="200"/>
              <w:jc w:val="left"/>
              <w:rPr/>
            </w:pPr>
            <w:r>
              <w:rPr/>
              <w:t> </w:t>
            </w:r>
          </w:p>
        </w:tc>
      </w:tr>
      <w:tr>
        <w:trPr/>
        <w:tc>
          <w:tcPr>
            <w:tcW w:w="694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1,037</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9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12,453</w:t>
            </w:r>
          </w:p>
        </w:tc>
        <w:tc>
          <w:tcPr>
            <w:tcW w:w="394" w:type="dxa"/>
            <w:tcBorders/>
            <w:vAlign w:val="center"/>
          </w:tcPr>
          <w:p>
            <w:pPr>
              <w:pStyle w:val="TableContents"/>
              <w:bidi w:val="0"/>
              <w:spacing w:before="0" w:after="0"/>
              <w:ind w:left="0" w:right="0" w:hanging="0"/>
              <w:jc w:val="left"/>
              <w:rPr/>
            </w:pPr>
            <w:r>
              <w:rPr/>
              <w:t> </w:t>
            </w:r>
          </w:p>
        </w:tc>
      </w:tr>
      <w:tr>
        <w:trPr/>
        <w:tc>
          <w:tcPr>
            <w:tcW w:w="69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liabilities:</w:t>
            </w:r>
          </w:p>
        </w:tc>
        <w:tc>
          <w:tcPr>
            <w:tcW w:w="146" w:type="dxa"/>
            <w:tcBorders/>
            <w:vAlign w:val="center"/>
          </w:tcPr>
          <w:p>
            <w:pPr>
              <w:pStyle w:val="TableContents"/>
              <w:bidi w:val="0"/>
              <w:spacing w:before="0" w:after="0"/>
              <w:ind w:left="0" w:right="0" w:hanging="0"/>
              <w:jc w:val="left"/>
              <w:rPr/>
            </w:pPr>
            <w:r>
              <w:rPr/>
              <w:t> </w:t>
            </w:r>
          </w:p>
        </w:tc>
        <w:tc>
          <w:tcPr>
            <w:tcW w:w="98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28"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firstLine="200"/>
              <w:jc w:val="right"/>
              <w:rPr/>
            </w:pPr>
            <w:r>
              <w:rPr/>
              <w:t> </w:t>
            </w:r>
          </w:p>
        </w:tc>
      </w:tr>
      <w:tr>
        <w:trPr/>
        <w:tc>
          <w:tcPr>
            <w:tcW w:w="694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warranty</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w:t>
            </w:r>
          </w:p>
        </w:tc>
        <w:tc>
          <w:tcPr>
            <w:tcW w:w="394" w:type="dxa"/>
            <w:tcBorders/>
            <w:vAlign w:val="center"/>
          </w:tcPr>
          <w:p>
            <w:pPr>
              <w:pStyle w:val="TableContents"/>
              <w:bidi w:val="0"/>
              <w:spacing w:before="0" w:after="0"/>
              <w:ind w:left="0" w:right="0" w:firstLine="200"/>
              <w:jc w:val="left"/>
              <w:rPr/>
            </w:pPr>
            <w:r>
              <w:rPr/>
              <w:t> </w:t>
            </w:r>
          </w:p>
        </w:tc>
      </w:tr>
      <w:tr>
        <w:trPr/>
        <w:tc>
          <w:tcPr>
            <w:tcW w:w="694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11,742</w:t>
            </w:r>
          </w:p>
        </w:tc>
        <w:tc>
          <w:tcPr>
            <w:tcW w:w="394" w:type="dxa"/>
            <w:tcBorders/>
            <w:vAlign w:val="center"/>
          </w:tcPr>
          <w:p>
            <w:pPr>
              <w:pStyle w:val="TableContents"/>
              <w:bidi w:val="0"/>
              <w:spacing w:before="0" w:after="0"/>
              <w:ind w:left="0" w:right="0" w:firstLine="200"/>
              <w:jc w:val="left"/>
              <w:rPr/>
            </w:pPr>
            <w:r>
              <w:rPr/>
              <w:t> </w:t>
            </w:r>
          </w:p>
        </w:tc>
      </w:tr>
      <w:tr>
        <w:trPr/>
        <w:tc>
          <w:tcPr>
            <w:tcW w:w="694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732</w:t>
            </w:r>
          </w:p>
        </w:tc>
        <w:tc>
          <w:tcPr>
            <w:tcW w:w="394" w:type="dxa"/>
            <w:tcBorders/>
            <w:vAlign w:val="center"/>
          </w:tcPr>
          <w:p>
            <w:pPr>
              <w:pStyle w:val="TableContents"/>
              <w:bidi w:val="0"/>
              <w:spacing w:before="0" w:after="0"/>
              <w:ind w:left="0" w:right="0" w:firstLine="200"/>
              <w:jc w:val="left"/>
              <w:rPr/>
            </w:pPr>
            <w:r>
              <w:rPr/>
              <w:t> </w:t>
            </w:r>
          </w:p>
        </w:tc>
      </w:tr>
      <w:tr>
        <w:trPr/>
        <w:tc>
          <w:tcPr>
            <w:tcW w:w="694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long-term liabilities</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9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25,059</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94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Commitments and contingencies</w:t>
            </w:r>
            <w:r>
              <w:rPr>
                <w:rFonts w:ascii="Times New Roman" w:hAnsi="Times New Roman"/>
                <w:sz w:val="20"/>
              </w:rPr>
              <w:t> </w:t>
            </w:r>
            <w:r>
              <w:rPr>
                <w:rFonts w:ascii="Times New Roman;serif" w:hAnsi="Times New Roman;serif"/>
                <w:b w:val="false"/>
                <w:sz w:val="20"/>
              </w:rPr>
              <w:t>(Note 8)</w:t>
            </w:r>
          </w:p>
        </w:tc>
        <w:tc>
          <w:tcPr>
            <w:tcW w:w="146" w:type="dxa"/>
            <w:tcBorders/>
            <w:vAlign w:val="center"/>
          </w:tcPr>
          <w:p>
            <w:pPr>
              <w:pStyle w:val="TableContents"/>
              <w:bidi w:val="0"/>
              <w:spacing w:before="0" w:after="0"/>
              <w:ind w:left="0" w:right="0" w:hanging="0"/>
              <w:jc w:val="left"/>
              <w:rPr/>
            </w:pPr>
            <w:r>
              <w:rPr/>
              <w:t> </w:t>
            </w:r>
          </w:p>
        </w:tc>
        <w:tc>
          <w:tcPr>
            <w:tcW w:w="98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28"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hanging="0"/>
              <w:jc w:val="right"/>
              <w:rPr/>
            </w:pPr>
            <w:r>
              <w:rPr/>
              <w:t> </w:t>
            </w:r>
          </w:p>
        </w:tc>
      </w:tr>
      <w:tr>
        <w:trPr/>
        <w:tc>
          <w:tcPr>
            <w:tcW w:w="69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98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28"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hanging="0"/>
              <w:jc w:val="right"/>
              <w:rPr/>
            </w:pPr>
            <w:r>
              <w:rPr/>
              <w:t> </w:t>
            </w:r>
          </w:p>
        </w:tc>
      </w:tr>
      <w:tr>
        <w:trPr/>
        <w:tc>
          <w:tcPr>
            <w:tcW w:w="694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Preferred stock, $0.01</w:t>
            </w:r>
            <w:r>
              <w:rPr>
                <w:rFonts w:ascii="Times New Roman" w:hAnsi="Times New Roman"/>
                <w:sz w:val="20"/>
              </w:rPr>
              <w:t> </w:t>
            </w:r>
            <w:r>
              <w:rPr>
                <w:rFonts w:ascii="Times New Roman;serif" w:hAnsi="Times New Roman;serif"/>
                <w:b w:val="false"/>
                <w:sz w:val="20"/>
              </w:rPr>
              <w:t>par value, 2,000,000</w:t>
            </w:r>
            <w:r>
              <w:rPr>
                <w:rFonts w:ascii="Times New Roman" w:hAnsi="Times New Roman"/>
                <w:sz w:val="20"/>
              </w:rPr>
              <w:t> </w:t>
            </w:r>
            <w:r>
              <w:rPr>
                <w:rFonts w:ascii="Times New Roman;serif" w:hAnsi="Times New Roman;serif"/>
                <w:b w:val="false"/>
                <w:sz w:val="20"/>
              </w:rPr>
              <w:t>shares authorized, no</w:t>
            </w:r>
            <w:r>
              <w:rPr>
                <w:rFonts w:ascii="Times New Roman" w:hAnsi="Times New Roman"/>
                <w:sz w:val="20"/>
              </w:rPr>
              <w:t> </w:t>
            </w:r>
            <w:r>
              <w:rPr>
                <w:rFonts w:ascii="Times New Roman;serif" w:hAnsi="Times New Roman;serif"/>
                <w:b w:val="false"/>
                <w:sz w:val="20"/>
              </w:rPr>
              <w:t>shares issued and outstanding</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hanging="0"/>
              <w:jc w:val="left"/>
              <w:rPr/>
            </w:pPr>
            <w:r>
              <w:rPr/>
              <w:t> </w:t>
            </w:r>
          </w:p>
        </w:tc>
      </w:tr>
      <w:tr>
        <w:trPr/>
        <w:tc>
          <w:tcPr>
            <w:tcW w:w="694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Common stock, $0.01</w:t>
            </w:r>
            <w:r>
              <w:rPr>
                <w:rFonts w:ascii="Times New Roman" w:hAnsi="Times New Roman"/>
                <w:sz w:val="20"/>
              </w:rPr>
              <w:t> </w:t>
            </w:r>
            <w:r>
              <w:rPr>
                <w:rFonts w:ascii="Times New Roman;serif" w:hAnsi="Times New Roman;serif"/>
                <w:b w:val="false"/>
                <w:sz w:val="20"/>
              </w:rPr>
              <w:t>par value:</w:t>
            </w:r>
          </w:p>
        </w:tc>
        <w:tc>
          <w:tcPr>
            <w:tcW w:w="146" w:type="dxa"/>
            <w:tcBorders/>
            <w:vAlign w:val="center"/>
          </w:tcPr>
          <w:p>
            <w:pPr>
              <w:pStyle w:val="TableContents"/>
              <w:bidi w:val="0"/>
              <w:spacing w:before="0" w:after="0"/>
              <w:ind w:left="0" w:right="0" w:hanging="0"/>
              <w:jc w:val="left"/>
              <w:rPr/>
            </w:pPr>
            <w:r>
              <w:rPr/>
              <w:t> </w:t>
            </w:r>
          </w:p>
        </w:tc>
        <w:tc>
          <w:tcPr>
            <w:tcW w:w="98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28"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firstLine="200"/>
              <w:jc w:val="right"/>
              <w:rPr/>
            </w:pPr>
            <w:r>
              <w:rPr/>
              <w:t> </w:t>
            </w:r>
          </w:p>
        </w:tc>
      </w:tr>
      <w:tr>
        <w:trPr/>
        <w:tc>
          <w:tcPr>
            <w:tcW w:w="6940"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Authorized: 30,000,000</w:t>
            </w:r>
            <w:r>
              <w:rPr>
                <w:rFonts w:ascii="Times New Roman" w:hAnsi="Times New Roman"/>
                <w:sz w:val="20"/>
              </w:rPr>
              <w:t> </w:t>
            </w:r>
            <w:r>
              <w:rPr>
                <w:rFonts w:ascii="Times New Roman;serif" w:hAnsi="Times New Roman;serif"/>
                <w:b w:val="false"/>
                <w:sz w:val="20"/>
              </w:rPr>
              <w:t>shares;</w:t>
            </w:r>
          </w:p>
        </w:tc>
        <w:tc>
          <w:tcPr>
            <w:tcW w:w="146" w:type="dxa"/>
            <w:tcBorders/>
            <w:vAlign w:val="center"/>
          </w:tcPr>
          <w:p>
            <w:pPr>
              <w:pStyle w:val="TableContents"/>
              <w:bidi w:val="0"/>
              <w:spacing w:before="0" w:after="0"/>
              <w:ind w:left="0" w:right="0" w:hanging="0"/>
              <w:jc w:val="left"/>
              <w:rPr/>
            </w:pPr>
            <w:r>
              <w:rPr/>
              <w:t> </w:t>
            </w:r>
          </w:p>
        </w:tc>
        <w:tc>
          <w:tcPr>
            <w:tcW w:w="98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28"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firstLine="200"/>
              <w:jc w:val="right"/>
              <w:rPr/>
            </w:pPr>
            <w:r>
              <w:rPr/>
              <w:t> </w:t>
            </w:r>
          </w:p>
        </w:tc>
      </w:tr>
      <w:tr>
        <w:trPr/>
        <w:tc>
          <w:tcPr>
            <w:tcW w:w="6940"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Issued and outstanding 16,206,382</w:t>
            </w:r>
            <w:r>
              <w:rPr>
                <w:rFonts w:ascii="Times New Roman" w:hAnsi="Times New Roman"/>
                <w:sz w:val="20"/>
              </w:rPr>
              <w:t> </w:t>
            </w:r>
            <w:r>
              <w:rPr>
                <w:rFonts w:ascii="Times New Roman;serif" w:hAnsi="Times New Roman;serif"/>
                <w:b w:val="false"/>
                <w:sz w:val="20"/>
              </w:rPr>
              <w:t>and 15,989,662</w:t>
            </w:r>
            <w:r>
              <w:rPr>
                <w:rFonts w:ascii="Times New Roman" w:hAnsi="Times New Roman"/>
                <w:sz w:val="20"/>
              </w:rPr>
              <w:t> </w:t>
            </w:r>
            <w:r>
              <w:rPr>
                <w:rFonts w:ascii="Times New Roman;serif" w:hAnsi="Times New Roman;serif"/>
                <w:b w:val="false"/>
                <w:sz w:val="20"/>
              </w:rPr>
              <w:t>shares as of July 1,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w:t>
            </w:r>
          </w:p>
        </w:tc>
        <w:tc>
          <w:tcPr>
            <w:tcW w:w="394" w:type="dxa"/>
            <w:tcBorders/>
            <w:vAlign w:val="center"/>
          </w:tcPr>
          <w:p>
            <w:pPr>
              <w:pStyle w:val="TableContents"/>
              <w:bidi w:val="0"/>
              <w:spacing w:before="0" w:after="0"/>
              <w:ind w:left="0" w:right="0" w:hanging="0"/>
              <w:jc w:val="left"/>
              <w:rPr/>
            </w:pPr>
            <w:r>
              <w:rPr/>
              <w:t> </w:t>
            </w:r>
          </w:p>
        </w:tc>
      </w:tr>
      <w:tr>
        <w:trPr/>
        <w:tc>
          <w:tcPr>
            <w:tcW w:w="69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87,647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86,802</w:t>
            </w:r>
          </w:p>
        </w:tc>
        <w:tc>
          <w:tcPr>
            <w:tcW w:w="394" w:type="dxa"/>
            <w:tcBorders/>
            <w:vAlign w:val="center"/>
          </w:tcPr>
          <w:p>
            <w:pPr>
              <w:pStyle w:val="TableContents"/>
              <w:bidi w:val="0"/>
              <w:spacing w:before="0" w:after="0"/>
              <w:ind w:left="0" w:right="0" w:hanging="0"/>
              <w:jc w:val="left"/>
              <w:rPr/>
            </w:pPr>
            <w:r>
              <w:rPr/>
              <w:t> </w:t>
            </w:r>
          </w:p>
        </w:tc>
      </w:tr>
      <w:tr>
        <w:trPr/>
        <w:tc>
          <w:tcPr>
            <w:tcW w:w="69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3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(74,328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(69,716</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17,231</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9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36,939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42,290</w:t>
            </w:r>
          </w:p>
        </w:tc>
        <w:tc>
          <w:tcPr>
            <w:tcW w:w="3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17"/>
        </w:rPr>
      </w:pPr>
      <w:r>
        <w:rPr>
          <w:rFonts w:ascii="Times New Roman" w:hAnsi="Times New Roman"/>
          <w:b w:val="false"/>
          <w:sz w:val="17"/>
        </w:rPr>
        <w:t>(1)</w:t>
      </w:r>
    </w:p>
    <w:p>
      <w:pPr>
        <w:pStyle w:val="TextBody"/>
        <w:bidi w:val="0"/>
        <w:spacing w:before="0" w:after="0"/>
        <w:jc w:val="left"/>
        <w:rPr>
          <w:rFonts w:ascii="Times New Roman;serif" w:hAnsi="Times New Roman;serif"/>
          <w:b w:val="false"/>
          <w:sz w:val="17"/>
        </w:rPr>
      </w:pPr>
      <w:r>
        <w:rPr>
          <w:rFonts w:ascii="Times New Roman;serif" w:hAnsi="Times New Roman;serif"/>
          <w:b w:val="false"/>
          <w:sz w:val="17"/>
        </w:rPr>
        <w:t>Derived from the audited consolidated financial statements included in the Annual Report on Form 10-K filed with the SEC for the year ended December 31, 2022.</w:t>
      </w:r>
    </w:p>
    <w:p>
      <w:pPr>
        <w:pStyle w:val="TextBody"/>
        <w:bidi w:val="0"/>
        <w:spacing w:before="0" w:after="0"/>
        <w:jc w:val="left"/>
        <w:rPr>
          <w:rFonts w:ascii="Times New Roman" w:hAnsi="Times New Roman"/>
          <w:b w:val="false"/>
          <w:sz w:val="17"/>
        </w:rPr>
      </w:pPr>
      <w:r>
        <w:rPr>
          <w:rFonts w:ascii="Times New Roman" w:hAnsi="Times New Roman"/>
          <w:b w:val="false"/>
          <w:sz w:val="17"/>
        </w:rPr>
        <w:t>(2)</w:t>
      </w:r>
    </w:p>
    <w:p>
      <w:pPr>
        <w:pStyle w:val="TextBody"/>
        <w:bidi w:val="0"/>
        <w:jc w:val="left"/>
        <w:rPr>
          <w:rFonts w:ascii="Times New Roman;serif" w:hAnsi="Times New Roman;serif"/>
          <w:b w:val="false"/>
          <w:sz w:val="17"/>
        </w:rPr>
      </w:pPr>
      <w:r>
        <w:rPr>
          <w:rFonts w:ascii="Times New Roman;serif" w:hAnsi="Times New Roman;serif"/>
          <w:b w:val="false"/>
          <w:sz w:val="17"/>
        </w:rPr>
        <w:t>Prior to our adoption of Accounting Standard Update 2016-13, “Financial Instruments-Credit Losses (Topic 326): Measurement of Credit Losses on Financial Instruments” on January 1, 2023, the allowance for credit losses related to accounts receivable was not applicable and is therefore presented as $0 at December 31, 2022. See Note 3 for additional details.</w:t>
      </w:r>
    </w:p>
    <w:p>
      <w:pPr>
        <w:pStyle w:val="TextBody"/>
        <w:bidi w:val="0"/>
        <w:spacing w:before="8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5" w:name="iridex_corporation"/>
      <w:bookmarkEnd w:id="5"/>
      <w:r>
        <w:rPr>
          <w:rFonts w:ascii="Times New Roman;serif" w:hAnsi="Times New Roman;serif"/>
          <w:b/>
          <w:sz w:val="20"/>
        </w:rPr>
        <w:t>IRIDEX Corporation</w:t>
      </w:r>
    </w:p>
    <w:p>
      <w:pPr>
        <w:pStyle w:val="TextBody"/>
        <w:bidi w:val="0"/>
        <w:spacing w:before="0" w:after="0"/>
        <w:jc w:val="center"/>
        <w:rPr>
          <w:rFonts w:ascii="Times New Roman;serif" w:hAnsi="Times New Roman;serif"/>
          <w:b/>
          <w:sz w:val="20"/>
        </w:rPr>
      </w:pPr>
      <w:bookmarkStart w:id="6" w:name="condensed_consolidated_statements_operat"/>
      <w:bookmarkEnd w:id="6"/>
      <w:r>
        <w:rPr>
          <w:rFonts w:ascii="Times New Roman;serif" w:hAnsi="Times New Roman;serif"/>
          <w:b/>
          <w:sz w:val="20"/>
        </w:rPr>
        <w:t>Condensed Consolidated Statements of Operations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 in thousands except per share data)</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744"/>
        <w:gridCol w:w="146"/>
        <w:gridCol w:w="235"/>
        <w:gridCol w:w="756"/>
        <w:gridCol w:w="166"/>
        <w:gridCol w:w="146"/>
        <w:gridCol w:w="235"/>
        <w:gridCol w:w="756"/>
        <w:gridCol w:w="166"/>
        <w:gridCol w:w="146"/>
        <w:gridCol w:w="235"/>
        <w:gridCol w:w="756"/>
        <w:gridCol w:w="166"/>
        <w:gridCol w:w="146"/>
        <w:gridCol w:w="235"/>
        <w:gridCol w:w="756"/>
        <w:gridCol w:w="415"/>
      </w:tblGrid>
      <w:tr>
        <w:trPr/>
        <w:tc>
          <w:tcPr>
            <w:tcW w:w="4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474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9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9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4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1,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2,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1,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2, 2022</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revenues</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27,142</w:t>
            </w:r>
          </w:p>
        </w:tc>
        <w:tc>
          <w:tcPr>
            <w:tcW w:w="415" w:type="dxa"/>
            <w:tcBorders/>
            <w:vAlign w:val="center"/>
          </w:tcPr>
          <w:p>
            <w:pPr>
              <w:pStyle w:val="TableContents"/>
              <w:bidi w:val="0"/>
              <w:spacing w:before="0" w:after="0"/>
              <w:ind w:left="0" w:right="0" w:hanging="0"/>
              <w:jc w:val="left"/>
              <w:rPr/>
            </w:pPr>
            <w:r>
              <w:rPr/>
              <w:t> </w:t>
            </w:r>
          </w:p>
        </w:tc>
      </w:tr>
      <w:tr>
        <w:trPr/>
        <w:tc>
          <w:tcPr>
            <w:tcW w:w="4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revenues</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7,488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14,898</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5,363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12,244</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415" w:type="dxa"/>
            <w:tcBorders/>
            <w:vAlign w:val="center"/>
          </w:tcPr>
          <w:p>
            <w:pPr>
              <w:pStyle w:val="TableContents"/>
              <w:bidi w:val="0"/>
              <w:spacing w:before="0" w:after="0"/>
              <w:ind w:left="0" w:right="0" w:firstLine="200"/>
              <w:jc w:val="right"/>
              <w:rPr/>
            </w:pPr>
            <w:r>
              <w:rPr/>
              <w:t> </w:t>
            </w:r>
          </w:p>
        </w:tc>
      </w:tr>
      <w:tr>
        <w:trPr/>
        <w:tc>
          <w:tcPr>
            <w:tcW w:w="4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4,038</w:t>
            </w:r>
          </w:p>
        </w:tc>
        <w:tc>
          <w:tcPr>
            <w:tcW w:w="415" w:type="dxa"/>
            <w:tcBorders/>
            <w:vAlign w:val="center"/>
          </w:tcPr>
          <w:p>
            <w:pPr>
              <w:pStyle w:val="TableContents"/>
              <w:bidi w:val="0"/>
              <w:spacing w:before="0" w:after="0"/>
              <w:ind w:left="0" w:right="0" w:firstLine="200"/>
              <w:jc w:val="left"/>
              <w:rPr/>
            </w:pPr>
            <w:r>
              <w:rPr/>
              <w:t> </w:t>
            </w:r>
          </w:p>
        </w:tc>
      </w:tr>
      <w:tr>
        <w:trPr/>
        <w:tc>
          <w:tcPr>
            <w:tcW w:w="4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8,907</w:t>
            </w:r>
          </w:p>
        </w:tc>
        <w:tc>
          <w:tcPr>
            <w:tcW w:w="415" w:type="dxa"/>
            <w:tcBorders/>
            <w:vAlign w:val="center"/>
          </w:tcPr>
          <w:p>
            <w:pPr>
              <w:pStyle w:val="TableContents"/>
              <w:bidi w:val="0"/>
              <w:spacing w:before="0" w:after="0"/>
              <w:ind w:left="0" w:right="0" w:firstLine="200"/>
              <w:jc w:val="left"/>
              <w:rPr/>
            </w:pPr>
            <w:r>
              <w:rPr/>
              <w:t> </w:t>
            </w:r>
          </w:p>
        </w:tc>
      </w:tr>
      <w:tr>
        <w:trPr/>
        <w:tc>
          <w:tcPr>
            <w:tcW w:w="4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4,398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3,736</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16,681</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(4,437</w:t>
            </w:r>
          </w:p>
        </w:tc>
        <w:tc>
          <w:tcPr>
            <w:tcW w:w="4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 before provision for income taxes</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(4,834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(4,595</w:t>
            </w:r>
          </w:p>
        </w:tc>
        <w:tc>
          <w:tcPr>
            <w:tcW w:w="4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(4,632</w:t>
            </w:r>
          </w:p>
        </w:tc>
        <w:tc>
          <w:tcPr>
            <w:tcW w:w="4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415" w:type="dxa"/>
            <w:tcBorders/>
            <w:vAlign w:val="center"/>
          </w:tcPr>
          <w:p>
            <w:pPr>
              <w:pStyle w:val="TableContents"/>
              <w:bidi w:val="0"/>
              <w:spacing w:before="0" w:after="0"/>
              <w:ind w:left="0" w:right="0" w:firstLine="200"/>
              <w:jc w:val="right"/>
              <w:rPr/>
            </w:pPr>
            <w:r>
              <w:rPr/>
              <w:t> </w:t>
            </w:r>
          </w:p>
        </w:tc>
      </w:tr>
      <w:tr>
        <w:trPr/>
        <w:tc>
          <w:tcPr>
            <w:tcW w:w="4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(0.29</w:t>
            </w:r>
          </w:p>
        </w:tc>
        <w:tc>
          <w:tcPr>
            <w:tcW w:w="415"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(0.29</w:t>
            </w:r>
          </w:p>
        </w:tc>
        <w:tc>
          <w:tcPr>
            <w:tcW w:w="4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shares used in computing net loss per share:</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415" w:type="dxa"/>
            <w:tcBorders/>
            <w:vAlign w:val="center"/>
          </w:tcPr>
          <w:p>
            <w:pPr>
              <w:pStyle w:val="TableContents"/>
              <w:bidi w:val="0"/>
              <w:spacing w:before="0" w:after="0"/>
              <w:ind w:left="0" w:right="0" w:firstLine="200"/>
              <w:jc w:val="right"/>
              <w:rPr/>
            </w:pPr>
            <w:r>
              <w:rPr/>
              <w:t> </w:t>
            </w:r>
          </w:p>
        </w:tc>
      </w:tr>
      <w:tr>
        <w:trPr/>
        <w:tc>
          <w:tcPr>
            <w:tcW w:w="4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16,036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15,894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16,018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15,888</w:t>
            </w:r>
          </w:p>
        </w:tc>
        <w:tc>
          <w:tcPr>
            <w:tcW w:w="415"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16,036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15,894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16,018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15,888</w:t>
            </w:r>
          </w:p>
        </w:tc>
        <w:tc>
          <w:tcPr>
            <w:tcW w:w="4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IRIDEX Corporation</w:t>
      </w:r>
    </w:p>
    <w:p>
      <w:pPr>
        <w:pStyle w:val="TextBody"/>
        <w:bidi w:val="0"/>
        <w:spacing w:before="0" w:after="0"/>
        <w:jc w:val="center"/>
        <w:rPr>
          <w:rFonts w:ascii="Times New Roman;serif" w:hAnsi="Times New Roman;serif"/>
          <w:b/>
          <w:sz w:val="20"/>
        </w:rPr>
      </w:pPr>
      <w:bookmarkStart w:id="7" w:name="condensed_consolidated_statements_compre"/>
      <w:bookmarkEnd w:id="7"/>
      <w:r>
        <w:rPr>
          <w:rFonts w:ascii="Times New Roman;serif" w:hAnsi="Times New Roman;serif"/>
          <w:b/>
          <w:sz w:val="20"/>
        </w:rPr>
        <w:t>Condensed Consolidated Statements of Comprehensive Loss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 in thousands)</w:t>
      </w:r>
    </w:p>
    <w:p>
      <w:pPr>
        <w:pStyle w:val="TextBody"/>
        <w:bidi w:val="0"/>
        <w:spacing w:before="0" w:after="0"/>
        <w:jc w:val="left"/>
        <w:rPr/>
      </w:pPr>
      <w:r>
        <w:rPr/>
        <w:t> </w:t>
      </w:r>
    </w:p>
    <w:tbl>
      <w:tblPr>
        <w:tblW w:w="8749" w:type="dxa"/>
        <w:jc w:val="left"/>
        <w:tblInd w:w="0" w:type="dxa"/>
        <w:tblLayout w:type="fixed"/>
        <w:tblCellMar>
          <w:top w:w="28" w:type="dxa"/>
          <w:left w:w="28" w:type="dxa"/>
          <w:bottom w:w="28" w:type="dxa"/>
          <w:right w:w="28" w:type="dxa"/>
        </w:tblCellMar>
      </w:tblPr>
      <w:tblGrid>
        <w:gridCol w:w="3436"/>
        <w:gridCol w:w="146"/>
        <w:gridCol w:w="252"/>
        <w:gridCol w:w="753"/>
        <w:gridCol w:w="166"/>
        <w:gridCol w:w="146"/>
        <w:gridCol w:w="252"/>
        <w:gridCol w:w="753"/>
        <w:gridCol w:w="166"/>
        <w:gridCol w:w="146"/>
        <w:gridCol w:w="252"/>
        <w:gridCol w:w="753"/>
        <w:gridCol w:w="166"/>
        <w:gridCol w:w="146"/>
        <w:gridCol w:w="252"/>
        <w:gridCol w:w="753"/>
        <w:gridCol w:w="21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32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2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1,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2,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1,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2,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right"/>
              <w:rPr/>
            </w:pPr>
            <w:r>
              <w:rPr/>
              <w:t> </w:t>
            </w:r>
          </w:p>
        </w:tc>
        <w:tc>
          <w:tcPr>
            <w:tcW w:w="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(4,632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currency translation adjustments</w:t>
            </w:r>
          </w:p>
        </w:tc>
        <w:tc>
          <w:tcPr>
            <w:tcW w:w="146" w:type="dxa"/>
            <w:tcBorders/>
            <w:vAlign w:val="center"/>
          </w:tcPr>
          <w:p>
            <w:pPr>
              <w:pStyle w:val="TableContents"/>
              <w:bidi w:val="0"/>
              <w:spacing w:before="0" w:after="0"/>
              <w:ind w:left="0" w:right="0" w:hanging="0"/>
              <w:jc w:val="righ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vAlign w:val="center"/>
          </w:tcPr>
          <w:p>
            <w:pPr>
              <w:pStyle w:val="TableContents"/>
              <w:bidi w:val="0"/>
              <w:spacing w:before="0" w:after="0"/>
              <w:ind w:left="0" w:right="0" w:hanging="0"/>
              <w:jc w:val="right"/>
              <w:rPr/>
            </w:pPr>
            <w:r>
              <w:rPr/>
              <w:t> </w:t>
            </w:r>
          </w:p>
        </w:tc>
        <w:tc>
          <w:tcPr>
            <w:tcW w:w="2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(4,872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(4,548</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IRIDEX Corporation</w:t>
      </w:r>
    </w:p>
    <w:p>
      <w:pPr>
        <w:pStyle w:val="TextBody"/>
        <w:bidi w:val="0"/>
        <w:spacing w:before="0" w:after="0"/>
        <w:jc w:val="center"/>
        <w:rPr>
          <w:rFonts w:ascii="Times New Roman;serif" w:hAnsi="Times New Roman;serif"/>
          <w:b/>
          <w:sz w:val="20"/>
        </w:rPr>
      </w:pPr>
      <w:bookmarkStart w:id="8" w:name="condensed_consolidated_statements_stockh"/>
      <w:bookmarkEnd w:id="8"/>
      <w:r>
        <w:rPr>
          <w:rFonts w:ascii="Times New Roman;serif" w:hAnsi="Times New Roman;serif"/>
          <w:b/>
          <w:sz w:val="20"/>
        </w:rPr>
        <w:t>Condensed Consolidated Statements of Stockholders’ Equity</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 in thousands, except share data)</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640"/>
        <w:gridCol w:w="146"/>
        <w:gridCol w:w="146"/>
        <w:gridCol w:w="916"/>
        <w:gridCol w:w="146"/>
        <w:gridCol w:w="146"/>
        <w:gridCol w:w="236"/>
        <w:gridCol w:w="455"/>
        <w:gridCol w:w="146"/>
        <w:gridCol w:w="146"/>
        <w:gridCol w:w="214"/>
        <w:gridCol w:w="657"/>
        <w:gridCol w:w="166"/>
        <w:gridCol w:w="146"/>
        <w:gridCol w:w="439"/>
        <w:gridCol w:w="777"/>
        <w:gridCol w:w="166"/>
        <w:gridCol w:w="146"/>
        <w:gridCol w:w="240"/>
        <w:gridCol w:w="811"/>
        <w:gridCol w:w="166"/>
        <w:gridCol w:w="146"/>
        <w:gridCol w:w="196"/>
        <w:gridCol w:w="601"/>
        <w:gridCol w:w="211"/>
      </w:tblGrid>
      <w:tr>
        <w:trPr/>
        <w:tc>
          <w:tcPr>
            <w:tcW w:w="2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40"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July 1, 2023</w:t>
            </w:r>
          </w:p>
        </w:tc>
        <w:tc>
          <w:tcPr>
            <w:tcW w:w="146" w:type="dxa"/>
            <w:tcBorders/>
            <w:vAlign w:val="center"/>
          </w:tcPr>
          <w:p>
            <w:pPr>
              <w:pStyle w:val="TableContents"/>
              <w:bidi w:val="0"/>
              <w:spacing w:before="0" w:after="0"/>
              <w:ind w:left="0" w:right="0" w:hanging="0"/>
              <w:jc w:val="left"/>
              <w:rPr/>
            </w:pPr>
            <w:r>
              <w:rPr/>
              <w:t> </w:t>
            </w:r>
          </w:p>
        </w:tc>
        <w:tc>
          <w:tcPr>
            <w:tcW w:w="204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Other</w:t>
              <w:b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26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4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Balances, April 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16,007,161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5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87,312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7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(71,562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15,884</w:t>
            </w:r>
          </w:p>
        </w:tc>
        <w:tc>
          <w:tcPr>
            <w:tcW w:w="211" w:type="dxa"/>
            <w:tcBorders/>
            <w:vAlign w:val="center"/>
          </w:tcPr>
          <w:p>
            <w:pPr>
              <w:pStyle w:val="TableContents"/>
              <w:bidi w:val="0"/>
              <w:spacing w:before="0" w:after="0"/>
              <w:ind w:left="0" w:right="0" w:hanging="0"/>
              <w:jc w:val="left"/>
              <w:rPr/>
            </w:pPr>
            <w:r>
              <w:rPr/>
              <w:t> </w:t>
            </w:r>
          </w:p>
        </w:tc>
      </w:tr>
      <w:tr>
        <w:trPr/>
        <w:tc>
          <w:tcPr>
            <w:tcW w:w="264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400</w:t>
            </w:r>
          </w:p>
        </w:tc>
        <w:tc>
          <w:tcPr>
            <w:tcW w:w="211" w:type="dxa"/>
            <w:tcBorders/>
            <w:vAlign w:val="center"/>
          </w:tcPr>
          <w:p>
            <w:pPr>
              <w:pStyle w:val="TableContents"/>
              <w:bidi w:val="0"/>
              <w:spacing w:before="0" w:after="0"/>
              <w:ind w:left="0" w:right="0" w:hanging="0"/>
              <w:jc w:val="left"/>
              <w:rPr/>
            </w:pPr>
            <w:r>
              <w:rPr/>
              <w:t> </w:t>
            </w:r>
          </w:p>
        </w:tc>
      </w:tr>
      <w:tr>
        <w:trPr/>
        <w:tc>
          <w:tcPr>
            <w:tcW w:w="264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Release of restricted stock, net of taxes paid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199,221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64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comprehensive loss</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9" w:type="dxa"/>
            <w:tcBorders/>
            <w:vAlign w:val="center"/>
          </w:tcPr>
          <w:p>
            <w:pPr>
              <w:pStyle w:val="TableContents"/>
              <w:bidi w:val="0"/>
              <w:spacing w:before="0" w:after="0"/>
              <w:ind w:left="0" w:right="0" w:hanging="0"/>
              <w:jc w:val="left"/>
              <w:rPr/>
            </w:pPr>
            <w:r>
              <w:rPr/>
              <w:t> </w:t>
            </w:r>
          </w:p>
        </w:tc>
        <w:tc>
          <w:tcPr>
            <w:tcW w:w="77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64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(2,766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64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Balances, July 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16,206,382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87,647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(74,328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13,450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4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2640"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July 1, 2023</w:t>
            </w:r>
          </w:p>
        </w:tc>
        <w:tc>
          <w:tcPr>
            <w:tcW w:w="146" w:type="dxa"/>
            <w:tcBorders/>
            <w:vAlign w:val="center"/>
          </w:tcPr>
          <w:p>
            <w:pPr>
              <w:pStyle w:val="TableContents"/>
              <w:bidi w:val="0"/>
              <w:spacing w:before="0" w:after="0"/>
              <w:ind w:left="0" w:right="0" w:hanging="0"/>
              <w:jc w:val="left"/>
              <w:rPr/>
            </w:pPr>
            <w:r>
              <w:rPr/>
              <w:t> </w:t>
            </w:r>
          </w:p>
        </w:tc>
        <w:tc>
          <w:tcPr>
            <w:tcW w:w="204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Other</w:t>
              <w:b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26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Income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4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Balances,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15,989,662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5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86,802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7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(69,716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17,231</w:t>
            </w:r>
          </w:p>
        </w:tc>
        <w:tc>
          <w:tcPr>
            <w:tcW w:w="211" w:type="dxa"/>
            <w:tcBorders/>
            <w:vAlign w:val="center"/>
          </w:tcPr>
          <w:p>
            <w:pPr>
              <w:pStyle w:val="TableContents"/>
              <w:bidi w:val="0"/>
              <w:spacing w:before="0" w:after="0"/>
              <w:ind w:left="0" w:right="0" w:hanging="0"/>
              <w:jc w:val="left"/>
              <w:rPr/>
            </w:pPr>
            <w:r>
              <w:rPr/>
              <w:t> </w:t>
            </w:r>
          </w:p>
        </w:tc>
      </w:tr>
      <w:tr>
        <w:trPr/>
        <w:tc>
          <w:tcPr>
            <w:tcW w:w="264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Adoption of ASU 2016-13</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244</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244</w:t>
            </w:r>
          </w:p>
        </w:tc>
        <w:tc>
          <w:tcPr>
            <w:tcW w:w="211" w:type="dxa"/>
            <w:tcBorders/>
            <w:vAlign w:val="center"/>
          </w:tcPr>
          <w:p>
            <w:pPr>
              <w:pStyle w:val="TableContents"/>
              <w:bidi w:val="0"/>
              <w:spacing w:before="0" w:after="0"/>
              <w:ind w:left="0" w:right="0" w:hanging="0"/>
              <w:jc w:val="left"/>
              <w:rPr/>
            </w:pPr>
            <w:r>
              <w:rPr/>
              <w:t> </w:t>
            </w:r>
          </w:p>
        </w:tc>
      </w:tr>
      <w:tr>
        <w:trPr/>
        <w:tc>
          <w:tcPr>
            <w:tcW w:w="264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common stock under stock option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17,499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w:t>
            </w:r>
          </w:p>
        </w:tc>
        <w:tc>
          <w:tcPr>
            <w:tcW w:w="211" w:type="dxa"/>
            <w:tcBorders/>
            <w:vAlign w:val="center"/>
          </w:tcPr>
          <w:p>
            <w:pPr>
              <w:pStyle w:val="TableContents"/>
              <w:bidi w:val="0"/>
              <w:spacing w:before="0" w:after="0"/>
              <w:ind w:left="0" w:right="0" w:hanging="0"/>
              <w:jc w:val="left"/>
              <w:rPr/>
            </w:pPr>
            <w:r>
              <w:rPr/>
              <w:t> </w:t>
            </w:r>
          </w:p>
        </w:tc>
      </w:tr>
      <w:tr>
        <w:trPr/>
        <w:tc>
          <w:tcPr>
            <w:tcW w:w="264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873</w:t>
            </w:r>
          </w:p>
        </w:tc>
        <w:tc>
          <w:tcPr>
            <w:tcW w:w="211" w:type="dxa"/>
            <w:tcBorders/>
            <w:vAlign w:val="center"/>
          </w:tcPr>
          <w:p>
            <w:pPr>
              <w:pStyle w:val="TableContents"/>
              <w:bidi w:val="0"/>
              <w:spacing w:before="0" w:after="0"/>
              <w:ind w:left="0" w:right="0" w:hanging="0"/>
              <w:jc w:val="left"/>
              <w:rPr/>
            </w:pPr>
            <w:r>
              <w:rPr/>
              <w:t> </w:t>
            </w:r>
          </w:p>
        </w:tc>
      </w:tr>
      <w:tr>
        <w:trPr/>
        <w:tc>
          <w:tcPr>
            <w:tcW w:w="264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Release of restricted stock, net of taxes paid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199,221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64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comprehensive loss</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39" w:type="dxa"/>
            <w:tcBorders/>
            <w:vAlign w:val="center"/>
          </w:tcPr>
          <w:p>
            <w:pPr>
              <w:pStyle w:val="TableContents"/>
              <w:bidi w:val="0"/>
              <w:spacing w:before="0" w:after="0"/>
              <w:ind w:left="0" w:right="0" w:hanging="0"/>
              <w:jc w:val="left"/>
              <w:rPr/>
            </w:pPr>
            <w:r>
              <w:rPr/>
              <w:t> </w:t>
            </w:r>
          </w:p>
        </w:tc>
        <w:tc>
          <w:tcPr>
            <w:tcW w:w="77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64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(4,856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64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Balances, July 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16,206,382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87,647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(74,328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13,450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4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660"/>
        <w:gridCol w:w="146"/>
        <w:gridCol w:w="146"/>
        <w:gridCol w:w="916"/>
        <w:gridCol w:w="146"/>
        <w:gridCol w:w="146"/>
        <w:gridCol w:w="236"/>
        <w:gridCol w:w="455"/>
        <w:gridCol w:w="146"/>
        <w:gridCol w:w="146"/>
        <w:gridCol w:w="214"/>
        <w:gridCol w:w="657"/>
        <w:gridCol w:w="166"/>
        <w:gridCol w:w="146"/>
        <w:gridCol w:w="416"/>
        <w:gridCol w:w="800"/>
        <w:gridCol w:w="146"/>
        <w:gridCol w:w="146"/>
        <w:gridCol w:w="240"/>
        <w:gridCol w:w="811"/>
        <w:gridCol w:w="166"/>
        <w:gridCol w:w="146"/>
        <w:gridCol w:w="196"/>
        <w:gridCol w:w="601"/>
        <w:gridCol w:w="211"/>
      </w:tblGrid>
      <w:tr>
        <w:trPr/>
        <w:tc>
          <w:tcPr>
            <w:tcW w:w="26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July 2, 2022</w:t>
            </w:r>
          </w:p>
        </w:tc>
        <w:tc>
          <w:tcPr>
            <w:tcW w:w="146" w:type="dxa"/>
            <w:tcBorders/>
            <w:vAlign w:val="center"/>
          </w:tcPr>
          <w:p>
            <w:pPr>
              <w:pStyle w:val="TableContents"/>
              <w:bidi w:val="0"/>
              <w:spacing w:before="0" w:after="0"/>
              <w:ind w:left="0" w:right="0" w:hanging="0"/>
              <w:jc w:val="left"/>
              <w:rPr/>
            </w:pPr>
            <w:r>
              <w:rPr/>
              <w:t> </w:t>
            </w:r>
          </w:p>
        </w:tc>
        <w:tc>
          <w:tcPr>
            <w:tcW w:w="204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Other</w:t>
              <w:br/>
              <w:t>Comprehensive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266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6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Balances, April 2,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15,885,307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5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85,645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(64,560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21,326</w:t>
            </w:r>
          </w:p>
        </w:tc>
        <w:tc>
          <w:tcPr>
            <w:tcW w:w="211" w:type="dxa"/>
            <w:tcBorders/>
            <w:vAlign w:val="center"/>
          </w:tcPr>
          <w:p>
            <w:pPr>
              <w:pStyle w:val="TableContents"/>
              <w:bidi w:val="0"/>
              <w:spacing w:before="0" w:after="0"/>
              <w:ind w:left="0" w:right="0" w:hanging="0"/>
              <w:jc w:val="left"/>
              <w:rPr/>
            </w:pPr>
            <w:r>
              <w:rPr/>
              <w:t> </w:t>
            </w:r>
          </w:p>
        </w:tc>
      </w:tr>
      <w:tr>
        <w:trPr/>
        <w:tc>
          <w:tcPr>
            <w:tcW w:w="266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344</w:t>
            </w:r>
          </w:p>
        </w:tc>
        <w:tc>
          <w:tcPr>
            <w:tcW w:w="211" w:type="dxa"/>
            <w:tcBorders/>
            <w:vAlign w:val="center"/>
          </w:tcPr>
          <w:p>
            <w:pPr>
              <w:pStyle w:val="TableContents"/>
              <w:bidi w:val="0"/>
              <w:spacing w:before="0" w:after="0"/>
              <w:ind w:left="0" w:right="0" w:hanging="0"/>
              <w:jc w:val="left"/>
              <w:rPr/>
            </w:pPr>
            <w:r>
              <w:rPr/>
              <w:t> </w:t>
            </w:r>
          </w:p>
        </w:tc>
      </w:tr>
      <w:tr>
        <w:trPr/>
        <w:tc>
          <w:tcPr>
            <w:tcW w:w="266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Release of restricted stock, net of taxes paid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70,229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66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comprehensive income</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56</w:t>
            </w:r>
          </w:p>
        </w:tc>
        <w:tc>
          <w:tcPr>
            <w:tcW w:w="211" w:type="dxa"/>
            <w:tcBorders/>
            <w:vAlign w:val="center"/>
          </w:tcPr>
          <w:p>
            <w:pPr>
              <w:pStyle w:val="TableContents"/>
              <w:bidi w:val="0"/>
              <w:spacing w:before="0" w:after="0"/>
              <w:ind w:left="0" w:right="0" w:hanging="0"/>
              <w:jc w:val="left"/>
              <w:rPr/>
            </w:pPr>
            <w:r>
              <w:rPr/>
              <w:t> </w:t>
            </w:r>
          </w:p>
        </w:tc>
      </w:tr>
      <w:tr>
        <w:trPr/>
        <w:tc>
          <w:tcPr>
            <w:tcW w:w="266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(2,241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66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Balances, July 2,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15,955,536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85,935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(66,801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19,432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6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2660"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July 2, 2022</w:t>
            </w:r>
          </w:p>
        </w:tc>
        <w:tc>
          <w:tcPr>
            <w:tcW w:w="146" w:type="dxa"/>
            <w:tcBorders/>
            <w:vAlign w:val="center"/>
          </w:tcPr>
          <w:p>
            <w:pPr>
              <w:pStyle w:val="TableContents"/>
              <w:bidi w:val="0"/>
              <w:spacing w:before="0" w:after="0"/>
              <w:ind w:left="0" w:right="0" w:hanging="0"/>
              <w:jc w:val="left"/>
              <w:rPr/>
            </w:pPr>
            <w:r>
              <w:rPr/>
              <w:t> </w:t>
            </w:r>
          </w:p>
        </w:tc>
        <w:tc>
          <w:tcPr>
            <w:tcW w:w="204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Other</w:t>
              <w:br/>
              <w:t>Comprehensive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266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6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Balances, January 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15,876,171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5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85,255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(62,169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23,299</w:t>
            </w:r>
          </w:p>
        </w:tc>
        <w:tc>
          <w:tcPr>
            <w:tcW w:w="211" w:type="dxa"/>
            <w:tcBorders/>
            <w:vAlign w:val="center"/>
          </w:tcPr>
          <w:p>
            <w:pPr>
              <w:pStyle w:val="TableContents"/>
              <w:bidi w:val="0"/>
              <w:spacing w:before="0" w:after="0"/>
              <w:ind w:left="0" w:right="0" w:hanging="0"/>
              <w:jc w:val="left"/>
              <w:rPr/>
            </w:pPr>
            <w:r>
              <w:rPr/>
              <w:t> </w:t>
            </w:r>
          </w:p>
        </w:tc>
      </w:tr>
      <w:tr>
        <w:trPr/>
        <w:tc>
          <w:tcPr>
            <w:tcW w:w="266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Issuance of common stock under stock option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w:t>
            </w:r>
          </w:p>
        </w:tc>
        <w:tc>
          <w:tcPr>
            <w:tcW w:w="211" w:type="dxa"/>
            <w:tcBorders/>
            <w:vAlign w:val="center"/>
          </w:tcPr>
          <w:p>
            <w:pPr>
              <w:pStyle w:val="TableContents"/>
              <w:bidi w:val="0"/>
              <w:spacing w:before="0" w:after="0"/>
              <w:ind w:left="0" w:right="0" w:hanging="0"/>
              <w:jc w:val="left"/>
              <w:rPr/>
            </w:pPr>
            <w:r>
              <w:rPr/>
              <w:t> </w:t>
            </w:r>
          </w:p>
        </w:tc>
      </w:tr>
      <w:tr>
        <w:trPr/>
        <w:tc>
          <w:tcPr>
            <w:tcW w:w="266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728</w:t>
            </w:r>
          </w:p>
        </w:tc>
        <w:tc>
          <w:tcPr>
            <w:tcW w:w="211" w:type="dxa"/>
            <w:tcBorders/>
            <w:vAlign w:val="center"/>
          </w:tcPr>
          <w:p>
            <w:pPr>
              <w:pStyle w:val="TableContents"/>
              <w:bidi w:val="0"/>
              <w:spacing w:before="0" w:after="0"/>
              <w:ind w:left="0" w:right="0" w:hanging="0"/>
              <w:jc w:val="left"/>
              <w:rPr/>
            </w:pPr>
            <w:r>
              <w:rPr/>
              <w:t> </w:t>
            </w:r>
          </w:p>
        </w:tc>
      </w:tr>
      <w:tr>
        <w:trPr/>
        <w:tc>
          <w:tcPr>
            <w:tcW w:w="266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Release of restricted stock, net of taxes paid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73,302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45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66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comprehensive income</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84</w:t>
            </w:r>
          </w:p>
        </w:tc>
        <w:tc>
          <w:tcPr>
            <w:tcW w:w="211" w:type="dxa"/>
            <w:tcBorders/>
            <w:vAlign w:val="center"/>
          </w:tcPr>
          <w:p>
            <w:pPr>
              <w:pStyle w:val="TableContents"/>
              <w:bidi w:val="0"/>
              <w:spacing w:before="0" w:after="0"/>
              <w:ind w:left="0" w:right="0" w:hanging="0"/>
              <w:jc w:val="left"/>
              <w:rPr/>
            </w:pPr>
            <w:r>
              <w:rPr/>
              <w:t> </w:t>
            </w:r>
          </w:p>
        </w:tc>
      </w:tr>
      <w:tr>
        <w:trPr/>
        <w:tc>
          <w:tcPr>
            <w:tcW w:w="266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(4,632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66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Balances, July 2,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15,955,536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85,935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(66,801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19,432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6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IRIDEX Corporation</w:t>
      </w:r>
    </w:p>
    <w:p>
      <w:pPr>
        <w:pStyle w:val="TextBody"/>
        <w:bidi w:val="0"/>
        <w:spacing w:before="0" w:after="0"/>
        <w:jc w:val="center"/>
        <w:rPr>
          <w:rFonts w:ascii="Times New Roman;serif" w:hAnsi="Times New Roman;serif"/>
          <w:b/>
          <w:sz w:val="20"/>
        </w:rPr>
      </w:pPr>
      <w:bookmarkStart w:id="9" w:name="condensed_consolidated_statements_cash_f"/>
      <w:bookmarkEnd w:id="9"/>
      <w:r>
        <w:rPr>
          <w:rFonts w:ascii="Times New Roman;serif" w:hAnsi="Times New Roman;serif"/>
          <w:b/>
          <w:sz w:val="20"/>
        </w:rPr>
        <w:t>Condensed Consolidated Statements of Cash Flows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 in thousands)</w:t>
      </w:r>
    </w:p>
    <w:p>
      <w:pPr>
        <w:pStyle w:val="TextBody"/>
        <w:bidi w:val="0"/>
        <w:spacing w:before="0" w:after="0"/>
        <w:jc w:val="left"/>
        <w:rPr/>
      </w:pPr>
      <w:r>
        <w:rPr/>
        <w:t> </w:t>
      </w:r>
    </w:p>
    <w:tbl>
      <w:tblPr>
        <w:tblW w:w="9110" w:type="dxa"/>
        <w:jc w:val="left"/>
        <w:tblInd w:w="0" w:type="dxa"/>
        <w:tblLayout w:type="fixed"/>
        <w:tblCellMar>
          <w:top w:w="28" w:type="dxa"/>
          <w:left w:w="28" w:type="dxa"/>
          <w:bottom w:w="28" w:type="dxa"/>
          <w:right w:w="28" w:type="dxa"/>
        </w:tblCellMar>
      </w:tblPr>
      <w:tblGrid>
        <w:gridCol w:w="6031"/>
        <w:gridCol w:w="146"/>
        <w:gridCol w:w="239"/>
        <w:gridCol w:w="766"/>
        <w:gridCol w:w="166"/>
        <w:gridCol w:w="146"/>
        <w:gridCol w:w="239"/>
        <w:gridCol w:w="766"/>
        <w:gridCol w:w="61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2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1,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2, 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activities:</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(4,632</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w:t>
            </w:r>
          </w:p>
        </w:tc>
        <w:tc>
          <w:tcPr>
            <w:tcW w:w="611" w:type="dxa"/>
            <w:tcBorders/>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operating lease right-of-use assets</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467</w:t>
            </w:r>
          </w:p>
        </w:tc>
        <w:tc>
          <w:tcPr>
            <w:tcW w:w="611" w:type="dxa"/>
            <w:tcBorders/>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728</w:t>
            </w:r>
          </w:p>
        </w:tc>
        <w:tc>
          <w:tcPr>
            <w:tcW w:w="611" w:type="dxa"/>
            <w:tcBorders/>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Receivable from related party</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677</w:t>
            </w:r>
          </w:p>
        </w:tc>
        <w:tc>
          <w:tcPr>
            <w:tcW w:w="611" w:type="dxa"/>
            <w:tcBorders/>
            <w:vAlign w:val="center"/>
          </w:tcPr>
          <w:p>
            <w:pPr>
              <w:pStyle w:val="TableContents"/>
              <w:bidi w:val="0"/>
              <w:spacing w:before="0" w:after="0"/>
              <w:ind w:left="0" w:right="0" w:firstLine="400"/>
              <w:jc w:val="left"/>
              <w:rPr/>
            </w:pPr>
            <w:r>
              <w:rPr/>
              <w:t> </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Inventories</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(2,590</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(994</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Other long-term assets</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(370</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1,042</w:t>
            </w:r>
          </w:p>
        </w:tc>
        <w:tc>
          <w:tcPr>
            <w:tcW w:w="611" w:type="dxa"/>
            <w:tcBorders/>
            <w:vAlign w:val="center"/>
          </w:tcPr>
          <w:p>
            <w:pPr>
              <w:pStyle w:val="TableContents"/>
              <w:bidi w:val="0"/>
              <w:spacing w:before="0" w:after="0"/>
              <w:ind w:left="0" w:right="0" w:firstLine="400"/>
              <w:jc w:val="left"/>
              <w:rPr/>
            </w:pPr>
            <w:r>
              <w:rPr/>
              <w:t> </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Payable to related party</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(447</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compensation</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(889</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expenses</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w:t>
            </w:r>
          </w:p>
        </w:tc>
        <w:tc>
          <w:tcPr>
            <w:tcW w:w="611" w:type="dxa"/>
            <w:tcBorders/>
            <w:vAlign w:val="center"/>
          </w:tcPr>
          <w:p>
            <w:pPr>
              <w:pStyle w:val="TableContents"/>
              <w:bidi w:val="0"/>
              <w:spacing w:before="0" w:after="0"/>
              <w:ind w:left="0" w:right="0" w:firstLine="400"/>
              <w:jc w:val="left"/>
              <w:rPr/>
            </w:pPr>
            <w:r>
              <w:rPr/>
              <w:t> </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warranty</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611" w:type="dxa"/>
            <w:tcBorders/>
            <w:vAlign w:val="center"/>
          </w:tcPr>
          <w:p>
            <w:pPr>
              <w:pStyle w:val="TableContents"/>
              <w:bidi w:val="0"/>
              <w:spacing w:before="0" w:after="0"/>
              <w:ind w:left="0" w:right="0" w:firstLine="400"/>
              <w:jc w:val="left"/>
              <w:rPr/>
            </w:pPr>
            <w:r>
              <w:rPr/>
              <w:t> </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1,622</w:t>
            </w:r>
          </w:p>
        </w:tc>
        <w:tc>
          <w:tcPr>
            <w:tcW w:w="611" w:type="dxa"/>
            <w:tcBorders/>
            <w:vAlign w:val="center"/>
          </w:tcPr>
          <w:p>
            <w:pPr>
              <w:pStyle w:val="TableContents"/>
              <w:bidi w:val="0"/>
              <w:spacing w:before="0" w:after="0"/>
              <w:ind w:left="0" w:right="0" w:firstLine="400"/>
              <w:jc w:val="left"/>
              <w:rPr/>
            </w:pPr>
            <w:r>
              <w:rPr/>
              <w:t> </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(440</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(3,984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(5,823</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Investing activities:</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Acquisition of property and equipment</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Financing activities:</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Proceeds from stock option exercises</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611" w:type="dxa"/>
            <w:tcBorders/>
            <w:vAlign w:val="center"/>
          </w:tcPr>
          <w:p>
            <w:pPr>
              <w:pStyle w:val="TableContents"/>
              <w:bidi w:val="0"/>
              <w:spacing w:before="0" w:after="0"/>
              <w:ind w:left="0" w:right="0" w:firstLine="400"/>
              <w:jc w:val="left"/>
              <w:rPr/>
            </w:pPr>
            <w:r>
              <w:rPr/>
              <w:t> </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Taxes paid related to net share settlements of equity awards</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financing activities</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Effect of foreign exchange rate changes</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(5,886</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beginning of period</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23,852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end of period</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9,821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17,966</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Supplemental disclosure of cash flow information:</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60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paid during the period for income taxes</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611" w:type="dxa"/>
            <w:tcBorders/>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Supplemental disclosure of non-cash activities:</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60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Transfer of inventory to (from) property and equipment</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IRIDEX Corporation</w:t>
      </w:r>
    </w:p>
    <w:p>
      <w:pPr>
        <w:pStyle w:val="TextBody"/>
        <w:bidi w:val="0"/>
        <w:spacing w:before="0" w:after="0"/>
        <w:jc w:val="center"/>
        <w:rPr>
          <w:rFonts w:ascii="Times New Roman;serif" w:hAnsi="Times New Roman;serif"/>
          <w:b/>
          <w:sz w:val="20"/>
        </w:rPr>
      </w:pPr>
      <w:bookmarkStart w:id="10" w:name="notes_to_unaudited_condensed_consolidate"/>
      <w:bookmarkEnd w:id="10"/>
      <w:r>
        <w:rPr>
          <w:rFonts w:ascii="Times New Roman;serif" w:hAnsi="Times New Roman;serif"/>
          <w:b/>
          <w:sz w:val="20"/>
        </w:rPr>
        <w:t>Notes to Unaudited Condensed Consolidated Financial Statements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1. Basis of Presentation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accompanying unaudited condensed consolidated financial statements of IRIDEX Corporation (“IRIDEX”, the “Company”, “we”, “our”, or “us”) have been prepared in accordance with accounting principles generally accepted in the United States (“U.S. GAAP”) for interim financial information and pursuant to the instructions to Form 10-Q and Article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of the financial statements have been included.</w:t>
      </w:r>
    </w:p>
    <w:p>
      <w:pPr>
        <w:pStyle w:val="TextBody"/>
        <w:bidi w:val="0"/>
        <w:spacing w:before="120" w:after="0"/>
        <w:jc w:val="left"/>
        <w:rPr>
          <w:rFonts w:ascii="Times New Roman" w:hAnsi="Times New Roman"/>
          <w:sz w:val="20"/>
        </w:rPr>
      </w:pPr>
      <w:r>
        <w:rPr>
          <w:rFonts w:ascii="Times New Roman;serif" w:hAnsi="Times New Roman;serif"/>
          <w:b w:val="false"/>
          <w:sz w:val="20"/>
        </w:rPr>
        <w:t>The accompanying unaudited condensed consolidated financial statements should be read in conjunction with the audited consolidated financial statements and notes thereto, together with management’s discussion and analysis of the Company’s financial condition and results of operations, contained in our Annual Report on Form 10-K for the fiscal year ended December 31, 2022, which was filed with the SEC on March 9, 2023. The results of operations for the three and six months ended July 1, 2023 and July 2, 2022 are not necessarily indicative of the results for the fiscal year ending December 30, 2023 or any future interim period. The three and six months ended July 1, 2023 and July 2, 2022</w:t>
      </w:r>
      <w:r>
        <w:rPr>
          <w:rFonts w:ascii="Times New Roman" w:hAnsi="Times New Roman"/>
          <w:sz w:val="20"/>
        </w:rPr>
        <w:t xml:space="preserve"> </w:t>
      </w:r>
      <w:r>
        <w:rPr>
          <w:rFonts w:ascii="Times New Roman;serif" w:hAnsi="Times New Roman;serif"/>
          <w:b w:val="false"/>
          <w:sz w:val="20"/>
        </w:rPr>
        <w:t>each had 13 weeks. For purposes of reporting the financial results, the Company’s fiscal years end on the Saturday closest to the end of December. Periodically, the Company includes a 53rd week to a year in order to end that year on the Saturday closest to the end of December.</w:t>
      </w:r>
    </w:p>
    <w:p>
      <w:pPr>
        <w:pStyle w:val="TextBody"/>
        <w:bidi w:val="0"/>
        <w:spacing w:before="0" w:after="0"/>
        <w:jc w:val="left"/>
        <w:rPr>
          <w:rFonts w:ascii="Times New Roman;serif" w:hAnsi="Times New Roman;serif"/>
          <w:b/>
          <w:sz w:val="20"/>
        </w:rPr>
      </w:pPr>
      <w:r>
        <w:rPr>
          <w:rFonts w:ascii="Times New Roman;serif" w:hAnsi="Times New Roman;serif"/>
          <w:b/>
          <w:sz w:val="20"/>
        </w:rPr>
        <w:t>2. Summary of Significant Accounting Policies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significant accounting policies are disclosed in our Annual Report on Form 10-K for the year ended December 31, 2022, which was filed with the SEC on March 9, 2023.</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Financial Statement Presentation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unaudited condensed consolidated financial statements include the accounts of the Company and our wholly owned subsidiaries. All significant intercompany accounts and transactions have been eliminated in consolidation.</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Use of Estimates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preparation of condensed consolidated financial statements in conformity with U.S. GAAP requires us to make estimates and judgments that affect the reported amounts of assets, liabilities, revenues, and expenses and the related disclosure of contingent assets and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our operating results.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Revenue Recognition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revenues arise from the sale of laser consoles, delivery devices, consumables, service, and support activities. We also derive revenue from royalties from third parties which are typically based on the licensees’ net sales of products that utilize our technology. Our revenue is recognized in accordance with Accounting Standards Codification (“ASC”) Topic 606, “Revenue from Contracts with Customers.” The Company recognizes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the following revenue transaction types: (1) Product Sale Only, (2) Service Contracts, (3) System Repairs (outside of warranty), (4) Royalty Revenue, and (5) Exclusive Distribution Rights.</w:t>
      </w:r>
      <w:r>
        <w:rPr>
          <w:rFonts w:ascii="Times New Roman" w:hAnsi="Times New Roman"/>
          <w:sz w:val="20"/>
        </w:rPr>
        <w:t xml:space="preserve"> </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Product Sale Only: The Company’s products consist of laser consoles, delivery devices and consumable instrumentation, including laser probes. The Company’s products are currently sold for use by ophthalmologists specializing in the treatment of glaucoma and retinal diseases. Inside the United States and Germany the products are sold directly to the end users. In other countries outside of the United States and Germany, the Company utilizes independent, third-party distributors to market and sell the Company’s products. There is no continuing obligation after shipment is made to these distributors.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recognizes revenue from product sale at a point in time subject to the allocation of transaction price to additional performance obligations, if any.</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283"/>
        <w:jc w:val="left"/>
        <w:rPr>
          <w:rFonts w:ascii="Times New Roman;serif" w:hAnsi="Times New Roman;serif"/>
          <w:sz w:val="24"/>
        </w:rPr>
      </w:pPr>
      <w:r>
        <w:rPr>
          <w:rFonts w:ascii="Times New Roman;serif" w:hAnsi="Times New Roman;serif"/>
          <w:b w:val="false"/>
          <w:sz w:val="20"/>
        </w:rPr>
        <w:t>Service Contracts: The Company offers a standard two-year warranty on all system sales. The Company also offers a service contract which is sold to customers in incremental, one-year</w:t>
      </w:r>
      <w:r>
        <w:rPr>
          <w:rFonts w:ascii="Times New Roman;serif" w:hAnsi="Times New Roman;serif"/>
          <w:sz w:val="24"/>
        </w:rPr>
        <w:t xml:space="preserve"> </w:t>
      </w:r>
      <w:r>
        <w:rPr>
          <w:rFonts w:ascii="Times New Roman;serif" w:hAnsi="Times New Roman;serif"/>
          <w:b w:val="false"/>
          <w:sz w:val="20"/>
        </w:rPr>
        <w:t xml:space="preserve">periods which begin subsequent to the expiration of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standard two-year warranty. The customer can opt to purchase the service contract at the time of the system sale or after the initial system sale.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recognizes revenue from service contracts ratably over the service period. Revenue recognition for the sale of a service contract is largely dependent on the timing of the sale as follows:</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Service Contract Sale in Conjunction with System Sale: If the customer opts to purchase a service contract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 </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sz w:val="24"/>
        </w:rPr>
      </w:pPr>
      <w:r>
        <w:rPr>
          <w:rFonts w:ascii="Times New Roman;serif" w:hAnsi="Times New Roman;serif"/>
          <w:b w:val="false"/>
          <w:sz w:val="20"/>
        </w:rPr>
        <w:t>Service Contract Sale Subsequent to System Sale: If the customer opts to purchase a service contract after the initial system sale, the Company determines the amount of time that has elapsed since the initial system sale. If the service contract is purchased within 60</w:t>
      </w:r>
      <w:r>
        <w:rPr>
          <w:rFonts w:ascii="Times New Roman;serif" w:hAnsi="Times New Roman;serif"/>
          <w:sz w:val="24"/>
        </w:rPr>
        <w:t xml:space="preserve"> </w:t>
      </w:r>
      <w:r>
        <w:rPr>
          <w:rFonts w:ascii="Times New Roman;serif" w:hAnsi="Times New Roman;serif"/>
          <w:b w:val="false"/>
          <w:sz w:val="20"/>
        </w:rPr>
        <w:t>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service contract is purchased subsequent to 60 days after the initial sale, the sale of the service contract is deemed a separate contract and is deferred at the selling price and recognized ratably over the extended warranty period as the performance obligation is satisfied.</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System Repairs (outside of warranty): Customers will occasionally request repairs from the Company subsequent to the expiration of the standard warranty and outside of a service contract.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recognizes revenue from system repairs (outside of warranty) at a point in time. When the customer requests repairs from the Company subsequent to the expiration of the standard warranty and outside of a service contract, these repair contracts are considered separate from the initial sale, and as such, revenue is recognized as the repair services are rendered and the performance obligation satisfied.</w:t>
      </w:r>
      <w:r>
        <w:rPr>
          <w:rFonts w:ascii="Times New Roman" w:hAnsi="Times New Roman"/>
          <w:sz w:val="20"/>
        </w:rPr>
        <w:t xml:space="preserve"> </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283"/>
        <w:jc w:val="left"/>
        <w:rPr>
          <w:rFonts w:ascii="Times New Roman;serif" w:hAnsi="Times New Roman;serif"/>
          <w:sz w:val="24"/>
        </w:rPr>
      </w:pPr>
      <w:r>
        <w:rPr>
          <w:rFonts w:ascii="Times New Roman;serif" w:hAnsi="Times New Roman;serif"/>
          <w:b w:val="false"/>
          <w:sz w:val="20"/>
        </w:rPr>
        <w:t>Royalty Revenue: The Company has royalty agreements with four</w:t>
      </w:r>
      <w:r>
        <w:rPr>
          <w:rFonts w:ascii="Times New Roman;serif" w:hAnsi="Times New Roman;serif"/>
          <w:sz w:val="24"/>
        </w:rPr>
        <w:t xml:space="preserve"> </w:t>
      </w:r>
      <w:r>
        <w:rPr>
          <w:rFonts w:ascii="Times New Roman;serif" w:hAnsi="Times New Roman;serif"/>
          <w:b w:val="false"/>
          <w:sz w:val="20"/>
        </w:rPr>
        <w:t>customers related to sale of the Company’s intellectual property. Under the terms of these agreements, three customers are to remit a percentage of sales to the Company as the sales occur and one customer made an upfront prepayment for royalties.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arrangements with three customers are for sales-based licenses of intellectual property, for which the guidance in paragraph ASC 606-10-55-65 applies. Therefore, the Company recognizes revenue at a point in time, only as the subsequent sale occurs. However, the Company notes that such sales being reported by the licensee with a quarter in arrear,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 For the arrangement with one customer, the Company had concluded that there is one combined performance obligation to be satisfied. Therefore, the Company recognizes revenue related to this arrangement over time.</w:t>
      </w:r>
    </w:p>
    <w:p>
      <w:pPr>
        <w:pStyle w:val="TextBody"/>
        <w:bidi w:val="0"/>
        <w:spacing w:before="120" w:after="0"/>
        <w:jc w:val="left"/>
        <w:rPr>
          <w:rFonts w:ascii="Times New Roman" w:hAnsi="Times New Roman"/>
          <w:b w:val="false"/>
          <w:sz w:val="20"/>
        </w:rPr>
      </w:pPr>
      <w:r>
        <w:rPr>
          <w:rFonts w:ascii="Times New Roman" w:hAnsi="Times New Roman"/>
          <w:b w:val="false"/>
          <w:sz w:val="20"/>
        </w:rPr>
        <w:t>(5)</w:t>
      </w:r>
    </w:p>
    <w:p>
      <w:pPr>
        <w:pStyle w:val="TextBody"/>
        <w:bidi w:val="0"/>
        <w:spacing w:before="120" w:after="283"/>
        <w:jc w:val="left"/>
        <w:rPr>
          <w:rFonts w:ascii="Times New Roman;serif" w:hAnsi="Times New Roman;serif"/>
          <w:sz w:val="24"/>
        </w:rPr>
      </w:pPr>
      <w:r>
        <w:rPr>
          <w:rFonts w:ascii="Times New Roman;serif" w:hAnsi="Times New Roman;serif"/>
          <w:b w:val="false"/>
          <w:sz w:val="20"/>
        </w:rPr>
        <w:t>Exclusive Distribution Rights: On March 2, 2021, the Company and Topcon Corporation (“Topcon”) entered into a distribution agreement (“Distribution Agreement”), pursuant to which the Company granted Topcon the exclusive right to distribute the Company’s retina and glaucoma products in certain geographies outside the United States. The exclusivity arrangement with Topcon obligates the Company to provide training, customer support, and exclusive territorial rights to Topcon for certain international regions, for a period of 10 years, commencing upon regulatory approval to transfer existing (non-exclusive) distribution rights from the current distributors in those regions to Topcon. The Company has the right to terminate the exclusive distribution rights granted to Topcon for any of the regions at any point in time during the 10-year exclusivity term for a termination fee that is based on a multiple of 1.2 times the revenue generated by the Company in 2019 for the respective region. Management has determined that the exclusivity rights, training, and customer support represents a single combined performance obligation for each region, to be recognized as exclusivity fee revenue on a straight-line basis over the 10-year period for each region, commencing on the date that regulatory approval is obtained for each region, based on the standalone selling price for such combined performance obligation for each region. The estimated fair value of the exclusive distribution rights for all regions combined totaled approximately $14.8</w:t>
      </w:r>
      <w:r>
        <w:rPr>
          <w:rFonts w:ascii="Times New Roman;serif" w:hAnsi="Times New Roman;serif"/>
          <w:sz w:val="24"/>
        </w:rPr>
        <w:t xml:space="preserve"> </w:t>
      </w:r>
      <w:r>
        <w:rPr>
          <w:rFonts w:ascii="Times New Roman;serif" w:hAnsi="Times New Roman;serif"/>
          <w:b w:val="false"/>
          <w:sz w:val="20"/>
        </w:rPr>
        <w:t>million. Of this amount, management has fully-constrained and returned to Topcon the arrangement fee allocated to Belarus (approximately $0.2</w:t>
      </w:r>
      <w:r>
        <w:rPr>
          <w:rFonts w:ascii="Times New Roman;serif" w:hAnsi="Times New Roman;serif"/>
          <w:sz w:val="24"/>
        </w:rPr>
        <w:t xml:space="preserve"> </w:t>
      </w:r>
      <w:r>
        <w:rPr>
          <w:rFonts w:ascii="Times New Roman;serif" w:hAnsi="Times New Roman;serif"/>
          <w:b w:val="false"/>
          <w:sz w:val="20"/>
        </w:rPr>
        <w:t>million) because obtaining the necessary regulatory approvals and termination of existing distributor relationship was not feasible. For the three and six months ended July 1, 2023 and July 2, 2022, $0.3</w:t>
      </w:r>
      <w:r>
        <w:rPr>
          <w:rFonts w:ascii="Times New Roman;serif" w:hAnsi="Times New Roman;serif"/>
          <w:sz w:val="24"/>
        </w:rPr>
        <w:t xml:space="preserve"> </w:t>
      </w:r>
      <w:r>
        <w:rPr>
          <w:rFonts w:ascii="Times New Roman;serif" w:hAnsi="Times New Roman;serif"/>
          <w:b w:val="false"/>
          <w:sz w:val="20"/>
        </w:rPr>
        <w:t>million and $0.3</w:t>
      </w:r>
      <w:r>
        <w:rPr>
          <w:rFonts w:ascii="Times New Roman;serif" w:hAnsi="Times New Roman;serif"/>
          <w:sz w:val="24"/>
        </w:rPr>
        <w:t xml:space="preserve"> </w:t>
      </w:r>
      <w:r>
        <w:rPr>
          <w:rFonts w:ascii="Times New Roman;serif" w:hAnsi="Times New Roman;serif"/>
          <w:b w:val="false"/>
          <w:sz w:val="20"/>
        </w:rPr>
        <w:t>million and $0.7</w:t>
      </w:r>
      <w:r>
        <w:rPr>
          <w:rFonts w:ascii="Times New Roman;serif" w:hAnsi="Times New Roman;serif"/>
          <w:sz w:val="24"/>
        </w:rPr>
        <w:t xml:space="preserve"> </w:t>
      </w:r>
      <w:r>
        <w:rPr>
          <w:rFonts w:ascii="Times New Roman;serif" w:hAnsi="Times New Roman;serif"/>
          <w:b w:val="false"/>
          <w:sz w:val="20"/>
        </w:rPr>
        <w:t>million and $0.6</w:t>
      </w:r>
      <w:r>
        <w:rPr>
          <w:rFonts w:ascii="Times New Roman;serif" w:hAnsi="Times New Roman;serif"/>
          <w:sz w:val="24"/>
        </w:rPr>
        <w:t xml:space="preserve"> </w:t>
      </w:r>
      <w:r>
        <w:rPr>
          <w:rFonts w:ascii="Times New Roman;serif" w:hAnsi="Times New Roman;serif"/>
          <w:b w:val="false"/>
          <w:sz w:val="20"/>
        </w:rPr>
        <w:t>million in revenue related to the exclusive distribution rights were recorded, respectively.</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Costs of Obtaining Revenue Contracts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recognized assets from certain costs incurred to obtain revenue contracts. These costs relate to sales commissions arising from the sale of our products. The costs are considered incremental and recoverable of obtaining revenue contracts with</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customers. These deferred costs are amortized on a straight-line basis over the estimated period of benefit, which typically ranges from 2</w:t>
      </w:r>
      <w:r>
        <w:rPr>
          <w:rFonts w:ascii="Times New Roman" w:hAnsi="Times New Roman"/>
          <w:sz w:val="20"/>
        </w:rPr>
        <w:t xml:space="preserve"> </w:t>
      </w:r>
      <w:r>
        <w:rPr>
          <w:rFonts w:ascii="Times New Roman;serif" w:hAnsi="Times New Roman;serif"/>
          <w:b w:val="false"/>
          <w:sz w:val="20"/>
        </w:rPr>
        <w:t>to 3</w:t>
      </w:r>
      <w:r>
        <w:rPr>
          <w:rFonts w:ascii="Times New Roman" w:hAnsi="Times New Roman"/>
          <w:sz w:val="20"/>
        </w:rPr>
        <w:t xml:space="preserve"> </w:t>
      </w:r>
      <w:r>
        <w:rPr>
          <w:rFonts w:ascii="Times New Roman;serif" w:hAnsi="Times New Roman;serif"/>
          <w:b w:val="false"/>
          <w:sz w:val="20"/>
        </w:rPr>
        <w:t>years. As of July 1, 2023, the Company recognized deferred costs incurred to obtain revenue contracts with customers, net of accumulated amortization, of $130</w:t>
      </w:r>
      <w:r>
        <w:rPr>
          <w:rFonts w:ascii="Times New Roman" w:hAnsi="Times New Roman"/>
          <w:sz w:val="20"/>
        </w:rPr>
        <w:t xml:space="preserve"> </w:t>
      </w:r>
      <w:r>
        <w:rPr>
          <w:rFonts w:ascii="Times New Roman;serif" w:hAnsi="Times New Roman;serif"/>
          <w:b w:val="false"/>
          <w:sz w:val="20"/>
        </w:rPr>
        <w:t>thousand, and included these amounts in Prepaid expenses and other current assets and Other long-term assets in the Company’s condensed consolidated balance sheets. Amortization expense was $19</w:t>
      </w:r>
      <w:r>
        <w:rPr>
          <w:rFonts w:ascii="Times New Roman" w:hAnsi="Times New Roman"/>
          <w:sz w:val="20"/>
        </w:rPr>
        <w:t xml:space="preserve"> </w:t>
      </w:r>
      <w:r>
        <w:rPr>
          <w:rFonts w:ascii="Times New Roman;serif" w:hAnsi="Times New Roman;serif"/>
          <w:b w:val="false"/>
          <w:sz w:val="20"/>
        </w:rPr>
        <w:t>thousand and $0</w:t>
      </w:r>
      <w:r>
        <w:rPr>
          <w:rFonts w:ascii="Times New Roman" w:hAnsi="Times New Roman"/>
          <w:sz w:val="20"/>
        </w:rPr>
        <w:t xml:space="preserve"> </w:t>
      </w:r>
      <w:r>
        <w:rPr>
          <w:rFonts w:ascii="Times New Roman;serif" w:hAnsi="Times New Roman;serif"/>
          <w:b w:val="false"/>
          <w:sz w:val="20"/>
        </w:rPr>
        <w:t>and $38</w:t>
      </w:r>
      <w:r>
        <w:rPr>
          <w:rFonts w:ascii="Times New Roman" w:hAnsi="Times New Roman"/>
          <w:sz w:val="20"/>
        </w:rPr>
        <w:t xml:space="preserve"> </w:t>
      </w:r>
      <w:r>
        <w:rPr>
          <w:rFonts w:ascii="Times New Roman;serif" w:hAnsi="Times New Roman;serif"/>
          <w:b w:val="false"/>
          <w:sz w:val="20"/>
        </w:rPr>
        <w:t>thousand and $0</w:t>
      </w:r>
      <w:r>
        <w:rPr>
          <w:rFonts w:ascii="Times New Roman" w:hAnsi="Times New Roman"/>
          <w:sz w:val="20"/>
        </w:rPr>
        <w:t xml:space="preserve"> </w:t>
      </w:r>
      <w:r>
        <w:rPr>
          <w:rFonts w:ascii="Times New Roman;serif" w:hAnsi="Times New Roman;serif"/>
          <w:b w:val="false"/>
          <w:sz w:val="20"/>
        </w:rPr>
        <w:t>for the three and six months ended July 1, 2023 and July 2, 2022, respectively. There were no</w:t>
      </w:r>
      <w:r>
        <w:rPr>
          <w:rFonts w:ascii="Times New Roman" w:hAnsi="Times New Roman"/>
          <w:sz w:val="20"/>
        </w:rPr>
        <w:t xml:space="preserve"> </w:t>
      </w:r>
      <w:r>
        <w:rPr>
          <w:rFonts w:ascii="Times New Roman;serif" w:hAnsi="Times New Roman;serif"/>
          <w:b w:val="false"/>
          <w:sz w:val="20"/>
        </w:rPr>
        <w:t>impairment expenses for both the three and six months ended July 1, 2023, respectively.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Sales commissions that do not represent incremental and recoverable costs of obtaining a contract are expensed as incurred. As a practical expedient, the Company will not recognize such sales commission as a contract asset but rather recognize as expense when incurred if the amortization period of the asset that the Company would have otherwise recognized is one year or less.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Contract Fulfillment Costs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recognized an asset from the costs incurred to fulfill a contract. These costs relate directly and must be incurred to satisfy performance obligations on certain specific contract with a customer. These costs are expected to be recovered over time and are amortized on a systematic basis that is consistent with the recognition of revenue to which it relates. As of July 1, 2023, the Company recognized deferred costs incurred to fulfill a contract with a customer, net of accumulated amortization, of $722</w:t>
      </w:r>
      <w:r>
        <w:rPr>
          <w:rFonts w:ascii="Times New Roman" w:hAnsi="Times New Roman"/>
          <w:sz w:val="20"/>
        </w:rPr>
        <w:t xml:space="preserve"> </w:t>
      </w:r>
      <w:r>
        <w:rPr>
          <w:rFonts w:ascii="Times New Roman;serif" w:hAnsi="Times New Roman;serif"/>
          <w:b w:val="false"/>
          <w:sz w:val="20"/>
        </w:rPr>
        <w:t>thousand, and included these amounts in Prepaid expenses and other current assets and Other long-term assets in the Company’s condensed consolidated balance sheets. Amortization expense was $20</w:t>
      </w:r>
      <w:r>
        <w:rPr>
          <w:rFonts w:ascii="Times New Roman" w:hAnsi="Times New Roman"/>
          <w:sz w:val="20"/>
        </w:rPr>
        <w:t xml:space="preserve"> </w:t>
      </w:r>
      <w:r>
        <w:rPr>
          <w:rFonts w:ascii="Times New Roman;serif" w:hAnsi="Times New Roman;serif"/>
          <w:b w:val="false"/>
          <w:sz w:val="20"/>
        </w:rPr>
        <w:t>thousand and $0</w:t>
      </w:r>
      <w:r>
        <w:rPr>
          <w:rFonts w:ascii="Times New Roman" w:hAnsi="Times New Roman"/>
          <w:sz w:val="20"/>
        </w:rPr>
        <w:t xml:space="preserve"> </w:t>
      </w:r>
      <w:r>
        <w:rPr>
          <w:rFonts w:ascii="Times New Roman;serif" w:hAnsi="Times New Roman;serif"/>
          <w:b w:val="false"/>
          <w:sz w:val="20"/>
        </w:rPr>
        <w:t>and $41</w:t>
      </w:r>
      <w:r>
        <w:rPr>
          <w:rFonts w:ascii="Times New Roman" w:hAnsi="Times New Roman"/>
          <w:sz w:val="20"/>
        </w:rPr>
        <w:t xml:space="preserve"> </w:t>
      </w:r>
      <w:r>
        <w:rPr>
          <w:rFonts w:ascii="Times New Roman;serif" w:hAnsi="Times New Roman;serif"/>
          <w:b w:val="false"/>
          <w:sz w:val="20"/>
        </w:rPr>
        <w:t>thousand and $0</w:t>
      </w:r>
      <w:r>
        <w:rPr>
          <w:rFonts w:ascii="Times New Roman" w:hAnsi="Times New Roman"/>
          <w:sz w:val="20"/>
        </w:rPr>
        <w:t xml:space="preserve"> </w:t>
      </w:r>
      <w:r>
        <w:rPr>
          <w:rFonts w:ascii="Times New Roman;serif" w:hAnsi="Times New Roman;serif"/>
          <w:b w:val="false"/>
          <w:sz w:val="20"/>
        </w:rPr>
        <w:t>for the three and six months ended July 1, 2023 and July 2, 2022, respectively. There were no</w:t>
      </w:r>
      <w:r>
        <w:rPr>
          <w:rFonts w:ascii="Times New Roman" w:hAnsi="Times New Roman"/>
          <w:sz w:val="20"/>
        </w:rPr>
        <w:t xml:space="preserve"> </w:t>
      </w:r>
      <w:r>
        <w:rPr>
          <w:rFonts w:ascii="Times New Roman;serif" w:hAnsi="Times New Roman;serif"/>
          <w:b w:val="false"/>
          <w:sz w:val="20"/>
        </w:rPr>
        <w:t>impairment expenses for both the three and six months ended July 1, 2023 and July 2, 2022, respectively.</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Leases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determine if an arrangement is a lease at inception. Operating leases are included in Operating lease right-of-use (“ROU”) assets, net and Operating lease liabilities in our condensed consolidated balance sheets. As of July 1, 2023 and December 31, 2022, the Company was not a party to any finance lease arrangements.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Under the available practical expedient, we account for the lease and non-lease components as a single lease component.</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Concentration of Credit Risk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cash and cash equivalents are deposited in demand and money market accounts. Deposits held with banks may exceed the amount of insurance provided on such deposits. Generally, these deposits may be redeemed upon demand.</w:t>
      </w:r>
    </w:p>
    <w:p>
      <w:pPr>
        <w:pStyle w:val="TextBody"/>
        <w:bidi w:val="0"/>
        <w:spacing w:before="120" w:after="0"/>
        <w:jc w:val="left"/>
        <w:rPr>
          <w:rFonts w:ascii="Times New Roman" w:hAnsi="Times New Roman"/>
          <w:sz w:val="20"/>
        </w:rPr>
      </w:pPr>
      <w:r>
        <w:rPr>
          <w:rFonts w:ascii="Times New Roman;serif" w:hAnsi="Times New Roman;serif"/>
          <w:b w:val="false"/>
          <w:sz w:val="20"/>
        </w:rPr>
        <w:t>We market our products to distributors and end-users throughout the world. Sales to international distributors are generally made on open credit terms and letters of credit. Management performs ongoing credit evaluations of our customers and maintains an allowance for potential credit losses. Historically, we have not experienced any significant losses related to individual customers or a group of customers in any particular geographic area. For the three and six months ended July 1, 2023, one</w:t>
      </w:r>
      <w:r>
        <w:rPr>
          <w:rFonts w:ascii="Times New Roman" w:hAnsi="Times New Roman"/>
          <w:sz w:val="20"/>
        </w:rPr>
        <w:t xml:space="preserve"> </w:t>
      </w:r>
      <w:r>
        <w:rPr>
          <w:rFonts w:ascii="Times New Roman;serif" w:hAnsi="Times New Roman;serif"/>
          <w:b w:val="false"/>
          <w:sz w:val="20"/>
        </w:rPr>
        <w:t>customer, Topcon, accounted for more than 10% of total revenues, representing 28% and 30%, respectively. For the three and six months ended July 2, 2022, one</w:t>
      </w:r>
      <w:r>
        <w:rPr>
          <w:rFonts w:ascii="Times New Roman" w:hAnsi="Times New Roman"/>
          <w:sz w:val="20"/>
        </w:rPr>
        <w:t xml:space="preserve"> </w:t>
      </w:r>
      <w:r>
        <w:rPr>
          <w:rFonts w:ascii="Times New Roman;serif" w:hAnsi="Times New Roman;serif"/>
          <w:b w:val="false"/>
          <w:sz w:val="20"/>
        </w:rPr>
        <w:t>customer, Topcon, accounted for more than 10% of total revenues, representing 26% and 28%, respectively. As of July 1, 2023, one</w:t>
      </w:r>
      <w:r>
        <w:rPr>
          <w:rFonts w:ascii="Times New Roman" w:hAnsi="Times New Roman"/>
          <w:sz w:val="20"/>
        </w:rPr>
        <w:t xml:space="preserve"> </w:t>
      </w:r>
      <w:r>
        <w:rPr>
          <w:rFonts w:ascii="Times New Roman;serif" w:hAnsi="Times New Roman;serif"/>
          <w:b w:val="false"/>
          <w:sz w:val="20"/>
        </w:rPr>
        <w:t>customer, Topcon, accounted for over 10% of our accounts receivable, representing 27%. As of December 31, 2022, one</w:t>
      </w:r>
      <w:r>
        <w:rPr>
          <w:rFonts w:ascii="Times New Roman" w:hAnsi="Times New Roman"/>
          <w:sz w:val="20"/>
        </w:rPr>
        <w:t xml:space="preserve"> </w:t>
      </w:r>
      <w:r>
        <w:rPr>
          <w:rFonts w:ascii="Times New Roman;serif" w:hAnsi="Times New Roman;serif"/>
          <w:b w:val="false"/>
          <w:sz w:val="20"/>
        </w:rPr>
        <w:t>customer, Topcon, accounted for more than 10% of our accounts receivable, representing 37%.</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Taxes Collected from Customers and Remitted to Governmental Authorities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Taxes collected from customers and remitted to governmental authorities are recognized on a net basis in the accompanying condensed consolidated statements of operations.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Shipping and Handling Costs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shipping and handling costs billed to customers are included in revenues and the associated expense is recorded in cost of revenues for all periods presented.</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Deferred Revenue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Deferred revenue represents contract liabilities and exclusivity fees. Revenue related to service contracts is deferred and recognized on a straight-line basis over the period of the applicable service contract. Costs associated with these service arrangements are recognized as incurred. Revenue related to exclusivity fees is deferred and recognized over the related exclusivity period.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reconciliation of the changes in the Company’s deferred revenue balance for the six months ended July 1, 2023 and July 2, 2022 is as follows:</w:t>
      </w:r>
    </w:p>
    <w:p>
      <w:pPr>
        <w:pStyle w:val="TextBody"/>
        <w:bidi w:val="0"/>
        <w:spacing w:before="0" w:after="0"/>
        <w:jc w:val="left"/>
        <w:rPr/>
      </w:pPr>
      <w:r>
        <w:rPr/>
        <w:t> </w:t>
      </w:r>
    </w:p>
    <w:tbl>
      <w:tblPr>
        <w:tblW w:w="6025" w:type="dxa"/>
        <w:jc w:val="left"/>
        <w:tblInd w:w="0" w:type="dxa"/>
        <w:tblLayout w:type="fixed"/>
        <w:tblCellMar>
          <w:top w:w="28" w:type="dxa"/>
          <w:left w:w="28" w:type="dxa"/>
          <w:bottom w:w="28" w:type="dxa"/>
          <w:right w:w="28" w:type="dxa"/>
        </w:tblCellMar>
      </w:tblPr>
      <w:tblGrid>
        <w:gridCol w:w="3346"/>
        <w:gridCol w:w="146"/>
        <w:gridCol w:w="239"/>
        <w:gridCol w:w="766"/>
        <w:gridCol w:w="166"/>
        <w:gridCol w:w="146"/>
        <w:gridCol w:w="239"/>
        <w:gridCol w:w="766"/>
        <w:gridCol w:w="2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2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1,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2,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beginning of period</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13,285</w:t>
            </w:r>
          </w:p>
        </w:tc>
        <w:tc>
          <w:tcPr>
            <w:tcW w:w="21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Additions to deferral</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3,235</w:t>
            </w:r>
          </w:p>
        </w:tc>
        <w:tc>
          <w:tcPr>
            <w:tcW w:w="21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recognized</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end of period</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14,907</w:t>
            </w:r>
          </w:p>
        </w:tc>
        <w:tc>
          <w:tcPr>
            <w:tcW w:w="21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 portion of deferred revenue</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12,540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portion of deferred revenue</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During the six months ended July 1, 2023 and July 2, 2022, approximately $0.9</w:t>
      </w:r>
      <w:r>
        <w:rPr>
          <w:rFonts w:ascii="Times New Roman" w:hAnsi="Times New Roman"/>
          <w:sz w:val="20"/>
        </w:rPr>
        <w:t xml:space="preserve"> </w:t>
      </w:r>
      <w:r>
        <w:rPr>
          <w:rFonts w:ascii="Times New Roman;serif" w:hAnsi="Times New Roman;serif"/>
          <w:b w:val="false"/>
          <w:sz w:val="20"/>
        </w:rPr>
        <w:t>million and $1.3</w:t>
      </w:r>
      <w:r>
        <w:rPr>
          <w:rFonts w:ascii="Times New Roman" w:hAnsi="Times New Roman"/>
          <w:sz w:val="20"/>
        </w:rPr>
        <w:t xml:space="preserve"> </w:t>
      </w:r>
      <w:r>
        <w:rPr>
          <w:rFonts w:ascii="Times New Roman;serif" w:hAnsi="Times New Roman;serif"/>
          <w:b w:val="false"/>
          <w:sz w:val="20"/>
        </w:rPr>
        <w:t>million were recognized pertaining to amounts deferred as of December 31, 2022 and January 1, 2022, respectively. As of July 1, 2023, approximately $10.4</w:t>
      </w:r>
      <w:r>
        <w:rPr>
          <w:rFonts w:ascii="Times New Roman" w:hAnsi="Times New Roman"/>
          <w:sz w:val="20"/>
        </w:rPr>
        <w:t xml:space="preserve"> </w:t>
      </w:r>
      <w:r>
        <w:rPr>
          <w:rFonts w:ascii="Times New Roman;serif" w:hAnsi="Times New Roman;serif"/>
          <w:b w:val="false"/>
          <w:sz w:val="20"/>
        </w:rPr>
        <w:t>million of the non-current portion of deferred revenue and $1.5</w:t>
      </w:r>
      <w:r>
        <w:rPr>
          <w:rFonts w:ascii="Times New Roman" w:hAnsi="Times New Roman"/>
          <w:sz w:val="20"/>
        </w:rPr>
        <w:t xml:space="preserve"> </w:t>
      </w:r>
      <w:r>
        <w:rPr>
          <w:rFonts w:ascii="Times New Roman;serif" w:hAnsi="Times New Roman;serif"/>
          <w:b w:val="false"/>
          <w:sz w:val="20"/>
        </w:rPr>
        <w:t>million of the current portion of deferred revenue pertain to exclusivity distribution rights deferred revenue.</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Warranty</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currently provides a two-year</w:t>
      </w:r>
      <w:r>
        <w:rPr>
          <w:rFonts w:ascii="Times New Roman" w:hAnsi="Times New Roman"/>
          <w:sz w:val="20"/>
        </w:rPr>
        <w:t xml:space="preserve"> </w:t>
      </w:r>
      <w:r>
        <w:rPr>
          <w:rFonts w:ascii="Times New Roman;serif" w:hAnsi="Times New Roman;serif"/>
          <w:b w:val="false"/>
          <w:sz w:val="20"/>
        </w:rPr>
        <w:t>full warranty on its products. The associated costs of these warranties are accrued for upon shipment of the products. The Company’s warranty policy is applicable to products which are considered defective in their performance or fail to meet the product specifications. Warranty costs are reflected in the condensed consolidated statements of operations as cost of revenues.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reconciliation of the changes in the Company’s warranty liability for the six months ended July 1, 2023 and July 2, 2022 is as follows:</w:t>
      </w:r>
    </w:p>
    <w:p>
      <w:pPr>
        <w:pStyle w:val="TextBody"/>
        <w:bidi w:val="0"/>
        <w:spacing w:before="0" w:after="0"/>
        <w:jc w:val="left"/>
        <w:rPr/>
      </w:pPr>
      <w:r>
        <w:rPr/>
        <w:t> </w:t>
      </w:r>
    </w:p>
    <w:tbl>
      <w:tblPr>
        <w:tblW w:w="5845" w:type="dxa"/>
        <w:jc w:val="left"/>
        <w:tblInd w:w="0" w:type="dxa"/>
        <w:tblLayout w:type="fixed"/>
        <w:tblCellMar>
          <w:top w:w="28" w:type="dxa"/>
          <w:left w:w="28" w:type="dxa"/>
          <w:bottom w:w="28" w:type="dxa"/>
          <w:right w:w="28" w:type="dxa"/>
        </w:tblCellMar>
      </w:tblPr>
      <w:tblGrid>
        <w:gridCol w:w="3166"/>
        <w:gridCol w:w="146"/>
        <w:gridCol w:w="306"/>
        <w:gridCol w:w="699"/>
        <w:gridCol w:w="166"/>
        <w:gridCol w:w="146"/>
        <w:gridCol w:w="306"/>
        <w:gridCol w:w="699"/>
        <w:gridCol w:w="21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2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1,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2,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beginning of period</w:t>
            </w:r>
          </w:p>
        </w:tc>
        <w:tc>
          <w:tcPr>
            <w:tcW w:w="146" w:type="dxa"/>
            <w:tcBorders/>
            <w:vAlign w:val="center"/>
          </w:tcPr>
          <w:p>
            <w:pPr>
              <w:pStyle w:val="TableContents"/>
              <w:bidi w:val="0"/>
              <w:spacing w:before="0" w:after="0"/>
              <w:ind w:left="0" w:right="0" w:hanging="0"/>
              <w:jc w:val="left"/>
              <w:rPr/>
            </w:pPr>
            <w:r>
              <w:rPr/>
              <w:t> </w:t>
            </w:r>
          </w:p>
        </w:tc>
        <w:tc>
          <w:tcPr>
            <w:tcW w:w="3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w:t>
            </w:r>
          </w:p>
        </w:tc>
        <w:tc>
          <w:tcPr>
            <w:tcW w:w="211" w:type="dxa"/>
            <w:tcBorders/>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Accruals for product warranties</w:t>
            </w:r>
          </w:p>
        </w:tc>
        <w:tc>
          <w:tcPr>
            <w:tcW w:w="146" w:type="dxa"/>
            <w:tcBorders/>
            <w:vAlign w:val="center"/>
          </w:tcPr>
          <w:p>
            <w:pPr>
              <w:pStyle w:val="TableContents"/>
              <w:bidi w:val="0"/>
              <w:spacing w:before="0" w:after="0"/>
              <w:ind w:left="0" w:right="0" w:hanging="0"/>
              <w:jc w:val="left"/>
              <w:rPr/>
            </w:pPr>
            <w:r>
              <w:rPr/>
              <w:t> </w:t>
            </w:r>
          </w:p>
        </w:tc>
        <w:tc>
          <w:tcPr>
            <w:tcW w:w="306"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6"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211" w:type="dxa"/>
            <w:tcBorders/>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warranty claims</w:t>
            </w:r>
          </w:p>
        </w:tc>
        <w:tc>
          <w:tcPr>
            <w:tcW w:w="146" w:type="dxa"/>
            <w:tcBorders/>
            <w:vAlign w:val="center"/>
          </w:tcPr>
          <w:p>
            <w:pPr>
              <w:pStyle w:val="TableContents"/>
              <w:bidi w:val="0"/>
              <w:spacing w:before="0" w:after="0"/>
              <w:ind w:left="0" w:right="0" w:hanging="0"/>
              <w:jc w:val="left"/>
              <w:rPr/>
            </w:pPr>
            <w:r>
              <w:rPr/>
              <w:t> </w:t>
            </w:r>
          </w:p>
        </w:tc>
        <w:tc>
          <w:tcPr>
            <w:tcW w:w="306"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6"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 to pre-existing warranties</w:t>
            </w:r>
          </w:p>
        </w:tc>
        <w:tc>
          <w:tcPr>
            <w:tcW w:w="146" w:type="dxa"/>
            <w:tcBorders/>
            <w:vAlign w:val="center"/>
          </w:tcPr>
          <w:p>
            <w:pPr>
              <w:pStyle w:val="TableContents"/>
              <w:bidi w:val="0"/>
              <w:spacing w:before="0" w:after="0"/>
              <w:ind w:left="0" w:right="0" w:hanging="0"/>
              <w:jc w:val="left"/>
              <w:rPr/>
            </w:pPr>
            <w:r>
              <w:rPr/>
              <w:t> </w:t>
            </w:r>
          </w:p>
        </w:tc>
        <w:tc>
          <w:tcPr>
            <w:tcW w:w="3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end of period</w:t>
            </w:r>
          </w:p>
        </w:tc>
        <w:tc>
          <w:tcPr>
            <w:tcW w:w="146" w:type="dxa"/>
            <w:tcBorders/>
            <w:vAlign w:val="center"/>
          </w:tcPr>
          <w:p>
            <w:pPr>
              <w:pStyle w:val="TableContents"/>
              <w:bidi w:val="0"/>
              <w:spacing w:before="0" w:after="0"/>
              <w:ind w:left="0" w:right="0" w:hanging="0"/>
              <w:jc w:val="left"/>
              <w:rPr/>
            </w:pPr>
            <w:r>
              <w:rPr/>
              <w:t> </w:t>
            </w:r>
          </w:p>
        </w:tc>
        <w:tc>
          <w:tcPr>
            <w:tcW w:w="3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Implementation Costs Incurred in a Cloud Computing Service Arrangement</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is currently implementing a new enterprise resource planning (“ERP”) system. The new ERP system operates in a cloud-based environment. The Company concluded that this cloud computing arrangement does not include a license, and therefore, will account for this arrangement as one that is a service contract. As of July 1, 2023, the Company capitalized $1.1</w:t>
      </w:r>
      <w:r>
        <w:rPr>
          <w:rFonts w:ascii="Times New Roman" w:hAnsi="Times New Roman"/>
          <w:sz w:val="20"/>
        </w:rPr>
        <w:t xml:space="preserve"> </w:t>
      </w:r>
      <w:r>
        <w:rPr>
          <w:rFonts w:ascii="Times New Roman;serif" w:hAnsi="Times New Roman;serif"/>
          <w:b w:val="false"/>
          <w:sz w:val="20"/>
        </w:rPr>
        <w:t>million in implementation costs, included in Prepaid expenses and other current assets and Other long-term assets in the Company’s condensed consolidated balance sheets. The Company will amortize the capitalized implementation costs over five years</w:t>
      </w:r>
      <w:r>
        <w:rPr>
          <w:rFonts w:ascii="Times New Roman" w:hAnsi="Times New Roman"/>
          <w:sz w:val="20"/>
        </w:rPr>
        <w:t xml:space="preserve"> </w:t>
      </w:r>
      <w:r>
        <w:rPr>
          <w:rFonts w:ascii="Times New Roman;serif" w:hAnsi="Times New Roman;serif"/>
          <w:b w:val="false"/>
          <w:sz w:val="20"/>
        </w:rPr>
        <w:t>on a straight-line basis once the ERP system is ready for use. There were no</w:t>
      </w:r>
      <w:r>
        <w:rPr>
          <w:rFonts w:ascii="Times New Roman" w:hAnsi="Times New Roman"/>
          <w:sz w:val="20"/>
        </w:rPr>
        <w:t xml:space="preserve"> </w:t>
      </w:r>
      <w:r>
        <w:rPr>
          <w:rFonts w:ascii="Times New Roman;serif" w:hAnsi="Times New Roman;serif"/>
          <w:b w:val="false"/>
          <w:sz w:val="20"/>
        </w:rPr>
        <w:t>amortization expenses for both the six months ended July 1, 2023 and July 2, 2022.</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Reclassifications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Certain reclassifications have been made to the prior year financial statements included in these condensed consolidated financial statements to conform to the current year presentation. The reclassifications had no impact on previously reported total assets, total liabilities and net loss or accumulated deficit.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Recently Adopted Accounting Standards</w:t>
      </w:r>
    </w:p>
    <w:p>
      <w:pPr>
        <w:pStyle w:val="TextBody"/>
        <w:bidi w:val="0"/>
        <w:spacing w:before="120" w:after="0"/>
        <w:jc w:val="left"/>
        <w:rPr>
          <w:rFonts w:ascii="Times New Roman" w:hAnsi="Times New Roman"/>
          <w:sz w:val="20"/>
        </w:rPr>
      </w:pPr>
      <w:r>
        <w:rPr>
          <w:rFonts w:ascii="Times New Roman;serif" w:hAnsi="Times New Roman;serif"/>
          <w:b w:val="false"/>
          <w:sz w:val="20"/>
        </w:rPr>
        <w:t>In June 2016, the Financial Accounting Standards Board (“FASB”) issued Accounting Standards Update (“ASU”) No. 2016-13 “Measurement of Credit Losses on Financial Instruments,” which amended the current approach to estimate credit losses on certain financial assets, including trade and other receivables, available-for-sale securities, and other financial instruments. Generally, this amendment requires entities to establish a valuation allowance for the expected lifetime losses of these certain financial assets. In November 2019, the FASB issued ASU No. 2019-10, “Financial Instruments - Credit Losses (Topic 326), Derivatives and Hedging (Topic 815), and Leases (Topic 842),” which amended the effective date for certain qualified entities to fiscal years beginning after December 15, 2022. On January 1, 2023, the Company adopted ASU No. 2016-13, using the modified retrospective approach by applying a cumulative effect adjustment of $0.2</w:t>
      </w:r>
      <w:r>
        <w:rPr>
          <w:rFonts w:ascii="Times New Roman" w:hAnsi="Times New Roman"/>
          <w:sz w:val="20"/>
        </w:rPr>
        <w:t xml:space="preserve"> </w:t>
      </w:r>
      <w:r>
        <w:rPr>
          <w:rFonts w:ascii="Times New Roman;serif" w:hAnsi="Times New Roman;serif"/>
          <w:b w:val="false"/>
          <w:sz w:val="20"/>
        </w:rPr>
        <w:t>million to the opening balance of accumulated deficit.</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sz w:val="20"/>
        </w:rPr>
        <w:t>3. Accounts Receivable and Allowance for Credit Losses</w:t>
        <w:br/>
        <w:br/>
      </w:r>
      <w:r>
        <w:rPr>
          <w:rFonts w:ascii="Times New Roman;serif" w:hAnsi="Times New Roman;serif"/>
          <w:b w:val="false"/>
          <w:i/>
          <w:sz w:val="20"/>
        </w:rPr>
        <w:t>Trade Receivables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has trade receivables with various individual customers such as private businesses, hospitals, universities, government and non-profit entities, and distributors. The Company has determined that geography is the similar risk characteristic to pool our trade receivables balances, and accordingly, groups such balances into either the domestic pool or the international pool. The domestic pool is primarily comprised of individual customers, and the international pool is primarily comprised of distributors.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allowance for credit losses represents an estimate of the lifetime expected credit losses inherent in trade receivables as of the condensed consolidated balance sheet date. We assess the adequacy of the allowance for credit losses on a quarterly basis based on historical information and current economic conditions and forecasts. Subsequent changes in the allowance for credit losses are recorded in current earnings and reversal of previous losses are permitted under the current guidance.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While we believe we have exercised prudent judgment and applied reasonable assumptions, there can be no assurance that in the future, changes in economic conditions or other factors would not cause changes in the financial health of our customers. If the financial health of our customers deteriorates, the timing and level of payments received could be impacted and therefore, could result in a change to our estimated losses.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presents the activity in the allowance for credit losses for accounts receivable by pool type for six months ended July 1, 2023 (in thousands):</w:t>
      </w:r>
    </w:p>
    <w:p>
      <w:pPr>
        <w:pStyle w:val="TextBody"/>
        <w:bidi w:val="0"/>
        <w:spacing w:before="120" w:after="0"/>
        <w:jc w:val="left"/>
        <w:rPr/>
      </w:pPr>
      <w:r>
        <w:rPr/>
        <w:t> </w:t>
      </w:r>
    </w:p>
    <w:tbl>
      <w:tblPr>
        <w:tblW w:w="6536" w:type="dxa"/>
        <w:jc w:val="left"/>
        <w:tblInd w:w="0" w:type="dxa"/>
        <w:tblLayout w:type="fixed"/>
        <w:tblCellMar>
          <w:top w:w="28" w:type="dxa"/>
          <w:left w:w="28" w:type="dxa"/>
          <w:bottom w:w="28" w:type="dxa"/>
          <w:right w:w="28" w:type="dxa"/>
        </w:tblCellMar>
      </w:tblPr>
      <w:tblGrid>
        <w:gridCol w:w="3031"/>
        <w:gridCol w:w="146"/>
        <w:gridCol w:w="233"/>
        <w:gridCol w:w="533"/>
        <w:gridCol w:w="166"/>
        <w:gridCol w:w="146"/>
        <w:gridCol w:w="325"/>
        <w:gridCol w:w="741"/>
        <w:gridCol w:w="166"/>
        <w:gridCol w:w="146"/>
        <w:gridCol w:w="211"/>
        <w:gridCol w:w="481"/>
        <w:gridCol w:w="21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Domestic</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International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beginning of period</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Impact of adoption of ASU 2016-13</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end of period</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40" w:after="0"/>
        <w:jc w:val="left"/>
        <w:rPr>
          <w:rFonts w:ascii="Times New Roman;serif" w:hAnsi="Times New Roman;serif"/>
          <w:b/>
          <w:sz w:val="20"/>
        </w:rPr>
      </w:pPr>
      <w:r>
        <w:rPr>
          <w:rFonts w:ascii="Times New Roman;serif" w:hAnsi="Times New Roman;serif"/>
          <w:b/>
          <w:sz w:val="20"/>
        </w:rPr>
        <w:t>4. Related Party - Topcon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Topcon holds a 10.0% voting interest in the Company, which qualifies it to be a principal owner considered a related party, even though it currently does not have significant influence over the Company’s operations.</w:t>
      </w:r>
    </w:p>
    <w:p>
      <w:pPr>
        <w:pStyle w:val="TextBody"/>
        <w:bidi w:val="0"/>
        <w:spacing w:before="120" w:after="0"/>
        <w:jc w:val="left"/>
        <w:rPr>
          <w:rFonts w:ascii="Times New Roman" w:hAnsi="Times New Roman"/>
          <w:sz w:val="20"/>
        </w:rPr>
      </w:pPr>
      <w:r>
        <w:rPr>
          <w:rFonts w:ascii="Times New Roman;serif" w:hAnsi="Times New Roman;serif"/>
          <w:b w:val="false"/>
          <w:sz w:val="20"/>
        </w:rPr>
        <w:t>Topcon resells certain of our products as our exclusive distributor in certain international regions. At the same time, the Company also purchases certain raw materials from Topcon. During the three and six months ended July 1, 2023, the Company’s revenues related to Topcon amounted to approximately $3.7</w:t>
      </w:r>
      <w:r>
        <w:rPr>
          <w:rFonts w:ascii="Times New Roman" w:hAnsi="Times New Roman"/>
          <w:sz w:val="20"/>
        </w:rPr>
        <w:t xml:space="preserve"> </w:t>
      </w:r>
      <w:r>
        <w:rPr>
          <w:rFonts w:ascii="Times New Roman;serif" w:hAnsi="Times New Roman;serif"/>
          <w:b w:val="false"/>
          <w:sz w:val="20"/>
        </w:rPr>
        <w:t>million and $8.0</w:t>
      </w:r>
      <w:r>
        <w:rPr>
          <w:rFonts w:ascii="Times New Roman" w:hAnsi="Times New Roman"/>
          <w:sz w:val="20"/>
        </w:rPr>
        <w:t xml:space="preserve"> </w:t>
      </w:r>
      <w:r>
        <w:rPr>
          <w:rFonts w:ascii="Times New Roman;serif" w:hAnsi="Times New Roman;serif"/>
          <w:b w:val="false"/>
          <w:sz w:val="20"/>
        </w:rPr>
        <w:t>million, respectively, including $0.3</w:t>
      </w:r>
      <w:r>
        <w:rPr>
          <w:rFonts w:ascii="Times New Roman" w:hAnsi="Times New Roman"/>
          <w:sz w:val="20"/>
        </w:rPr>
        <w:t xml:space="preserve"> </w:t>
      </w:r>
      <w:r>
        <w:rPr>
          <w:rFonts w:ascii="Times New Roman;serif" w:hAnsi="Times New Roman;serif"/>
          <w:b w:val="false"/>
          <w:sz w:val="20"/>
        </w:rPr>
        <w:t>million and $0.7</w:t>
      </w:r>
      <w:r>
        <w:rPr>
          <w:rFonts w:ascii="Times New Roman" w:hAnsi="Times New Roman"/>
          <w:sz w:val="20"/>
        </w:rPr>
        <w:t xml:space="preserve"> </w:t>
      </w:r>
      <w:r>
        <w:rPr>
          <w:rFonts w:ascii="Times New Roman;serif" w:hAnsi="Times New Roman;serif"/>
          <w:b w:val="false"/>
          <w:sz w:val="20"/>
        </w:rPr>
        <w:t>million, respectively, in recognized exclusive distribution rights revenue. During the three and six months ended July 2, 2022, the Company’s revenues related to Topcon amounted to approximately $3.6</w:t>
      </w:r>
      <w:r>
        <w:rPr>
          <w:rFonts w:ascii="Times New Roman" w:hAnsi="Times New Roman"/>
          <w:sz w:val="20"/>
        </w:rPr>
        <w:t xml:space="preserve"> </w:t>
      </w:r>
      <w:r>
        <w:rPr>
          <w:rFonts w:ascii="Times New Roman;serif" w:hAnsi="Times New Roman;serif"/>
          <w:b w:val="false"/>
          <w:sz w:val="20"/>
        </w:rPr>
        <w:t>million and $7.6</w:t>
      </w:r>
      <w:r>
        <w:rPr>
          <w:rFonts w:ascii="Times New Roman" w:hAnsi="Times New Roman"/>
          <w:sz w:val="20"/>
        </w:rPr>
        <w:t xml:space="preserve"> </w:t>
      </w:r>
      <w:r>
        <w:rPr>
          <w:rFonts w:ascii="Times New Roman;serif" w:hAnsi="Times New Roman;serif"/>
          <w:b w:val="false"/>
          <w:sz w:val="20"/>
        </w:rPr>
        <w:t>million, respectively, including $0.3</w:t>
      </w:r>
      <w:r>
        <w:rPr>
          <w:rFonts w:ascii="Times New Roman" w:hAnsi="Times New Roman"/>
          <w:sz w:val="20"/>
        </w:rPr>
        <w:t xml:space="preserve"> </w:t>
      </w:r>
      <w:r>
        <w:rPr>
          <w:rFonts w:ascii="Times New Roman;serif" w:hAnsi="Times New Roman;serif"/>
          <w:b w:val="false"/>
          <w:sz w:val="20"/>
        </w:rPr>
        <w:t>million and $0.6</w:t>
      </w:r>
      <w:r>
        <w:rPr>
          <w:rFonts w:ascii="Times New Roman" w:hAnsi="Times New Roman"/>
          <w:sz w:val="20"/>
        </w:rPr>
        <w:t xml:space="preserve"> </w:t>
      </w:r>
      <w:r>
        <w:rPr>
          <w:rFonts w:ascii="Times New Roman;serif" w:hAnsi="Times New Roman;serif"/>
          <w:b w:val="false"/>
          <w:sz w:val="20"/>
        </w:rPr>
        <w:t>million, respectively, in recognized exclusive distribution rights revenue. The Company’s purchases from Topcon during the three and six months ended July 1, 2023</w:t>
      </w:r>
      <w:r>
        <w:rPr>
          <w:rFonts w:ascii="Times New Roman" w:hAnsi="Times New Roman"/>
          <w:sz w:val="20"/>
        </w:rPr>
        <w:t xml:space="preserve"> </w:t>
      </w:r>
      <w:r>
        <w:rPr>
          <w:rFonts w:ascii="Times New Roman;serif" w:hAnsi="Times New Roman;serif"/>
          <w:b w:val="false"/>
          <w:sz w:val="20"/>
        </w:rPr>
        <w:t>amounted to approximately $0.1</w:t>
      </w:r>
      <w:r>
        <w:rPr>
          <w:rFonts w:ascii="Times New Roman" w:hAnsi="Times New Roman"/>
          <w:sz w:val="20"/>
        </w:rPr>
        <w:t xml:space="preserve"> </w:t>
      </w:r>
      <w:r>
        <w:rPr>
          <w:rFonts w:ascii="Times New Roman;serif" w:hAnsi="Times New Roman;serif"/>
          <w:b w:val="false"/>
          <w:sz w:val="20"/>
        </w:rPr>
        <w:t>million and $0.2</w:t>
      </w:r>
      <w:r>
        <w:rPr>
          <w:rFonts w:ascii="Times New Roman" w:hAnsi="Times New Roman"/>
          <w:sz w:val="20"/>
        </w:rPr>
        <w:t xml:space="preserve"> </w:t>
      </w:r>
      <w:r>
        <w:rPr>
          <w:rFonts w:ascii="Times New Roman;serif" w:hAnsi="Times New Roman;serif"/>
          <w:b w:val="false"/>
          <w:sz w:val="20"/>
        </w:rPr>
        <w:t>million, respectively. As of July 1, 2023, the amounts receivable from and payable to Topcon were $2.4</w:t>
      </w:r>
      <w:r>
        <w:rPr>
          <w:rFonts w:ascii="Times New Roman" w:hAnsi="Times New Roman"/>
          <w:sz w:val="20"/>
        </w:rPr>
        <w:t xml:space="preserve"> </w:t>
      </w:r>
      <w:r>
        <w:rPr>
          <w:rFonts w:ascii="Times New Roman;serif" w:hAnsi="Times New Roman;serif"/>
          <w:b w:val="false"/>
          <w:sz w:val="20"/>
        </w:rPr>
        <w:t>million and $0.1</w:t>
      </w:r>
      <w:r>
        <w:rPr>
          <w:rFonts w:ascii="Times New Roman" w:hAnsi="Times New Roman"/>
          <w:sz w:val="20"/>
        </w:rPr>
        <w:t xml:space="preserve"> </w:t>
      </w:r>
      <w:r>
        <w:rPr>
          <w:rFonts w:ascii="Times New Roman;serif" w:hAnsi="Times New Roman;serif"/>
          <w:b w:val="false"/>
          <w:sz w:val="20"/>
        </w:rPr>
        <w:t>million, respectively. As of December 31, 2022, the amounts receivable from and payable to Topcon were $3.5</w:t>
      </w:r>
      <w:r>
        <w:rPr>
          <w:rFonts w:ascii="Times New Roman" w:hAnsi="Times New Roman"/>
          <w:sz w:val="20"/>
        </w:rPr>
        <w:t xml:space="preserve"> </w:t>
      </w:r>
      <w:r>
        <w:rPr>
          <w:rFonts w:ascii="Times New Roman;serif" w:hAnsi="Times New Roman;serif"/>
          <w:b w:val="false"/>
          <w:sz w:val="20"/>
        </w:rPr>
        <w:t>million and $15</w:t>
      </w:r>
      <w:r>
        <w:rPr>
          <w:rFonts w:ascii="Times New Roman" w:hAnsi="Times New Roman"/>
          <w:sz w:val="20"/>
        </w:rPr>
        <w:t xml:space="preserve"> </w:t>
      </w:r>
      <w:r>
        <w:rPr>
          <w:rFonts w:ascii="Times New Roman;serif" w:hAnsi="Times New Roman;serif"/>
          <w:b w:val="false"/>
          <w:sz w:val="20"/>
        </w:rPr>
        <w:t>thousand, respectively.</w:t>
      </w:r>
    </w:p>
    <w:p>
      <w:pPr>
        <w:pStyle w:val="TextBody"/>
        <w:bidi w:val="0"/>
        <w:spacing w:before="120" w:after="0"/>
        <w:jc w:val="left"/>
        <w:rPr>
          <w:rFonts w:ascii="Times New Roman;serif" w:hAnsi="Times New Roman;serif"/>
          <w:b/>
          <w:sz w:val="20"/>
        </w:rPr>
      </w:pPr>
      <w:r>
        <w:rPr>
          <w:rFonts w:ascii="Times New Roman;serif" w:hAnsi="Times New Roman;serif"/>
          <w:b/>
          <w:sz w:val="20"/>
        </w:rPr>
        <w:t>5. Inventories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components of the Company’s inventories as of July 1, 2023 and December 31, 2022 are as follows:</w:t>
      </w:r>
    </w:p>
    <w:p>
      <w:pPr>
        <w:pStyle w:val="TextBody"/>
        <w:bidi w:val="0"/>
        <w:spacing w:before="0" w:after="0"/>
        <w:jc w:val="left"/>
        <w:rPr/>
      </w:pPr>
      <w:r>
        <w:rPr/>
        <w:t> </w:t>
      </w:r>
    </w:p>
    <w:tbl>
      <w:tblPr>
        <w:tblW w:w="4650" w:type="dxa"/>
        <w:jc w:val="left"/>
        <w:tblInd w:w="0" w:type="dxa"/>
        <w:tblLayout w:type="fixed"/>
        <w:tblCellMar>
          <w:top w:w="28" w:type="dxa"/>
          <w:left w:w="28" w:type="dxa"/>
          <w:bottom w:w="28" w:type="dxa"/>
          <w:right w:w="28" w:type="dxa"/>
        </w:tblCellMar>
      </w:tblPr>
      <w:tblGrid>
        <w:gridCol w:w="1516"/>
        <w:gridCol w:w="146"/>
        <w:gridCol w:w="239"/>
        <w:gridCol w:w="766"/>
        <w:gridCol w:w="146"/>
        <w:gridCol w:w="146"/>
        <w:gridCol w:w="357"/>
        <w:gridCol w:w="1143"/>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Raw materials</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5,820</w:t>
            </w:r>
          </w:p>
        </w:tc>
        <w:tc>
          <w:tcPr>
            <w:tcW w:w="191" w:type="dxa"/>
            <w:tcBorders/>
            <w:vAlign w:val="center"/>
          </w:tcPr>
          <w:p>
            <w:pPr>
              <w:pStyle w:val="TableContents"/>
              <w:bidi w:val="0"/>
              <w:spacing w:before="0" w:after="0"/>
              <w:ind w:left="0" w:right="0" w:hanging="0"/>
              <w:jc w:val="left"/>
              <w:rPr/>
            </w:pPr>
            <w:r>
              <w:rPr/>
              <w:t> </w:t>
            </w:r>
          </w:p>
        </w:tc>
      </w:tr>
      <w:tr>
        <w:trPr/>
        <w:tc>
          <w:tcPr>
            <w:tcW w:w="1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Work in process</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w:t>
            </w:r>
          </w:p>
        </w:tc>
        <w:tc>
          <w:tcPr>
            <w:tcW w:w="191" w:type="dxa"/>
            <w:tcBorders/>
            <w:vAlign w:val="center"/>
          </w:tcPr>
          <w:p>
            <w:pPr>
              <w:pStyle w:val="TableContents"/>
              <w:bidi w:val="0"/>
              <w:spacing w:before="0" w:after="0"/>
              <w:ind w:left="0" w:right="0" w:hanging="0"/>
              <w:jc w:val="left"/>
              <w:rPr/>
            </w:pPr>
            <w:r>
              <w:rPr/>
              <w:t> </w:t>
            </w:r>
          </w:p>
        </w:tc>
      </w:tr>
      <w:tr>
        <w:trPr/>
        <w:tc>
          <w:tcPr>
            <w:tcW w:w="1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Finished goods</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4,537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inventories</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11,129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10,608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6. Goodwill and Intangible Assets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Goodwill</w:t>
      </w:r>
    </w:p>
    <w:p>
      <w:pPr>
        <w:pStyle w:val="TextBody"/>
        <w:bidi w:val="0"/>
        <w:spacing w:before="120" w:after="0"/>
        <w:jc w:val="left"/>
        <w:rPr>
          <w:rFonts w:ascii="Times New Roman" w:hAnsi="Times New Roman"/>
          <w:sz w:val="20"/>
        </w:rPr>
      </w:pPr>
      <w:r>
        <w:rPr>
          <w:rFonts w:ascii="Times New Roman;serif" w:hAnsi="Times New Roman;serif"/>
          <w:b w:val="false"/>
          <w:sz w:val="20"/>
        </w:rPr>
        <w:t>The carrying value of goodwill was $1.0</w:t>
      </w:r>
      <w:r>
        <w:rPr>
          <w:rFonts w:ascii="Times New Roman" w:hAnsi="Times New Roman"/>
          <w:sz w:val="20"/>
        </w:rPr>
        <w:t xml:space="preserve"> </w:t>
      </w:r>
      <w:r>
        <w:rPr>
          <w:rFonts w:ascii="Times New Roman;serif" w:hAnsi="Times New Roman;serif"/>
          <w:b w:val="false"/>
          <w:sz w:val="20"/>
        </w:rPr>
        <w:t>million as of both July 1, 2023 and December 31, 2022.</w:t>
      </w:r>
    </w:p>
    <w:p>
      <w:pPr>
        <w:pStyle w:val="TextBody"/>
        <w:bidi w:val="0"/>
        <w:spacing w:before="120" w:after="0"/>
        <w:jc w:val="left"/>
        <w:rPr>
          <w:rFonts w:ascii="Times New Roman" w:hAnsi="Times New Roman"/>
          <w:sz w:val="20"/>
        </w:rPr>
      </w:pPr>
      <w:r>
        <w:rPr>
          <w:rFonts w:ascii="Times New Roman;serif" w:hAnsi="Times New Roman;serif"/>
          <w:b w:val="false"/>
          <w:sz w:val="20"/>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 the reporting unit’s fair value; however, the loss recognized should not exceed the total amount of goodwill</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allocated to that reporting unit. In addition, income tax effects from any tax-deductible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year 2023 and determined that its goodwill was not impaired.</w:t>
      </w:r>
      <w:r>
        <w:rPr>
          <w:rFonts w:ascii="Times New Roman" w:hAnsi="Times New Roman"/>
          <w:sz w:val="20"/>
        </w:rPr>
        <w:t xml:space="preserve">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Intangible Assets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the components of gross and net of intangible assets carrying amounts (in thousands):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685"/>
        <w:gridCol w:w="146"/>
        <w:gridCol w:w="211"/>
        <w:gridCol w:w="571"/>
        <w:gridCol w:w="146"/>
        <w:gridCol w:w="146"/>
        <w:gridCol w:w="291"/>
        <w:gridCol w:w="790"/>
        <w:gridCol w:w="146"/>
        <w:gridCol w:w="146"/>
        <w:gridCol w:w="211"/>
        <w:gridCol w:w="571"/>
        <w:gridCol w:w="146"/>
        <w:gridCol w:w="146"/>
        <w:gridCol w:w="1286"/>
        <w:gridCol w:w="146"/>
        <w:gridCol w:w="211"/>
        <w:gridCol w:w="571"/>
        <w:gridCol w:w="146"/>
        <w:gridCol w:w="146"/>
        <w:gridCol w:w="291"/>
        <w:gridCol w:w="790"/>
        <w:gridCol w:w="146"/>
        <w:gridCol w:w="146"/>
        <w:gridCol w:w="211"/>
        <w:gridCol w:w="571"/>
        <w:gridCol w:w="192"/>
      </w:tblGrid>
      <w:tr>
        <w:trPr/>
        <w:tc>
          <w:tcPr>
            <w:tcW w:w="16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29"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29"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8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Amortization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w:t>
              <w:b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Remaining</w:t>
              <w:br/>
              <w:t>Amortization Life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Amortization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w:t>
              <w:br/>
              <w:t>Carrying</w:t>
              <w:br/>
              <w:t>Amount</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Customer relationships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3.80</w:t>
            </w:r>
            <w:r>
              <w:rPr>
                <w:rFonts w:ascii="Times New Roman" w:hAnsi="Times New Roman"/>
                <w:sz w:val="20"/>
              </w:rPr>
              <w:t> </w:t>
            </w:r>
            <w:r>
              <w:rPr>
                <w:rFonts w:ascii="Times New Roman;serif" w:hAnsi="Times New Roman;serif"/>
                <w:b w:val="false"/>
                <w:sz w:val="20"/>
              </w:rPr>
              <w:t>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192" w:type="dxa"/>
            <w:tcBorders/>
            <w:vAlign w:val="center"/>
          </w:tcPr>
          <w:p>
            <w:pPr>
              <w:pStyle w:val="TableContents"/>
              <w:bidi w:val="0"/>
              <w:spacing w:before="0" w:after="0"/>
              <w:ind w:left="0" w:right="0" w:hanging="0"/>
              <w:jc w:val="left"/>
              <w:rPr/>
            </w:pPr>
            <w:r>
              <w:rPr/>
              <w:t> </w:t>
            </w:r>
          </w:p>
        </w:tc>
      </w:tr>
      <w:tr>
        <w:trPr/>
        <w:tc>
          <w:tcPr>
            <w:tcW w:w="16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Developed technology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5.61</w:t>
            </w:r>
            <w:r>
              <w:rPr>
                <w:rFonts w:ascii="Times New Roman" w:hAnsi="Times New Roman"/>
                <w:sz w:val="20"/>
              </w:rPr>
              <w:t> </w:t>
            </w:r>
            <w:r>
              <w:rPr>
                <w:rFonts w:ascii="Times New Roman;serif" w:hAnsi="Times New Roman;serif"/>
                <w:b w:val="false"/>
                <w:sz w:val="20"/>
              </w:rPr>
              <w:t>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1,628</w:t>
            </w:r>
          </w:p>
        </w:tc>
        <w:tc>
          <w:tcPr>
            <w:tcW w:w="192" w:type="dxa"/>
            <w:tcBorders/>
            <w:vAlign w:val="center"/>
          </w:tcPr>
          <w:p>
            <w:pPr>
              <w:pStyle w:val="TableContents"/>
              <w:bidi w:val="0"/>
              <w:spacing w:before="0" w:after="0"/>
              <w:ind w:left="0" w:right="0" w:hanging="0"/>
              <w:jc w:val="left"/>
              <w:rPr/>
            </w:pPr>
            <w:r>
              <w:rPr/>
              <w:t> </w:t>
            </w:r>
          </w:p>
        </w:tc>
      </w:tr>
      <w:tr>
        <w:trPr/>
        <w:tc>
          <w:tcPr>
            <w:tcW w:w="16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Trade names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6.67</w:t>
            </w:r>
            <w:r>
              <w:rPr>
                <w:rFonts w:ascii="Times New Roman" w:hAnsi="Times New Roman"/>
                <w:sz w:val="20"/>
              </w:rPr>
              <w:t> </w:t>
            </w:r>
            <w:r>
              <w:rPr>
                <w:rFonts w:ascii="Times New Roman;serif" w:hAnsi="Times New Roman;serif"/>
                <w:b w:val="false"/>
                <w:sz w:val="20"/>
              </w:rPr>
              <w:t>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w:t>
            </w:r>
          </w:p>
        </w:tc>
        <w:tc>
          <w:tcPr>
            <w:tcW w:w="192" w:type="dxa"/>
            <w:tcBorders/>
            <w:vAlign w:val="center"/>
          </w:tcPr>
          <w:p>
            <w:pPr>
              <w:pStyle w:val="TableContents"/>
              <w:bidi w:val="0"/>
              <w:spacing w:before="0" w:after="0"/>
              <w:ind w:left="0" w:right="0" w:hanging="0"/>
              <w:jc w:val="left"/>
              <w:rPr/>
            </w:pPr>
            <w:r>
              <w:rPr/>
              <w:t> </w:t>
            </w:r>
          </w:p>
        </w:tc>
      </w:tr>
      <w:tr>
        <w:trPr/>
        <w:tc>
          <w:tcPr>
            <w:tcW w:w="168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Patents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None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68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1,977</w:t>
            </w:r>
          </w:p>
        </w:tc>
        <w:tc>
          <w:tcPr>
            <w:tcW w:w="1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For the six months ended July 1, 2023 and July 2, 2022, amortization expense totaled $167</w:t>
      </w:r>
      <w:r>
        <w:rPr>
          <w:rFonts w:ascii="Times New Roman" w:hAnsi="Times New Roman"/>
          <w:sz w:val="20"/>
        </w:rPr>
        <w:t xml:space="preserve"> </w:t>
      </w:r>
      <w:r>
        <w:rPr>
          <w:rFonts w:ascii="Times New Roman;serif" w:hAnsi="Times New Roman;serif"/>
          <w:b w:val="false"/>
          <w:sz w:val="20"/>
        </w:rPr>
        <w:t>thousand and $96</w:t>
      </w:r>
      <w:r>
        <w:rPr>
          <w:rFonts w:ascii="Times New Roman" w:hAnsi="Times New Roman"/>
          <w:sz w:val="20"/>
        </w:rPr>
        <w:t xml:space="preserve"> </w:t>
      </w:r>
      <w:r>
        <w:rPr>
          <w:rFonts w:ascii="Times New Roman;serif" w:hAnsi="Times New Roman;serif"/>
          <w:b w:val="false"/>
          <w:sz w:val="20"/>
        </w:rPr>
        <w:t>thousand, respectively.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amortization of developed technology was charged to research and development expense and the amortization of customer relations and trade names was charged to sales and marketing expense. Estimated future amortization expense for purchased intangible assets is as follows (in thousands):</w:t>
      </w:r>
    </w:p>
    <w:p>
      <w:pPr>
        <w:pStyle w:val="TextBody"/>
        <w:bidi w:val="0"/>
        <w:spacing w:before="0" w:after="0"/>
        <w:jc w:val="left"/>
        <w:rPr/>
      </w:pPr>
      <w:r>
        <w:rPr/>
        <w:t> </w:t>
      </w:r>
    </w:p>
    <w:tbl>
      <w:tblPr>
        <w:tblW w:w="4050" w:type="dxa"/>
        <w:jc w:val="left"/>
        <w:tblInd w:w="0" w:type="dxa"/>
        <w:tblLayout w:type="fixed"/>
        <w:tblCellMar>
          <w:top w:w="28" w:type="dxa"/>
          <w:left w:w="28" w:type="dxa"/>
          <w:bottom w:w="28" w:type="dxa"/>
          <w:right w:w="28" w:type="dxa"/>
        </w:tblCellMar>
      </w:tblPr>
      <w:tblGrid>
        <w:gridCol w:w="2731"/>
        <w:gridCol w:w="146"/>
        <w:gridCol w:w="211"/>
        <w:gridCol w:w="571"/>
        <w:gridCol w:w="3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Fiscal Year:</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2023 (six months)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391"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335</w:t>
            </w:r>
          </w:p>
        </w:tc>
        <w:tc>
          <w:tcPr>
            <w:tcW w:w="391"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w:t>
            </w:r>
          </w:p>
        </w:tc>
        <w:tc>
          <w:tcPr>
            <w:tcW w:w="391"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w:t>
            </w:r>
          </w:p>
        </w:tc>
        <w:tc>
          <w:tcPr>
            <w:tcW w:w="391"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w:t>
            </w:r>
          </w:p>
        </w:tc>
        <w:tc>
          <w:tcPr>
            <w:tcW w:w="391"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7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7.</w:t>
      </w:r>
      <w:r>
        <w:rPr>
          <w:rFonts w:ascii="Times New Roman" w:hAnsi="Times New Roman"/>
          <w:sz w:val="20"/>
        </w:rPr>
        <w:t xml:space="preserve"> </w:t>
      </w:r>
      <w:r>
        <w:rPr>
          <w:rFonts w:ascii="Times New Roman;serif" w:hAnsi="Times New Roman;serif"/>
          <w:b/>
          <w:sz w:val="20"/>
        </w:rPr>
        <w:t>Fair Value Measurements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Level 1: Quoted prices (unadjusted) in active markets that are accessible at the measurement date for assets or liabilities.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determining fair value, the Company utilizes valuation techniques that maximize the use of observable inputs and minimize the use of unobservable inputs to the extent possible and considers counterparty credit risk in its assessment of fair value.</w:t>
      </w:r>
    </w:p>
    <w:p>
      <w:pPr>
        <w:pStyle w:val="TextBody"/>
        <w:bidi w:val="0"/>
        <w:spacing w:before="120" w:after="0"/>
        <w:jc w:val="left"/>
        <w:rPr>
          <w:rFonts w:ascii="Times New Roman" w:hAnsi="Times New Roman"/>
          <w:sz w:val="20"/>
        </w:rPr>
      </w:pPr>
      <w:r>
        <w:rPr>
          <w:rFonts w:ascii="Times New Roman;serif" w:hAnsi="Times New Roman;serif"/>
          <w:b w:val="false"/>
          <w:sz w:val="20"/>
        </w:rPr>
        <w:t>The carrying amounts of the Company’s financial assets and liabilities, including cash and cash equivalents, accounts receivable, accounts payable, and accrued expenses as of July 1, 2023 and December 31, 2022, approximate fair value because of the short maturity of these instruments.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July 1, 2023 and December 31, 2022, financial assets measured and recognized at fair value on a recurring basis and classified under the appropriate level of the fair value hierarchy as described above were as follows (in thousands):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773"/>
        <w:gridCol w:w="146"/>
        <w:gridCol w:w="211"/>
        <w:gridCol w:w="571"/>
        <w:gridCol w:w="146"/>
        <w:gridCol w:w="146"/>
        <w:gridCol w:w="238"/>
        <w:gridCol w:w="389"/>
        <w:gridCol w:w="146"/>
        <w:gridCol w:w="146"/>
        <w:gridCol w:w="238"/>
        <w:gridCol w:w="389"/>
        <w:gridCol w:w="146"/>
        <w:gridCol w:w="146"/>
        <w:gridCol w:w="211"/>
        <w:gridCol w:w="571"/>
        <w:gridCol w:w="146"/>
        <w:gridCol w:w="146"/>
        <w:gridCol w:w="211"/>
        <w:gridCol w:w="676"/>
        <w:gridCol w:w="146"/>
        <w:gridCol w:w="146"/>
        <w:gridCol w:w="238"/>
        <w:gridCol w:w="389"/>
        <w:gridCol w:w="146"/>
        <w:gridCol w:w="146"/>
        <w:gridCol w:w="238"/>
        <w:gridCol w:w="389"/>
        <w:gridCol w:w="146"/>
        <w:gridCol w:w="146"/>
        <w:gridCol w:w="211"/>
        <w:gridCol w:w="676"/>
        <w:gridCol w:w="396"/>
      </w:tblGrid>
      <w:tr>
        <w:trPr/>
        <w:tc>
          <w:tcPr>
            <w:tcW w:w="17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77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69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July 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90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December 31, 2022</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7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69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Measurements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90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Measurements</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7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Assets:</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96" w:type="dxa"/>
            <w:tcBorders/>
            <w:vAlign w:val="center"/>
          </w:tcPr>
          <w:p>
            <w:pPr>
              <w:pStyle w:val="TableContents"/>
              <w:bidi w:val="0"/>
              <w:spacing w:before="0" w:after="0"/>
              <w:ind w:left="0" w:right="0" w:firstLine="200"/>
              <w:jc w:val="right"/>
              <w:rPr/>
            </w:pPr>
            <w:r>
              <w:rPr/>
              <w:t> </w:t>
            </w:r>
          </w:p>
        </w:tc>
      </w:tr>
      <w:tr>
        <w:trPr/>
        <w:tc>
          <w:tcPr>
            <w:tcW w:w="177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8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8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8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8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12,496</w:t>
            </w:r>
          </w:p>
        </w:tc>
        <w:tc>
          <w:tcPr>
            <w:tcW w:w="396"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Company’s Level 1 financial assets are money market funds whose fair values are based on quoted market prices. The Company does not have any Level 2 and Level 3 financial assets or liabilities.</w:t>
      </w:r>
    </w:p>
    <w:p>
      <w:pPr>
        <w:pStyle w:val="TextBody"/>
        <w:bidi w:val="0"/>
        <w:spacing w:before="120" w:after="0"/>
        <w:jc w:val="left"/>
        <w:rPr>
          <w:rFonts w:ascii="Times New Roman;serif" w:hAnsi="Times New Roman;serif"/>
          <w:b/>
          <w:sz w:val="20"/>
        </w:rPr>
      </w:pPr>
      <w:r>
        <w:rPr>
          <w:rFonts w:ascii="Times New Roman;serif" w:hAnsi="Times New Roman;serif"/>
          <w:b/>
          <w:sz w:val="20"/>
        </w:rPr>
        <w:t>8. Leases and Commitments and Contingencies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Operating Leases</w:t>
      </w:r>
    </w:p>
    <w:p>
      <w:pPr>
        <w:pStyle w:val="TextBody"/>
        <w:bidi w:val="0"/>
        <w:spacing w:before="120" w:after="0"/>
        <w:jc w:val="left"/>
        <w:rPr>
          <w:rFonts w:ascii="Times New Roman" w:hAnsi="Times New Roman"/>
          <w:sz w:val="20"/>
        </w:rPr>
      </w:pPr>
      <w:r>
        <w:rPr>
          <w:rFonts w:ascii="Times New Roman;serif" w:hAnsi="Times New Roman;serif"/>
          <w:b w:val="false"/>
          <w:sz w:val="20"/>
        </w:rPr>
        <w:t>Our operating leases consist of facility and office equipment leases. Operating lease expenses for the six months ended July 1, 2023 and July 2, 2022</w:t>
      </w:r>
      <w:r>
        <w:rPr>
          <w:rFonts w:ascii="Times New Roman" w:hAnsi="Times New Roman"/>
          <w:sz w:val="20"/>
        </w:rPr>
        <w:t xml:space="preserve"> </w:t>
      </w:r>
      <w:r>
        <w:rPr>
          <w:rFonts w:ascii="Times New Roman;serif" w:hAnsi="Times New Roman;serif"/>
          <w:b w:val="false"/>
          <w:sz w:val="20"/>
        </w:rPr>
        <w:t>were $0.5</w:t>
      </w:r>
      <w:r>
        <w:rPr>
          <w:rFonts w:ascii="Times New Roman" w:hAnsi="Times New Roman"/>
          <w:sz w:val="20"/>
        </w:rPr>
        <w:t xml:space="preserve"> </w:t>
      </w:r>
      <w:r>
        <w:rPr>
          <w:rFonts w:ascii="Times New Roman;serif" w:hAnsi="Times New Roman;serif"/>
          <w:b w:val="false"/>
          <w:sz w:val="20"/>
        </w:rPr>
        <w:t>million and $0.5</w:t>
      </w:r>
      <w:r>
        <w:rPr>
          <w:rFonts w:ascii="Times New Roman" w:hAnsi="Times New Roman"/>
          <w:sz w:val="20"/>
        </w:rPr>
        <w:t xml:space="preserve"> </w:t>
      </w:r>
      <w:r>
        <w:rPr>
          <w:rFonts w:ascii="Times New Roman;serif" w:hAnsi="Times New Roman;serif"/>
          <w:b w:val="false"/>
          <w:sz w:val="20"/>
        </w:rPr>
        <w:t>million, respectively. The weighted average discount rate used in calculating the present value of lease payments was 4.9%. As of July 1, 2023, the weighted average remaining lease term for our operating leases was 1.2</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represents maturities of operating lease liabilities as of July 1, 2023 (in thousands):</w:t>
      </w:r>
    </w:p>
    <w:p>
      <w:pPr>
        <w:pStyle w:val="TextBody"/>
        <w:bidi w:val="0"/>
        <w:spacing w:before="0" w:after="0"/>
        <w:jc w:val="left"/>
        <w:rPr/>
      </w:pPr>
      <w:r>
        <w:rPr/>
        <w:t> </w:t>
      </w:r>
    </w:p>
    <w:tbl>
      <w:tblPr>
        <w:tblW w:w="4843" w:type="dxa"/>
        <w:jc w:val="left"/>
        <w:tblInd w:w="0" w:type="dxa"/>
        <w:tblLayout w:type="fixed"/>
        <w:tblCellMar>
          <w:top w:w="28" w:type="dxa"/>
          <w:left w:w="28" w:type="dxa"/>
          <w:bottom w:w="28" w:type="dxa"/>
          <w:right w:w="28" w:type="dxa"/>
        </w:tblCellMar>
      </w:tblPr>
      <w:tblGrid>
        <w:gridCol w:w="3226"/>
        <w:gridCol w:w="146"/>
        <w:gridCol w:w="338"/>
        <w:gridCol w:w="922"/>
        <w:gridCol w:w="21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Fiscal 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Operating</w:t>
              <w:br/>
              <w:t>Lease Payments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2023 (six months)</w:t>
            </w:r>
          </w:p>
        </w:tc>
        <w:tc>
          <w:tcPr>
            <w:tcW w:w="146" w:type="dxa"/>
            <w:tcBorders/>
            <w:vAlign w:val="center"/>
          </w:tcPr>
          <w:p>
            <w:pPr>
              <w:pStyle w:val="TableContents"/>
              <w:bidi w:val="0"/>
              <w:spacing w:before="0" w:after="0"/>
              <w:ind w:left="0" w:right="0" w:hanging="0"/>
              <w:jc w:val="left"/>
              <w:rPr/>
            </w:pPr>
            <w:r>
              <w:rPr/>
              <w:t> </w:t>
            </w:r>
          </w:p>
        </w:tc>
        <w:tc>
          <w:tcPr>
            <w:tcW w:w="3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549</w:t>
            </w:r>
          </w:p>
        </w:tc>
        <w:tc>
          <w:tcPr>
            <w:tcW w:w="211" w:type="dxa"/>
            <w:tcBorders/>
            <w:vAlign w:val="center"/>
          </w:tcPr>
          <w:p>
            <w:pPr>
              <w:pStyle w:val="TableContents"/>
              <w:bidi w:val="0"/>
              <w:spacing w:before="0" w:after="0"/>
              <w:ind w:left="0" w:right="0" w:hanging="0"/>
              <w:jc w:val="left"/>
              <w:rPr/>
            </w:pPr>
            <w:r>
              <w:rPr/>
              <w:t> </w:t>
            </w:r>
          </w:p>
        </w:tc>
      </w:tr>
      <w:tr>
        <w:trPr/>
        <w:tc>
          <w:tcPr>
            <w:tcW w:w="3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33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723</w:t>
            </w:r>
          </w:p>
        </w:tc>
        <w:tc>
          <w:tcPr>
            <w:tcW w:w="211" w:type="dxa"/>
            <w:tcBorders/>
            <w:vAlign w:val="center"/>
          </w:tcPr>
          <w:p>
            <w:pPr>
              <w:pStyle w:val="TableContents"/>
              <w:bidi w:val="0"/>
              <w:spacing w:before="0" w:after="0"/>
              <w:ind w:left="0" w:right="0" w:hanging="0"/>
              <w:jc w:val="left"/>
              <w:rPr/>
            </w:pPr>
            <w:r>
              <w:rPr/>
              <w:t> </w:t>
            </w:r>
          </w:p>
        </w:tc>
      </w:tr>
      <w:tr>
        <w:trPr/>
        <w:tc>
          <w:tcPr>
            <w:tcW w:w="3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33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11" w:type="dxa"/>
            <w:tcBorders/>
            <w:vAlign w:val="center"/>
          </w:tcPr>
          <w:p>
            <w:pPr>
              <w:pStyle w:val="TableContents"/>
              <w:bidi w:val="0"/>
              <w:spacing w:before="0" w:after="0"/>
              <w:ind w:left="0" w:right="0" w:hanging="0"/>
              <w:jc w:val="left"/>
              <w:rPr/>
            </w:pPr>
            <w:r>
              <w:rPr/>
              <w:t> </w:t>
            </w:r>
          </w:p>
        </w:tc>
      </w:tr>
      <w:tr>
        <w:trPr/>
        <w:tc>
          <w:tcPr>
            <w:tcW w:w="3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3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payments</w:t>
            </w:r>
          </w:p>
        </w:tc>
        <w:tc>
          <w:tcPr>
            <w:tcW w:w="146" w:type="dxa"/>
            <w:tcBorders/>
            <w:vAlign w:val="center"/>
          </w:tcPr>
          <w:p>
            <w:pPr>
              <w:pStyle w:val="TableContents"/>
              <w:bidi w:val="0"/>
              <w:spacing w:before="0" w:after="0"/>
              <w:ind w:left="0" w:right="0" w:hanging="0"/>
              <w:jc w:val="left"/>
              <w:rPr/>
            </w:pPr>
            <w:r>
              <w:rPr/>
              <w:t> </w:t>
            </w:r>
          </w:p>
        </w:tc>
        <w:tc>
          <w:tcPr>
            <w:tcW w:w="33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1,294</w:t>
            </w:r>
          </w:p>
        </w:tc>
        <w:tc>
          <w:tcPr>
            <w:tcW w:w="211" w:type="dxa"/>
            <w:tcBorders/>
            <w:vAlign w:val="center"/>
          </w:tcPr>
          <w:p>
            <w:pPr>
              <w:pStyle w:val="TableContents"/>
              <w:bidi w:val="0"/>
              <w:spacing w:before="0" w:after="0"/>
              <w:ind w:left="0" w:right="0" w:hanging="0"/>
              <w:jc w:val="left"/>
              <w:rPr/>
            </w:pPr>
            <w:r>
              <w:rPr/>
              <w:t> </w:t>
            </w:r>
          </w:p>
        </w:tc>
      </w:tr>
      <w:tr>
        <w:trPr/>
        <w:tc>
          <w:tcPr>
            <w:tcW w:w="3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46" w:type="dxa"/>
            <w:tcBorders/>
            <w:vAlign w:val="center"/>
          </w:tcPr>
          <w:p>
            <w:pPr>
              <w:pStyle w:val="TableContents"/>
              <w:bidi w:val="0"/>
              <w:spacing w:before="0" w:after="0"/>
              <w:ind w:left="0" w:right="0" w:hanging="0"/>
              <w:jc w:val="left"/>
              <w:rPr/>
            </w:pPr>
            <w:r>
              <w:rPr/>
              <w:t> </w:t>
            </w:r>
          </w:p>
        </w:tc>
        <w:tc>
          <w:tcPr>
            <w:tcW w:w="3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liabilities</w:t>
            </w:r>
          </w:p>
        </w:tc>
        <w:tc>
          <w:tcPr>
            <w:tcW w:w="146" w:type="dxa"/>
            <w:tcBorders/>
            <w:vAlign w:val="center"/>
          </w:tcPr>
          <w:p>
            <w:pPr>
              <w:pStyle w:val="TableContents"/>
              <w:bidi w:val="0"/>
              <w:spacing w:before="0" w:after="0"/>
              <w:ind w:left="0" w:right="0" w:hanging="0"/>
              <w:jc w:val="left"/>
              <w:rPr/>
            </w:pPr>
            <w:r>
              <w:rPr/>
              <w:t> </w:t>
            </w:r>
          </w:p>
        </w:tc>
        <w:tc>
          <w:tcPr>
            <w:tcW w:w="338"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1,259</w:t>
            </w:r>
          </w:p>
        </w:tc>
        <w:tc>
          <w:tcPr>
            <w:tcW w:w="211" w:type="dxa"/>
            <w:tcBorders/>
            <w:vAlign w:val="center"/>
          </w:tcPr>
          <w:p>
            <w:pPr>
              <w:pStyle w:val="TableContents"/>
              <w:bidi w:val="0"/>
              <w:spacing w:before="0" w:after="0"/>
              <w:ind w:left="0" w:right="0" w:hanging="0"/>
              <w:jc w:val="left"/>
              <w:rPr/>
            </w:pPr>
            <w:r>
              <w:rPr/>
              <w:t> </w:t>
            </w:r>
          </w:p>
        </w:tc>
      </w:tr>
      <w:tr>
        <w:trPr/>
        <w:tc>
          <w:tcPr>
            <w:tcW w:w="3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 portion of lease liabilities</w:t>
            </w:r>
          </w:p>
        </w:tc>
        <w:tc>
          <w:tcPr>
            <w:tcW w:w="146" w:type="dxa"/>
            <w:tcBorders/>
            <w:vAlign w:val="center"/>
          </w:tcPr>
          <w:p>
            <w:pPr>
              <w:pStyle w:val="TableContents"/>
              <w:bidi w:val="0"/>
              <w:spacing w:before="0" w:after="0"/>
              <w:ind w:left="0" w:right="0" w:hanging="0"/>
              <w:jc w:val="left"/>
              <w:rPr/>
            </w:pPr>
            <w:r>
              <w:rPr/>
              <w:t> </w:t>
            </w:r>
          </w:p>
        </w:tc>
        <w:tc>
          <w:tcPr>
            <w:tcW w:w="3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portion of lease liabilities</w:t>
            </w:r>
          </w:p>
        </w:tc>
        <w:tc>
          <w:tcPr>
            <w:tcW w:w="146" w:type="dxa"/>
            <w:tcBorders/>
            <w:vAlign w:val="center"/>
          </w:tcPr>
          <w:p>
            <w:pPr>
              <w:pStyle w:val="TableContents"/>
              <w:bidi w:val="0"/>
              <w:spacing w:before="0" w:after="0"/>
              <w:ind w:left="0" w:right="0" w:hanging="0"/>
              <w:jc w:val="left"/>
              <w:rPr/>
            </w:pPr>
            <w:r>
              <w:rPr/>
              <w:t> </w:t>
            </w:r>
          </w:p>
        </w:tc>
        <w:tc>
          <w:tcPr>
            <w:tcW w:w="3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1,049</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Purchase Commitments</w:t>
      </w:r>
    </w:p>
    <w:p>
      <w:pPr>
        <w:pStyle w:val="TextBody"/>
        <w:bidi w:val="0"/>
        <w:spacing w:before="120" w:after="0"/>
        <w:jc w:val="left"/>
        <w:rPr>
          <w:rFonts w:ascii="Times New Roman" w:hAnsi="Times New Roman"/>
          <w:sz w:val="20"/>
        </w:rPr>
      </w:pPr>
      <w:r>
        <w:rPr>
          <w:rFonts w:ascii="Times New Roman;serif" w:hAnsi="Times New Roman;serif"/>
          <w:b w:val="false"/>
          <w:sz w:val="20"/>
        </w:rPr>
        <w:t>Our purchase commitments consist primarily of non-cancellable purchase commitments with vendors to manufacture certain components and ophthalmic instrumentation. As of July 1, 2023, our future minimum payments through fiscal year 2025 for our purchase commitments were approximately $18.1</w:t>
      </w:r>
      <w:r>
        <w:rPr>
          <w:rFonts w:ascii="Times New Roman" w:hAnsi="Times New Roman"/>
          <w:sz w:val="20"/>
        </w:rPr>
        <w:t xml:space="preserve"> </w:t>
      </w:r>
      <w:r>
        <w:rPr>
          <w:rFonts w:ascii="Times New Roman;serif" w:hAnsi="Times New Roman;serif"/>
          <w:b w:val="false"/>
          <w:sz w:val="20"/>
        </w:rPr>
        <w:t>million, with $14.1</w:t>
      </w:r>
      <w:r>
        <w:rPr>
          <w:rFonts w:ascii="Times New Roman" w:hAnsi="Times New Roman"/>
          <w:sz w:val="20"/>
        </w:rPr>
        <w:t xml:space="preserve"> </w:t>
      </w:r>
      <w:r>
        <w:rPr>
          <w:rFonts w:ascii="Times New Roman;serif" w:hAnsi="Times New Roman;serif"/>
          <w:b w:val="false"/>
          <w:sz w:val="20"/>
        </w:rPr>
        <w:t>million committed for the next 12 months.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Indemnities</w:t>
      </w:r>
    </w:p>
    <w:p>
      <w:pPr>
        <w:pStyle w:val="TextBody"/>
        <w:bidi w:val="0"/>
        <w:spacing w:before="120" w:after="0"/>
        <w:jc w:val="left"/>
        <w:rPr>
          <w:rFonts w:ascii="Times New Roman" w:hAnsi="Times New Roman"/>
          <w:sz w:val="20"/>
        </w:rPr>
      </w:pPr>
      <w:r>
        <w:rPr>
          <w:rFonts w:ascii="Times New Roman;serif" w:hAnsi="Times New Roman;serif"/>
          <w:b w:val="false"/>
          <w:sz w:val="20"/>
        </w:rPr>
        <w:t>We enter into standard indemnification arrangements in the ordinary course of business. Pursuant to these arrangements, we indemnify, hold harmless, and agree to reimburse the indemnified parties for losses suffered or incurred by the indemnified parties (generally our business partners or customers) in connection with any trade secret, copyright, patent or other intellectual property infringement claim by any third-party with respect to our products. The term of these indemnification agreements is generally perpetual any time after the execution of the agreement. The maximum potential amount of future payments that we could be required to make under these agreements is not determinable. We have never incurred costs to defend lawsuits or settle claims related to these indemnification agreements. As a result, we believe the estimated fair value of these agreements is minimal.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entered into indemnification agreements with our directors and officers that may require us to indemnify our directors and officers against liabilities that may arise by reason of their status or service as directors or officers, other than liabilities arising from willful misconduct of a culpable nature. These agreements also require us to advance their expenses incurred as a result of any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proceeding against them as to which they could be indemnified and to make good faith determination whether or not it is practicable for us to obtain directors and officers insurance. We currently have directors and officers liability insurance.</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Legal Proceedings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9. Stock-Based Compensation</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accounts for stock-based compensation granted to employees and directors, including stock option awards, restricted stock and restricted stock units (“RSUs”) in accordance with FASB ASC Topic 718</w:t>
      </w:r>
      <w:r>
        <w:rPr>
          <w:rFonts w:ascii="Times New Roman;serif" w:hAnsi="Times New Roman;serif"/>
          <w:b w:val="false"/>
          <w:i/>
          <w:sz w:val="20"/>
        </w:rPr>
        <w:t>, “Compensation – Stock Compensation”</w:t>
      </w:r>
      <w:r>
        <w:rPr>
          <w:rFonts w:ascii="Times New Roman" w:hAnsi="Times New Roman"/>
          <w:sz w:val="20"/>
        </w:rPr>
        <w:t xml:space="preserve"> </w:t>
      </w:r>
      <w:r>
        <w:rPr>
          <w:rFonts w:ascii="Times New Roman;serif" w:hAnsi="Times New Roman;serif"/>
          <w:b w:val="false"/>
          <w:sz w:val="20"/>
        </w:rPr>
        <w:t>(“ASC 718”). Accordingly, stock-based compensation cost is measured at grant date, based on the fair value of the award, and is recognized as expense over the employee’s service period. The Company recognizes compensation expense on a ratable basis over the requisite service period of the award.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values options using the Black-Scholes option pricing model. Time-based RSUs are valued at the grant date fair value of the underlying common shares. Performance-based RSUs without market conditions are valued at grant date fair value of the underlying common shares. Performance-based RSUs granted with market conditions and performance-based stock options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2008 Equity Incentive Plan, as amended.</w:t>
      </w:r>
    </w:p>
    <w:p>
      <w:pPr>
        <w:pStyle w:val="TextBody"/>
        <w:bidi w:val="0"/>
        <w:spacing w:before="120" w:after="0"/>
        <w:jc w:val="left"/>
        <w:rPr>
          <w:rFonts w:ascii="Times New Roman" w:hAnsi="Times New Roman"/>
          <w:sz w:val="20"/>
        </w:rPr>
      </w:pPr>
      <w:r>
        <w:rPr>
          <w:rFonts w:ascii="Times New Roman;serif" w:hAnsi="Times New Roman;serif"/>
          <w:b w:val="false"/>
          <w:sz w:val="20"/>
        </w:rPr>
        <w:t>The terms of awards granted during the six months ended July 1, 2023 were consistent with those described in the consolidated financial statements included in our Annual Report on Form 10-K for the year ended December 31, 2022.</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shows stock-based compensation expense included in the condensed consolidated statements of operations for the three and six months ended July 1, 2023 and July 2, 2022 (in thousands):</w:t>
      </w:r>
    </w:p>
    <w:p>
      <w:pPr>
        <w:pStyle w:val="TextBody"/>
        <w:bidi w:val="0"/>
        <w:spacing w:before="0" w:after="0"/>
        <w:jc w:val="left"/>
        <w:rPr/>
      </w:pPr>
      <w:r>
        <w:rPr/>
        <w:t> </w:t>
      </w:r>
    </w:p>
    <w:tbl>
      <w:tblPr>
        <w:tblW w:w="7552" w:type="dxa"/>
        <w:jc w:val="left"/>
        <w:tblInd w:w="0" w:type="dxa"/>
        <w:tblLayout w:type="fixed"/>
        <w:tblCellMar>
          <w:top w:w="28" w:type="dxa"/>
          <w:left w:w="28" w:type="dxa"/>
          <w:bottom w:w="28" w:type="dxa"/>
          <w:right w:w="28" w:type="dxa"/>
        </w:tblCellMar>
      </w:tblPr>
      <w:tblGrid>
        <w:gridCol w:w="2311"/>
        <w:gridCol w:w="146"/>
        <w:gridCol w:w="335"/>
        <w:gridCol w:w="670"/>
        <w:gridCol w:w="150"/>
        <w:gridCol w:w="150"/>
        <w:gridCol w:w="335"/>
        <w:gridCol w:w="670"/>
        <w:gridCol w:w="146"/>
        <w:gridCol w:w="146"/>
        <w:gridCol w:w="335"/>
        <w:gridCol w:w="670"/>
        <w:gridCol w:w="146"/>
        <w:gridCol w:w="146"/>
        <w:gridCol w:w="335"/>
        <w:gridCol w:w="670"/>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0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1, 2023</w:t>
            </w:r>
          </w:p>
        </w:tc>
        <w:tc>
          <w:tcPr>
            <w:tcW w:w="1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0"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2,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2,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revenues</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50" w:type="dxa"/>
            <w:tcBorders/>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1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6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150" w:type="dxa"/>
            <w:tcBorders/>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6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6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6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1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6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150" w:type="dxa"/>
            <w:tcBorders/>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6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6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67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w:t>
            </w:r>
          </w:p>
        </w:tc>
        <w:tc>
          <w:tcPr>
            <w:tcW w:w="1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w:t>
            </w:r>
          </w:p>
        </w:tc>
        <w:tc>
          <w:tcPr>
            <w:tcW w:w="1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w:t>
            </w:r>
          </w:p>
        </w:tc>
        <w:tc>
          <w:tcPr>
            <w:tcW w:w="1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0" w:type="dxa"/>
            <w:tcBorders/>
            <w:vAlign w:val="center"/>
          </w:tcPr>
          <w:p>
            <w:pPr>
              <w:pStyle w:val="TableContents"/>
              <w:bidi w:val="0"/>
              <w:spacing w:before="0" w:after="0"/>
              <w:ind w:left="0" w:right="0" w:hanging="0"/>
              <w:jc w:val="left"/>
              <w:rPr/>
            </w:pPr>
            <w:r>
              <w:rPr/>
              <w:t> </w:t>
            </w:r>
          </w:p>
        </w:tc>
        <w:tc>
          <w:tcPr>
            <w:tcW w:w="3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Stock-based compensation expense capitalized to inventory was immaterial for the six months ended July 1, 2023 and July 2, 2022.</w:t>
      </w:r>
    </w:p>
    <w:p>
      <w:pPr>
        <w:pStyle w:val="TextBody"/>
        <w:bidi w:val="0"/>
        <w:spacing w:before="120" w:after="0"/>
        <w:jc w:val="left"/>
        <w:rPr>
          <w:rFonts w:ascii="Times New Roman" w:hAnsi="Times New Roman"/>
          <w:sz w:val="20"/>
        </w:rPr>
      </w:pPr>
      <w:r>
        <w:rPr>
          <w:rFonts w:ascii="Times New Roman;serif" w:hAnsi="Times New Roman;serif"/>
          <w:b w:val="false"/>
          <w:sz w:val="20"/>
        </w:rPr>
        <w:t>As of July 1, 2023, there was $1.9</w:t>
      </w:r>
      <w:r>
        <w:rPr>
          <w:rFonts w:ascii="Times New Roman" w:hAnsi="Times New Roman"/>
          <w:sz w:val="20"/>
        </w:rPr>
        <w:t xml:space="preserve"> </w:t>
      </w:r>
      <w:r>
        <w:rPr>
          <w:rFonts w:ascii="Times New Roman;serif" w:hAnsi="Times New Roman;serif"/>
          <w:b w:val="false"/>
          <w:sz w:val="20"/>
        </w:rPr>
        <w:t>million of total unrecognized compensation cost, net of expected forfeitures, related to non-vested stock-based compensation arrangements. The cost is expected to be recognized over a weighted average period of 1.46 years.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Summary of Stock Options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stock options information during the six months ended July 1, 2023:</w:t>
      </w:r>
    </w:p>
    <w:p>
      <w:pPr>
        <w:pStyle w:val="TextBody"/>
        <w:bidi w:val="0"/>
        <w:spacing w:before="0" w:after="0"/>
        <w:jc w:val="left"/>
        <w:rPr/>
      </w:pPr>
      <w:r>
        <w:rPr/>
        <w:t> </w:t>
      </w:r>
    </w:p>
    <w:tbl>
      <w:tblPr>
        <w:tblW w:w="7254" w:type="dxa"/>
        <w:jc w:val="left"/>
        <w:tblInd w:w="0" w:type="dxa"/>
        <w:tblLayout w:type="fixed"/>
        <w:tblCellMar>
          <w:top w:w="28" w:type="dxa"/>
          <w:left w:w="28" w:type="dxa"/>
          <w:bottom w:w="28" w:type="dxa"/>
          <w:right w:w="28" w:type="dxa"/>
        </w:tblCellMar>
      </w:tblPr>
      <w:tblGrid>
        <w:gridCol w:w="3166"/>
        <w:gridCol w:w="146"/>
        <w:gridCol w:w="146"/>
        <w:gridCol w:w="931"/>
        <w:gridCol w:w="166"/>
        <w:gridCol w:w="146"/>
        <w:gridCol w:w="350"/>
        <w:gridCol w:w="775"/>
        <w:gridCol w:w="146"/>
        <w:gridCol w:w="146"/>
        <w:gridCol w:w="377"/>
        <w:gridCol w:w="568"/>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Exercise Price</w:t>
              <w:br/>
              <w:t>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w:t>
              <w:br/>
              <w:t>Intrinsic</w:t>
              <w:br/>
              <w:t>Value</w:t>
              <w:br/>
              <w:t>(thousands)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as of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2,232,967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(17,499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Canceled or forfeited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(151,523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as of July 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2,099,545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weighted average grant date fair value of the options granted was $1.35</w:t>
      </w:r>
      <w:r>
        <w:rPr>
          <w:rFonts w:ascii="Times New Roman" w:hAnsi="Times New Roman"/>
          <w:sz w:val="20"/>
        </w:rPr>
        <w:t xml:space="preserve"> </w:t>
      </w:r>
      <w:r>
        <w:rPr>
          <w:rFonts w:ascii="Times New Roman;serif" w:hAnsi="Times New Roman;serif"/>
          <w:b w:val="false"/>
          <w:sz w:val="20"/>
        </w:rPr>
        <w:t>and $2.68</w:t>
      </w:r>
      <w:r>
        <w:rPr>
          <w:rFonts w:ascii="Times New Roman" w:hAnsi="Times New Roman"/>
          <w:sz w:val="20"/>
        </w:rPr>
        <w:t xml:space="preserve"> </w:t>
      </w:r>
      <w:r>
        <w:rPr>
          <w:rFonts w:ascii="Times New Roman;serif" w:hAnsi="Times New Roman;serif"/>
          <w:b w:val="false"/>
          <w:sz w:val="20"/>
        </w:rPr>
        <w:t>per share for the six months ended July 1, 2023 and July 2, 2022, respectively.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uses the Black-Scholes option-pricing model to estimate the fair value of stock-based awards (options) with the following weighted average assumptions:</w:t>
      </w:r>
    </w:p>
    <w:p>
      <w:pPr>
        <w:pStyle w:val="TextBody"/>
        <w:bidi w:val="0"/>
        <w:spacing w:before="0" w:after="0"/>
        <w:jc w:val="left"/>
        <w:rPr/>
      </w:pPr>
      <w:r>
        <w:rPr/>
        <w:t> </w:t>
      </w:r>
    </w:p>
    <w:tbl>
      <w:tblPr>
        <w:tblW w:w="8209" w:type="dxa"/>
        <w:jc w:val="left"/>
        <w:tblInd w:w="0" w:type="dxa"/>
        <w:tblLayout w:type="fixed"/>
        <w:tblCellMar>
          <w:top w:w="28" w:type="dxa"/>
          <w:left w:w="28" w:type="dxa"/>
          <w:bottom w:w="28" w:type="dxa"/>
          <w:right w:w="28" w:type="dxa"/>
        </w:tblCellMar>
      </w:tblPr>
      <w:tblGrid>
        <w:gridCol w:w="2476"/>
        <w:gridCol w:w="146"/>
        <w:gridCol w:w="239"/>
        <w:gridCol w:w="766"/>
        <w:gridCol w:w="271"/>
        <w:gridCol w:w="146"/>
        <w:gridCol w:w="239"/>
        <w:gridCol w:w="766"/>
        <w:gridCol w:w="271"/>
        <w:gridCol w:w="146"/>
        <w:gridCol w:w="239"/>
        <w:gridCol w:w="766"/>
        <w:gridCol w:w="271"/>
        <w:gridCol w:w="146"/>
        <w:gridCol w:w="239"/>
        <w:gridCol w:w="766"/>
        <w:gridCol w:w="31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2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2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1, 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2, 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1, 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2, 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Average risk free interest rate</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4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life (in years)</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316" w:type="dxa"/>
            <w:tcBorders/>
            <w:vAlign w:val="center"/>
          </w:tcPr>
          <w:p>
            <w:pPr>
              <w:pStyle w:val="TableContents"/>
              <w:bidi w:val="0"/>
              <w:spacing w:before="0" w:after="0"/>
              <w:ind w:left="0" w:right="0" w:hanging="0"/>
              <w:jc w:val="right"/>
              <w:rPr/>
            </w:pPr>
            <w:r>
              <w:rPr/>
              <w:t> </w:t>
            </w:r>
          </w:p>
        </w:tc>
      </w:tr>
      <w:tr>
        <w:trPr/>
        <w:tc>
          <w:tcPr>
            <w:tcW w:w="24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 yield</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4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Average volatility</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Option-pricing models require the input of various subjective assumptions, including the option’s expected life and the price volatility of the underlying stock. The expected stock price volatility is based on analysis of the Company’s stock price history over a period commensurate with the expected term of the options, trading volume of the Company’s stock, look-back volatilities and Company-specific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by the Company, the contractual term, the vesting period and the expected remaining term of the outstanding options. The risk-free interest rate is based on the U.S. Treasury interest rates whose term is consistent with the expected life of the stock options. No dividend yield is included as the Company has not issued any dividends and does not anticipate issuing any dividends in the future.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Information regarding stock options outstanding, vested, expected to vest, and exercisable as of July 1, 2023 is summarized below:</w:t>
      </w:r>
    </w:p>
    <w:p>
      <w:pPr>
        <w:pStyle w:val="TextBody"/>
        <w:bidi w:val="0"/>
        <w:spacing w:before="0" w:after="0"/>
        <w:jc w:val="left"/>
        <w:rPr/>
      </w:pPr>
      <w:r>
        <w:rPr/>
        <w:t> </w:t>
      </w:r>
    </w:p>
    <w:tbl>
      <w:tblPr>
        <w:tblW w:w="8622" w:type="dxa"/>
        <w:jc w:val="left"/>
        <w:tblInd w:w="0" w:type="dxa"/>
        <w:tblLayout w:type="fixed"/>
        <w:tblCellMar>
          <w:top w:w="28" w:type="dxa"/>
          <w:left w:w="28" w:type="dxa"/>
          <w:bottom w:w="28" w:type="dxa"/>
          <w:right w:w="28" w:type="dxa"/>
        </w:tblCellMar>
      </w:tblPr>
      <w:tblGrid>
        <w:gridCol w:w="3046"/>
        <w:gridCol w:w="146"/>
        <w:gridCol w:w="146"/>
        <w:gridCol w:w="931"/>
        <w:gridCol w:w="146"/>
        <w:gridCol w:w="146"/>
        <w:gridCol w:w="350"/>
        <w:gridCol w:w="775"/>
        <w:gridCol w:w="146"/>
        <w:gridCol w:w="146"/>
        <w:gridCol w:w="236"/>
        <w:gridCol w:w="755"/>
        <w:gridCol w:w="146"/>
        <w:gridCol w:w="146"/>
        <w:gridCol w:w="467"/>
        <w:gridCol w:w="703"/>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Weighted </w:t>
              <w:br/>
              <w:t>Average</w:t>
              <w:br/>
              <w:t>Exercise 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Weighted </w:t>
              <w:br/>
              <w:t>Average</w:t>
              <w:br/>
              <w:t xml:space="preserve">Remaining </w:t>
              <w:br/>
              <w:t>Contractual</w:t>
              <w:br/>
              <w:t>Life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Aggregate</w:t>
              <w:br/>
              <w:t>Intrinsic</w:t>
            </w:r>
            <w:r>
              <w:rPr>
                <w:rFonts w:ascii="Times New Roman" w:hAnsi="Times New Roman"/>
                <w:sz w:val="16"/>
              </w:rPr>
              <w:t xml:space="preserve"> </w:t>
            </w:r>
            <w:r>
              <w:rPr>
                <w:rFonts w:ascii="Times New Roman;serif" w:hAnsi="Times New Roman;serif"/>
                <w:b/>
                <w:sz w:val="16"/>
              </w:rPr>
              <w:t>Value</w:t>
              <w:br/>
              <w:t>(thousands)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outstanding</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2,099,545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91" w:type="dxa"/>
            <w:tcBorders/>
            <w:vAlign w:val="center"/>
          </w:tcPr>
          <w:p>
            <w:pPr>
              <w:pStyle w:val="TableContents"/>
              <w:bidi w:val="0"/>
              <w:spacing w:before="0" w:after="0"/>
              <w:ind w:left="0" w:right="0" w:hanging="0"/>
              <w:jc w:val="left"/>
              <w:rPr/>
            </w:pPr>
            <w:r>
              <w:rPr/>
              <w:t> </w:t>
            </w:r>
          </w:p>
        </w:tc>
      </w:tr>
      <w:tr>
        <w:trPr/>
        <w:tc>
          <w:tcPr>
            <w:tcW w:w="3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vested and expected to vest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2,052,971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91" w:type="dxa"/>
            <w:tcBorders/>
            <w:vAlign w:val="center"/>
          </w:tcPr>
          <w:p>
            <w:pPr>
              <w:pStyle w:val="TableContents"/>
              <w:bidi w:val="0"/>
              <w:spacing w:before="0" w:after="0"/>
              <w:ind w:left="0" w:right="0" w:hanging="0"/>
              <w:jc w:val="left"/>
              <w:rPr/>
            </w:pPr>
            <w:r>
              <w:rPr/>
              <w:t> </w:t>
            </w:r>
          </w:p>
        </w:tc>
      </w:tr>
      <w:tr>
        <w:trPr/>
        <w:tc>
          <w:tcPr>
            <w:tcW w:w="3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exercisable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1,210,626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aggregate intrinsic value in the table above represents the pre-tax intrinsic value, based on the Company’s closing price as of July 1, 2023, that would have been received by option holders had all option holders exercised their stock options as of that date. This amount changes based on the fair market value of the Company’s common stock. The total intrinsic value of options exercised for the six months ended July 1, 2023 and July 2, 2022</w:t>
      </w:r>
      <w:r>
        <w:rPr>
          <w:rFonts w:ascii="Times New Roman" w:hAnsi="Times New Roman"/>
          <w:sz w:val="20"/>
        </w:rPr>
        <w:t xml:space="preserve"> </w:t>
      </w:r>
      <w:r>
        <w:rPr>
          <w:rFonts w:ascii="Times New Roman;serif" w:hAnsi="Times New Roman;serif"/>
          <w:b w:val="false"/>
          <w:sz w:val="20"/>
        </w:rPr>
        <w:t>was approximately $4</w:t>
      </w:r>
      <w:r>
        <w:rPr>
          <w:rFonts w:ascii="Times New Roman" w:hAnsi="Times New Roman"/>
          <w:sz w:val="20"/>
        </w:rPr>
        <w:t xml:space="preserve"> </w:t>
      </w:r>
      <w:r>
        <w:rPr>
          <w:rFonts w:ascii="Times New Roman;serif" w:hAnsi="Times New Roman;serif"/>
          <w:b w:val="false"/>
          <w:sz w:val="20"/>
        </w:rPr>
        <w:t>thousand and $19</w:t>
      </w:r>
      <w:r>
        <w:rPr>
          <w:rFonts w:ascii="Times New Roman" w:hAnsi="Times New Roman"/>
          <w:sz w:val="20"/>
        </w:rPr>
        <w:t xml:space="preserve"> </w:t>
      </w:r>
      <w:r>
        <w:rPr>
          <w:rFonts w:ascii="Times New Roman;serif" w:hAnsi="Times New Roman;serif"/>
          <w:b w:val="false"/>
          <w:sz w:val="20"/>
        </w:rPr>
        <w:t>thousand, respectively.</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Summary of RSUs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Information regarding RSUs activity for the six months ended July 1, 2023 is summarized below:</w:t>
      </w:r>
    </w:p>
    <w:p>
      <w:pPr>
        <w:pStyle w:val="TextBody"/>
        <w:bidi w:val="0"/>
        <w:spacing w:before="0" w:after="0"/>
        <w:jc w:val="left"/>
        <w:rPr/>
      </w:pPr>
      <w:r>
        <w:rPr/>
        <w:t> </w:t>
      </w:r>
    </w:p>
    <w:tbl>
      <w:tblPr>
        <w:tblW w:w="4510" w:type="dxa"/>
        <w:jc w:val="left"/>
        <w:tblInd w:w="0" w:type="dxa"/>
        <w:tblLayout w:type="fixed"/>
        <w:tblCellMar>
          <w:top w:w="28" w:type="dxa"/>
          <w:left w:w="28" w:type="dxa"/>
          <w:bottom w:w="28" w:type="dxa"/>
          <w:right w:w="28" w:type="dxa"/>
        </w:tblCellMar>
      </w:tblPr>
      <w:tblGrid>
        <w:gridCol w:w="3166"/>
        <w:gridCol w:w="146"/>
        <w:gridCol w:w="146"/>
        <w:gridCol w:w="841"/>
        <w:gridCol w:w="21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br/>
              <w:t>of Shares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as of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473,029</w:t>
            </w:r>
          </w:p>
        </w:tc>
        <w:tc>
          <w:tcPr>
            <w:tcW w:w="211" w:type="dxa"/>
            <w:tcBorders/>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RSUs 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196,335</w:t>
            </w:r>
          </w:p>
        </w:tc>
        <w:tc>
          <w:tcPr>
            <w:tcW w:w="211" w:type="dxa"/>
            <w:tcBorders/>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RSUs released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(228,308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RSUs forfeited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(39,543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as of July 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401,513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10. Income Taxes</w:t>
      </w:r>
      <w:r>
        <w:rPr>
          <w:rFonts w:ascii="Times New Roman" w:hAnsi="Times New Roman"/>
          <w:sz w:val="20"/>
        </w:rPr>
        <w:t xml:space="preserve">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Provision for Income Tax</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 Company calculates its interim tax provision in accordance with the provisions of ASC Topic 740-270, </w:t>
      </w:r>
      <w:r>
        <w:rPr>
          <w:rFonts w:ascii="Times New Roman;serif" w:hAnsi="Times New Roman;serif"/>
          <w:b w:val="false"/>
          <w:i/>
          <w:sz w:val="20"/>
        </w:rPr>
        <w:t>Income Taxes; Interim Reporting</w:t>
      </w:r>
      <w:r>
        <w:rPr>
          <w:rFonts w:ascii="Times New Roman;serif" w:hAnsi="Times New Roman;serif"/>
          <w:b w:val="false"/>
          <w:sz w:val="20"/>
        </w:rPr>
        <w:t>. For interim periods, the Company estimates its annual effective income tax rate and applies the estimated rate to the year-to-date income or loss before income taxes. The Company also computes the tax provision or benefit related to items reported separately and recognizes the items net of their related tax effect in the interim periods in which they occur. The Company also recognizes the effect of changes in enacted tax laws or rates in the interim periods in which the changes occur.</w:t>
      </w:r>
      <w:r>
        <w:rPr>
          <w:rFonts w:ascii="Times New Roman" w:hAnsi="Times New Roman"/>
          <w:sz w:val="20"/>
        </w:rPr>
        <w:t xml:space="preserve"> </w:t>
      </w:r>
      <w:r>
        <w:rPr>
          <w:rFonts w:ascii="Times New Roman;serif" w:hAnsi="Times New Roman;serif"/>
          <w:b w:val="false"/>
          <w:sz w:val="20"/>
        </w:rPr>
        <w:t>The Company recorded a provision for income tax of $22</w:t>
      </w:r>
      <w:r>
        <w:rPr>
          <w:rFonts w:ascii="Times New Roman" w:hAnsi="Times New Roman"/>
          <w:sz w:val="20"/>
        </w:rPr>
        <w:t xml:space="preserve"> </w:t>
      </w:r>
      <w:r>
        <w:rPr>
          <w:rFonts w:ascii="Times New Roman;serif" w:hAnsi="Times New Roman;serif"/>
          <w:b w:val="false"/>
          <w:sz w:val="20"/>
        </w:rPr>
        <w:t>thousand and $37</w:t>
      </w:r>
      <w:r>
        <w:rPr>
          <w:rFonts w:ascii="Times New Roman" w:hAnsi="Times New Roman"/>
          <w:sz w:val="20"/>
        </w:rPr>
        <w:t xml:space="preserve"> </w:t>
      </w:r>
      <w:r>
        <w:rPr>
          <w:rFonts w:ascii="Times New Roman;serif" w:hAnsi="Times New Roman;serif"/>
          <w:b w:val="false"/>
          <w:sz w:val="20"/>
        </w:rPr>
        <w:t>thousand for the six months ended July 1, 2023 and July 2, 2022, respectively.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Deferred Income Taxes</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 Company accounts for income taxes in accordance with ASC Topic 740, </w:t>
      </w:r>
      <w:r>
        <w:rPr>
          <w:rFonts w:ascii="Times New Roman;serif" w:hAnsi="Times New Roman;serif"/>
          <w:b w:val="false"/>
          <w:i/>
          <w:sz w:val="20"/>
        </w:rPr>
        <w:t>Income Taxes</w:t>
      </w:r>
      <w:r>
        <w:rPr>
          <w:rFonts w:ascii="Times New Roman" w:hAnsi="Times New Roman"/>
          <w:sz w:val="20"/>
        </w:rPr>
        <w:t xml:space="preserve"> </w:t>
      </w:r>
      <w:r>
        <w:rPr>
          <w:rFonts w:ascii="Times New Roman;serif" w:hAnsi="Times New Roman;serif"/>
          <w:b w:val="false"/>
          <w:sz w:val="20"/>
        </w:rPr>
        <w:t>(“ASC 740”), which requires that deferred tax assets and liabilities be recognized using enacted tax rates for the effect of temporary differences between the book and tax bases of recorded assets and liabilities. ASC 740 also requires that deferred tax assets be reduced by a valuation allowance if it is more likely than not that some or all of the deferred tax assets will not be realized. As of the second quarter of fiscal year 2023, based on the Company’s recent history of losses and its forecasted losses, management believes on the more likely than not basis that a full valuation allowance is required. Accordingly, the Company continues to provide a full valuation allowance on its federal and states deferred tax assets.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Uncertain Tax Positions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accounts for its uncertain tax positions in accordance with ASC 740. As of December 31, 2022, the Company had $1.4</w:t>
      </w:r>
      <w:r>
        <w:rPr>
          <w:rFonts w:ascii="Times New Roman" w:hAnsi="Times New Roman"/>
          <w:sz w:val="20"/>
        </w:rPr>
        <w:t xml:space="preserve"> </w:t>
      </w:r>
      <w:r>
        <w:rPr>
          <w:rFonts w:ascii="Times New Roman;serif" w:hAnsi="Times New Roman;serif"/>
          <w:b w:val="false"/>
          <w:sz w:val="20"/>
        </w:rPr>
        <w:t>million of unrecognized tax benefits, none</w:t>
      </w:r>
      <w:r>
        <w:rPr>
          <w:rFonts w:ascii="Times New Roman" w:hAnsi="Times New Roman"/>
          <w:sz w:val="20"/>
        </w:rPr>
        <w:t xml:space="preserve"> </w:t>
      </w:r>
      <w:r>
        <w:rPr>
          <w:rFonts w:ascii="Times New Roman;serif" w:hAnsi="Times New Roman;serif"/>
          <w:b w:val="false"/>
          <w:sz w:val="20"/>
        </w:rPr>
        <w:t>of the unrecognized tax benefits would result in a change in the Company’s effective tax rate if recognized in future years.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is not aware of any other uncertain tax positions that could result in significant additional payments, accruals, or other material deviation in this estimate during the fiscal year.</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is subject to United States federal income tax as well as to income taxes in state jurisdictions. The Company’s federal and state income tax returns are open to examination by tax authorities for three years</w:t>
      </w:r>
      <w:r>
        <w:rPr>
          <w:rFonts w:ascii="Times New Roman" w:hAnsi="Times New Roman"/>
          <w:sz w:val="20"/>
        </w:rPr>
        <w:t xml:space="preserve"> </w:t>
      </w:r>
      <w:r>
        <w:rPr>
          <w:rFonts w:ascii="Times New Roman;serif" w:hAnsi="Times New Roman;serif"/>
          <w:b w:val="false"/>
          <w:sz w:val="20"/>
        </w:rPr>
        <w:t>and three-to-five years, respectively.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11. Computation of Basic and Diluted Net Loss Per Share</w:t>
      </w:r>
    </w:p>
    <w:p>
      <w:pPr>
        <w:pStyle w:val="TextBody"/>
        <w:bidi w:val="0"/>
        <w:spacing w:before="120" w:after="0"/>
        <w:jc w:val="left"/>
        <w:rPr>
          <w:rFonts w:ascii="Times New Roman" w:hAnsi="Times New Roman"/>
          <w:sz w:val="20"/>
        </w:rPr>
      </w:pPr>
      <w:r>
        <w:rPr>
          <w:rFonts w:ascii="Times New Roman;serif" w:hAnsi="Times New Roman;serif"/>
          <w:b w:val="false"/>
          <w:sz w:val="20"/>
        </w:rPr>
        <w:t>Basic and diluted net loss per share is based upon the weighted average number of common shares outstanding during the period. Common stock equivalents consist of incremental common shares issuable upon the exercise of stock options, and the release (vesting) of RSUs and awards and are calculated under the treasury stock method. Common stock equivalent shares from unexercised stock options, and unvested RSUs and awards are excluded from the computation for periods in which we incur a net loss or if the exercise price of such options is greater than the average market price of our common stock for the period as their effect would be anti-dilutive.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 the three months ended July 1, 2023 and July 2, 2022, potential shares from stock options and RSUs totaling 2,260,886</w:t>
      </w:r>
      <w:r>
        <w:rPr>
          <w:rFonts w:ascii="Times New Roman" w:hAnsi="Times New Roman"/>
          <w:sz w:val="20"/>
        </w:rPr>
        <w:t xml:space="preserve"> </w:t>
      </w:r>
      <w:r>
        <w:rPr>
          <w:rFonts w:ascii="Times New Roman;serif" w:hAnsi="Times New Roman;serif"/>
          <w:b w:val="false"/>
          <w:sz w:val="20"/>
        </w:rPr>
        <w:t>and 1,698,584</w:t>
      </w:r>
      <w:r>
        <w:rPr>
          <w:rFonts w:ascii="Times New Roman" w:hAnsi="Times New Roman"/>
          <w:sz w:val="20"/>
        </w:rPr>
        <w:t xml:space="preserve"> </w:t>
      </w:r>
      <w:r>
        <w:rPr>
          <w:rFonts w:ascii="Times New Roman;serif" w:hAnsi="Times New Roman;serif"/>
          <w:b w:val="false"/>
          <w:sz w:val="20"/>
        </w:rPr>
        <w:t>shares, respectively, were excluded from the computation of diluted weighted average shares outstanding. For the six months ended July 1, 2023 and July 2, 2022, potential shares from stock options and RSUs totaling 2,281,161</w:t>
      </w:r>
      <w:r>
        <w:rPr>
          <w:rFonts w:ascii="Times New Roman" w:hAnsi="Times New Roman"/>
          <w:sz w:val="20"/>
        </w:rPr>
        <w:t xml:space="preserve"> </w:t>
      </w:r>
      <w:r>
        <w:rPr>
          <w:rFonts w:ascii="Times New Roman;serif" w:hAnsi="Times New Roman;serif"/>
          <w:b w:val="false"/>
          <w:sz w:val="20"/>
        </w:rPr>
        <w:t>and 1,700,686</w:t>
      </w:r>
      <w:r>
        <w:rPr>
          <w:rFonts w:ascii="Times New Roman" w:hAnsi="Times New Roman"/>
          <w:sz w:val="20"/>
        </w:rPr>
        <w:t xml:space="preserve"> </w:t>
      </w:r>
      <w:r>
        <w:rPr>
          <w:rFonts w:ascii="Times New Roman;serif" w:hAnsi="Times New Roman;serif"/>
          <w:b w:val="false"/>
          <w:sz w:val="20"/>
        </w:rPr>
        <w:t>shares, respectively, were excluded from the computation of diluted weighted average shares outstanding.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reconciliation of the numerator and denominator of basic and diluted net loss per common share is provided as follows (in thousands except per share data):</w:t>
      </w:r>
    </w:p>
    <w:p>
      <w:pPr>
        <w:pStyle w:val="TextBody"/>
        <w:bidi w:val="0"/>
        <w:spacing w:before="0" w:after="0"/>
        <w:jc w:val="left"/>
        <w:rPr/>
      </w:pPr>
      <w:r>
        <w:rPr/>
        <w:t> </w:t>
      </w:r>
    </w:p>
    <w:tbl>
      <w:tblPr>
        <w:tblW w:w="10034" w:type="dxa"/>
        <w:jc w:val="left"/>
        <w:tblInd w:w="0" w:type="dxa"/>
        <w:tblLayout w:type="fixed"/>
        <w:tblCellMar>
          <w:top w:w="28" w:type="dxa"/>
          <w:left w:w="28" w:type="dxa"/>
          <w:bottom w:w="28" w:type="dxa"/>
          <w:right w:w="28" w:type="dxa"/>
        </w:tblCellMar>
      </w:tblPr>
      <w:tblGrid>
        <w:gridCol w:w="4321"/>
        <w:gridCol w:w="146"/>
        <w:gridCol w:w="239"/>
        <w:gridCol w:w="766"/>
        <w:gridCol w:w="166"/>
        <w:gridCol w:w="146"/>
        <w:gridCol w:w="239"/>
        <w:gridCol w:w="766"/>
        <w:gridCol w:w="166"/>
        <w:gridCol w:w="146"/>
        <w:gridCol w:w="239"/>
        <w:gridCol w:w="766"/>
        <w:gridCol w:w="166"/>
        <w:gridCol w:w="146"/>
        <w:gridCol w:w="239"/>
        <w:gridCol w:w="766"/>
        <w:gridCol w:w="6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3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2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1,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2,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1,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2, 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Numerator:</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5"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432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(4,632</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Denominator:</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5"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43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 average shares of common stock (basic)</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16,036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15,894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16,018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15,888</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3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 average shares of common stock (diluted)</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16,036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15,894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16,018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15,888</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Per share data:</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05"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432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Basic net loss per share</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(0.29</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Diluted net loss per share</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(0.29</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12. Business Segments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operates in one</w:t>
      </w:r>
      <w:r>
        <w:rPr>
          <w:rFonts w:ascii="Times New Roman" w:hAnsi="Times New Roman"/>
          <w:sz w:val="20"/>
        </w:rPr>
        <w:t xml:space="preserve"> </w:t>
      </w:r>
      <w:r>
        <w:rPr>
          <w:rFonts w:ascii="Times New Roman;serif" w:hAnsi="Times New Roman;serif"/>
          <w:b w:val="false"/>
          <w:sz w:val="20"/>
        </w:rPr>
        <w:t>segment: ophthalmology. The Company develops, manufactures and markets medical devices. Our revenues arise from the sale of consoles, delivery devices, consumables, service, and support activities.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Revenue information shown by product group is as follows (in thousands):</w:t>
      </w:r>
    </w:p>
    <w:p>
      <w:pPr>
        <w:pStyle w:val="TextBody"/>
        <w:bidi w:val="0"/>
        <w:spacing w:before="0" w:after="0"/>
        <w:jc w:val="left"/>
        <w:rPr/>
      </w:pPr>
      <w:r>
        <w:rPr/>
        <w:t> </w:t>
      </w:r>
    </w:p>
    <w:tbl>
      <w:tblPr>
        <w:tblW w:w="6554" w:type="dxa"/>
        <w:jc w:val="left"/>
        <w:tblInd w:w="0" w:type="dxa"/>
        <w:tblLayout w:type="fixed"/>
        <w:tblCellMar>
          <w:top w:w="28" w:type="dxa"/>
          <w:left w:w="28" w:type="dxa"/>
          <w:bottom w:w="28" w:type="dxa"/>
          <w:right w:w="28" w:type="dxa"/>
        </w:tblCellMar>
      </w:tblPr>
      <w:tblGrid>
        <w:gridCol w:w="1321"/>
        <w:gridCol w:w="239"/>
        <w:gridCol w:w="766"/>
        <w:gridCol w:w="146"/>
        <w:gridCol w:w="146"/>
        <w:gridCol w:w="239"/>
        <w:gridCol w:w="766"/>
        <w:gridCol w:w="146"/>
        <w:gridCol w:w="146"/>
        <w:gridCol w:w="146"/>
        <w:gridCol w:w="239"/>
        <w:gridCol w:w="766"/>
        <w:gridCol w:w="146"/>
        <w:gridCol w:w="146"/>
        <w:gridCol w:w="239"/>
        <w:gridCol w:w="766"/>
        <w:gridCol w:w="191"/>
      </w:tblGrid>
      <w:tr>
        <w:trPr/>
        <w:tc>
          <w:tcPr>
            <w:tcW w:w="132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21" w:type="dxa"/>
            <w:tcBorders/>
            <w:vAlign w:val="center"/>
          </w:tcPr>
          <w:p>
            <w:pPr>
              <w:pStyle w:val="TableContents"/>
              <w:bidi w:val="0"/>
              <w:spacing w:before="0" w:after="0"/>
              <w:ind w:left="0" w:right="0" w:hanging="0"/>
              <w:jc w:val="center"/>
              <w:rPr/>
            </w:pPr>
            <w:r>
              <w:rPr/>
              <w:t> </w:t>
            </w:r>
          </w:p>
        </w:tc>
        <w:tc>
          <w:tcPr>
            <w:tcW w:w="230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21"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2,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2,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Cyclo G6</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7,017</w:t>
            </w:r>
          </w:p>
        </w:tc>
        <w:tc>
          <w:tcPr>
            <w:tcW w:w="191" w:type="dxa"/>
            <w:tcBorders/>
            <w:vAlign w:val="center"/>
          </w:tcPr>
          <w:p>
            <w:pPr>
              <w:pStyle w:val="TableContents"/>
              <w:bidi w:val="0"/>
              <w:spacing w:before="0" w:after="0"/>
              <w:ind w:left="0" w:right="0" w:hanging="0"/>
              <w:jc w:val="left"/>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Retina</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14,830</w:t>
            </w:r>
          </w:p>
        </w:tc>
        <w:tc>
          <w:tcPr>
            <w:tcW w:w="191" w:type="dxa"/>
            <w:tcBorders/>
            <w:vAlign w:val="center"/>
          </w:tcPr>
          <w:p>
            <w:pPr>
              <w:pStyle w:val="TableContents"/>
              <w:bidi w:val="0"/>
              <w:spacing w:before="0" w:after="0"/>
              <w:ind w:left="0" w:right="0" w:hanging="0"/>
              <w:jc w:val="left"/>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Other(1)</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5,163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5,295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revenues</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12,855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13,755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26,561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27,142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(1) Includes service contract revenues of $382</w:t>
      </w:r>
      <w:r>
        <w:rPr>
          <w:rFonts w:ascii="Times New Roman" w:hAnsi="Times New Roman"/>
          <w:sz w:val="20"/>
        </w:rPr>
        <w:t xml:space="preserve"> </w:t>
      </w:r>
      <w:r>
        <w:rPr>
          <w:rFonts w:ascii="Times New Roman;serif" w:hAnsi="Times New Roman;serif"/>
          <w:b w:val="false"/>
          <w:sz w:val="20"/>
        </w:rPr>
        <w:t>thousand and $402</w:t>
      </w:r>
      <w:r>
        <w:rPr>
          <w:rFonts w:ascii="Times New Roman" w:hAnsi="Times New Roman"/>
          <w:sz w:val="20"/>
        </w:rPr>
        <w:t xml:space="preserve"> </w:t>
      </w:r>
      <w:r>
        <w:rPr>
          <w:rFonts w:ascii="Times New Roman;serif" w:hAnsi="Times New Roman;serif"/>
          <w:b w:val="false"/>
          <w:sz w:val="20"/>
        </w:rPr>
        <w:t>thousand and $765</w:t>
      </w:r>
      <w:r>
        <w:rPr>
          <w:rFonts w:ascii="Times New Roman" w:hAnsi="Times New Roman"/>
          <w:sz w:val="20"/>
        </w:rPr>
        <w:t xml:space="preserve"> </w:t>
      </w:r>
      <w:r>
        <w:rPr>
          <w:rFonts w:ascii="Times New Roman;serif" w:hAnsi="Times New Roman;serif"/>
          <w:b w:val="false"/>
          <w:sz w:val="20"/>
        </w:rPr>
        <w:t>thousand and $764</w:t>
      </w:r>
      <w:r>
        <w:rPr>
          <w:rFonts w:ascii="Times New Roman" w:hAnsi="Times New Roman"/>
          <w:sz w:val="20"/>
        </w:rPr>
        <w:t xml:space="preserve"> </w:t>
      </w:r>
      <w:r>
        <w:rPr>
          <w:rFonts w:ascii="Times New Roman;serif" w:hAnsi="Times New Roman;serif"/>
          <w:b w:val="false"/>
          <w:sz w:val="20"/>
        </w:rPr>
        <w:t>thousand recognized during the three and six months ended July 1, 2023 and July 2, 2022, respectively. Includes $363</w:t>
      </w:r>
      <w:r>
        <w:rPr>
          <w:rFonts w:ascii="Times New Roman" w:hAnsi="Times New Roman"/>
          <w:sz w:val="20"/>
        </w:rPr>
        <w:t xml:space="preserve"> </w:t>
      </w:r>
      <w:r>
        <w:rPr>
          <w:rFonts w:ascii="Times New Roman;serif" w:hAnsi="Times New Roman;serif"/>
          <w:b w:val="false"/>
          <w:sz w:val="20"/>
        </w:rPr>
        <w:t>thousand and $357</w:t>
      </w:r>
      <w:r>
        <w:rPr>
          <w:rFonts w:ascii="Times New Roman" w:hAnsi="Times New Roman"/>
          <w:sz w:val="20"/>
        </w:rPr>
        <w:t xml:space="preserve"> </w:t>
      </w:r>
      <w:r>
        <w:rPr>
          <w:rFonts w:ascii="Times New Roman;serif" w:hAnsi="Times New Roman;serif"/>
          <w:b w:val="false"/>
          <w:sz w:val="20"/>
        </w:rPr>
        <w:t>thousand and $727</w:t>
      </w:r>
      <w:r>
        <w:rPr>
          <w:rFonts w:ascii="Times New Roman" w:hAnsi="Times New Roman"/>
          <w:sz w:val="20"/>
        </w:rPr>
        <w:t xml:space="preserve"> </w:t>
      </w:r>
      <w:r>
        <w:rPr>
          <w:rFonts w:ascii="Times New Roman;serif" w:hAnsi="Times New Roman;serif"/>
          <w:b w:val="false"/>
          <w:sz w:val="20"/>
        </w:rPr>
        <w:t>thousand and $634</w:t>
      </w:r>
      <w:r>
        <w:rPr>
          <w:rFonts w:ascii="Times New Roman" w:hAnsi="Times New Roman"/>
          <w:sz w:val="20"/>
        </w:rPr>
        <w:t xml:space="preserve"> </w:t>
      </w:r>
      <w:r>
        <w:rPr>
          <w:rFonts w:ascii="Times New Roman;serif" w:hAnsi="Times New Roman;serif"/>
          <w:b w:val="false"/>
          <w:sz w:val="20"/>
        </w:rPr>
        <w:t>thousand recognized revenue related to the exclusive distribution rights during the three and six months ended July 1, 2023 and July 2, 2022, respectively. Other also includes revenues from paid service, royalty, freight and legacy G probes.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Revenue information shown by geographic region, based on the sales destination, is as follows (in thousands):</w:t>
      </w:r>
    </w:p>
    <w:p>
      <w:pPr>
        <w:pStyle w:val="TextBody"/>
        <w:bidi w:val="0"/>
        <w:spacing w:before="0" w:after="0"/>
        <w:jc w:val="left"/>
        <w:rPr/>
      </w:pPr>
      <w:r>
        <w:rPr/>
        <w:t> </w:t>
      </w:r>
    </w:p>
    <w:tbl>
      <w:tblPr>
        <w:tblW w:w="7904" w:type="dxa"/>
        <w:jc w:val="left"/>
        <w:tblInd w:w="0" w:type="dxa"/>
        <w:tblLayout w:type="fixed"/>
        <w:tblCellMar>
          <w:top w:w="28" w:type="dxa"/>
          <w:left w:w="28" w:type="dxa"/>
          <w:bottom w:w="28" w:type="dxa"/>
          <w:right w:w="28" w:type="dxa"/>
        </w:tblCellMar>
      </w:tblPr>
      <w:tblGrid>
        <w:gridCol w:w="2671"/>
        <w:gridCol w:w="239"/>
        <w:gridCol w:w="766"/>
        <w:gridCol w:w="146"/>
        <w:gridCol w:w="146"/>
        <w:gridCol w:w="239"/>
        <w:gridCol w:w="766"/>
        <w:gridCol w:w="146"/>
        <w:gridCol w:w="146"/>
        <w:gridCol w:w="146"/>
        <w:gridCol w:w="239"/>
        <w:gridCol w:w="766"/>
        <w:gridCol w:w="146"/>
        <w:gridCol w:w="146"/>
        <w:gridCol w:w="239"/>
        <w:gridCol w:w="766"/>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before="0" w:after="0"/>
              <w:ind w:left="0" w:right="0" w:hanging="0"/>
              <w:jc w:val="center"/>
              <w:rPr/>
            </w:pPr>
            <w:r>
              <w:rPr/>
              <w:t> </w:t>
            </w:r>
          </w:p>
        </w:tc>
        <w:tc>
          <w:tcPr>
            <w:tcW w:w="230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71"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2,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2,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United States</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13,391</w:t>
            </w:r>
          </w:p>
        </w:tc>
        <w:tc>
          <w:tcPr>
            <w:tcW w:w="191" w:type="dxa"/>
            <w:tcBorders/>
            <w:vAlign w:val="center"/>
          </w:tcPr>
          <w:p>
            <w:pPr>
              <w:pStyle w:val="TableContents"/>
              <w:bidi w:val="0"/>
              <w:spacing w:before="0" w:after="0"/>
              <w:ind w:left="0" w:right="0" w:hanging="0"/>
              <w:jc w:val="left"/>
              <w:rPr/>
            </w:pPr>
            <w:r>
              <w:rPr/>
              <w:t> </w:t>
            </w:r>
          </w:p>
        </w:tc>
      </w:tr>
      <w:tr>
        <w:trPr/>
        <w:tc>
          <w:tcPr>
            <w:tcW w:w="26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Europe, Middle East and Africa</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6,252</w:t>
            </w:r>
          </w:p>
        </w:tc>
        <w:tc>
          <w:tcPr>
            <w:tcW w:w="191" w:type="dxa"/>
            <w:tcBorders/>
            <w:vAlign w:val="center"/>
          </w:tcPr>
          <w:p>
            <w:pPr>
              <w:pStyle w:val="TableContents"/>
              <w:bidi w:val="0"/>
              <w:spacing w:before="0" w:after="0"/>
              <w:ind w:left="0" w:right="0" w:hanging="0"/>
              <w:jc w:val="left"/>
              <w:rPr/>
            </w:pPr>
            <w:r>
              <w:rPr/>
              <w:t> </w:t>
            </w:r>
          </w:p>
        </w:tc>
      </w:tr>
      <w:tr>
        <w:trPr/>
        <w:tc>
          <w:tcPr>
            <w:tcW w:w="26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Asia/Pacific Rim</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6,039</w:t>
            </w:r>
          </w:p>
        </w:tc>
        <w:tc>
          <w:tcPr>
            <w:tcW w:w="191" w:type="dxa"/>
            <w:tcBorders/>
            <w:vAlign w:val="center"/>
          </w:tcPr>
          <w:p>
            <w:pPr>
              <w:pStyle w:val="TableContents"/>
              <w:bidi w:val="0"/>
              <w:spacing w:before="0" w:after="0"/>
              <w:ind w:left="0" w:right="0" w:hanging="0"/>
              <w:jc w:val="left"/>
              <w:rPr/>
            </w:pPr>
            <w:r>
              <w:rPr/>
              <w:t> </w:t>
            </w:r>
          </w:p>
        </w:tc>
      </w:tr>
      <w:tr>
        <w:trPr/>
        <w:tc>
          <w:tcPr>
            <w:tcW w:w="26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 of Americas</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revenues</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12,855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13,755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26,561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27,142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Revenues are attributed to countries based on the location of end customers.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 than the United States, the Netherlands accounted for at least 10% of the Company’s revenues during the three and six months ended July 1, 2023, representing 12% and 14%, respectively. Other than the United States, no individual country accounted for at least 10% of the Company’s revenues during the three and six months ended July 2, 2022. The United States accounted for 52.4% and 49.8% of revenues for the three months ended July 1, 2023 and July 2, 2022, respectively, and 50.9% and 49.3% for the six months ended July 1, 2023 and July 2, 2022, respectively.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1" w:name="item_2_managements_discussion_analysis_f"/>
      <w:bookmarkEnd w:id="11"/>
      <w:r>
        <w:rPr>
          <w:rFonts w:ascii="Times New Roman;serif" w:hAnsi="Times New Roman;serif"/>
          <w:b/>
          <w:sz w:val="20"/>
        </w:rPr>
        <w:t>Item 2. Management’s Discussion and Analysis of</w:t>
      </w:r>
      <w:r>
        <w:rPr>
          <w:rFonts w:ascii="Times New Roman" w:hAnsi="Times New Roman"/>
          <w:sz w:val="20"/>
        </w:rPr>
        <w:t xml:space="preserve"> </w:t>
      </w:r>
      <w:r>
        <w:rPr>
          <w:rFonts w:ascii="Times New Roman;serif" w:hAnsi="Times New Roman;serif"/>
          <w:b/>
          <w:sz w:val="20"/>
        </w:rPr>
        <w:t>Financial Condition and Results of Operations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The following discussion and analysis of our financial condition and results of operations should be read in conjunction with the condensed consolidated financial statements and related notes thereto included elsewhere in this Quarterly Report on Form 10-Q. This discussion and other parts of this Quarterly Report on Form 10-Q contain forward-looking statements that involve risks and uncertainties, such as statements of our plans, objectives, expectations and intentions, that are based on the beliefs of our management, as well as assumptions made by, and information currently available to, our management and should be read in conjunction with the section of this Quarterly Report on Form 10-Q entitled “Risk Factors.” Our actual results could differ materially from those discussed in these forward-looking statements. Factors that could cause or contribute to such differences include, but are not limited to, those discussed in the section entitled “Risk Factors.”</w:t>
      </w:r>
    </w:p>
    <w:p>
      <w:pPr>
        <w:pStyle w:val="TextBody"/>
        <w:bidi w:val="0"/>
        <w:spacing w:before="120" w:after="0"/>
        <w:jc w:val="left"/>
        <w:rPr>
          <w:rFonts w:ascii="Times New Roman;serif" w:hAnsi="Times New Roman;serif"/>
          <w:b/>
          <w:sz w:val="20"/>
        </w:rPr>
      </w:pPr>
      <w:r>
        <w:rPr>
          <w:rFonts w:ascii="Times New Roman;serif" w:hAnsi="Times New Roman;serif"/>
          <w:b/>
          <w:sz w:val="20"/>
        </w:rPr>
        <w:t>Overview</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IRIDEX is an ophthalmic medical technology company focused on the development and commercialization of breakthrough products and procedures used to treat sight-threatening eye conditions, including glaucoma and retinal diseases.</w:t>
      </w:r>
    </w:p>
    <w:p>
      <w:pPr>
        <w:pStyle w:val="TextBody"/>
        <w:bidi w:val="0"/>
        <w:spacing w:before="120" w:after="0"/>
        <w:jc w:val="left"/>
        <w:rPr>
          <w:rFonts w:ascii="Times New Roman" w:hAnsi="Times New Roman"/>
          <w:sz w:val="20"/>
        </w:rPr>
      </w:pPr>
      <w:r>
        <w:rPr>
          <w:rFonts w:ascii="Times New Roman;serif" w:hAnsi="Times New Roman;serif"/>
          <w:b w:val="false"/>
          <w:sz w:val="20"/>
        </w:rPr>
        <w:t>Our propriety MicroPulse</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Technology and Endpoint Management Technology are used for the treatment of glaucoma and retina disorders. Both technologies are offered as optional treatment modes in select laser consoles in addition to the standard continuous-wave (“CW”) treatment mode. They allow low-energy, subvisible, tissue-sparing laser therapy by different means: MicroPulse technology uses short, microsecond-long laser pulses that allow tissue to cool between pulses giving physicians finer control of thermal elevation to minimize tissue damage. Endpoint Management technology uses a delivery algorithm to titrate the laser energy. CW laser photocoagulation can stabilize vision over the long term but can also result in varying degrees of vision loss. Both MicroPulse and Endpoint Management technologies have demonstrated clinical efficacy with a safer profile compared to standard high-energy CW laser for the treatment of both retinal diseases and glaucoma.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products consist of laser consoles, delivery devices and consumable probes.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Our laser consoles consist of the following product lines:</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sz w:val="20"/>
        </w:rPr>
        <w:t>Glaucoma</w:t>
      </w:r>
      <w:r>
        <w:rPr/>
        <w:t xml:space="preserve"> – </w:t>
      </w:r>
      <w:r>
        <w:rPr>
          <w:rFonts w:ascii="Times New Roman;serif" w:hAnsi="Times New Roman;serif"/>
          <w:b w:val="false"/>
          <w:sz w:val="20"/>
        </w:rPr>
        <w:t>Our primary glaucoma console line is the Cyclo G6</w:t>
      </w:r>
      <w:r>
        <w:rPr>
          <w:rFonts w:ascii="Times New Roman;serif" w:hAnsi="Times New Roman;serif"/>
          <w:b w:val="false"/>
          <w:sz w:val="13"/>
        </w:rPr>
        <w:t>®</w:t>
      </w:r>
      <w:r>
        <w:rPr/>
        <w:t xml:space="preserve"> </w:t>
      </w:r>
      <w:r>
        <w:rPr>
          <w:rFonts w:ascii="Times New Roman;serif" w:hAnsi="Times New Roman;serif"/>
          <w:b w:val="false"/>
          <w:sz w:val="20"/>
        </w:rPr>
        <w:t>laser system with MicroPulse technology. In addition, our medical retina consoles have features supporting glaucoma laser treatments.</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sz w:val="20"/>
        </w:rPr>
        <w:t>Medical Retina</w:t>
      </w:r>
      <w:r>
        <w:rPr/>
        <w:t xml:space="preserve"> – </w:t>
      </w:r>
      <w:r>
        <w:rPr>
          <w:rFonts w:ascii="Times New Roman;serif" w:hAnsi="Times New Roman;serif"/>
          <w:b w:val="false"/>
          <w:sz w:val="20"/>
        </w:rPr>
        <w:t>Our medical-retina product line includes our portable IQ 532</w:t>
      </w:r>
      <w:r>
        <w:rPr>
          <w:rFonts w:ascii="Times New Roman;serif" w:hAnsi="Times New Roman;serif"/>
          <w:b w:val="false"/>
          <w:sz w:val="13"/>
        </w:rPr>
        <w:t>®</w:t>
      </w:r>
      <w:r>
        <w:rPr/>
        <w:t xml:space="preserve"> </w:t>
      </w:r>
      <w:r>
        <w:rPr>
          <w:rFonts w:ascii="Times New Roman;serif" w:hAnsi="Times New Roman;serif"/>
          <w:b w:val="false"/>
          <w:sz w:val="20"/>
        </w:rPr>
        <w:t>and IQ 577</w:t>
      </w:r>
      <w:r>
        <w:rPr>
          <w:rFonts w:ascii="Times New Roman;serif" w:hAnsi="Times New Roman;serif"/>
          <w:b w:val="false"/>
          <w:sz w:val="13"/>
        </w:rPr>
        <w:t>®</w:t>
      </w:r>
      <w:r>
        <w:rPr/>
        <w:t xml:space="preserve"> </w:t>
      </w:r>
      <w:r>
        <w:rPr>
          <w:rFonts w:ascii="Times New Roman;serif" w:hAnsi="Times New Roman;serif"/>
          <w:b w:val="false"/>
          <w:sz w:val="20"/>
        </w:rPr>
        <w:t>laser systems with MicroPulse technology; and the Pattern Scanning Laser (“PASCAL”) System, an integrated workstation with Endpoint Management technology and MicroPulse technology. These systems are ideal for multispecialty practices because these lasers also can be used to treat glaucoma, i.e., single-spot laser trabeculoplasty using MicroPulse technology, iridotomy, and iridectomy using the IQ lasers; and pattern scanning laser trabeculoplasty (“PSLT”) using the PASCAL laser system.</w:t>
      </w:r>
    </w:p>
    <w:p>
      <w:pPr>
        <w:pStyle w:val="TextBody"/>
        <w:bidi w:val="0"/>
        <w:spacing w:before="120" w:after="0"/>
        <w:jc w:val="left"/>
        <w:rPr/>
      </w:pPr>
      <w:r>
        <w:rPr/>
        <w:t>•</w:t>
      </w:r>
    </w:p>
    <w:p>
      <w:pPr>
        <w:pStyle w:val="TextBody"/>
        <w:bidi w:val="0"/>
        <w:spacing w:before="120" w:after="283"/>
        <w:jc w:val="left"/>
        <w:rPr/>
      </w:pPr>
      <w:r>
        <w:rPr>
          <w:rFonts w:ascii="Times New Roman;serif" w:hAnsi="Times New Roman;serif"/>
          <w:b/>
          <w:sz w:val="20"/>
        </w:rPr>
        <w:t>Surgical Retina</w:t>
      </w:r>
      <w:r>
        <w:rPr/>
        <w:t xml:space="preserve"> – </w:t>
      </w:r>
      <w:r>
        <w:rPr>
          <w:rFonts w:ascii="Times New Roman;serif" w:hAnsi="Times New Roman;serif"/>
          <w:b w:val="false"/>
          <w:sz w:val="20"/>
        </w:rPr>
        <w:t>Our surgical-retina product line includes our OcuLight</w:t>
      </w:r>
      <w:r>
        <w:rPr>
          <w:rFonts w:ascii="Times New Roman;serif" w:hAnsi="Times New Roman;serif"/>
          <w:b w:val="false"/>
          <w:sz w:val="13"/>
        </w:rPr>
        <w:t>®</w:t>
      </w:r>
      <w:r>
        <w:rPr/>
        <w:t xml:space="preserve"> </w:t>
      </w:r>
      <w:r>
        <w:rPr>
          <w:rFonts w:ascii="Times New Roman;serif" w:hAnsi="Times New Roman;serif"/>
          <w:b w:val="false"/>
          <w:sz w:val="20"/>
        </w:rPr>
        <w:t>TX and OcuLight</w:t>
      </w:r>
      <w:r>
        <w:rPr>
          <w:rFonts w:ascii="Times New Roman;serif" w:hAnsi="Times New Roman;serif"/>
          <w:b w:val="false"/>
          <w:sz w:val="13"/>
        </w:rPr>
        <w:t>®</w:t>
      </w:r>
      <w:r>
        <w:rPr/>
        <w:t xml:space="preserve"> </w:t>
      </w:r>
      <w:r>
        <w:rPr>
          <w:rFonts w:ascii="Times New Roman;serif" w:hAnsi="Times New Roman;serif"/>
          <w:b w:val="false"/>
          <w:sz w:val="20"/>
        </w:rPr>
        <w:t>SLx (with MicroPulse technology) laser photocoagulation systems. These systems are often used in vitrectomy procedures, which are used to treat proliferative diabetic retinopathy, macular holes, retinal tears and detachments.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business generates recurring revenues through sales of consumable products, predominantly single-use laser probe devices and other instrumentation, as well as repair, service and extended service contracts for our laser systems.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Our laser probes consist of the following product lines:</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sz w:val="20"/>
        </w:rPr>
        <w:t>Glaucoma</w:t>
      </w:r>
      <w:r>
        <w:rPr/>
        <w:t xml:space="preserve"> – </w:t>
      </w:r>
      <w:r>
        <w:rPr>
          <w:rFonts w:ascii="Times New Roman;serif" w:hAnsi="Times New Roman;serif"/>
          <w:b w:val="false"/>
          <w:sz w:val="20"/>
        </w:rPr>
        <w:t>Probes used in our glaucoma product line include our patented single-use delivery devices - MicroPulse P3</w:t>
      </w:r>
      <w:r>
        <w:rPr>
          <w:rFonts w:ascii="Times New Roman;serif" w:hAnsi="Times New Roman;serif"/>
          <w:b w:val="false"/>
          <w:sz w:val="13"/>
        </w:rPr>
        <w:t>®</w:t>
      </w:r>
      <w:r>
        <w:rPr>
          <w:rFonts w:ascii="Times New Roman;serif" w:hAnsi="Times New Roman;serif"/>
          <w:b w:val="false"/>
          <w:sz w:val="20"/>
        </w:rPr>
        <w:t>, G-Probe</w:t>
      </w:r>
      <w:r>
        <w:rPr>
          <w:rFonts w:ascii="Times New Roman;serif" w:hAnsi="Times New Roman;serif"/>
          <w:b w:val="false"/>
          <w:sz w:val="13"/>
        </w:rPr>
        <w:t>®</w:t>
      </w:r>
      <w:r>
        <w:rPr>
          <w:rFonts w:ascii="Times New Roman;serif" w:hAnsi="Times New Roman;serif"/>
          <w:b w:val="false"/>
          <w:sz w:val="20"/>
        </w:rPr>
        <w:t>, and G-Probe Illuminate</w:t>
      </w:r>
      <w:r>
        <w:rPr>
          <w:rFonts w:ascii="Times New Roman;serif" w:hAnsi="Times New Roman;serif"/>
          <w:b w:val="false"/>
          <w:sz w:val="13"/>
        </w:rPr>
        <w:t>®</w:t>
      </w:r>
      <w:r>
        <w:rPr>
          <w:rFonts w:ascii="Times New Roman;serif" w:hAnsi="Times New Roman;serif"/>
          <w:b w:val="false"/>
          <w:sz w:val="20"/>
        </w:rPr>
        <w:t>.</w:t>
      </w:r>
    </w:p>
    <w:p>
      <w:pPr>
        <w:pStyle w:val="TextBody"/>
        <w:bidi w:val="0"/>
        <w:spacing w:before="120" w:after="0"/>
        <w:jc w:val="left"/>
        <w:rPr/>
      </w:pPr>
      <w:r>
        <w:rPr/>
        <w:t>•</w:t>
      </w:r>
    </w:p>
    <w:p>
      <w:pPr>
        <w:pStyle w:val="TextBody"/>
        <w:bidi w:val="0"/>
        <w:spacing w:before="120" w:after="283"/>
        <w:jc w:val="left"/>
        <w:rPr/>
      </w:pPr>
      <w:r>
        <w:rPr>
          <w:rFonts w:ascii="Times New Roman;serif" w:hAnsi="Times New Roman;serif"/>
          <w:b/>
          <w:sz w:val="20"/>
        </w:rPr>
        <w:t>Surgical Retina</w:t>
      </w:r>
      <w:r>
        <w:rPr/>
        <w:t xml:space="preserve"> – </w:t>
      </w:r>
      <w:r>
        <w:rPr>
          <w:rFonts w:ascii="Times New Roman;serif" w:hAnsi="Times New Roman;serif"/>
          <w:b w:val="false"/>
          <w:sz w:val="20"/>
        </w:rPr>
        <w:t>Probes used in our surgical-retina product line include our family of single-use EndoProbe</w:t>
      </w:r>
      <w:r>
        <w:rPr>
          <w:rFonts w:ascii="Times New Roman;serif" w:hAnsi="Times New Roman;serif"/>
          <w:b w:val="false"/>
          <w:sz w:val="13"/>
        </w:rPr>
        <w:t>®</w:t>
      </w:r>
      <w:r>
        <w:rPr/>
        <w:t xml:space="preserve"> </w:t>
      </w:r>
      <w:r>
        <w:rPr>
          <w:rFonts w:ascii="Times New Roman;serif" w:hAnsi="Times New Roman;serif"/>
          <w:b w:val="false"/>
          <w:sz w:val="20"/>
        </w:rPr>
        <w:t>handpieces.</w:t>
      </w:r>
    </w:p>
    <w:p>
      <w:pPr>
        <w:pStyle w:val="TextBody"/>
        <w:bidi w:val="0"/>
        <w:spacing w:before="120" w:after="0"/>
        <w:jc w:val="left"/>
        <w:rPr>
          <w:rFonts w:ascii="Times New Roman" w:hAnsi="Times New Roman"/>
          <w:sz w:val="20"/>
        </w:rPr>
      </w:pPr>
      <w:r>
        <w:rPr>
          <w:rFonts w:ascii="Times New Roman;serif" w:hAnsi="Times New Roman;serif"/>
          <w:b w:val="false"/>
          <w:sz w:val="20"/>
        </w:rPr>
        <w:t>Ophthalmologists typically use our laser systems in hospital operating rooms and ambulatory surgical centers, as well as their offices and clinics. In operating rooms and ambulatory surgical centers, ophthalmologists use our laser systems with either an indirect laser ophthalmoscope or a single-use consumable probe, including MicroPulse P3</w:t>
      </w:r>
      <w:r>
        <w:rPr>
          <w:rFonts w:ascii="Times New Roman;serif" w:hAnsi="Times New Roman;serif"/>
          <w:b w:val="false"/>
          <w:sz w:val="13"/>
        </w:rPr>
        <w:t>®</w:t>
      </w:r>
      <w:r>
        <w:rPr>
          <w:rFonts w:ascii="Times New Roman;serif" w:hAnsi="Times New Roman;serif"/>
          <w:b w:val="false"/>
          <w:sz w:val="20"/>
        </w:rPr>
        <w:t>, G-Probe</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and G-Probe Illuminate</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delivery devices, and EndoProbe handpieces. In the offices and clinics, ophthalmologists use our laser systems with either an indirect laser ophthalmoscope or a slit-lamp adapter.</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products are sold in the United States and Germany predominantly through a direct sales force and internationally (aside from Germany) primarily through independent distributors.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Sales to international distributors are made on open credit terms or letters of credit and are currently denominated in U.S. dollars and accordingly, are not subject to risks associated with currency fluctuations. However, increases in the value of the U.S. dollar against any local currencies could cause our products to become relatively more expensive to customers in a particular country or region, leading to reduced revenue or profitability in that country or region. Sales to direct end users transacted through our German office are denominated in Euros and are subject to risks associated with currency fluctuations.</w:t>
      </w:r>
    </w:p>
    <w:p>
      <w:pPr>
        <w:pStyle w:val="TextBody"/>
        <w:bidi w:val="0"/>
        <w:spacing w:before="120" w:after="0"/>
        <w:jc w:val="left"/>
        <w:rPr>
          <w:rFonts w:ascii="Times New Roman" w:hAnsi="Times New Roman"/>
          <w:sz w:val="20"/>
        </w:rPr>
      </w:pPr>
      <w:r>
        <w:rPr>
          <w:rFonts w:ascii="Times New Roman;serif" w:hAnsi="Times New Roman;serif"/>
          <w:b w:val="false"/>
          <w:sz w:val="20"/>
        </w:rPr>
        <w:t>Cost of revenues consists primarily of our direct manufacturing costs which include the cost of components and sub-systems, assembling, packaging, shipping and testing components at our facility, direct labor and associated overhead, warranty, royalty and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amortization of intangible assets and depot service costs. For certain of our products, we are responsible for the cost of the fully assembled product that is manufactured by a third-party.</w:t>
      </w:r>
    </w:p>
    <w:p>
      <w:pPr>
        <w:pStyle w:val="TextBody"/>
        <w:bidi w:val="0"/>
        <w:spacing w:before="120" w:after="0"/>
        <w:jc w:val="left"/>
        <w:rPr>
          <w:rFonts w:ascii="Times New Roman" w:hAnsi="Times New Roman"/>
          <w:sz w:val="20"/>
        </w:rPr>
      </w:pPr>
      <w:r>
        <w:rPr>
          <w:rFonts w:ascii="Times New Roman;serif" w:hAnsi="Times New Roman;serif"/>
          <w:b w:val="false"/>
          <w:sz w:val="20"/>
        </w:rPr>
        <w:t>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Sales and marketing expenses consist primarily of costs of personnel, sales commissions, travel expenses, advertising and promotional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consist primarily of costs of personnel, legal, accounting and other public company costs, insurance and other expenses not allocated to other departments.</w:t>
      </w:r>
    </w:p>
    <w:p>
      <w:pPr>
        <w:pStyle w:val="TextBody"/>
        <w:bidi w:val="0"/>
        <w:spacing w:before="120" w:after="0"/>
        <w:jc w:val="left"/>
        <w:rPr>
          <w:rFonts w:ascii="Times New Roman;serif" w:hAnsi="Times New Roman;serif"/>
          <w:b/>
          <w:sz w:val="20"/>
        </w:rPr>
      </w:pPr>
      <w:r>
        <w:rPr>
          <w:rFonts w:ascii="Times New Roman;serif" w:hAnsi="Times New Roman;serif"/>
          <w:b/>
          <w:sz w:val="20"/>
        </w:rPr>
        <w:t>Impact of Macroeconomic Conditions to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Current macroeconomic conditions exhibit challenges that can affect capital equipment purchasing demand and timing, including recessionary fears, inflation concerns, rising interest rates as a result of government actions to combat inflation, and uncertainty in the global banking and financial services market, as well as other geopolitical developments, have impacted and may continue to impact business spending and the economy as a whole. As a result, we have seen customers extend purchase decision cycles. We have also experienced some demand softness due to pricing effects from the strength of the U.S. Dollar that have impacted and may continue to impact our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macroeconomic conditions on our business and operations remains uncertain, and it is not possible for us to predict the duration and extent to which they will affect our business, future results of operations, and financial condition.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more information on risks associated with the current macroeconomic conditions, see the section titled “Risk Factors” in Item 1A of Part II.</w:t>
      </w:r>
    </w:p>
    <w:p>
      <w:pPr>
        <w:pStyle w:val="TextBody"/>
        <w:bidi w:val="0"/>
        <w:spacing w:before="120" w:after="0"/>
        <w:jc w:val="left"/>
        <w:rPr>
          <w:rFonts w:ascii="Times New Roman;serif" w:hAnsi="Times New Roman;serif"/>
          <w:b/>
          <w:sz w:val="20"/>
        </w:rPr>
      </w:pPr>
      <w:r>
        <w:rPr>
          <w:rFonts w:ascii="Times New Roman;serif" w:hAnsi="Times New Roman;serif"/>
          <w:b/>
          <w:sz w:val="20"/>
        </w:rPr>
        <w:t>Results of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sets forth certain operating data as a percentage of revenues: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334"/>
        <w:gridCol w:w="146"/>
        <w:gridCol w:w="199"/>
        <w:gridCol w:w="784"/>
        <w:gridCol w:w="326"/>
        <w:gridCol w:w="146"/>
        <w:gridCol w:w="199"/>
        <w:gridCol w:w="784"/>
        <w:gridCol w:w="326"/>
        <w:gridCol w:w="146"/>
        <w:gridCol w:w="199"/>
        <w:gridCol w:w="784"/>
        <w:gridCol w:w="326"/>
        <w:gridCol w:w="146"/>
        <w:gridCol w:w="199"/>
        <w:gridCol w:w="784"/>
        <w:gridCol w:w="377"/>
      </w:tblGrid>
      <w:tr>
        <w:trPr/>
        <w:tc>
          <w:tcPr>
            <w:tcW w:w="43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433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3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3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3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3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8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1, 2023</w:t>
            </w:r>
          </w:p>
        </w:tc>
        <w:tc>
          <w:tcPr>
            <w:tcW w:w="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8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2, 2022</w:t>
            </w:r>
          </w:p>
        </w:tc>
        <w:tc>
          <w:tcPr>
            <w:tcW w:w="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8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1, 2023</w:t>
            </w:r>
          </w:p>
        </w:tc>
        <w:tc>
          <w:tcPr>
            <w:tcW w:w="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8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2, 2022</w:t>
            </w:r>
          </w:p>
        </w:tc>
        <w:tc>
          <w:tcPr>
            <w:tcW w:w="3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revenues</w:t>
            </w:r>
          </w:p>
        </w:tc>
        <w:tc>
          <w:tcPr>
            <w:tcW w:w="146"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revenues</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58.3</w:t>
            </w:r>
          </w:p>
        </w:tc>
        <w:tc>
          <w:tcPr>
            <w:tcW w:w="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54.4</w:t>
            </w:r>
          </w:p>
        </w:tc>
        <w:tc>
          <w:tcPr>
            <w:tcW w:w="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57.5</w:t>
            </w:r>
          </w:p>
        </w:tc>
        <w:tc>
          <w:tcPr>
            <w:tcW w:w="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54.9</w:t>
            </w:r>
          </w:p>
        </w:tc>
        <w:tc>
          <w:tcPr>
            <w:tcW w:w="3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margin</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41.7</w:t>
            </w:r>
          </w:p>
        </w:tc>
        <w:tc>
          <w:tcPr>
            <w:tcW w:w="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w:t>
            </w:r>
          </w:p>
        </w:tc>
        <w:tc>
          <w:tcPr>
            <w:tcW w:w="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w:t>
            </w:r>
          </w:p>
        </w:tc>
        <w:tc>
          <w:tcPr>
            <w:tcW w:w="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45.1</w:t>
            </w:r>
          </w:p>
        </w:tc>
        <w:tc>
          <w:tcPr>
            <w:tcW w:w="3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right"/>
              <w:rPr/>
            </w:pPr>
            <w:r>
              <w:rPr/>
              <w:t> </w:t>
            </w:r>
          </w:p>
        </w:tc>
        <w:tc>
          <w:tcPr>
            <w:tcW w:w="983" w:type="dxa"/>
            <w:gridSpan w:val="2"/>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83" w:type="dxa"/>
            <w:gridSpan w:val="2"/>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83" w:type="dxa"/>
            <w:gridSpan w:val="2"/>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83" w:type="dxa"/>
            <w:gridSpan w:val="2"/>
            <w:tcBorders/>
            <w:vAlign w:val="center"/>
          </w:tcPr>
          <w:p>
            <w:pPr>
              <w:pStyle w:val="TableContents"/>
              <w:bidi w:val="0"/>
              <w:spacing w:before="0" w:after="0"/>
              <w:ind w:left="0" w:right="0" w:hanging="0"/>
              <w:jc w:val="right"/>
              <w:rPr/>
            </w:pPr>
            <w:r>
              <w:rPr/>
              <w:t> </w:t>
            </w:r>
          </w:p>
        </w:tc>
        <w:tc>
          <w:tcPr>
            <w:tcW w:w="377" w:type="dxa"/>
            <w:tcBorders/>
            <w:vAlign w:val="center"/>
          </w:tcPr>
          <w:p>
            <w:pPr>
              <w:pStyle w:val="TableContents"/>
              <w:bidi w:val="0"/>
              <w:spacing w:before="0" w:after="0"/>
              <w:ind w:left="0" w:right="0" w:hanging="0"/>
              <w:jc w:val="right"/>
              <w:rPr/>
            </w:pPr>
            <w:r>
              <w:rPr/>
              <w:t> </w:t>
            </w:r>
          </w:p>
        </w:tc>
      </w:tr>
      <w:tr>
        <w:trPr/>
        <w:tc>
          <w:tcPr>
            <w:tcW w:w="43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w:t>
            </w:r>
          </w:p>
        </w:tc>
        <w:tc>
          <w:tcPr>
            <w:tcW w:w="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w:t>
            </w:r>
          </w:p>
        </w:tc>
        <w:tc>
          <w:tcPr>
            <w:tcW w:w="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3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w:t>
            </w:r>
          </w:p>
        </w:tc>
        <w:tc>
          <w:tcPr>
            <w:tcW w:w="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33.5</w:t>
            </w:r>
          </w:p>
        </w:tc>
        <w:tc>
          <w:tcPr>
            <w:tcW w:w="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w:t>
            </w:r>
          </w:p>
        </w:tc>
        <w:tc>
          <w:tcPr>
            <w:tcW w:w="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32.8</w:t>
            </w:r>
          </w:p>
        </w:tc>
        <w:tc>
          <w:tcPr>
            <w:tcW w:w="3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w:t>
            </w:r>
          </w:p>
        </w:tc>
        <w:tc>
          <w:tcPr>
            <w:tcW w:w="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w:t>
            </w:r>
          </w:p>
        </w:tc>
        <w:tc>
          <w:tcPr>
            <w:tcW w:w="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3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64.2</w:t>
            </w:r>
          </w:p>
        </w:tc>
        <w:tc>
          <w:tcPr>
            <w:tcW w:w="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61.3</w:t>
            </w:r>
          </w:p>
        </w:tc>
        <w:tc>
          <w:tcPr>
            <w:tcW w:w="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62.2</w:t>
            </w:r>
          </w:p>
        </w:tc>
        <w:tc>
          <w:tcPr>
            <w:tcW w:w="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61.5</w:t>
            </w:r>
          </w:p>
        </w:tc>
        <w:tc>
          <w:tcPr>
            <w:tcW w:w="3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w:t>
            </w:r>
          </w:p>
        </w:tc>
        <w:tc>
          <w:tcPr>
            <w:tcW w:w="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w:t>
            </w:r>
          </w:p>
        </w:tc>
        <w:tc>
          <w:tcPr>
            <w:tcW w:w="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w:t>
            </w:r>
          </w:p>
        </w:tc>
        <w:tc>
          <w:tcPr>
            <w:tcW w:w="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w:t>
            </w:r>
          </w:p>
        </w:tc>
        <w:tc>
          <w:tcPr>
            <w:tcW w:w="3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3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 before provision for income taxes</w:t>
            </w:r>
          </w:p>
        </w:tc>
        <w:tc>
          <w:tcPr>
            <w:tcW w:w="146"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w:t>
            </w:r>
          </w:p>
        </w:tc>
        <w:tc>
          <w:tcPr>
            <w:tcW w:w="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w:t>
            </w:r>
          </w:p>
        </w:tc>
        <w:tc>
          <w:tcPr>
            <w:tcW w:w="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w:t>
            </w:r>
          </w:p>
        </w:tc>
        <w:tc>
          <w:tcPr>
            <w:tcW w:w="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w:t>
            </w:r>
          </w:p>
        </w:tc>
        <w:tc>
          <w:tcPr>
            <w:tcW w:w="3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3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w:t>
            </w:r>
          </w:p>
        </w:tc>
        <w:tc>
          <w:tcPr>
            <w:tcW w:w="3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w:t>
            </w:r>
          </w:p>
        </w:tc>
        <w:tc>
          <w:tcPr>
            <w:tcW w:w="3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w:t>
            </w:r>
          </w:p>
        </w:tc>
        <w:tc>
          <w:tcPr>
            <w:tcW w:w="3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3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The following comparisons are between the three months ended July 1, 2023 and July 2, 2022 (in thousands):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Revenues</w:t>
      </w:r>
    </w:p>
    <w:p>
      <w:pPr>
        <w:pStyle w:val="TextBody"/>
        <w:bidi w:val="0"/>
        <w:spacing w:before="0" w:after="0"/>
        <w:jc w:val="left"/>
        <w:rPr/>
      </w:pPr>
      <w:r>
        <w:rPr/>
        <w:t> </w:t>
      </w:r>
    </w:p>
    <w:tbl>
      <w:tblPr>
        <w:tblW w:w="7974" w:type="dxa"/>
        <w:jc w:val="left"/>
        <w:tblInd w:w="0" w:type="dxa"/>
        <w:tblLayout w:type="fixed"/>
        <w:tblCellMar>
          <w:top w:w="28" w:type="dxa"/>
          <w:left w:w="28" w:type="dxa"/>
          <w:bottom w:w="28" w:type="dxa"/>
          <w:right w:w="28" w:type="dxa"/>
        </w:tblCellMar>
      </w:tblPr>
      <w:tblGrid>
        <w:gridCol w:w="1321"/>
        <w:gridCol w:w="146"/>
        <w:gridCol w:w="382"/>
        <w:gridCol w:w="1223"/>
        <w:gridCol w:w="146"/>
        <w:gridCol w:w="146"/>
        <w:gridCol w:w="382"/>
        <w:gridCol w:w="1223"/>
        <w:gridCol w:w="146"/>
        <w:gridCol w:w="146"/>
        <w:gridCol w:w="297"/>
        <w:gridCol w:w="678"/>
        <w:gridCol w:w="166"/>
        <w:gridCol w:w="146"/>
        <w:gridCol w:w="228"/>
        <w:gridCol w:w="822"/>
        <w:gridCol w:w="376"/>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3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75"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0" w:type="dxa"/>
            <w:gridSpan w:val="2"/>
            <w:tcBorders/>
            <w:vAlign w:val="center"/>
          </w:tcPr>
          <w:p>
            <w:pPr>
              <w:pStyle w:val="TableContents"/>
              <w:bidi w:val="0"/>
              <w:spacing w:before="0" w:after="0"/>
              <w:ind w:left="0" w:right="0" w:hanging="0"/>
              <w:jc w:val="center"/>
              <w:rPr/>
            </w:pPr>
            <w:r>
              <w:rPr/>
              <w:t> </w:t>
            </w:r>
          </w:p>
        </w:tc>
        <w:tc>
          <w:tcPr>
            <w:tcW w:w="376" w:type="dxa"/>
            <w:tcBorders/>
            <w:vAlign w:val="center"/>
          </w:tcPr>
          <w:p>
            <w:pPr>
              <w:pStyle w:val="TableContents"/>
              <w:bidi w:val="0"/>
              <w:spacing w:before="0" w:after="0"/>
              <w:ind w:left="0" w:right="0" w:hanging="0"/>
              <w:jc w:val="center"/>
              <w:rPr/>
            </w:pPr>
            <w:r>
              <w:rPr/>
              <w:t> </w:t>
            </w:r>
          </w:p>
        </w:tc>
      </w:tr>
      <w:tr>
        <w:trPr/>
        <w:tc>
          <w:tcPr>
            <w:tcW w:w="13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2,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 in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 in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Cyclo G6</w:t>
            </w:r>
          </w:p>
        </w:tc>
        <w:tc>
          <w:tcPr>
            <w:tcW w:w="146" w:type="dxa"/>
            <w:tcBorders/>
            <w:vAlign w:val="center"/>
          </w:tcPr>
          <w:p>
            <w:pPr>
              <w:pStyle w:val="TableContents"/>
              <w:bidi w:val="0"/>
              <w:spacing w:before="0" w:after="0"/>
              <w:ind w:left="0" w:right="0" w:hanging="0"/>
              <w:jc w:val="left"/>
              <w:rPr/>
            </w:pPr>
            <w:r>
              <w:rPr/>
              <w:t> </w:t>
            </w:r>
          </w:p>
        </w:tc>
        <w:tc>
          <w:tcPr>
            <w:tcW w:w="3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Retina</w:t>
            </w:r>
          </w:p>
        </w:tc>
        <w:tc>
          <w:tcPr>
            <w:tcW w:w="146" w:type="dxa"/>
            <w:tcBorders/>
            <w:vAlign w:val="center"/>
          </w:tcPr>
          <w:p>
            <w:pPr>
              <w:pStyle w:val="TableContents"/>
              <w:bidi w:val="0"/>
              <w:spacing w:before="0" w:after="0"/>
              <w:ind w:left="0" w:right="0" w:hanging="0"/>
              <w:jc w:val="left"/>
              <w:rPr/>
            </w:pPr>
            <w:r>
              <w:rPr/>
              <w:t> </w:t>
            </w:r>
          </w:p>
        </w:tc>
        <w:tc>
          <w:tcPr>
            <w:tcW w:w="382" w:type="dxa"/>
            <w:tcBorders/>
            <w:vAlign w:val="center"/>
          </w:tcPr>
          <w:p>
            <w:pPr>
              <w:pStyle w:val="TableContents"/>
              <w:bidi w:val="0"/>
              <w:spacing w:before="0" w:after="0"/>
              <w:ind w:left="0" w:right="0" w:hanging="0"/>
              <w:jc w:val="left"/>
              <w:rPr/>
            </w:pPr>
            <w:r>
              <w:rPr/>
              <w:t> </w:t>
            </w:r>
          </w:p>
        </w:tc>
        <w:tc>
          <w:tcPr>
            <w:tcW w:w="12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2" w:type="dxa"/>
            <w:tcBorders/>
            <w:vAlign w:val="center"/>
          </w:tcPr>
          <w:p>
            <w:pPr>
              <w:pStyle w:val="TableContents"/>
              <w:bidi w:val="0"/>
              <w:spacing w:before="0" w:after="0"/>
              <w:ind w:left="0" w:right="0" w:hanging="0"/>
              <w:jc w:val="left"/>
              <w:rPr/>
            </w:pPr>
            <w:r>
              <w:rPr/>
              <w:t> </w:t>
            </w:r>
          </w:p>
        </w:tc>
        <w:tc>
          <w:tcPr>
            <w:tcW w:w="12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3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revenues</w:t>
            </w:r>
          </w:p>
        </w:tc>
        <w:tc>
          <w:tcPr>
            <w:tcW w:w="146" w:type="dxa"/>
            <w:tcBorders/>
            <w:vAlign w:val="center"/>
          </w:tcPr>
          <w:p>
            <w:pPr>
              <w:pStyle w:val="TableContents"/>
              <w:bidi w:val="0"/>
              <w:spacing w:before="0" w:after="0"/>
              <w:ind w:left="0" w:right="0" w:hanging="0"/>
              <w:jc w:val="left"/>
              <w:rPr/>
            </w:pPr>
            <w:r>
              <w:rPr/>
              <w:t> </w:t>
            </w:r>
          </w:p>
        </w:tc>
        <w:tc>
          <w:tcPr>
            <w:tcW w:w="3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12,855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13,755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center"/>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Our total revenues decreased by $0.9 million, or 6.5%, from $13.8 million to $12.9 million. The decrease was driven by deferred purchase decisions in our medical retina and surgical retina product lines, and lower royalties due to the expiration of licensed patents.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While we believe that demand for our products remains strong, however the overall capital expenditure landscape within hospitals, surgical centers and physician offices may be negatively impacted by concerns around higher borrowing rates and economic weakness.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Gross Profit and Gross Margin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Gross profit decreased $0.9 million, or 14.4%, from $6.3 million to $5.4 million. Gross margin decreased by 3.9% from 45.6% to 41.7%. The decrease in gross margin was driven by lower revenues and higher manufacturing overhead absorbed by less revenue.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Gross margins may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Research and Development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expenses decreased by $0.1 million, or 4.0%, from $1.9 million to $1.8 million. Spending on investment in PASCAL product line and on new and expanded product portfolio decreased as we completed these new projects.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Sales and Marketing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Sales and marketing expenses decreased $0.3 million, or 7.4%, from $4.6 million to $4.3 million. In the second fiscal quarter of 2022, we increased our marketing and advertising efforts to promote the release of a new system product in the fourth fiscal quarter of 2022.</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General and Administrative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increased by $0.2 million, or 13.2%, from $1.9 million to $2.1 million. During the second fiscal quarter of 2023, we implemented cost savings measures, including a reduction in headcount which resulted in separation costs of approximately $0.2 million, to streamline operations and extend operating runway.</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Other Income (Expense), Net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 income, net was $0.1 million for the three months ended July 1, 2023 compared to other expense, net, of $0.1 million for the three months ended July 2, 2022. Other income (expense), net, consisted primarily of interest income or expense and foreign currency gain or loss.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Income Taxes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recorded an income tax provision of $10 thousand and $17 thousand for the three months ended July 1, 2023 and July 2, 2022, respectively.</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The following comparisons are between the six months ended July 1, 2023 and July 2, 2022 (in thousands):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Revenues</w:t>
      </w:r>
    </w:p>
    <w:p>
      <w:pPr>
        <w:pStyle w:val="TextBody"/>
        <w:bidi w:val="0"/>
        <w:spacing w:before="0" w:after="0"/>
        <w:jc w:val="left"/>
        <w:rPr/>
      </w:pPr>
      <w:r>
        <w:rPr/>
        <w:t> </w:t>
      </w:r>
    </w:p>
    <w:tbl>
      <w:tblPr>
        <w:tblW w:w="7584" w:type="dxa"/>
        <w:jc w:val="left"/>
        <w:tblInd w:w="0" w:type="dxa"/>
        <w:tblLayout w:type="fixed"/>
        <w:tblCellMar>
          <w:top w:w="28" w:type="dxa"/>
          <w:left w:w="28" w:type="dxa"/>
          <w:bottom w:w="28" w:type="dxa"/>
          <w:right w:w="28" w:type="dxa"/>
        </w:tblCellMar>
      </w:tblPr>
      <w:tblGrid>
        <w:gridCol w:w="1321"/>
        <w:gridCol w:w="146"/>
        <w:gridCol w:w="335"/>
        <w:gridCol w:w="1075"/>
        <w:gridCol w:w="146"/>
        <w:gridCol w:w="146"/>
        <w:gridCol w:w="335"/>
        <w:gridCol w:w="1075"/>
        <w:gridCol w:w="146"/>
        <w:gridCol w:w="146"/>
        <w:gridCol w:w="297"/>
        <w:gridCol w:w="678"/>
        <w:gridCol w:w="166"/>
        <w:gridCol w:w="146"/>
        <w:gridCol w:w="270"/>
        <w:gridCol w:w="780"/>
        <w:gridCol w:w="376"/>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3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75"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0" w:type="dxa"/>
            <w:gridSpan w:val="2"/>
            <w:tcBorders/>
            <w:vAlign w:val="center"/>
          </w:tcPr>
          <w:p>
            <w:pPr>
              <w:pStyle w:val="TableContents"/>
              <w:bidi w:val="0"/>
              <w:spacing w:before="0" w:after="0"/>
              <w:ind w:left="0" w:right="0" w:hanging="0"/>
              <w:jc w:val="center"/>
              <w:rPr/>
            </w:pPr>
            <w:r>
              <w:rPr/>
              <w:t> </w:t>
            </w:r>
          </w:p>
        </w:tc>
        <w:tc>
          <w:tcPr>
            <w:tcW w:w="376" w:type="dxa"/>
            <w:tcBorders/>
            <w:vAlign w:val="center"/>
          </w:tcPr>
          <w:p>
            <w:pPr>
              <w:pStyle w:val="TableContents"/>
              <w:bidi w:val="0"/>
              <w:spacing w:before="0" w:after="0"/>
              <w:ind w:left="0" w:right="0" w:hanging="0"/>
              <w:jc w:val="center"/>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July 2,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 in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 in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Cyclo G6</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Retina</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10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10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 </w:t>
            </w:r>
          </w:p>
        </w:tc>
        <w:tc>
          <w:tcPr>
            <w:tcW w:w="6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5,163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5,295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revenues</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26,561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27,142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Our total revenues decreased by $0.5 million, or 2.1%, from $27.1 million to $26.6 million. The decrease was driven by an overall softer demand in our retina product line, and lower royalties due to the expiration of licensed patents.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While we believe that demand for our products remains strong, the overall capital expenditure landscape within hospitals, surgical centers and physician offices may continue to be negatively impacted by persistent macroeconomic concerns discussed above.</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Gross Profit and Gross Margin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Gross profit decreased $0.9 million, or 7.7%, from $12.2 million to $11.3 million. Gross margin decreased by 2.6% from 45.1% to 42.5%. The decrease in gross margin was driven by lower revenues and manufacturing overhead absorbed by less revenue.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Gross margins may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Research and Development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expenses decreased by $0.4 million, or 11.0%, from $4.0 million to $3.6 million. Spending on investment in PASCAL product line and on new and expanded product portfolio decreased as we completed these new projects.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Sales and Marketing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Sales and marketing expenses decreased by $0.4 million, or 4.0%, from $8.9 million to $8.5 million. Although we incurred slightly higher personnel and other related costs, there was an offset in marketing and advertising costs as we recently completed the release of a new system product.</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General and Administrative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increased by $0.7 million, or 17.7%, from $3.7 million to $4.4 million. The increase was attributable to increases in legal expenses for general corporate matters and higher personnel and other related expenses, including separation costs incurred in the second fiscal quarter of fiscal year 2023.</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Other Income (Expense), Net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 income, net was $0.4 million for six months ended July 1, 2023 compared to other expense, net, of $0.2 million for the six months ended July 2, 2022. Other income (expense), net, consisted primarily of interest income or expense and foreign currency gain or loss.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Income Taxes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recorded an income tax provision of $22 thousand and $37 thousand for the six months ended July 1, 2023 and July 2, 2022, respectively.</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Liquidity and Capital Resources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Liquidity is our ability to generate sufficient cash flows from operating activities to meet our obligations and commitments. In addition, liquidity includes the ability to obtain appropriate financing or to raise capital.</w:t>
      </w:r>
    </w:p>
    <w:p>
      <w:pPr>
        <w:pStyle w:val="TextBody"/>
        <w:bidi w:val="0"/>
        <w:spacing w:before="120" w:after="0"/>
        <w:jc w:val="left"/>
        <w:rPr>
          <w:rFonts w:ascii="Times New Roman" w:hAnsi="Times New Roman"/>
          <w:sz w:val="20"/>
        </w:rPr>
      </w:pPr>
      <w:r>
        <w:rPr>
          <w:rFonts w:ascii="Times New Roman;serif" w:hAnsi="Times New Roman;serif"/>
          <w:b w:val="false"/>
          <w:sz w:val="20"/>
        </w:rPr>
        <w:t>As of July 1, 2023, we had cash and cash equivalents of $9.8 million and working capital of $18.7 million compared to cash and cash equivalents of $13.9 million and working capital of $23.3 million as of December 31, 2022.</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Net cash used in operating activities was $4.0 million in the six months ended July 1, 2023 compared to net cash used in operating activities of $5.8 million in the six months ended July 2, 2022. The decrease in net cash used in operating activities, expressed in direct cash flow terms, was primarily due to a decrease in purchases of our components and subsystems as we reduce inventory accumulated to mitigate against supply lead time challenges, offset by a decrease in cash receipts from customers.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the six months ended July 1, 2023, net cash used in investing activities was $59 thousand, which consisted of capital expenditures. For the six months ended July 2, 2022, net cash used in investing activities was $146 thousand, which consisted of capital expenditures.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the six months ended July 1, 2023, net cash provided by financing activities was $26 thousand, primarily from payroll taxes related to net share settlement of equity awards partially offset by the net proceeds arising from the proceeds from stock option exercises. For the six months ended July 2, 2022, net cash used in financing activities was $47 thousand, primarily from payroll taxes related to net share settlement of equity awards partially offset by the net proceeds arising from the proceeds from stock option exercises.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historically funded our operations primarily through sales of our products to customers, sales of our common stock and borrowing arrangements. As of July 1, 2023, our principal sources of liquidity consisted of cash and cash equivalents of $9.8 million. We have incurred net losses over the last several years, and as of July 1, 2023, have an accumulated deficit of approximately $74.3 million. We expect to continue to incur operating losses and negative cash flows from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has an existing Loan and Security Agreement (“Loan Agreement”) with Silicon Valley Bank (“SVB”) providing for up to $8.0 million secured revolving loan facility (“Revolving Loan Facility”). In March 2022, the Fourth Amendment to the Loan Agreement was executed primarily to extend the term through May 31, 2022. In June 2022, the Fifth Amendment to the Loan Agreement was executed primarily to extend the term through December 1, 2023. As of July 1, 2023 and December 31, 2022, there were no amounts outstanding under the Loan Agreement.</w:t>
      </w:r>
    </w:p>
    <w:p>
      <w:pPr>
        <w:pStyle w:val="TextBody"/>
        <w:bidi w:val="0"/>
        <w:spacing w:before="120" w:after="0"/>
        <w:jc w:val="left"/>
        <w:rPr>
          <w:rFonts w:ascii="Times New Roman" w:hAnsi="Times New Roman"/>
          <w:sz w:val="20"/>
        </w:rPr>
      </w:pPr>
      <w:r>
        <w:rPr>
          <w:rFonts w:ascii="Times New Roman;serif" w:hAnsi="Times New Roman;serif"/>
          <w:b w:val="false"/>
          <w:sz w:val="20"/>
        </w:rPr>
        <w:t>On March 10, 2023, SVB was placed into receivership by the Federal Deposit Insurance Corporation (“FDIC”). On March 13, 2023, the FDIC announced that it had transferred all insured and uninsured deposits and substantially all assets of SVB to a newly created, full-service FDIC-operated “bridge bank” called Silicon Valley Bridge Bank, N.A. (“SVBB”), where depositors would have full access to their money immediately. On March 27, 2023, First Citizens BancShares, Inc. (“First Citizens”) announced that it had entered into an agreement with the FDIC to purchase all of the assets and liabilities of SVBB. SVBB will operate as a division of First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Citizens. We currently have full control of our cash and cash equivalents balance, and SVBB has confirmed its terms of our existing Revolving Loan Facility.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believe our existing cash and cash equivalents will be sufficient to meet our anticipated cash needs over the next 12 months. Our future capital requirements will depend on many factors, including our growth rate, the timing and extent of our spending to support research and development activities, the timing and cost of establishing additional sales and marketing capabilities, the introduction of new and enhanced products and our costs to implement new manufacturing technologies. In the event that additional financing is required from outside sources, we may not be able to raise it on terms acceptable to us or at all. Any debt financing obtained by us in the future could also involve restrictive covenants relating to our capital-raising activities and other financial and operational matters, which may make it more difficult for us to obtain additional capital and to pursue business opportunities, including potential acquisitions. Additionally, if we raise additional funds through further issuances of equity, our existing stockholders could suffer significant dilution in their percentage ownership of our company, and any new equity securities we issue could have rights, preferences and privileges senior to those of holders of our common stock. If we are unable to obtain adequate financing or financing on terms satisfactory to us, when we require it, our ability to continue to grow or support our business and to respond to business challenges could be significantly limited.</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Off-Balance Sheet Arrangements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w:t>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2" w:name="item_3_quantitative_qualitative_disclosu"/>
      <w:bookmarkEnd w:id="12"/>
      <w:r>
        <w:rPr>
          <w:rFonts w:ascii="Times New Roman;serif" w:hAnsi="Times New Roman;serif"/>
          <w:b/>
          <w:sz w:val="20"/>
        </w:rPr>
        <w:t>Item 3. Quantitative and Qualitative Disclosure about Market Risk</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a “smaller reporting company,” as defined in Rule 12b-2 of the Exchange Act, we are not required to provide the information called for by this Item.</w:t>
      </w:r>
    </w:p>
    <w:p>
      <w:pPr>
        <w:pStyle w:val="TextBody"/>
        <w:bidi w:val="0"/>
        <w:spacing w:before="120" w:after="0"/>
        <w:jc w:val="left"/>
        <w:rPr>
          <w:rFonts w:ascii="Times New Roman" w:hAnsi="Times New Roman"/>
          <w:sz w:val="20"/>
        </w:rPr>
      </w:pPr>
      <w:bookmarkStart w:id="13" w:name="item_4_controls_procedures"/>
      <w:bookmarkEnd w:id="13"/>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Evaluation of Disclosure Controls and Procedures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maintain “disclosure controls and procedures,” as such term is defined in Rules 13a-15(e) or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our Principal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required by SEC Rule 13a-15(b), we carried out an evaluation, under the supervision and with the participation of our management, including our Principal Executive Officer and our Principal Financial Officer, of the effectiveness of the design and operation of our disclosure controls and procedures as of July 1, 2023. Based on the foregoing, our Principal Executive Officer and our Principal Financial Officer concluded that our disclosure controls and procedures were effective at the reasonable assurance level.</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Changes in Internal Control over Financial Reporting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have been no changes in our internal control over financial reporting that occurred during the period covered by this Form 10-Q that have materially affected, or are reasonably likely to materially affect, our internal control over financial reporting.</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14" w:name="part_ii_or_information"/>
      <w:bookmarkEnd w:id="14"/>
      <w:r>
        <w:rPr>
          <w:rFonts w:ascii="Times New Roman;serif" w:hAnsi="Times New Roman;serif"/>
          <w:b/>
          <w:sz w:val="20"/>
        </w:rPr>
        <w:t>PART II. OTHER INFORMATION</w:t>
      </w:r>
    </w:p>
    <w:p>
      <w:pPr>
        <w:pStyle w:val="TextBody"/>
        <w:bidi w:val="0"/>
        <w:spacing w:before="120" w:after="0"/>
        <w:jc w:val="left"/>
        <w:rPr>
          <w:rFonts w:ascii="Times New Roman" w:hAnsi="Times New Roman"/>
          <w:sz w:val="20"/>
        </w:rPr>
      </w:pPr>
      <w:bookmarkStart w:id="15" w:name="item_1_legal_proceedings"/>
      <w:bookmarkEnd w:id="15"/>
      <w:r>
        <w:rPr>
          <w:rFonts w:ascii="Times New Roman;serif" w:hAnsi="Times New Roman;serif"/>
          <w:b/>
          <w:sz w:val="20"/>
        </w:rPr>
        <w:t>Item 1. Legal</w:t>
      </w:r>
      <w:r>
        <w:rPr>
          <w:rFonts w:ascii="Times New Roman" w:hAnsi="Times New Roman"/>
          <w:sz w:val="20"/>
        </w:rPr>
        <w:t xml:space="preserve"> </w:t>
      </w:r>
      <w:r>
        <w:rPr>
          <w:rFonts w:ascii="Times New Roman;serif" w:hAnsi="Times New Roman;serif"/>
          <w:b/>
          <w:sz w:val="20"/>
        </w:rPr>
        <w:t>Proceedings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pStyle w:val="TextBody"/>
        <w:bidi w:val="0"/>
        <w:spacing w:before="120" w:after="0"/>
        <w:jc w:val="left"/>
        <w:rPr>
          <w:rFonts w:ascii="Times New Roman;serif" w:hAnsi="Times New Roman;serif"/>
          <w:b/>
          <w:sz w:val="20"/>
        </w:rPr>
      </w:pPr>
      <w:bookmarkStart w:id="16" w:name="item_1a_risk_factors"/>
      <w:bookmarkEnd w:id="16"/>
      <w:r>
        <w:rPr>
          <w:rFonts w:ascii="Times New Roman;serif" w:hAnsi="Times New Roman;serif"/>
          <w:b/>
          <w:sz w:val="20"/>
        </w:rPr>
        <w:t>Item 1A. Risk Factors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Investing in our common stock involves a high degree of risk. You should carefully consider the risks and uncertainties described below, together with all of the other information in this Quarterly Report on Form 10-Q, including the sections titled “Management’s Discussion and Analysis of Financial Condition and Results of Operations” and our condensed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pStyle w:val="TextBody"/>
        <w:bidi w:val="0"/>
        <w:spacing w:before="120" w:after="0"/>
        <w:jc w:val="left"/>
        <w:rPr>
          <w:rFonts w:ascii="Times New Roman;serif" w:hAnsi="Times New Roman;serif"/>
          <w:b/>
          <w:sz w:val="20"/>
          <w:u w:val="single"/>
        </w:rPr>
      </w:pPr>
      <w:r>
        <w:rPr>
          <w:rFonts w:ascii="Times New Roman;serif" w:hAnsi="Times New Roman;serif"/>
          <w:b/>
          <w:sz w:val="20"/>
          <w:u w:val="single"/>
        </w:rPr>
        <w:t>Risk Factor Summary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business operations are subject to numerous risks, factors and uncertainties outside of our control that could cause our actual results to be harmed, including risks regarding the following:</w:t>
      </w:r>
    </w:p>
    <w:p>
      <w:pPr>
        <w:pStyle w:val="TextBody"/>
        <w:bidi w:val="0"/>
        <w:spacing w:before="120" w:after="0"/>
        <w:jc w:val="left"/>
        <w:rPr>
          <w:rFonts w:ascii="Times New Roman;serif" w:hAnsi="Times New Roman;serif"/>
          <w:b/>
          <w:i/>
          <w:sz w:val="20"/>
        </w:rPr>
      </w:pPr>
      <w:r>
        <w:rPr>
          <w:rFonts w:ascii="Times New Roman;serif" w:hAnsi="Times New Roman;serif"/>
          <w:b/>
          <w:i/>
          <w:sz w:val="20"/>
        </w:rPr>
        <w:t>General economic factors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general macroeconomic conditions, including inflationary pressures and rising interest rates, uncertainty in the global banking and financial services market, any future resurgence in the COVID-19 pandemic and responsive measures and the war between Russia and Ukraine.</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Operational factors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success of our relationship with our strategic partner and main distributor Topcon;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quality control and production issues;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complexity of our laser systems;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defects in our laser systems;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direct and independent sales forces and a network of international distributors to sell our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dependence on international sales;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new products and applications and improving existing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growth;</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fluctuations in our sales and operating results;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ophthalmology market;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competition in our industry;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collaborative relationships used to enhance products and applications;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costs, sales volumes, results of operations, and revenues;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loss of key personnel;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meeting product demand;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dependence on sole source and limited source suppliers;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catastrophic loss;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disruptions to our information technology system and breaches of data security;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maintaining relationships with health care providers;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misuse of our products;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reputation and brand;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inability of our customers to obtain credit or material increases in interest rates;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adverse developments affecting financial institutions, including bank failures;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recalls of our products;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managing growth effectively.</w:t>
      </w:r>
    </w:p>
    <w:p>
      <w:pPr>
        <w:pStyle w:val="TextBody"/>
        <w:bidi w:val="0"/>
        <w:spacing w:before="120" w:after="0"/>
        <w:jc w:val="left"/>
        <w:rPr>
          <w:rFonts w:ascii="Times New Roman;serif" w:hAnsi="Times New Roman;serif"/>
          <w:b/>
          <w:i/>
          <w:sz w:val="20"/>
        </w:rPr>
      </w:pPr>
      <w:r>
        <w:rPr>
          <w:rFonts w:ascii="Times New Roman;serif" w:hAnsi="Times New Roman;serif"/>
          <w:b/>
          <w:i/>
          <w:sz w:val="20"/>
        </w:rPr>
        <w:t>Regulatory and legal factors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healthcare reform measures;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third-party coverage and reimbursement policies;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compliance with healthcare laws;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compliance with potential governmental, regulatory and other legal proceedings relative to advertising, promotion and marketing;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patents and proprietary rights related to our intellectual property;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compliance with government regulations, including the FDA’s quality system regulation and laser performance standards;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regulatory approval for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compliance with product liability claims;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developments in trade policies;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tax laws;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federal, state and foreign laws, including changes to those laws;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environmental requirements.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Financing and transactional risks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divestitures of our businesses or product lines;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efforts to acquire additional companies or product lines;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raising additional capital;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provisions in our charter documents, Delaware law and contractual provisions that could delay or prevent an acquisition or sale of our company.</w:t>
      </w:r>
    </w:p>
    <w:p>
      <w:pPr>
        <w:pStyle w:val="TextBody"/>
        <w:bidi w:val="0"/>
        <w:spacing w:before="120" w:after="0"/>
        <w:jc w:val="left"/>
        <w:rPr>
          <w:rFonts w:ascii="Times New Roman;serif" w:hAnsi="Times New Roman;serif"/>
          <w:b/>
          <w:i/>
          <w:sz w:val="20"/>
        </w:rPr>
      </w:pPr>
      <w:r>
        <w:rPr>
          <w:rFonts w:ascii="Times New Roman;serif" w:hAnsi="Times New Roman;serif"/>
          <w:b/>
          <w:i/>
          <w:sz w:val="20"/>
        </w:rPr>
        <w:t>Governance risks and risks related to ownership of our common stock</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volatility of the trading price of our common stock;</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intention not to pay dividends for the foreseeable future;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publication of research about us by analysts;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concentration of ownership of our common stock;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our ability to maintain an effective system of internal control over financial reporting.</w:t>
      </w:r>
    </w:p>
    <w:p>
      <w:pPr>
        <w:pStyle w:val="TextBody"/>
        <w:bidi w:val="0"/>
        <w:spacing w:before="120" w:after="0"/>
        <w:jc w:val="left"/>
        <w:rPr>
          <w:rFonts w:ascii="Times New Roman;serif" w:hAnsi="Times New Roman;serif"/>
          <w:b/>
          <w:sz w:val="20"/>
        </w:rPr>
      </w:pPr>
      <w:r>
        <w:rPr>
          <w:rFonts w:ascii="Times New Roman;serif" w:hAnsi="Times New Roman;serif"/>
          <w:b/>
          <w:sz w:val="20"/>
        </w:rPr>
        <w:t>Factors That May Affect Future Results</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to the other information contained in this Quarterly Report on Form 10-Q, we have identified the following risks and uncertainties that may have a material adverse effect on our business, common stock price, financial condition or results of operations. You should carefully consider the risks described below before making an investment decision.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sz w:val="20"/>
        </w:rPr>
      </w:pPr>
      <w:r>
        <w:rPr>
          <w:rFonts w:ascii="Times New Roman;serif" w:hAnsi="Times New Roman;serif"/>
          <w:b/>
          <w:sz w:val="20"/>
        </w:rPr>
        <w:t>Risks Relating to our Business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The current macroeconomic conditions, including the effects of the COVID-19 pandemic and efforts to mitigate its impact have disrupted, and may continue to disrupt, our operations, including our ability to manufacture and supply products and perform research and development activities, and our customers’ usage of our products as demand declined in elective surgeries in response to the COVID-19 pandemic, all of which have had and may continue to have a material and adverse effect on our business, future revenues and financial condition. We are unable to predict the extent to which any future resurgence of the COVID-19 pandemic or other public health emergencies or outbreaks and related macroeconomic impacts may continue to adversely impact our business operations, financial performance, results of operations, financial position and the achievement of our strategic objectives.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business, results of operation and financial performance were negatively impacted by the COVID-19 pandemic and related public health responses, such as travel restrictions in countries and regions in which we have operations or manufacturing partners. Due to these impacts and measures, we have experienced and may continue to experience significant and unpredictable interruptions in the supply of raw materials, components and sub-assemblies necessary to manufacture and assemble our products and reductions in the demand for our products as healthcare customers continue to divert medical resources and priorities towards the treatment of COVID-19. In addition, our customers may delay, cancel or redirect planned capital expenditures in order to focus resources on any future resurgence of COVID-19 or in response to macroeconomic disruption related to any future resurgence of the COVID-19 pandemic. For example, during the fiscal year ended January 2, 2021, we experienced significant decline in treatment and procedure volume worldwide, as healthcare systems diverted resources to meet the increasing demands of managing COVID-19. In the near term COVID-19 pandemic may continue to negatively impact the use of our products and the number of ophthalmic treatments and procedures performed. If the volume of elective procedures continues to remain lower than normal, our results of operations and financial condition will continue to be adversely affected.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COVID-19 pandemic has caused disruption and delays in our ability to operate and manufacture, test and assemble products in our internal facilities, particularly in our Mountain View, California facility, and has limited our ability to continue certain research and development activities which could materially and adversely affect our ability to develop new products and technologies on the timelines we previously anticipated. On May 11, 2023, the federal government ended the COVID-19 public health emergency, which ended a number of temporary changes made to federally funded programs while some continue to be in effect.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volatile macroeconomic environment, including the COVID-19 pandemic has created economic uncertainty and volatility in the financial markets around the world, resulting in an economic downturn that has affected and may likely continue to affect demand for our products and impact our results of operations. As a result, this may lead to a period of regional, national, and global economic slowdown or regional, national, or global recessions that would curtail or delay spending by hospitals and affect demand for our products as well as increase the risk of customer defaults or delays in payments. Our customers may terminate or amend their agreements for the purchase, lease, or service of our products due to bankruptcy, lack of liquidity, lack of funding, operational failures, or other reason. The ultimate impact of the volatile macroeconomic conditions, including the COVID-19 pandemic and other public health emergencies or outbreaks, on our operations and financial performance depends on many factors that are not within our control, including, but not limited, to: the recommendations by medical authorities on whether hospitals should and may perform elective surgical procedures; hospitals’ abilities and willingness to devote resources to elective surgical procedures; governmental, business and individuals’ actions that have been and may continue to be taken in response to any future resurgence of the COVID-19 pandemic or other public health emergencies or outbreaks (including restrictions on travel and transport and workforce pressures); the impact of the COVID-19 pandemic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and the pace of recovery when the current volatile macroeconomic conditions, including the impact of the COVID-19 pandemic, subside. Although the magnitude of the impact of the COVID-19 pandemic on our business operations remains a highly dynamic situation, we have experienced and may continue to experience in subsequent periods, disruptions to our business that may adversely impact our business, financial condition and results of operations.</w:t>
      </w:r>
    </w:p>
    <w:p>
      <w:pPr>
        <w:pStyle w:val="TextBody"/>
        <w:bidi w:val="0"/>
        <w:spacing w:before="120" w:after="0"/>
        <w:jc w:val="both"/>
        <w:rPr>
          <w:rFonts w:ascii="Times New Roman;serif" w:hAnsi="Times New Roman;serif"/>
          <w:b/>
          <w:i/>
          <w:sz w:val="20"/>
        </w:rPr>
      </w:pPr>
      <w:r>
        <w:rPr>
          <w:rFonts w:ascii="Times New Roman;serif" w:hAnsi="Times New Roman;serif"/>
          <w:b/>
          <w:i/>
          <w:sz w:val="20"/>
        </w:rPr>
        <w:t>We may not be successful in our strategic partnership with Topcon and the relationship may divert resources away from existing operations or expose us to liabilities, which could adversely affect our business, results of operations and financial condition.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March 2, 2021, we entered into a series of strategic transactions with Topcon, Topcon America Corporation (the “Investor”) and Topcon Medical Laser Systems, Inc., a subsidiary of Topcon (“TMLS”), which included (i) an asset purchase agreement with TMLS, pursuant to which we acquired substantially all the assets (except for cash and cash equivalents) of TMLS, including rights to the PASCAL product (the “Asset Purchase Agreement”), (ii) a distribution agreement dated March 2, 2021, pursuant to which we granted Topcon the exclusive right to distribute our retina and glaucoma products in certain geographies outside the United States (the “Distribution Agreement”), and (iii) an investment agreement dated March 2, 2021 (the “Investment Agreement”), pursuant to which we sold the Investor 1,618,122 shares of our common stock for an aggregate purchase price of $10 million.</w:t>
      </w:r>
    </w:p>
    <w:p>
      <w:pPr>
        <w:pStyle w:val="TextBody"/>
        <w:bidi w:val="0"/>
        <w:spacing w:before="120" w:after="0"/>
        <w:jc w:val="left"/>
        <w:rPr>
          <w:rFonts w:ascii="Times New Roman" w:hAnsi="Times New Roman"/>
          <w:sz w:val="20"/>
        </w:rPr>
      </w:pPr>
      <w:r>
        <w:rPr>
          <w:rFonts w:ascii="Times New Roman;serif" w:hAnsi="Times New Roman;serif"/>
          <w:b w:val="false"/>
          <w:sz w:val="20"/>
        </w:rPr>
        <w:t>Pursuant to the Asset Purchase Agreement, the transferred assets include substantially all of TMLS’ assets including the rights to the PASCAL product (the “Transferred Assets”). We assumed only those liabilities arising after the closing in connection with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Transferred Assets. In the Asset Purchase Agreement, our company and TMLS made certain customary representations and warranties and agreed to certain customary covenants. The Agreement provides that our company and TMLS will each indemnify the other for losses arising from certain breaches of the Agreement and for certain other liabilities subject to customary caps and deductibles. If there are claims under the indemnification provisions for which we are liable we will need to use some or all our cash to settle those claims.</w:t>
      </w:r>
    </w:p>
    <w:p>
      <w:pPr>
        <w:pStyle w:val="TextBody"/>
        <w:bidi w:val="0"/>
        <w:spacing w:before="120" w:after="0"/>
        <w:jc w:val="left"/>
        <w:rPr>
          <w:rFonts w:ascii="Times New Roman" w:hAnsi="Times New Roman"/>
          <w:sz w:val="20"/>
        </w:rPr>
      </w:pPr>
      <w:r>
        <w:rPr>
          <w:rFonts w:ascii="Times New Roman;serif" w:hAnsi="Times New Roman;serif"/>
          <w:b w:val="false"/>
          <w:sz w:val="20"/>
        </w:rPr>
        <w:t>Pursuant to the Distribution Agreement, we appointed Topcon as the exclusive distributor of our glaucoma and retina products, including PASCAL product, in certain countries outside of the United States. Topcon agreed to use commercially reasonable efforts to commercialize our products in each region throughout the territory, including achieving certain sales baselines by product category and region. If Topcon fails to achieve the baselines in a region, we will have the right to, subject to payment of a fee, terminate Topcon’s appointment in such region. The Distribution Agreement and Topcon’s appointment will, unless terminated earlier, continue on a country-by-country basis for a period of ten (10) years from the date exclusivity is granted. The Distribution Agreement includes customary termination rights and effects of termination, including a termination for convenience right in favor of Topcon and, subject to payment of a fee, a termination right in our favor upon a change of control of our company, as well as customary indemnification provisions.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a result of the Distribution Agreement, we terminated our relationships with our prior distributors in certain geographies and we are using Topcon as our exclusive distributor. If Topcon is unable to generate as much revenue under the Distribution Agreement as we received from our prior distributors, our business, results of operations and financial condition could be adversely affected. If there are claims under the indemnification provisions of the Distribution Agreement for which we are liable, we will need to use some or all our cash to settle those claims or make payments to Topcon pursuant to the terms of the Distribution Agreement.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investing a substantial amount of time, resources and efforts in connection with our relationship with Topcon, including commercializing our products in certain geographies and working to achieve certain sales baselines by product category and region. All of these actions divert resources away from our other initiatives and operations particularly with respect to product sales in the United States. These efforts may not result in the anticipated additional products, efficiencies or revenues for our company, which could adversely affect our business, operating results and financial condition as a result.</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may face quality control and other production issues that could materially and adversely impact our sales and financial results and the acceptance of our products.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manufacture of our infrared and visible laser consoles and related delivery devices is a highly complex and precise process. We may experience manufacturing difficulties, quality control issues or assembly constraints.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our sales increase substantially, we may need to increase our production capacity and may not be able to do so in a timely, effective or cost-efficient manner. We may not be able (ourselves or through third parties) to manufacture or supply sufficient quantities of our products, which may require that we qualify other manufacturers for our products. Furthermore, we may experience delays, disruptions, capacity constraints or quality control problems in our manufacturing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past several years, we have experienced supply chain, production and training issues as we have expanded our product lines and sales volumes, and may experience similar issues in the future as we continue to grow our business. These issues have caused, and may in the future cause, us to reduce or delay the shipment of our products and incur costs to service or replace products already shipped to customers. We have also incurred, and may in the future incur, additional costs to rectify or prevent similar issues in the future. Our efforts to address these supply chain, production and training issues may not be successful, and if we are unable to address these issues in a timely and cost-effective manner, product shipments to our customers could be delayed, our sales levels may suffer and manufacturing and operational costs may increase, any of which would negatively impact our business, results of operations and financial condition.</w:t>
      </w:r>
    </w:p>
    <w:p>
      <w:pPr>
        <w:pStyle w:val="TextBody"/>
        <w:bidi w:val="0"/>
        <w:spacing w:before="120" w:after="0"/>
        <w:jc w:val="left"/>
        <w:rPr>
          <w:rFonts w:ascii="Times New Roman" w:hAnsi="Times New Roman"/>
          <w:sz w:val="20"/>
        </w:rPr>
      </w:pPr>
      <w:r>
        <w:rPr>
          <w:rFonts w:ascii="Times New Roman;serif" w:hAnsi="Times New Roman;serif"/>
          <w:b/>
          <w:i/>
          <w:sz w:val="20"/>
        </w:rPr>
        <w:t>Some of our laser systems are complex in design and may contain defects that are not detected until deployed by our customers, which could increase our costs and reduce our revenues.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Laser systems are inherently complex in design and require regular maintenance. The manufacture of our lasers, laser products and systems involves a highly complex and precise process. As a result of the technical complexity of our products, changes in our or our suppliers’ manufacturing processes or the inadvertent use of defective materials by us or our suppliers could result in a material adverse effect on our ability to achieve acceptable manufacturing yields and product reliability. To the extent that we do not achieve such yields or product reliability, our business, operating results, financial condition and customer relationships would be adversely affected. We provide warranties on certain of our product sales, and allowances for estimated warranty costs are recorded during the period of sale. The determination of such allowances requires us to make estimates of failure rates and expected costs to repair or replace the products under warranty. We currently establish warranty reserves based on historical warranty costs. If actual return rates and/or repair and replacement costs differ significantly from our estimates, adjustments to recognize additional cost of revenues may be required in future periods.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customers may discover defects in our products after the products have been fully deployed and operated under peak stress conditions. In addition, some of our products are combined with products from other vendors, which may contain defects. As a result,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should problems occur, it may be difficult to identify the source of the problem. If we are unable to identify and fix defects or other problems, we could experience, among other things: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loss of customers;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increased costs of product returns and warranty expenses;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damage to our brand reputation;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failure to attract new customers or achieve market acceptance;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diversion of development and engineering resources;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legal actions by our customers.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occurrence of any one or more of the foregoing factors could seriously harm our business, financial condition and results of operations.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rely on our direct and independent sales forces and international distributors to sell our products and if we lose our sales force or distributor relationships, it could harm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sell our products and generate revenues depends upon our direct and independent sales forces within the United States, direct sales force in Germany and relationships with independent international distributors. Currently our direct and independent sales forces within the United States consist of approximately 26 employees and two independent representatives, respectively, and our direct sales force in Germany consists of one employee. Our international independent distributors are managed by a team of eight people. We generally grant our distributors exclusive territories for the sale of our products in specified countries and regions. The amount and timing of resources dedicated by our distributors to the sales of our products is not within our control. Our international sales are largely dependent on the efforts of these third parties. If any distributor breaches the terms of its distribution agreement with us or fails to generate sales of our products, we may be forced to replace the distributor and our ability to sell our products into that exclusive sales territory could be adversely affected.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do not have any long-term employment contracts with the members of our direct sales force. We may be unable to replace our direct sales force personnel with individuals of equivalent technical expertise and qualifications, which may harm our revenues and our ability to maintain market share. Similarly, our independent contractor and distributor agreements are generally terminable at will by either party and independent contractors and distributors may terminate their relationships with us, which would affect our sales and results of operations. Any loss of the members of our existing direct or indirect sales organizations, or any failure to execute on our plans to further develop our sales function, could have an adverse impact on our business, results of operations and financial condition.</w:t>
      </w:r>
    </w:p>
    <w:p>
      <w:pPr>
        <w:pStyle w:val="TextBody"/>
        <w:bidi w:val="0"/>
        <w:spacing w:before="120" w:after="0"/>
        <w:jc w:val="left"/>
        <w:rPr>
          <w:rFonts w:ascii="Times New Roman" w:hAnsi="Times New Roman"/>
          <w:sz w:val="20"/>
        </w:rPr>
      </w:pPr>
      <w:r>
        <w:rPr>
          <w:rFonts w:ascii="Times New Roman;serif" w:hAnsi="Times New Roman;serif"/>
          <w:b/>
          <w:i/>
          <w:sz w:val="20"/>
        </w:rPr>
        <w:t>We depend on international sales for a significant portion of our operating results.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derive, and expect to continue to derive, a large portion of our revenues from international sales. For the second fiscal quarter of fiscal year 2023, our international sales were $6.1 million, or 47.6% of total revenues. We anticipate that international sales will continue to account for a significant portion of our revenues in the foreseeable future. All of our international revenues and costs for the second fiscal quarter of 2023 have been denominated in U.S. dollars except for sales transacted through our German subsidiary. As a result, an increase in the value of the U.S. dollar relative to foreign currencies makes our U.S. dollar-denominated products more expensive and thus less competitive in foreign markets and may negatively affect our reported revenue in any particular reporting period. Our international operations and sales are subject to a number of risks and potential costs,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macroeconomic conditions, including the impact of any future resurgence of the COVID-19 pandemic on the global economy and financial markets;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fluctuations in foreign currency exchange rates;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uncertainty in the global banking and financial services market;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product and production issues;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performance of our international channel of distributors;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longer accounts receivable collection periods;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impact of recessions in global economies and availability of credit;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political and economic instability;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 in international regulatory agreements and requirements;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trade sanctions and embargoes;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impact of international conflicts, terrorist and military activity, civil unrest;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foreign certification requirements, including continued ability to use the “CE” mark in Europe, and other local regulatory requirements;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differing local product preferences and product requirements;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cultural differences;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foreign medical reimbursement and coverage policies and programs;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reduced or limited protections of intellectual property rights in jurisdictions outside the United States;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potentially adverse tax consequences, such as those related to changes in tax laws or tax rates or their interpretations;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protectionist, adverse and changing foreign governmental laws and regulations;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greater risk of our employees failing to comply with both U.S. and foreign laws, including anti-trust regulations, the U.S. Foreign Corrupt Practices Act, the U.K. Bribery Act of 2010 and any trade regulations designed to ensure fair trade practices;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compliance costs and risks of non-compliance with multiple regulatory regimes governing the production, marketing, sale and use of our products.</w:t>
      </w:r>
    </w:p>
    <w:p>
      <w:pPr>
        <w:pStyle w:val="TextBody"/>
        <w:bidi w:val="0"/>
        <w:spacing w:before="120" w:after="0"/>
        <w:jc w:val="left"/>
        <w:rPr>
          <w:rFonts w:ascii="Times New Roman" w:hAnsi="Times New Roman"/>
          <w:sz w:val="20"/>
        </w:rPr>
      </w:pPr>
      <w:r>
        <w:rPr>
          <w:rFonts w:ascii="Times New Roman;serif" w:hAnsi="Times New Roman;serif"/>
          <w:b w:val="false"/>
          <w:sz w:val="20"/>
        </w:rPr>
        <w:t>Any one or more of these factors stated above could have a material adverse effect on our business, financial condition or 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we expand our existing international operations, we may encounter new risks in addition to the above factors. For example, as we focus on building our international sales and distribution networks in new geographic regions, we must continue to develop relationships with qualified local distributors and trading companies. If we are not successful in developing these relationships, we may not be able to grow sales in these geographic regions. These or other similar risks could adversely affect our revenues, profitability and the price of our common stock.</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fail to develop and successfully introduce new products and applications or fail to improve our existing products, our business prospects and operating results may suffer.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generate incremental revenue growth will depend, in part, on the successful outcome of research and development activities, which may include clinical trials that lead to the development of new products and new applications using our products. Our research and development process is expensive, prolonged, and entails considerable uncertainty. Due to the complexities and uncertainties associated with ophthalmic research and development, products we are currently developing may not complete the development process or obtain the regulatory approvals required to market such products successfully. In addition, our research and development process was delayed due to the impact of the COVID-19 pandemic, and should the current macroeconomic conditions worsen, it could delay and disrupt our research and development processes even further.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Successful commercialization of new products and new applications will require that we effectively transfer production processes from research and development to manufacturing and effectively coordinate with our suppliers. In addition, we must successfully sell and achieve market acceptance of new products and applications and enhanced versions of existing products. The extent of, and rate at which, market acceptance and penetration are achieved by future products is a function of many variables, which include, among other things, price, safety, efficacy, reliability, marketing and sales efforts, the development of new applications for these products, the availability of third-party reimbursement of procedures using our new products, the existence of competing products and general economic conditions affecting purchasing patterns.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market and sell new products is subject to government regulation, including approval or clearance by the FDA and foreign government agencies. Any failure in our ability to successfully develop and introduce new products or enhanced versions of existing products and achieve market acceptance of new products and new applications could have a material adverse effect on our operating results and would cause our net revenues to decline.</w:t>
      </w:r>
    </w:p>
    <w:p>
      <w:pPr>
        <w:pStyle w:val="TextBody"/>
        <w:bidi w:val="0"/>
        <w:spacing w:before="120" w:after="0"/>
        <w:jc w:val="left"/>
        <w:rPr>
          <w:rFonts w:ascii="Times New Roman;serif" w:hAnsi="Times New Roman;serif"/>
          <w:b/>
          <w:i/>
          <w:sz w:val="20"/>
        </w:rPr>
      </w:pPr>
      <w:r>
        <w:rPr>
          <w:rFonts w:ascii="Times New Roman;serif" w:hAnsi="Times New Roman;serif"/>
          <w:b/>
          <w:i/>
          <w:sz w:val="20"/>
        </w:rPr>
        <w:t>Growth in our sales and marketing organization may increase costs and create operational challenges without immediately offsetting benefits.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continue to increase our internal sales and marketing functions. This growth may place a strain on our management, operating and financial systems and our sales, marketing and administrative resources as well as increase operating costs. For example, if we are unable to efficiently or effectively provide adequate training for our expanding sales force and marketing organization, we may not be able to immediately or fully utilize marketing resources, generate new sales and offset operational challenges such as the cost of recruiting and hiring sales and marketing personnel. If we cannot effectively manage our expanding operations and our costs, our business may not be able to grow effectively or we may grow at a slower pace.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We are exposed to risks associated with worldwide economic slowdowns and related uncertainties.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subject to macroeconomic fluctuations in the U.S. and worldwide economy including inflationary pressures that may cause the cost of manufacturing our products or servicing our products to increase. Concerns about consumer and investor confidence, volatile corporate profits and reduced capital spending, uncertainty in the global banking and financial services market, international conflicts, terrorist and military activity, civil unrest and pandemic-related illness could reduce customer orders or cause customer order cancellations. For example, any future resurgence of the COVID-19 pandemic or other public health emergencies may cause adverse impacts on global economic activity which could negatively impact our business. In addition, political and social turmoil related to international conflicts, such as that occurring in Russia and Ukraine, and terrorist acts may put further pressure on economic conditions in the United States and abroad.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Weak economic conditions and declines in consumer spending and consumption may harm our operating results. Purchases of our products are often discretionary. During uncertain economic times, customers or potential customers may delay, reduce or forgo their purchases of our products and services, which may impact our business in a number of ways, including lower prices for our products and services and reducing or delaying sales. There could be a number of follow-on effects from economic uncertainty on our business, including insolvency of key suppliers resulting in product delays, delays in customer payments of outstanding accounts receivable and/or customer insolvencies, counterparty failures negatively impacting our operations, and increasing expense or inability to obtain future financing. In addition, negative macroeconomic conditions in the United States (including elevated interest rates) have had, and may continue to have, an adverse impact on capital market conditions, which could limit our ability to obtain additional debt or equity financing on acceptable terms or at all.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economic uncertainty persisted, or if the economy entered a prolonged period of decelerating growth, our results of operations may be harmed.</w:t>
      </w:r>
    </w:p>
    <w:p>
      <w:pPr>
        <w:pStyle w:val="TextBody"/>
        <w:bidi w:val="0"/>
        <w:spacing w:before="120" w:after="0"/>
        <w:jc w:val="left"/>
        <w:rPr>
          <w:rFonts w:ascii="Times New Roman" w:hAnsi="Times New Roman"/>
          <w:sz w:val="20"/>
        </w:rPr>
      </w:pPr>
      <w:r>
        <w:rPr>
          <w:rFonts w:ascii="Times New Roman;serif" w:hAnsi="Times New Roman;serif"/>
          <w:b/>
          <w:i/>
          <w:sz w:val="20"/>
        </w:rPr>
        <w:t>We maintain cash deposits in excess of federally insured limits. Adverse developments affecting financial institutions, including bank failures, could adversely affect our liquidity and financial performance.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maintain cash deposits in financial institutions that may be higher than the $250,000 limit insured by the FDIC or similar agencies. Bank failures, events involving limited liquidity, defaults, non-performance, or other adverse developments that affect financial institutions, or concerns or rumors about such events, may lead to liquidity constraints. For example, on March 10, 2023, SVB failed and was taken into receivership by the FDIC.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U.S. or applicable foreign government, or that any bank or financial institution with which we do business will be able to obtain needed liquidity from other banks, government institutions, or by acquisition in the event of a failure or liquidity crisis.</w:t>
      </w:r>
    </w:p>
    <w:p>
      <w:pPr>
        <w:pStyle w:val="TextBody"/>
        <w:bidi w:val="0"/>
        <w:spacing w:before="120" w:after="0"/>
        <w:jc w:val="left"/>
        <w:rPr>
          <w:rFonts w:ascii="Times New Roman" w:hAnsi="Times New Roman"/>
          <w:sz w:val="20"/>
        </w:rPr>
      </w:pPr>
      <w:r>
        <w:rPr>
          <w:rFonts w:ascii="Times New Roman;serif" w:hAnsi="Times New Roman;serif"/>
          <w:b/>
          <w:i/>
          <w:sz w:val="20"/>
        </w:rPr>
        <w:t>Our operating results may fluctuate from quarter to quarter and year to year.</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sales and operating results may vary significantly from quarter to quarter and from year to year in the future. Our operating results are affected by a number of factors, many of which are beyond our control. Factors contributing to these fluctuations include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general macroeconomic conditions, including inflationary pressures and rising interest rates, uncertainty in the global banking and financial services market, any future resurgence of the COVID-19 pandemic and responsive measures and the war between Russia and Ukraine;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the prices at which we can sell our products, including the impact of changes in foreign currency exchange rates;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introduction of new products, product enhancements and new applications by our competitors, including new drugs, entry of new competitors into our markets, pricing pressures and other competitive factors;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delays or reductions in product shipments, or product recalls, resulting from manufacturing, distribution or other operational issues;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of the introduction and market acceptance of new products, product enhancements and new applications;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demand for our existing line of ophthalmology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 and availability of components and subassemblies, including the willingness and ability of our sole or limited source suppliers to timely deliver components at the times and prices that we have planned;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maintain sales volumes at a level sufficient to cover fixed manufacturing and operating costs;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fluctuations in our product mix within ophthalmology products and foreign and domestic sales;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effect of regulatory approvals and changes in domestic and foreign regulatory requirements;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our long and highly variable sales cycle;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customers’ or potential customers’ budgets as a result of, among other things, reimbursement policies of government programs and private insurers for treatments that use our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variances in shipment volumes as a result of product, supply chain due to global constraints or other factors and training issues;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increased product innovation costs.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to these factors, our quarterly results have been, and are expected to continue to be, affected by seasonal factors. For example, our European sales during the third quarter are generally lower due to many businesses being closed for the summer vacation season.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expense levels are based, in part, on expected future sales. If sales levels in a particular quarter do not meet expectations, we may be unable to adjust operating expenses quickly enough to compensate for the shortfall of sales, and our results of operations may be adversely affected. In addition, we have historically made a significant portion of each quarter’s product shipments near the end of the quarter. If that pattern continues, any delays in shipment of products could have a material adverse effect on results of operations for such quarters. Due to these and other factors, we believe that quarter to quarter and year to year comparisons of our past operating results may not be meaningful. You should not rely on our results for any quarter or year as an indication of our future performance. Our operating results in future quarters and years may be below expectations, which would likely cause the price of our common stock to fall.</w:t>
      </w:r>
    </w:p>
    <w:p>
      <w:pPr>
        <w:pStyle w:val="TextBody"/>
        <w:bidi w:val="0"/>
        <w:spacing w:before="120" w:after="0"/>
        <w:jc w:val="left"/>
        <w:rPr>
          <w:rFonts w:ascii="Times New Roman" w:hAnsi="Times New Roman"/>
          <w:sz w:val="20"/>
        </w:rPr>
      </w:pPr>
      <w:r>
        <w:rPr>
          <w:rFonts w:ascii="Times New Roman;serif" w:hAnsi="Times New Roman;serif"/>
          <w:b/>
          <w:i/>
          <w:sz w:val="20"/>
        </w:rPr>
        <w:t>We rely on continued market acceptance of our existing products and any decline in sales of our existing products would adversely affect our business and 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currently market visible and infrared medical laser systems and delivery devices to the ophthalmology market. We believe that continued and increased sales, if any, of these medical laser systems is dependent upon a number of factors including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any future resurgence of the COVID-19 pandemic or other public health emergencies on timing of ophthalmic treatment procedures;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acceptance of product performance, features, ease of use, scalability and durability, including with respect to our MicroPulse laser photocoagulation systems, and our PASCAL product;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recommendations and opinions by ophthalmologists, other clinicians, and their associated opinion leaders;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marketing and clinical study outcomes;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price of our products and prices of competing products and technologies, particularly in light of the current macro-economic environment where healthcare systems and healthcare operators are becoming increasingly price sensitive;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availability of competing products, technologies and alternative treatments;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level of reimbursement for treatments administered with our products.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we derive a meaningful portion of our sales in the form of recurring revenues from selling consumable instrumentation, including our probe for the Cyclo G6 Laser and EndoProbe devices. Our ability to increase recurring revenues from the sale of consumable products will depend primarily upon the features of our current products and product innovation, the quality of, ease of use and prices of our products, including the relationship to prices of competing products. The level of our service revenues will depend on the quality of service we provide and the responsiveness and the willingness of our customers to use our products and services rather than purchase competing products or services. Any significant decline in market acceptance of our products or our revenues associated therewith may have a material adverse effect on our business, results of operations and financial condition.</w:t>
      </w:r>
    </w:p>
    <w:p>
      <w:pPr>
        <w:pStyle w:val="TextBody"/>
        <w:bidi w:val="0"/>
        <w:spacing w:before="120" w:after="0"/>
        <w:jc w:val="left"/>
        <w:rPr>
          <w:rFonts w:ascii="Times New Roman" w:hAnsi="Times New Roman"/>
          <w:sz w:val="20"/>
        </w:rPr>
      </w:pPr>
      <w:r>
        <w:rPr>
          <w:rFonts w:ascii="Times New Roman;serif" w:hAnsi="Times New Roman;serif"/>
          <w:b/>
          <w:i/>
          <w:sz w:val="20"/>
        </w:rPr>
        <w:t>We face strong competition in our markets and expect the level of competition to grow in the foreseeable future.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principal ophthalmic laser competitors are Alcon Inc., Novartis AG, Bausch Health Companies Inc., Carl Zeiss Meditec AG, Lumenis Ltd., Nidek Co. Ltd., Lumibird, and Norlase. We also compete with alternative glaucoma surgical device companies such as Alcon, Inc., Allergan, Inc., Glaukos Corporation, New World Medical, Inc. and Ivantis, Inc. Pharmaceuticals represent alternative treatments to our laser procedures. Some of our principal pharmaceutical competitors are Alcon, Inc., Allergan, Inc., Astellas Pharma Inc., Pfizer Inc., Regeneron Pharmaceuticals, Inc., Roche Holding Ltd. (Genentech) and Bausch Health Companies Inc. Some of our competitors have substantially greater financial, engineering, product development, manufacturing, marketing and technical resources than we do. Some companies also have greater name recognition than us and long-standing customer relationships. In addition, other medical device companies, academic and research institutions, or others, may develop new technologies or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Divestitures of our businesses or product lines may materially and adversely affect our financial condition, results of operations or cash flows and require us to raise additional capital to replace revenue from those business units or product lines.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two main businesses: glaucoma and retina, domestic and international operations within each and many product lines within the two businesses. We periodically evaluate the performance and strategic fit of our businesses and may sell businesses or product lines. Divestitures involve risks, including difficulties in the separation of operations, services, products and personnel, the diversion of management’s attention from other business concerns, the disruption of our business, the potential loss of key employees and the retention of uncertain environmental or other contingent liabilities related to the divested business. In addition, divestitures may result in significant asset impairment charges, including those related to goodwill and other intangible assets, and the loss of revenue which could have a material adverse effect on our financial condition and results of operations. In addition, we may not realize the expected value from the divestiture of a business or product lines and may need to raise additional capital to replace the revenue generated from the business or product line that is divested. We can provide no assurance that such capital will be available or available on terms that are acceptable to us. We cannot assure you that we will be successful in managing these or any other significant risks that we encounter in divesting a business or product line, and any divestiture we undertake could materially and adversely affect our business, financial condition, results of operations and cash flows, and may also result in a diversion of management attention, operational difficulties and losses.</w:t>
      </w:r>
    </w:p>
    <w:p>
      <w:pPr>
        <w:pStyle w:val="TextBody"/>
        <w:bidi w:val="0"/>
        <w:spacing w:before="120" w:after="0"/>
        <w:jc w:val="left"/>
        <w:rPr>
          <w:rFonts w:ascii="Times New Roman" w:hAnsi="Times New Roman"/>
          <w:sz w:val="20"/>
        </w:rPr>
      </w:pPr>
      <w:r>
        <w:rPr>
          <w:rFonts w:ascii="Times New Roman;serif" w:hAnsi="Times New Roman;serif"/>
          <w:b/>
          <w:i/>
          <w:sz w:val="20"/>
        </w:rPr>
        <w:t>Our operating results may be adversely affected by uncertainty regarding healthcare reform measures and changes in third-party coverage and reimbursement policies.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products are typically purchased by doctors, clinics, hospitals and other users, which bill various third-party payers, such as governmental programs and private insurance plans, for the health care services provided to their patients. Changes in government legislation or regulation or in private third-party payers’ policies toward reimbursement for procedures employing our products may prohibit adequate reimbursement. There have been a number of legislative and regulatory proposals to change the healthcare system, reduce the costs of healthcare and change medical reimbursement policies. Doctors, clinics, hospitals and other users of our products may decline to purchase our products to the extent there is uncertainty regarding reimbursement of medical procedures using our products and any healthcare reform measures. Further proposed legislation, regulation and policy changes affecting third-party reimbursement are likely. Among other things, Congress has in the past proposed changes to and the repeal of the Patient Protection and Affordable Care Act and the Health Care and Education Reconciliation Act of 2010, collectively, the “Affordable Care Act”, and the current U.S. presidential administration has announced certain policy changes that could impact the availability of benefits under the Affordable Care Act. For example, tax reform legislation enacted at the end of 2017 eliminated the tax penalty for individuals who did not maintain sufficient health insurance coverage beginning in 2019 (the “individual mandate”). We anticipate continued Congressional interest in modifying provisions of the Affordable Care Act. At this time, it remains unclear whether there will be any changes made to or any repeal of the Affordable Care Act, with respect to certain of its provisions or in its entirety or related administrative policies. Various healthcare reform proposals have also emerged at the state level.</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We are unable to predict what legislation or regulation, if any, relating to the health care industry or third-party coverage and reimbursement may be enacted in the future at the state or federal level, or what effect such legislation or regulation may have on us. Furthermore, existing legislation and regulation related to the health care industry and third-party coverage reimbursement, including the Affordable Care Act, has been subject to judicial challenge, and may be subject to similar challenges from time to time in the future (such as the </w:t>
      </w:r>
      <w:r>
        <w:rPr>
          <w:rFonts w:ascii="Times New Roman;serif" w:hAnsi="Times New Roman;serif"/>
          <w:b w:val="false"/>
          <w:i/>
          <w:sz w:val="20"/>
        </w:rPr>
        <w:t xml:space="preserve">California v. Texas </w:t>
      </w:r>
      <w:r>
        <w:rPr>
          <w:rFonts w:ascii="Times New Roman;serif" w:hAnsi="Times New Roman;serif"/>
          <w:b w:val="false"/>
          <w:sz w:val="20"/>
        </w:rPr>
        <w:t>case). In June 2021, the U.S. Supreme Court held that Texas and other challengers had no legal standing to challenge the Affordable Care Act, dismissing the case on procedural grounds without specifically ruling on the constitutionality of the Affordable Care Act. Denial of coverage and reimbursement of our products, or the revocation or changes to coverage and reimbursement policies, could have a material adverse effect on our business, results of operations and financial condition.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Third-party payers are increasingly scrutinizing and continue to challenge the coverage of new products and the level of reimbursement for covered products. 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fail to comply with healthcare laws, we could face substantial penalties and financial exposure, and our business, operations and financial condition could be adversely affected.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While we do not bill directly to Medicare, Medicaid or other third-party payors, because payment is in many cases available for our products from such payors, many healthcare laws place limitations and requirements on the manner in which we conduct our business (including our sales and promotional activities and interactions with healthcare professionals and facilities) and could result in liability and exposure for us. The laws that may affect our ability to operate include (i) 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payors that are false or fraudulent, and which may apply to entities like us if we provide coding and billing advice to customers, or under theories of “implied certification” where the government and qui tam relators may allege that device companies are liable where a product that was paid for by the government in whole or in part was promoted “off-label,” lacked necessary clearance or approval, or failed to comply with good manufacturing practices or other laws; (iii) transparency laws and related reporting and disclosures requirements such as the federal Sunshine Act, now known as Open Payments; and/or (iv) state law equivalents of each of the above federal laws, including, without limitation anti-kickback and false claims laws which may apply to items or services reimbursed by any third-party payor, including commercial insurers, many of which differ from their federal counterparts in significant ways, thus complicating compliance efforts.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operations being found in violation of these laws is increased by the fact that the government’s provisions are open to a variety of evolving interpretations and enforcement discretion. Compliance with Open Payments, commonly known as the Sunshine Act, has presented a number of challenges to companies such as ours, in terms of interpretation of the law and its implementation. Under the Sunshine Act, Centers for Medicare &amp; Medicaid Services (“CMS”) has the potential to impose penalties of up to $1.26 million per year for violations, depending on the circumstances and adjusted annually for inflation, although enforcement has been negligible to date. Payments reported under the Sunshine Act also have the potential to draw scrutiny on payments to and relationships with physicians, which may have implications under the Anti-Kickback Statute and other healthcare laws. The risk that we may be found in violation of these laws may be increased by the fact that we do not have a formal healthcare compliance program in place. Further, while safe harbors may in some instances be available and utilized by companies to reduce risks associated with the Anti-Kickback Statute and certain other healthcare laws, we have not necessarily utilized such safe harbors nor fully followed all elements required to claim the benefit of such safe harbors in all possible instances. Any action against us for violation of these laws, even if we successfully defend against it, could cause us to incur significant legal expenses and divert our management’s attention from the operation of our business.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depend on collaborative relationships to develop, introduce and market new products, product enhancements and applications.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depend on both clinical and commercial collaborative relationships. We have entered into collaborative relationships with academic medical centers and physicians in connection with the research and innovation and clinical testing of our products. Commercially, we have licensing agreements with strategic partners. The failure to obtain any additional future clinical or commercial collaborations and the resulting failure or success of such collaboration relationships could have a material adverse effect on our ability to introduce new products or applications and therefore could have a material adverse effect on our business, results of operations and financial condition.</w:t>
      </w:r>
    </w:p>
    <w:p>
      <w:pPr>
        <w:pStyle w:val="TextBody"/>
        <w:bidi w:val="0"/>
        <w:spacing w:before="120" w:after="0"/>
        <w:jc w:val="left"/>
        <w:rPr>
          <w:rFonts w:ascii="Times New Roman" w:hAnsi="Times New Roman"/>
          <w:sz w:val="20"/>
        </w:rPr>
      </w:pPr>
      <w:r>
        <w:rPr>
          <w:rFonts w:ascii="Times New Roman;serif" w:hAnsi="Times New Roman;serif"/>
          <w:b/>
          <w:i/>
          <w:sz w:val="20"/>
        </w:rPr>
        <w:t>If we cannot increase our sales volumes, reduce our costs or introduce higher margin products to offset potential reductions in the average unit price of our products, our operating results may suffer.</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average unit price of our products may decrease in the future in response to changes in product mix, competitive pricing pressures, new product introductions by our competitors or other factors. If we are unable to offset the anticipated decrease in our average selling prices by increasing our sales volumes or through new product introductions, our net revenues will decline. In addition, to maintain our gross margins we must continue to reduce the manufacturing cost of our products. If we cannot maintain our gross margins our business could be seriously harmed, particularly if the average selling price of our products decreases significantly without a corresponding increase in sales.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Our promotional practices are subject to extensive government scrutiny. We may be subject to governmental, regulatory and other legal proceedings relative to advertising, promotion and marketing that could have a</w:t>
      </w:r>
      <w:r>
        <w:rPr>
          <w:rFonts w:ascii="Times New Roman" w:hAnsi="Times New Roman"/>
          <w:sz w:val="20"/>
        </w:rPr>
        <w:t xml:space="preserve"> </w:t>
      </w:r>
      <w:r>
        <w:rPr>
          <w:rFonts w:ascii="Times New Roman;serif" w:hAnsi="Times New Roman;serif"/>
          <w:b/>
          <w:i/>
          <w:sz w:val="20"/>
        </w:rPr>
        <w:t>significant negative effect on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subject to governmental oversight and associated civil and criminal enforcement relating to drug and medical device advertising, promotion, and marketing, and such enforcement is evolving and intensifying. In the United States, we are subject to potential enforcement from the FDA, the U.S. Federal Trade Commission, the Department of Justice, the CMS, other divisions of the Department of Health and Human Services and state and local governments. Other parties, including private plaintiffs, also are commonly bringing suit against pharmaceutical and medical device companies, alleging off-label marketing and other violations. We may be subject to liability based on the actions of individual employees and contractors carrying out activities on our behalf, including sales representatives who may interact with healthcare professionals.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rely on patents and proprietary rights to protect our intellectual property and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We file patent applications to protect technology, inventions and improvements that are significant to the development of our business. As of July 1, 2023, our patent portfolio includes 64 active United States patents and 83 active international patents on the technologies related to our products and processes. In addition, as of July 1, 2023, we have 13 patent applications pending in the United States and 21 international patent applications pending. Our patent applications may not be approved. Any patents granted now or in the future may offer only limited protection against potential infringement and development by our competitors of competing products. Moreover, our competitors, many of which have substantial resources and have made substantial investments in competing technologies, may seek to apply for and obtain patents that will prevent, limit or interfere with our ability to make, use or sell our products either in the United States or in international markets. Patents have a limited lifetime and once a patent expires competition may increase.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industry standard provisions requiring such individuals to assign to us, without additional consideration, any inventions conceived or reduced to practice by them while employed or retained by us, subject to customary exceptions. Proprietary information agreements with employees, consultants and others may be breached, and we may not have adequate remedies for any breach. Also, our trade secrets may become known to or independently developed by competitors.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laser and medical device industry is characterized by frequent litigation regarding patent and other intellectual property rights. Companies in the medical device industry have employed intellectual property litigation to gain a competitive advantage.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Numerous patents are held by others, including academic institutions and our competitors. Patent applications filed in the United States generally will be published eighteen months after the filing date. However, since patent applications continue to be maintained in secrecy for at least some period of time, both within the United States and internationally, we cannot provide assurance that our technology does not infringe any patents or patent applications held by third parties. We have, from time to time, been notified of, or have otherwise been made aware of, claims that we may be infringing upon patents or other proprietary intellectual property owned by others. If it appears necessary or desirable, we may seek licenses under such patents or proprietary intellectual property. Although patent holders commonly offer such licenses, licenses under such patents or intellectual property may not be offered or the terms of any offered licenses may not be reasonable.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claims, with or without merit, and regardless of whether we are successful on the merits, would be time-consuming, result in costly litigation and diversion of technical and management personnel, cause shipment delays or require us to develop non-infringing technology or to enter into royalty or licensing agreements. An adverse determination in a judicial or administrative proceeding and failure to obtain necessary licenses or develop alternate technologies could prevent us from manufacturing and selling our products, which would have a material adverse effect on our business, results of operations and financial condition.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lose key personnel or fail to integrate replacement personnel successfully, our ability to manage our business could be impaired.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future success depends upon the continued service of our key management, technical, sales, and other critical personnel. Our officers and other key personnel are employees-at-will, and we cannot provide assurance that we will be able to retain them. Key personnel have left our company in the past, and there likely will be additional departures of key personnel from time to time in the future. Additionally, our common stock is currently trading at a price below the exercise price of many of our outstanding options. As a result, these “underwater” options are less useful as a motivation and retention tool for our existing employees. The loss of any key employee could result in significant disruptions to our operations, including adversely affecting the timeliness of product releases, the successful implementation and completion of company initiatives, and the results of our operations. Competition for these individuals is intense, and we may not be able to attract, assimilate or retain highly qualified personnel. Competition for qualified personnel in our industry and the San Francisco Bay Area, as well as other geographic markets in which we recruit, is highly competitive and characterized by increasing salaries, which may increase our operating expenses or hinder our ability to recruit qualified candidates. In addition, the integration of replacement personnel could be time consuming, may cause additional disruptions to our operations, and may be unsuccessful.</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fail to accurately forecast demand for our product and component requirements for the manufacture of our product, we could incur additional costs or experience manufacturing delays and may experience lost sales or significant inventory carrying costs.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use quarterly and annual forecasts based primarily on our anticipated product orders to plan our manufacturing efforts and determine our requirements for components and materials. It is very important that we accurately predict both the demand for our product and the lead times required to obtain or manufacture the necessary components, materials, and fully assembled products. Lead times for components and fully assembled products vary significantly and depend on numerous factors, including the specific supplier, the size of the order, contract terms and current market demand for such products. If we overestimate the demand for our product, we may have excess inventory, which would increase our costs. If we underestimate demand for our product and consequently, our components, materials and fully assembled products requirements, we may have inadequate inventory, which could interrupt our manufacturing, delay delivery of our product to our customers and result in the loss of customer sales. Any of these occurrences would negatively impact our business and operating results.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depend on sole source or limited source suppliers.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rely on third parties to manufacture substantially all of the components used in our products, including optics, laser diodes and crystals. We have some long term or volume purchase agreements with our suppliers and currently purchase components and fully-assembled products on a purchase order basis. Some of our suppliers and manufacturers are sole or limited source suppliers. In addition, some of these suppliers are relatively small private companies whose operations may be disrupted or discontinued at any time. There are risks associated with the use of independent manufacturers, including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macroeconomic conditions, including any future resurgence of the COVID-19 pandemic and inflationary pressures on global supply chains and market stability;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unavailability of shortages or limitations on the ability to obtain supplies of components and products in the quantities that we require, or that satisfy the environmental requirements to which we are subject;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delays in delivery or failure of suppliers to deliver critical components and products on the dates we require;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failure of suppliers to manufacture and assemble components and products to our specifications, and potentially reduced quality;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inability to obtain components and products in a timely manner or at acceptable prices due to global supply chain constraints or other factors.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business and operating results may suffer from the lack of alternative sources of supply for critical sole and limited source components and fully-assembled products. The process of qualifying suppliers is complex, requires extensive testing with our products, and may be lengthy, particularly as new products are introduced. New suppliers would have to be educated in our production processes. In addition, the use of alternate components may require design alterations to our products and additional product testing under FDA and relevant foreign regulatory agency guidelines, which may delay sales and increase product costs. Any failures by our vendors to adequately supply limited and sole source components or products may impair our ability to offer our existing products, delay the submission of new products for regulatory approval and market introduction, materially harm our business and financial condition and cause our stock price to decline. Establishing our own capabilities to manufacture these components or products would be expensive and could significantly decrease our profit margins. Our business, results of operations and financial condition would be adversely affected if we are unable to continue to obtain components or fully-assembled products in the quantity and quality desired and at the prices we have budgeted.</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our facilities were to experience catastrophic loss, our operations would be seriously harmed.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facilities could be subject to catastrophic loss such as fire, flood, unpredictable power outages, or earthquake. All of our research and development activities, manufacturing, our corporate headquarters and other critical business operations are located near major earthquake faults in Mountain View, California. California can experience earthquakes, catastrophic wildfires, and intermittent power outages. Any such loss at any of our facilities caused by fires, flooding, power outages, or earthquakes could disrupt our operations, delay production, shipments and revenue and result in large expense to repair and replace our facilities.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experience a significant disruption in our information technology systems or breaches of data security, our business could be adversely affected.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rely on information technology systems to keep financial records and corporate records, communicate with staff and external parties and operate other critical functions, including sales and manufacturing processes. Our information technology systems and those of our third-party service providers are potentially vulnerable to disruption, breakdown, damage, service interruption, system malfunction, power outage, natural disaster, malicious intrusion, ransomware, denial-of-service attacks, phishing attacks, social engineering, computer viruses, security breaches and other cyber-attacks. For example, companies have experienced an increase in phishing and spoofing attacks from third parties in connection with working remotely, either permanently or temporarily, due to the COVID-19 pandemic or due to political uncertainty and military actions associated with the significant military action against Ukraine launched by Russia. If we were to experience a prolonged system disruption in our information technology systems, it could negatively impact the coordination of our sales, planning and manufacturing activities, which could adversely affect our business. In addition, to maximize our information technology efficiency, we have physically consolidated our primary corporate data and computer operations. This concentration, however, exposes us to a greater risk of disruption to our internal information technology systems. Although we maintain offsite back-ups of our data, if operations at our facilities were disrupted, it may cause a material disruption in our business if we are not capable of restoring function on an acceptable time frame.</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our information technology systems and those of our third-party service providers are potentially vulnerable to cyber-attacks or other data security breaches-whether by employees or others-which may expose sensitive data to unauthorized persons. Such data security breaches could lead to the loss of trade secrets or other intellectual property, or could lead to the public exposure of sensitive and confidential information of our employees, customers, suppliers and others, any of which could have a material adverse effect on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While we have implemented a number of protective measures, including firewalls, antivirus and malware detection tools, patches, log monitors, routine back-ups, system audits, routine password modifications and disaster recovery procedures, we have experienced and may in the future experience spoofing attacks. In addition, our measures to secure our information technology systems may not be adequate or implemented properly to prevent or fully address the adverse effect of such events, and in some cases we may be unaware of an incident or its magnitude and effects. If we are unable to, or perceived or reported to have been or be unable to, prevent such security breaches or privacy violations or implement satisfactory remedial measures, our operations could be disrupted, and we may be exposed to claims, demands, and litigation or governmental investigations and other proceedings and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Furthermore, we may not have adequate insurance coverage to protect us from, or adequately mitigate, liabilities or damages resulting from cyber-attacks or security breaches.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fail to maintain our relationships with health care providers, customers may not buy our products and our revenue and profitability may decline. At the same time, relationships with these individuals and entities are the subject of heightened scrutiny and may present the potential for healthcare compliance risks.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market our products to numerous health care providers, including physicians, hospitals, ambulatory surgical centers, government affiliated groups and group purchasing organizations. We have developed and strive to maintain close relationships with members of each of these groups who assist in product research and development and advise us on how to satisfy the full range of surgeon and patient needs. We rely on these groups to recommend our products to their patients and to other members of their organizations. The failure of our existing products and any new products we may introduce to retain the support of these various groups could have a material adverse effect on our business, financial condition and results of operations. In addition, our interactions, communications, and financial relationships with these individuals and entities present potential healthcare compliance risks.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are subject to government regulations which may cause us to delay or withdraw the introduction of new products or new applications for our products.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medical devices that we market and manufacture are subject to extensive regulation by the FDA and by foreign and state governments. Under the FD&amp;C Act and the related regulations, the FDA regulates the design, development, clinical testing, manufacture, labeling, sale, distribution and promotion of medical devices. Before a new device can be introduced into the market, the product must be shown to meet regulatory requirements established by the FD&amp;C Act and implemented by the FDA. Unless otherwise exempt, a device manufacturer must obtain marketing “clearance” through the 510(k) premarket notification process, or “approval” through the lengthier premarket approval application (“PMA”) process or other processes such as the “de novo” process. Not all devices are eligible for the 510(k) clearance process. Depending upon the type, complexity and novelty of the device and the nature of the disease or disorder to be treated, the PMA process can take several years, require extensive clinical testing and result in significant expenditures. Even if regulatory clearance or approval is obtained, later discovery of previously unknown safety issues may result in restrictions on the product, including withdrawal of the product from the market. Other countries also have extensive regulations regarding clinical trials and testing prior to new product introductions. Our failure to obtain government approvals or any delays in receipt of such approvals would have a material adverse effect on our business, results of operations and financial condition.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FDA imposes a broad range of additional requirements on medical device companies. Our products must be produced in compliance with the Quality System Regulation (“QSR”) and our manufacturing facilities are subject to establishment registration and device listing requirements from the FDA, and similar requirements from certain state authorities, and ongoing periodic inspections by the FDA, including unannounced inspections for compliance with applicable requirements. We are subject to monitoring, recordkeeping, and reporting obligations for medical device adverse events and malfunctions; notification of our products’ defects or failure to comply with the FDA’s laser regulations; and reporting of recalls, corrections, or removals of our products. The FDA also imposes requirements for the labeling of our products, and places limitations on claims we are permitted to make about our products in promotional labeling. The Federal Trade Commission has jurisdiction over the advertising of all of our products, which are non-restricted devices, and exercises oversight in coordination with the FDA.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Noncompliance with the applicable requirements can result in, among other things, regulatory citations (including “483 Observations”) and warning letters, fines, injunctions, civil penalties, recall or seizure of products, total or partial suspension of production, withdrawal of marketing approvals, and criminal prosecution. The FDA also has the authority to request repair, replacement or refund of the cost of any device we manufacture or distribute. Any of these actions by the FDA would materially and adversely affect our ability to continue operating our business and the results of our operations. Such enforcement action can also result in negative publicity.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we are also subject to varying product standards, packaging requirements, labeling requirements, tariff regulations, duties and tax requirements. As a result of our sales in Europe, we are required to have all medical device products “CE” marked, an international symbol, affixed to all our medical device products demonstrating compliance with the European Medical Device Directives and/or Medical Device Regulations (“MDR”) and all applicable standards. While currently all our released medical device products are CE marked, continued certification is based on the successful review of our quality system by our European Registrar during their periodic audits. Any loss of certification would have a material adverse effect on our business, results of operations and financial condition. There are several major regulatory changes occurring in the regulation of medical devices in the European Union (the “EU”). The revision of the quality system regulation (ISO 13485:2016) has been released that substantially increased the requirements for a medical device quality system. The MDR has replaced the medical device directives (93/42/EEC), and it substantially changes the way that medical devices are brought to market in the EU and how they maintain compliance throughout the product’s life cycle. Due to the UK’s exit from EU (“Brexit”), different rules will apply in Great Britain (England, Wales and Scotland), Northern Ireland and the EU after the Brexit transition period, which began January 1, 2021. Similarly, Switzerland has changed its relationship with the EU and in May 2022, will require medical device manufacturers, including us, to contract with a Swiss authorized representative. Additionally, the new revision 4 of the clinical evaluation report guidance document (MEDDEV 2.7.1) and the Medical Device Coordination Group (MDCG) guidance regarding clinical evidence (MDCG 2020-6) severely restricts the use of substantial equivalence for new products, resulting in the need for formal clinical trial data for many products. These and future changes will increase the cost for compliance and for product development, and they lengthen product introduction cycles. Failure to comply with these changes and any future changes can have an adverse effect on our ability to release new products in a timely manner.</w:t>
      </w:r>
    </w:p>
    <w:p>
      <w:pPr>
        <w:pStyle w:val="TextBody"/>
        <w:bidi w:val="0"/>
        <w:spacing w:before="120" w:after="0"/>
        <w:jc w:val="left"/>
        <w:rPr>
          <w:rFonts w:ascii="Times New Roman;serif" w:hAnsi="Times New Roman;serif"/>
          <w:b/>
          <w:i/>
          <w:sz w:val="20"/>
        </w:rPr>
      </w:pPr>
      <w:r>
        <w:rPr>
          <w:rFonts w:ascii="Times New Roman;serif" w:hAnsi="Times New Roman;serif"/>
          <w:b/>
          <w:i/>
          <w:sz w:val="20"/>
        </w:rPr>
        <w:t>Any clinical trials necessary that we may undertake for regulatory approval or marketing reasons will be an expensive, lengthy, costly, and uncertain process, and could result in delays in new product introductions or even an inability to release a product.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be required to undertake clinical trials often required to obtain regulatory approvals or may choose to undertake such trials for marketing or other reasons. Clinical trials for products such as ours are complex and expensive and their outcomes are uncertain. Any clinical trials that we may undertake would require the investment of significant financial and administrative resources. Moreover, the results of clinical trials are uncertain, and inconclusive or negative results may not support, or may impair, the sale and adoption of our products. We may suffer significant setbacks in clinical trials, even after earlier clinical trials showed promising results. Any of our products could produce undesirable side effects that could cause us or regulatory authorities to interrupt, delay or halt clinical trials of a product candidate. We, the FDA, or another regulatory authority could suspend or terminate clinical trials at any time if we or they believed the trial participants faced unacceptable health risks.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fail to comply with the FDA’s quality system regulation and laser performance standards, our manufacturing operations could be halted, and our business would suffer.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currently required to demonstrate and maintain compliance with the FDA’s QSR. The QSR is a complex regulatory scheme that covers the methods and documentation of the design, testing, control, manufacturing, labeling, quality assurance, packaging, storage and shipping of our products. Because our products involve the use of lasers, our products also are covered by a performance standard for lasers set forth in FDA regulations. The laser performance standard imposes specific recordkeeping, reporting, product testing and product labeling requirements. These requirements include affixing warning labels to laser products, as well as incorporating certain safety features in the design of laser products. The FDA enforces the QSR and laser performance standards through periodic unannounced inspections. We have been, and anticipate in the future being, subject to such inspections. Our failure to take satisfactory corrective action in response to an adverse QSR inspection or our failure to comply with applicable laser performance standards could result in enforcement actions, including a public warning letter, a shutdown of our manufacturing operations, a recall of our products, civil or criminal penalties, or other sanctions, which would cause our sales and business to suffer.</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modify one of our FDA cleared devices, we may need to submit a new 510(k), or potentially a PMA, and if clearance or approval is not obtained, it would prevent us from selling our modified products or cause us to redesign our products.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modifications to an FDA-cleared device that would significantly affect its safety or effectiveness or that would constitute a major change in its intended use would require a new 510(k) clearance or possibly a PMA. We may not be able to obtain additional 510(k) clearances or premarket approvals for new products or for modifications to, or additional indications for, our existing products in a timely fashion, or at all. Delays in obtaining future clearances would adversely affect our ability to introduce new or enhanced products in a timely manner, which in turn would harm our revenues and future profitability.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 which could harm our operating results and require us to redesign our products.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Efforts to acquire additional companies or product lines may divert our managerial resources away from our business operations, and if we complete additional acquisitions, we may incur or assume additional liabilities or experience integration problems.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part of our growth strategy, we seek to acquire businesses or product lines for various reasons, including adding new products, adding new customers, increasing penetration with existing customers, adding new manufacturing capabilities or expanding into new geographic markets. Our ability to successfully grow through acquisitions depends upon our ability to identify, negotiate, complete and integrate suitable acquisitions and to obtain any necessary financings. These efforts could divert the attention of our management and key personnel from our business operations. If we complete future acquisitions, we may also experience: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difficulties integrating any acquired products into our existing business;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difficulties in integrating an acquired company’s technologies, services, employees and other service providers, customers, partners, business operations and administrative and software management systems with ours;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delays in realizing the benefits of the acquired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diversion of our management’s time and attention from other business concerns;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adverse customer reaction to the product acquisition;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increases in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Moreover, we cannot assure you that the anticipated benefits of any acquisition or investment would be realized or that we would not be exposed to unknown liabilities. In connection with these types of transactions, we may issue additional equity securities that would dilute the ownership interest of existing investors or earnings per share,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or investments could adversely affect our business, operating results and financial condition.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Our products may be misused, which could harm our reputation and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market and sell our products for use by highly skilled physicians with specialized training and experience in the treatment of eye-related disorders. We, and our distributors, generally offer but do not require purchasers or operators of our products to attend training sessions, nor do we supervise the procedures performed with our products. The physicians who operate our products are responsible for their use and the treatment regime for each individual patient. In addition, non-physicians, particularly in countries outside of the United States, or poorly trained or inexperienced physicians, may make use of our products. Our efforts to market our MicroPulse systems as a fovea-friendly alternative to traditional continuous wavelength systems or alternative treatment methods may result in users failing to implement adequate safety precautions and thereby increase the risks associated with the misuse of our products. The lack of training and the purchase and use of our products by non-physicians or poorly trained or inexperienced physicians may result in product misuse and adverse treatment outcomes, which could harm our reputation and expose us to costly product liability litigation, or otherwise cause our business to suffer.</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Inability of customers to obtain credit or material increases in interest rates may harm our sales.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Some of our products are sold to health care providers in general practice. Many of these health care providers purchase our products with funds they secure through various financing arrangements with third-party financial institutions, including credit facilities and short-term loans. If availability of credit becomes more limited, or interest rates increase, these financing arrangements may be harder to obtain or become more expensive for our customers, which may decrease demand for our products. Any reduction in the sales of our products would cause our business to suffer.</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Our products could be subject to recalls even after receiving FDA approval or clearance. A recall would harm our reputation and adversely affect our operating results.</w:t>
      </w:r>
    </w:p>
    <w:p>
      <w:pPr>
        <w:pStyle w:val="TextBody"/>
        <w:bidi w:val="0"/>
        <w:spacing w:before="120" w:after="0"/>
        <w:jc w:val="left"/>
        <w:rPr>
          <w:rFonts w:ascii="Times New Roman" w:hAnsi="Times New Roman"/>
          <w:sz w:val="20"/>
        </w:rPr>
      </w:pPr>
      <w:r>
        <w:rPr>
          <w:rFonts w:ascii="Times New Roman;serif" w:hAnsi="Times New Roman;serif"/>
          <w:b w:val="false"/>
          <w:sz w:val="20"/>
        </w:rPr>
        <w:t>The FDA and similar governmental authorities in other countries in which we market and sell our products have the authority to require the recall of our products in the event of material deficiencies or defects in the design or manufacture of our products, or in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other cases we may determine that we will recall a product because we have determined that the product is violative, in order to avoid further enforcement action and protect the public health.</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government mandated recall, or a voluntary recall by us, could occur as a result of actual or potential component failures, adverse event reports, manufacturing errors or design defects, including defects in labeling. Furthermore, we may from time to time initiate a recall of a component or set of components comprising a portion of our laser systems, which could increase customer returns, warranty claims and associated reserve levels. A recall could divert management’s attention, cause us to incur significant expenses, harm our reputation with customers and negatively affect our future sales and financial results.</w:t>
      </w:r>
    </w:p>
    <w:p>
      <w:pPr>
        <w:pStyle w:val="TextBody"/>
        <w:bidi w:val="0"/>
        <w:spacing w:before="120" w:after="0"/>
        <w:jc w:val="left"/>
        <w:rPr>
          <w:rFonts w:ascii="Times New Roman" w:hAnsi="Times New Roman"/>
          <w:sz w:val="20"/>
        </w:rPr>
      </w:pPr>
      <w:r>
        <w:rPr>
          <w:rFonts w:ascii="Times New Roman;serif" w:hAnsi="Times New Roman;serif"/>
          <w:b w:val="false"/>
          <w:sz w:val="20"/>
        </w:rPr>
        <w:t>For example, on February 23, 2018, we initiated a worldwide voluntary recall of a specific laser accessory called the TruFocus LIO Premiere</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(“LIO”). The LIO is a head-mounted indirect ophthalmoscope that connects to our laser console and is used to view and perform laser treatment on a patient’s retina. This recall was prompted after we received reports of three adverse events from one physician in the United States, resulting in focal cataracts and iris burns occurring during procedures in which the TruFocus LIO Premiere was used. We identified several potential root causes for the adverse events, including use error. On March 22, 2019, we provided the FDA with a request for termination of Recall Number Z-1075-2018. We submitted follow up requests for termination on September 29, 2021 and October 17, 2022. Our termination request is pending.</w:t>
      </w:r>
    </w:p>
    <w:p>
      <w:pPr>
        <w:pStyle w:val="TextBody"/>
        <w:bidi w:val="0"/>
        <w:spacing w:before="120" w:after="0"/>
        <w:jc w:val="left"/>
        <w:rPr>
          <w:rFonts w:ascii="Times New Roman" w:hAnsi="Times New Roman"/>
          <w:sz w:val="20"/>
        </w:rPr>
      </w:pPr>
      <w:r>
        <w:rPr>
          <w:rFonts w:ascii="Times New Roman;serif" w:hAnsi="Times New Roman;serif"/>
          <w:b w:val="false"/>
          <w:sz w:val="20"/>
        </w:rPr>
        <w:t>We obtained FDA clearance for an updated TruFocus LIO Premiere</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device. The updated device includes expanded user instructions and minor design changes. Use of the updated LIO may result in adverse events, including those observed with the prior LIO device. If physician use of our updated LIO results in serious adverse events, we may have to initiate another recall or utilize additional resources to further evaluate the design of the LIO device. Furthermore, in light of the recall, we cannot provide any assurance that the updated LIO, will achieve market acceptance. We will be required to devote significant resources to launch and market the updated LIO and cannot provide any assurance that these activities will generate revenue as anticipated. If our revenue grows more slowly than we expect because of a delay in or a lack of market acceptance for our updated LIO, our business and financials will be adversely affected.</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product liability claims are successfully asserted against us, we may incur substantial liabilities that may adversely affect our business or results of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be subject to product liability claims from time to time. Our products are highly complex and the risk of significant patient injury is more likely with products and procedures involving the eye. Use of our products incorrectly can result in temporary or permanent loss in vision, burns, scarring, blind spots or other injuries of the eye and we may periodically become subject to product liability lawsuits as a result. We believe we maintain adequate levels of product liability insurance to cover such claims subject to certain deductibles. However, product liability insurance is expensive and we might not be able to obtain product liability insurance in the future on acceptable terms or in sufficient amounts to protect us, if at all. A successful claim brought against us in excess of our insurance coverage could have a material adverse effect on our business, results of operations and financial condition.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fail to manage growth effectively, our business could be disrupted which could harm our operating results.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experienced and may in the future experience growth in our business, both organically and through the acquisition of businesses and products. We have made and expect to continue to make significant investments to enable our future growth through, among other things, new product innovation and clinical trials for new applications and products. We must also be prepared to expand our work force and to train, motivate and manage additional employees as the need for additional personnel arises. Our personnel, systems, procedures and controls may not be adequate to support our future operations. Any failure to effectively manage future growth could have a material adverse effect on our business, results of operations and financial condition.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Significant developments resulting from recent and potential changes in U.S. trade policies could have a material adverse effect on us.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Certain of our materials may be subject to the effects of various trade agreements, treaties and tariffs. The prior U.S. presidential administration has imposed tariffs on various goods from various countries, including China, Canada and the EU. As a result, Canada, the EU, China and other countries responded with retaliatory tariffs on certain United States exports. We cannot predict the effect these and potential additional tariffs will have on our business, including in the context of escalating trade tensions. Further tariffs, additional taxes, or trade barriers, both domestically and internationally, may affect our selling and/or manufacturing costs and margins, the competitiveness of our products, or our ability to sell products or purchase necessary equipment and supplies, and consequently affect our business, results of operations, or financial conditions. To the extent that trade tariffs and other restrictions imposed by the United States increase the price of, or limit the amount of, raw materials and finished goods imported into the United States, the costs of our raw materials may be adversely affected and the demand from our customers for products and services may be diminished, which could adversely affect our revenues and profitability.</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these potential developments and any market perceptions concerning these and related issues and the attendant regulatory uncertainty regarding, for example, the posture of governments with respect to international trade, could have a material adverse effect on global trade and economic growth which, in turn can adversely affect our business. Furthermore, changes in United States trade policy have resulted and could result in additional reactions from United States trading partners and other countries, including adopting responsive trade policies that make it more difficult or costly for us to export our products to those countries. We sell a significant majority of our products into countries outside the United States and we purchase a significant portion of equipment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and supplies from suppliers outside the United States. These measures could also result in increased costs for goods imported into the United States or may cause us to adjust our worldwide supply chain. Any of these effects could require us to increase prices to our customers which may reduce demand, or, if we are unable to increase prices, may result in lowering our margin on products sold.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United States economy, which in turn could adversely impact our business, financial condition and results of operations.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Changes in U.S. tax laws could have a material adverse effect on our business, consolidated cash flow, results of operations or financial conditions.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comprehensive tax legislation commonly referred to as the Tax Cuts and Jobs Act (the “Tax Act”) was enacted in the United States on December 22, 2017 and includes, among other items, a reduction in the federal corporate income tax rate from 35% to 21%, certain interest expense deduction limitations and changes in the timing of certain taxable income. We are required to recognize the effect of the tax law changes in the period of enactment, such as re-measuring our U.S. deferred tax assets and liabilities and reassessing the net realizability of our deferred tax assets and liabilities.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December 22, 2017, the SEC staff issued Staff Accounting Bulletin No. 118 (“SAB 118”) which provides guidance on accounting for the tax effects of the Tax Act. We have completed our analysis and accounting with respect the Tax Act, and identified no additional changes from amounts previously recorded. However, changes in law, interpretations, and facts may result in adjustments to these amounts. Based on our net operating loss carryovers and valuation allowance, there is no impact to its consolidated financial statements as a result of the accounting for the tax effects of the Tax Act.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Subsequent legislations, guidance, regulations or audits that differ from our prior assumptions and interpretations, or other factors which were not anticipated at the time we estimated our tax provision could have a material adverse effect on our business, cash flow, results of operations or financial condition.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are subject to federal, state and foreign laws governing our business practices which, if violated, could result in substantial penalties. Additionally, challenges to or investigation into our practices could cause adverse publicity and be costly to respond to and thus could harm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Dodd-Frank Wall Street Reform and Consumer Protection Act requires us to track and disclose the source of certain metals used in manufacturing which may stem from minerals (so called “conflict minerals”) which originate in the Democratic Republic of the Congo or adjoining regions. These metals include tantalum, tin, gold and tungsten. These metals are central to the technology industry and are present in some of our products as component parts. In most cases no acceptable alternative material exists which has the necessary properties. It is not possible to determine the source of the metals by analysis but instead a good faith description of the source of the intermediate components and raw materials must be obtained. The components which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and components and assemblies which we buy may have a mix of sources as their origin. We are required to carry out a diligent effort to determine and disclose the source of these materials. There can be no assurance we can obtain this information from intermediate producers not willing or not able to provide this information or further identify their sources of supply or to notify us if these sources change. These metals are subject to price fluctuations and shortages which can affect our ability to obtain the manufactured materials we rely on at favorable terms or from consistent sources. These changes could have an adverse impact on our ability to manufacture and market our devices and products.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Our ability to raise capital in the future may be limited, and future sales and issuances of securities could negatively affect our stock price and dilute the ownership interest of our existing investors.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business and operations may consume resources faster than we anticipate. We may need in the future to raise additional funds through future equity or debt financings to meet our operational needs and capital requirements for product development, clinical trials and commercialization and may subsequently require additional fundraising. Additional financing may not be available on favorable terms, if at all. If adequate funds are not available on acceptable terms, we may be unable to invest in future growth opportunities, which could seriously harm our business and operating results. Future sales or issuances of securities by us could decrease the value of our common stock, dilute stockholders’ voting power and reduce future potential earnings per share.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To raise capital, we may sell common stock, convertible securities or other equity-linked securities in one or more transactions at prices and in a manner we determine from time to time. If we sell additional equity securities, our existing stockholders may be materially diluted. Additionally, new investors could gain rights, preferences and privileges senior to those of existing holders of our common stock. We may also issue debt securities, which may impose restrictive covenants on our operations or otherwise adversely affect the holdings or the rights of our stockholders.</w:t>
      </w:r>
    </w:p>
    <w:p>
      <w:pPr>
        <w:pStyle w:val="TextBody"/>
        <w:bidi w:val="0"/>
        <w:spacing w:before="120" w:after="0"/>
        <w:jc w:val="left"/>
        <w:rPr>
          <w:rFonts w:ascii="Times New Roman" w:hAnsi="Times New Roman"/>
          <w:sz w:val="20"/>
        </w:rPr>
      </w:pPr>
      <w:r>
        <w:rPr>
          <w:rFonts w:ascii="Times New Roman;serif" w:hAnsi="Times New Roman;serif"/>
          <w:b w:val="false"/>
          <w:sz w:val="20"/>
        </w:rPr>
        <w:t>We may sell shares or other securities in any offering at a price per share that is less than the price per share paid by existing investors, and investors purchasing shares or other securities in the future could have rights superior to existing stockholders.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price per share at which we sell additional shares of our common stock, or securities convertible or exchangeable into common stock, in future transactions may be higher or lower than the price per share paid by existing investors.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fail to comply with environmental requirements, our business, financial condition, operating results and reputation could be adversely affected.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products and operations are subject to various federal, state, local and foreign environmental laws and regulations, including those governing the use, storage, handling, exposure to, and disposal of hazardous materials and a large and growing body of international standards which govern the design, manufacture, materials content and sourcing, testing, certification, packaging, installation, use and disposal of our products. We must continually keep abreast of these standards and requirements and integrate compliance to these with the development and regulatory documentation for our products. Failure to meet these standards could limit the ability to market our products in those regions which require compliance with such standards or subject us to fines and penalties. Examples of such standards include laws governing the hazardous material content of our devices and products, such as the EU Directive 2015/863 which is known as “RoHS 3” and that relates to Restrictions on the Use of Certain Hazardous Substances and the EU Directive 2012/19/EU on Waste Electrical and Electronic Equipment. Similar laws and regulations have been passed or are pending in several other jurisdictions and may be enacted in other regions, including in the United States, and we are, or may in the future be, subject to these laws and regulations.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failure to comply with past, present and future similar laws could result in reduced sales of our devices and products, inventory write-offs, reputational damage, penalties and other sanctions, any of which could harm our business and financial condition. We also expect that our devices and products will be affected by new environmental laws and regulations on an ongoing basis. New environmental laws and regulations will likely result in additional costs and may increase penalties associated with violations or require us to change the content of our devices and products or how they are manufactured, which could have a material adverse effect on our business, operating results and financial condition.</w:t>
      </w:r>
    </w:p>
    <w:p>
      <w:pPr>
        <w:pStyle w:val="TextBody"/>
        <w:bidi w:val="0"/>
        <w:spacing w:before="120" w:after="0"/>
        <w:jc w:val="left"/>
        <w:rPr>
          <w:rFonts w:ascii="Times New Roman;serif" w:hAnsi="Times New Roman;serif"/>
          <w:b/>
          <w:sz w:val="20"/>
        </w:rPr>
      </w:pPr>
      <w:r>
        <w:rPr>
          <w:rFonts w:ascii="Times New Roman;serif" w:hAnsi="Times New Roman;serif"/>
          <w:b/>
          <w:sz w:val="20"/>
        </w:rPr>
        <w:t>Risks Relating to Ownership of Our Common Stock</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Our stock price has been and may continue to be volatile and an investment in our common stock could suffer a decline in value.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trading price of our common stock has been subject to wide fluctuations in response to a variety of factors, some of which are beyond our control, including changes in foreign currency exchange rates, quarterly variations in our operating results, announcements by us or our competitors of new products or of significant clinical achievements, changes in market valuations of other similar companies in our industry and general market conditions, including deteriorating market conditions due to investor concerns regarding inflation and hostilities between Russia and Ukraine. During the second quarter of fiscal year 2023, the trading price of our common stock fluctuated from a low of $1.76 per share to a high of $2.43 per share. There can be no assurance that our common stock trading price will not suffer declines. Our common stock may experience an imbalance between supply and demand resulting from low trading volumes and therefore broad market fluctuations could have a significant impact on the market price of our common stock regardless of our performance.</w:t>
      </w:r>
    </w:p>
    <w:p>
      <w:pPr>
        <w:pStyle w:val="TextBody"/>
        <w:bidi w:val="0"/>
        <w:spacing w:before="120" w:after="0"/>
        <w:jc w:val="left"/>
        <w:rPr>
          <w:rFonts w:ascii="Times New Roman;serif" w:hAnsi="Times New Roman;serif"/>
          <w:b/>
          <w:i/>
          <w:sz w:val="20"/>
        </w:rPr>
      </w:pPr>
      <w:r>
        <w:rPr>
          <w:rFonts w:ascii="Times New Roman;serif" w:hAnsi="Times New Roman;serif"/>
          <w:b/>
          <w:i/>
          <w:sz w:val="20"/>
        </w:rPr>
        <w:t>Because we do not intend to pay dividends, stockholders will benefit from an investment in our common stock only if it appreciates in value.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to retain any earnings for use to further develop our business, and do not expect to declare cash dividends on our common stock in the foreseeable future. The declaration and payment of any such dividends in the future depends upon our earnings, financial condition, capital needs and other factors deemed relevant by the board of directors, and may be restricted by future agreements with lenders. As a result, the success of an investment in our common stock will depend entirely upon any future appreciation. There is no guarantee that our common stock will appreciate in value or even maintain the price at which stockholders have purchased their shares.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securities or industry analysts do not continue to publish research or publish incorrect or unfavorable research about our business, our stock price and trading volume could decline.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trading market for our common stock depends in part on the research and reports that securities or industry analysts publish about us, our market and our competitors. If no or few securities or industry analysts cover our company, the trading price for our stock could be negatively impacted. If one or more of the analysts who covers us downgrades our stock or publishes incorrect or unfavorable research about our business, our stock price could decline. If one or more of these analysts ceases coverage of our company or fails to publish reports on us regularly, demand for our stock could decrease, which could cause our stock price or trading volume to decline.</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Ownership of our common stock is concentrated among a few investors, which may affect the ability of a third party to acquire control of us. Substantial sales by such investors could cause our stock price to decline.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directors, executive officers, current five percent or greater stockholders and affiliated entities together beneficially own a significant portion of our common stock outstanding. Having such a concentration of ownership may have the effect of making it more difficult for a third party to acquire, or of discouraging a third party from seeking to acquire, a majority of our outstanding common stock or control of our board of directors through a proxy solicitation.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required, pursuant to Section 404 of the Sarbanes-Oxley Act, to furnish a report by management on, among other things, the effectiveness of our internal control over financial reporting. This assessment must include disclosure of any material weaknesses identified by our management in our internal control over financial reporting. We may experience difficulty in meeting these reporting requirements in a timely manner, particularly if material weaknesses or significant deficiencies were to persist. Our independent registered public accounting firm will not be required to formally attest to the effectiveness of our internal control over financial reporting pursuant to Section 404 while we are a “smaller reporting company” as defined in the Exchange Act. If we are unable to comply with the requirements of Section 404 in a timely manner, the market price of our stock could decline and we could be subject to sanctions or investigations by the Nasdaq Stock Market, the SEC or other regulatory authorities, which could require additional financial and management resources.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failure to develop or maintain effective controls, or any difficulties encountered in their implementation or improvement, could harm our operating results or cause us to fail to meet our reporting obligations. Any failure to implement and maintain effective internal controls also could adversely affect the results of periodic management evaluations regarding the effectiveness of our internal control over financial reporting. Ineffective disclosure controls and procedures or internal control over financial reporting could also cause investors to lose confidence in our reported financial and other information, which could likely have a negative effect on the trading price of our common stock.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that our internal controls are perceived as inadequate or that we are unable to produce timely or accurate financial statements, investors may lose confidence in our company and our stock price could decline.</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Our charter documents, anti-takeover provisions of Delaware law, and contractual provisions could delay or prevent an acquisition or sale of our company.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certificate of incorporation empowers the board of directors to establish and issue a class of preferred stock, and to determine the rights, preferences and privileges of the preferred stock. These provisions give the board of directors the ability to deter, discourage or make more difficult a change in control of our company, even if such a change in control could be deemed in the interest of our stockholders or if such a change in control would provide our stockholders with a substantial premium for their shares over the then-prevailing market price for the common stock. Our certificate of incorporation and bylaws contain other provisions that could have an anti-takeover effect, including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authorized number of directors may be changed only by resolution of our board of directors;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only our board of directors is authorized to fill vacant directorships, including newly created seats;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special meetings of our stockholders may be called only by our board of directors, the chairman of the board, chief executive officer or president, thus prohibiting a stockholder from calling a special meeting;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stockholders must give advance notice to nominate directors or propose other business;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stockholders are not permitted to cumulate votes in the election of directors.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we are generally subject to the anti-takeover provisions of Section 203 of the Delaware General Corporation Law, which regulates corporate acquisitions. These provisions could discourage potential acquisition proposals and could delay or prevent a change in control transaction. They could also have the effect of discouraging others from making tender offers for our common stock or prevent changes in our management.</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17" w:name="item_2_unregistered_sales_equity_securit"/>
      <w:bookmarkEnd w:id="17"/>
      <w:r>
        <w:rPr>
          <w:rFonts w:ascii="Times New Roman;serif" w:hAnsi="Times New Roman;serif"/>
          <w:b/>
          <w:sz w:val="20"/>
        </w:rPr>
        <w:t>Item 2. Unregistered Sales of Equity Securities and Use of Proceeds</w:t>
      </w:r>
    </w:p>
    <w:p>
      <w:pPr>
        <w:pStyle w:val="TextBody"/>
        <w:bidi w:val="0"/>
        <w:spacing w:before="120" w:after="0"/>
        <w:jc w:val="left"/>
        <w:rPr>
          <w:rFonts w:ascii="Times New Roman;serif" w:hAnsi="Times New Roman;serif"/>
          <w:b/>
          <w:sz w:val="20"/>
        </w:rPr>
      </w:pPr>
      <w:r>
        <w:rPr>
          <w:rFonts w:ascii="Times New Roman;serif" w:hAnsi="Times New Roman;serif"/>
          <w:b/>
          <w:sz w:val="20"/>
        </w:rPr>
        <w:t>Sales of Unregistered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120" w:after="0"/>
        <w:jc w:val="left"/>
        <w:rPr>
          <w:rFonts w:ascii="Times New Roman;serif" w:hAnsi="Times New Roman;serif"/>
          <w:b/>
          <w:sz w:val="20"/>
        </w:rPr>
      </w:pPr>
      <w:bookmarkStart w:id="18" w:name="item_3_defaults_upon_senior_securities"/>
      <w:bookmarkEnd w:id="18"/>
      <w:r>
        <w:rPr>
          <w:rFonts w:ascii="Times New Roman;serif" w:hAnsi="Times New Roman;serif"/>
          <w:b/>
          <w:sz w:val="20"/>
        </w:rPr>
        <w:t>Item 3. Defaults Upon Senior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120" w:after="0"/>
        <w:jc w:val="left"/>
        <w:rPr>
          <w:rFonts w:ascii="Times New Roman;serif" w:hAnsi="Times New Roman;serif"/>
          <w:b/>
          <w:sz w:val="20"/>
        </w:rPr>
      </w:pPr>
      <w:bookmarkStart w:id="19" w:name="item_4_mine_safety_disclosures"/>
      <w:bookmarkEnd w:id="19"/>
      <w:r>
        <w:rPr>
          <w:rFonts w:ascii="Times New Roman;serif" w:hAnsi="Times New Roman;serif"/>
          <w:b/>
          <w:sz w:val="20"/>
        </w:rPr>
        <w:t>Item 4. Mine Safety Disclosures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120" w:after="0"/>
        <w:jc w:val="left"/>
        <w:rPr>
          <w:rFonts w:ascii="Times New Roman" w:hAnsi="Times New Roman"/>
          <w:sz w:val="20"/>
        </w:rPr>
      </w:pPr>
      <w:bookmarkStart w:id="20" w:name="item_5_or_information"/>
      <w:bookmarkEnd w:id="20"/>
      <w:r>
        <w:rPr>
          <w:rFonts w:ascii="Times New Roman;serif" w:hAnsi="Times New Roman;serif"/>
          <w:b/>
          <w:sz w:val="20"/>
        </w:rPr>
        <w:t>Item 5. Other</w:t>
      </w:r>
      <w:r>
        <w:rPr>
          <w:rFonts w:ascii="Times New Roman" w:hAnsi="Times New Roman"/>
          <w:sz w:val="20"/>
        </w:rPr>
        <w:t xml:space="preserve"> </w:t>
      </w:r>
      <w:r>
        <w:rPr>
          <w:rFonts w:ascii="Times New Roman;serif" w:hAnsi="Times New Roman;serif"/>
          <w:b/>
          <w:sz w:val="20"/>
        </w:rPr>
        <w:t>Information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21" w:name="item_6_exhibits"/>
      <w:bookmarkEnd w:id="21"/>
      <w:r>
        <w:rPr>
          <w:rFonts w:ascii="Times New Roman;serif" w:hAnsi="Times New Roman;serif"/>
          <w:b/>
          <w:sz w:val="20"/>
        </w:rPr>
        <w:t>Item 6. Exhibits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838"/>
        <w:gridCol w:w="146"/>
        <w:gridCol w:w="9221"/>
      </w:tblGrid>
      <w:tr>
        <w:trPr/>
        <w:tc>
          <w:tcPr>
            <w:tcW w:w="8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21" w:type="dxa"/>
            <w:tcBorders/>
            <w:vAlign w:val="center"/>
          </w:tcPr>
          <w:p>
            <w:pPr>
              <w:pStyle w:val="TableContents"/>
              <w:bidi w:val="0"/>
              <w:spacing w:before="0" w:after="283"/>
              <w:jc w:val="left"/>
              <w:rPr>
                <w:sz w:val="4"/>
                <w:szCs w:val="4"/>
              </w:rPr>
            </w:pPr>
            <w:r>
              <w:rPr>
                <w:sz w:val="4"/>
                <w:szCs w:val="4"/>
              </w:rPr>
            </w:r>
          </w:p>
        </w:tc>
      </w:tr>
      <w:tr>
        <w:trPr/>
        <w:tc>
          <w:tcPr>
            <w:tcW w:w="838"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No.</w:t>
            </w:r>
          </w:p>
        </w:tc>
        <w:tc>
          <w:tcPr>
            <w:tcW w:w="14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2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Exhibit Title</w:t>
            </w:r>
          </w:p>
        </w:tc>
      </w:tr>
      <w:tr>
        <w:trPr/>
        <w:tc>
          <w:tcPr>
            <w:tcW w:w="83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pPr>
            <w:r>
              <w:rPr/>
              <w:t> </w:t>
            </w:r>
          </w:p>
        </w:tc>
      </w:tr>
      <w:tr>
        <w:trPr/>
        <w:tc>
          <w:tcPr>
            <w:tcW w:w="8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10.1(1)**</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20"/>
                  <w:u w:val="single"/>
                </w:rPr>
                <w:t>2008 Equity Incentive Plan, as amended.</w:t>
              </w:r>
            </w:hyperlink>
          </w:p>
        </w:tc>
      </w:tr>
      <w:tr>
        <w:trPr/>
        <w:tc>
          <w:tcPr>
            <w:tcW w:w="83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pPr>
            <w:r>
              <w:rPr/>
              <w:t> </w:t>
            </w:r>
          </w:p>
        </w:tc>
      </w:tr>
      <w:tr>
        <w:trPr/>
        <w:tc>
          <w:tcPr>
            <w:tcW w:w="8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pPr>
            <w:hyperlink w:anchor="irix-ex31_1.htm">
              <w:r>
                <w:rPr>
                  <w:rStyle w:val="InternetLink"/>
                  <w:rFonts w:ascii="Times New Roman;serif" w:hAnsi="Times New Roman;serif"/>
                  <w:b w:val="false"/>
                  <w:sz w:val="20"/>
                  <w:u w:val="single"/>
                </w:rPr>
                <w:t>Certification of Principal Executive Officer pursuant to Securities Exchange Act Rules 13a-14(a) and 15d-14(a).</w:t>
              </w:r>
            </w:hyperlink>
          </w:p>
        </w:tc>
      </w:tr>
      <w:tr>
        <w:trPr/>
        <w:tc>
          <w:tcPr>
            <w:tcW w:w="83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pPr>
            <w:r>
              <w:rPr/>
              <w:t> </w:t>
            </w:r>
          </w:p>
        </w:tc>
      </w:tr>
      <w:tr>
        <w:trPr/>
        <w:tc>
          <w:tcPr>
            <w:tcW w:w="8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pPr>
            <w:hyperlink w:anchor="irix-ex31_2.htm">
              <w:r>
                <w:rPr>
                  <w:rStyle w:val="InternetLink"/>
                  <w:rFonts w:ascii="Times New Roman;serif" w:hAnsi="Times New Roman;serif"/>
                  <w:b w:val="false"/>
                  <w:sz w:val="20"/>
                  <w:u w:val="single"/>
                </w:rPr>
                <w:t>Certification of Principal Financial Officer pursuant to Securities Exchange Act Rules 13a-14(a) and 15d-14(a).</w:t>
              </w:r>
            </w:hyperlink>
          </w:p>
        </w:tc>
      </w:tr>
      <w:tr>
        <w:trPr/>
        <w:tc>
          <w:tcPr>
            <w:tcW w:w="83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pPr>
            <w:r>
              <w:rPr/>
              <w:t> </w:t>
            </w:r>
          </w:p>
        </w:tc>
      </w:tr>
      <w:tr>
        <w:trPr/>
        <w:tc>
          <w:tcPr>
            <w:tcW w:w="8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pPr>
            <w:hyperlink w:anchor="irix-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p>
        </w:tc>
      </w:tr>
      <w:tr>
        <w:trPr/>
        <w:tc>
          <w:tcPr>
            <w:tcW w:w="83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pPr>
            <w:r>
              <w:rPr/>
              <w:t> </w:t>
            </w:r>
          </w:p>
        </w:tc>
      </w:tr>
      <w:tr>
        <w:trPr/>
        <w:tc>
          <w:tcPr>
            <w:tcW w:w="8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32.2*</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21" w:type="dxa"/>
            <w:tcBorders/>
            <w:vAlign w:val="center"/>
          </w:tcPr>
          <w:p>
            <w:pPr>
              <w:pStyle w:val="TableContents"/>
              <w:bidi w:val="0"/>
              <w:spacing w:before="0" w:after="0"/>
              <w:ind w:left="0" w:right="0" w:hanging="0"/>
              <w:jc w:val="left"/>
              <w:rPr/>
            </w:pPr>
            <w:hyperlink w:anchor="irix-ex32_2.htm">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w:t>
              </w:r>
            </w:hyperlink>
          </w:p>
        </w:tc>
      </w:tr>
      <w:tr>
        <w:trPr/>
        <w:tc>
          <w:tcPr>
            <w:tcW w:w="83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pPr>
            <w:r>
              <w:rPr/>
              <w:t> </w:t>
            </w:r>
          </w:p>
        </w:tc>
      </w:tr>
      <w:tr>
        <w:trPr/>
        <w:tc>
          <w:tcPr>
            <w:tcW w:w="83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101.INS</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w:t>
            </w:r>
          </w:p>
        </w:tc>
      </w:tr>
      <w:tr>
        <w:trPr/>
        <w:tc>
          <w:tcPr>
            <w:tcW w:w="83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pPr>
            <w:r>
              <w:rPr/>
              <w:t> </w:t>
            </w:r>
          </w:p>
        </w:tc>
      </w:tr>
      <w:tr>
        <w:trPr/>
        <w:tc>
          <w:tcPr>
            <w:tcW w:w="83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101.SCH</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83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pPr>
            <w:r>
              <w:rPr/>
              <w:t> </w:t>
            </w:r>
          </w:p>
        </w:tc>
      </w:tr>
      <w:tr>
        <w:trPr/>
        <w:tc>
          <w:tcPr>
            <w:tcW w:w="83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101.CAL</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83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pPr>
            <w:r>
              <w:rPr/>
              <w:t> </w:t>
            </w:r>
          </w:p>
        </w:tc>
      </w:tr>
      <w:tr>
        <w:trPr/>
        <w:tc>
          <w:tcPr>
            <w:tcW w:w="83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101.CAL</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83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pPr>
            <w:r>
              <w:rPr/>
              <w:t> </w:t>
            </w:r>
          </w:p>
        </w:tc>
      </w:tr>
      <w:tr>
        <w:trPr/>
        <w:tc>
          <w:tcPr>
            <w:tcW w:w="83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101.LAB</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83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pPr>
            <w:r>
              <w:rPr/>
              <w:t> </w:t>
            </w:r>
          </w:p>
        </w:tc>
      </w:tr>
      <w:tr>
        <w:trPr/>
        <w:tc>
          <w:tcPr>
            <w:tcW w:w="838"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101.PRE</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83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pPr>
            <w:r>
              <w:rPr/>
              <w:t> </w:t>
            </w:r>
          </w:p>
        </w:tc>
      </w:tr>
      <w:tr>
        <w:trPr/>
        <w:tc>
          <w:tcPr>
            <w:tcW w:w="838"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104</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922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(1) Incorporated by reference to the exhibits filed with the Registrant’s report on Form 8-K, filed with the SEC on June 15, 2023.</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The certification furnished in Exhibit 32.1 and 32.2 hereto is deemed to accompany this Quarterly Report on Form 10-Q and will not be deemed “filed” for purposes of Section 18 of the Securities Exchange Act of 1934, as amended.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Indicates management compensatory plan, contract or arrangement.</w:t>
      </w:r>
    </w:p>
    <w:p>
      <w:pPr>
        <w:pStyle w:val="TextBody"/>
        <w:bidi w:val="0"/>
        <w:spacing w:before="120" w:after="0"/>
        <w:jc w:val="left"/>
        <w:rPr>
          <w:rFonts w:ascii="Times New Roman;serif" w:hAnsi="Times New Roman;serif"/>
          <w:b/>
          <w:sz w:val="20"/>
        </w:rPr>
      </w:pPr>
      <w:r>
        <w:rPr>
          <w:rFonts w:ascii="Times New Roman;serif" w:hAnsi="Times New Roman;serif"/>
          <w:b/>
          <w:sz w:val="20"/>
        </w:rPr>
        <w:t>Trademark Acknowledgments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Iridex, the Iridex logo, IRIS Medical, MicroPulse, OcuLight, EndoProbe, MicroPulse P3, G-Probe, G-Probe Illuminate, TruFocus LIO Premiere, IQ 577, IQ532, Cyclo G6, and TxCell are our registered trademarks. All other trademarks or trade names appearing in this Quarterly Report on Form 10-Q are the property of their respective owners.</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2" w:name="signatures"/>
      <w:bookmarkEnd w:id="22"/>
      <w:r>
        <w:rPr>
          <w:rFonts w:ascii="Times New Roman;serif" w:hAnsi="Times New Roman;serif"/>
          <w:b/>
          <w:sz w:val="20"/>
        </w:rPr>
        <w:t>SIGNATURES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tbl>
      <w:tblPr>
        <w:tblW w:w="6600" w:type="dxa"/>
        <w:jc w:val="left"/>
        <w:tblInd w:w="0" w:type="dxa"/>
        <w:tblLayout w:type="fixed"/>
        <w:tblCellMar>
          <w:top w:w="28" w:type="dxa"/>
          <w:left w:w="28" w:type="dxa"/>
          <w:bottom w:w="28" w:type="dxa"/>
          <w:right w:w="28" w:type="dxa"/>
        </w:tblCellMar>
      </w:tblPr>
      <w:tblGrid>
        <w:gridCol w:w="1951"/>
        <w:gridCol w:w="146"/>
        <w:gridCol w:w="406"/>
        <w:gridCol w:w="146"/>
        <w:gridCol w:w="631"/>
        <w:gridCol w:w="109"/>
        <w:gridCol w:w="321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951"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IRIDEX Corporation</w: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51" w:type="dxa"/>
            <w:gridSpan w:val="3"/>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10, 2023</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951"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DAVID I. BRUCE</w: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David I. Bruce</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and Chief Executive Officer</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bidi w:val="0"/>
        <w:spacing w:before="0" w:after="0"/>
        <w:jc w:val="left"/>
        <w:rPr/>
      </w:pPr>
      <w:r>
        <w:rPr/>
        <w:t> </w:t>
      </w:r>
    </w:p>
    <w:tbl>
      <w:tblPr>
        <w:tblW w:w="5956" w:type="dxa"/>
        <w:jc w:val="left"/>
        <w:tblInd w:w="0" w:type="dxa"/>
        <w:tblLayout w:type="fixed"/>
        <w:tblCellMar>
          <w:top w:w="28" w:type="dxa"/>
          <w:left w:w="28" w:type="dxa"/>
          <w:bottom w:w="28" w:type="dxa"/>
          <w:right w:w="28" w:type="dxa"/>
        </w:tblCellMar>
      </w:tblPr>
      <w:tblGrid>
        <w:gridCol w:w="1951"/>
        <w:gridCol w:w="109"/>
        <w:gridCol w:w="406"/>
        <w:gridCol w:w="109"/>
        <w:gridCol w:w="631"/>
        <w:gridCol w:w="109"/>
        <w:gridCol w:w="264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10, 2023</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381"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FUAD AHMAD</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Fuad Ahmad</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Interim Chief Financial Officer</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Officer)</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3" w:name="irix-ex31_1.htm"/>
      <w:bookmarkStart w:id="24" w:name="ksirixex31_1"/>
      <w:bookmarkEnd w:id="23"/>
      <w:bookmarkEnd w:id="24"/>
      <w:r>
        <w:rPr>
          <w:rFonts w:ascii="Times New Roman;serif" w:hAnsi="Times New Roman;serif"/>
          <w:b/>
          <w:sz w:val="20"/>
        </w:rPr>
        <w:t>Exhibit 31.1</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OF PRINCIPAL EXECUTIVE OFFICER</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SECTIONS 13(a)-14(a) AND 15(d)-14(a) OF THE SECURITIES EXCHANGE ACT OF 1934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David I. Bruce, certify that:</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 have reviewed this quarterly report on Form 10-Q of IRIDEX Corporation;</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0"/>
        <w:jc w:val="left"/>
        <w:rPr>
          <w:rFonts w:ascii="Times New Roman" w:hAnsi="Times New Roman"/>
          <w:b w:val="false"/>
          <w:sz w:val="20"/>
        </w:rPr>
      </w:pPr>
      <w:r>
        <w:rPr>
          <w:rFonts w:ascii="Times New Roman" w:hAnsi="Times New Roman"/>
          <w:b w:val="false"/>
          <w:sz w:val="20"/>
        </w:rPr>
        <w:t>5.</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Date: August 10, 2023</w:t>
      </w:r>
    </w:p>
    <w:p>
      <w:pPr>
        <w:pStyle w:val="TextBody"/>
        <w:bidi w:val="0"/>
        <w:spacing w:before="0" w:after="0"/>
        <w:jc w:val="left"/>
        <w:rPr/>
      </w:pPr>
      <w:r>
        <w:rPr/>
        <w:t> </w:t>
      </w:r>
    </w:p>
    <w:tbl>
      <w:tblPr>
        <w:tblW w:w="3857" w:type="dxa"/>
        <w:jc w:val="left"/>
        <w:tblInd w:w="0" w:type="dxa"/>
        <w:tblLayout w:type="fixed"/>
        <w:tblCellMar>
          <w:top w:w="28" w:type="dxa"/>
          <w:left w:w="28" w:type="dxa"/>
          <w:bottom w:w="28" w:type="dxa"/>
          <w:right w:w="28" w:type="dxa"/>
        </w:tblCellMar>
      </w:tblPr>
      <w:tblGrid>
        <w:gridCol w:w="646"/>
        <w:gridCol w:w="3211"/>
      </w:tblGrid>
      <w:tr>
        <w:trPr/>
        <w:tc>
          <w:tcPr>
            <w:tcW w:w="6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64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21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DAVID I. BRUCE</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David I. Bruce</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and Chief Executive Officer</w:t>
            </w:r>
          </w:p>
        </w:tc>
      </w:tr>
      <w:tr>
        <w:trPr/>
        <w:tc>
          <w:tcPr>
            <w:tcW w:w="646"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bidi w:val="0"/>
        <w:spacing w:before="0" w:after="0"/>
        <w:jc w:val="right"/>
        <w:rPr/>
      </w:pPr>
      <w:bookmarkStart w:id="25" w:name="doc_1_3"/>
      <w:bookmarkEnd w:id="25"/>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6" w:name="irix-ex31_2.htm"/>
      <w:bookmarkStart w:id="27" w:name="ksirixex31_2"/>
      <w:bookmarkEnd w:id="26"/>
      <w:bookmarkEnd w:id="27"/>
      <w:r>
        <w:rPr>
          <w:rFonts w:ascii="Times New Roman;serif" w:hAnsi="Times New Roman;serif"/>
          <w:b/>
          <w:sz w:val="20"/>
        </w:rPr>
        <w:t>Exhibit 31.2</w:t>
      </w:r>
      <w:r>
        <w:br w:type="page"/>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OF PRINCIPAL FINANCIAL OFFICER</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SECTIONS 13(a)-14(a) AND 15(d)-14(a) OF THE SECURITIES EXCHANGE ACT OF 1934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Fuad Ahmad, certify that:</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 have reviewed this quarterly report on Form 10-Q of IRIDEX Corporation;</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0"/>
        <w:jc w:val="left"/>
        <w:rPr>
          <w:rFonts w:ascii="Times New Roman" w:hAnsi="Times New Roman"/>
          <w:b w:val="false"/>
          <w:sz w:val="20"/>
        </w:rPr>
      </w:pPr>
      <w:r>
        <w:rPr>
          <w:rFonts w:ascii="Times New Roman" w:hAnsi="Times New Roman"/>
          <w:b w:val="false"/>
          <w:sz w:val="20"/>
        </w:rPr>
        <w:t>5.</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Date: August 10, 2023</w:t>
      </w:r>
    </w:p>
    <w:p>
      <w:pPr>
        <w:pStyle w:val="TextBody"/>
        <w:bidi w:val="0"/>
        <w:spacing w:before="0" w:after="0"/>
        <w:jc w:val="left"/>
        <w:rPr/>
      </w:pPr>
      <w:r>
        <w:rPr/>
        <w:t> </w:t>
      </w:r>
    </w:p>
    <w:tbl>
      <w:tblPr>
        <w:tblW w:w="3287" w:type="dxa"/>
        <w:jc w:val="left"/>
        <w:tblInd w:w="0" w:type="dxa"/>
        <w:tblLayout w:type="fixed"/>
        <w:tblCellMar>
          <w:top w:w="28" w:type="dxa"/>
          <w:left w:w="28" w:type="dxa"/>
          <w:bottom w:w="28" w:type="dxa"/>
          <w:right w:w="28" w:type="dxa"/>
        </w:tblCellMar>
      </w:tblPr>
      <w:tblGrid>
        <w:gridCol w:w="646"/>
        <w:gridCol w:w="2641"/>
      </w:tblGrid>
      <w:tr>
        <w:trPr/>
        <w:tc>
          <w:tcPr>
            <w:tcW w:w="64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64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64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FUAD AHMAD</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2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Fuad Ahmad</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2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Interim Chief Financial Officer</w:t>
            </w:r>
          </w:p>
        </w:tc>
      </w:tr>
      <w:tr>
        <w:trPr/>
        <w:tc>
          <w:tcPr>
            <w:tcW w:w="646" w:type="dxa"/>
            <w:tcBorders/>
            <w:vAlign w:val="center"/>
          </w:tcPr>
          <w:p>
            <w:pPr>
              <w:pStyle w:val="TableContents"/>
              <w:bidi w:val="0"/>
              <w:spacing w:before="0" w:after="283"/>
              <w:ind w:left="0" w:right="0" w:hanging="0"/>
              <w:jc w:val="left"/>
              <w:rPr>
                <w:sz w:val="4"/>
                <w:szCs w:val="4"/>
              </w:rPr>
            </w:pPr>
            <w:r>
              <w:rPr>
                <w:sz w:val="4"/>
                <w:szCs w:val="4"/>
              </w:rPr>
            </w:r>
          </w:p>
        </w:tc>
        <w:tc>
          <w:tcPr>
            <w:tcW w:w="2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Officer)</w:t>
            </w:r>
          </w:p>
        </w:tc>
      </w:tr>
    </w:tbl>
    <w:p>
      <w:pPr>
        <w:pStyle w:val="TextBody"/>
        <w:bidi w:val="0"/>
        <w:spacing w:before="0" w:after="0"/>
        <w:jc w:val="right"/>
        <w:rPr/>
      </w:pPr>
      <w:bookmarkStart w:id="28" w:name="doc_1_7"/>
      <w:bookmarkStart w:id="29" w:name="doc_1_4"/>
      <w:bookmarkStart w:id="30" w:name="gmnh1doc_1_4"/>
      <w:bookmarkEnd w:id="28"/>
      <w:bookmarkEnd w:id="29"/>
      <w:bookmarkEnd w:id="30"/>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31" w:name="irix-ex32_1.htm"/>
      <w:bookmarkStart w:id="32" w:name="ksirixex32_1"/>
      <w:bookmarkEnd w:id="31"/>
      <w:bookmarkEnd w:id="32"/>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32.1</w:t>
      </w:r>
    </w:p>
    <w:p>
      <w:pPr>
        <w:pStyle w:val="TextBody"/>
        <w:bidi w:val="0"/>
        <w:spacing w:before="240" w:after="0"/>
        <w:jc w:val="center"/>
        <w:rPr>
          <w:rFonts w:ascii="Times New Roman" w:hAnsi="Times New Roman"/>
          <w:sz w:val="20"/>
        </w:rPr>
      </w:pPr>
      <w:r>
        <w:rPr>
          <w:rFonts w:ascii="Times New Roman;serif" w:hAnsi="Times New Roman;serif"/>
          <w:b/>
          <w:sz w:val="20"/>
        </w:rPr>
        <w:t>CERTIFICATION OF PRINCIPAL EXECUTIVE OFFICER</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18 U.S.C. SECTION 1350,</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 David I. Bruce, pursuant to 18 U.S.C. Section 1350, as adopted pursuant to Section 906 of the Sarbanes-Oxley Act of 2002, certify that the Quarterly Report of IRIDEX Corporation on Form 10-Q for the fiscal quarter ended July 1, 2023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Date: August 10, 2023</w:t>
      </w:r>
    </w:p>
    <w:p>
      <w:pPr>
        <w:pStyle w:val="TextBody"/>
        <w:bidi w:val="0"/>
        <w:spacing w:before="0" w:after="0"/>
        <w:jc w:val="left"/>
        <w:rPr/>
      </w:pPr>
      <w:r>
        <w:rPr/>
        <w:t> </w:t>
      </w:r>
    </w:p>
    <w:tbl>
      <w:tblPr>
        <w:tblW w:w="4003" w:type="dxa"/>
        <w:jc w:val="left"/>
        <w:tblInd w:w="0" w:type="dxa"/>
        <w:tblLayout w:type="fixed"/>
        <w:tblCellMar>
          <w:top w:w="28" w:type="dxa"/>
          <w:left w:w="28" w:type="dxa"/>
          <w:bottom w:w="28" w:type="dxa"/>
          <w:right w:w="28" w:type="dxa"/>
        </w:tblCellMar>
      </w:tblPr>
      <w:tblGrid>
        <w:gridCol w:w="161"/>
        <w:gridCol w:w="631"/>
        <w:gridCol w:w="3211"/>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DAVID I. BRUCE</w:t>
            </w:r>
          </w:p>
        </w:tc>
      </w:tr>
      <w:tr>
        <w:trPr/>
        <w:tc>
          <w:tcPr>
            <w:tcW w:w="16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David I. Bruce</w:t>
            </w:r>
          </w:p>
        </w:tc>
      </w:tr>
      <w:tr>
        <w:trPr/>
        <w:tc>
          <w:tcPr>
            <w:tcW w:w="16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3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and Chief Executive Officer</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bidi w:val="0"/>
        <w:spacing w:before="0" w:after="0"/>
        <w:jc w:val="left"/>
        <w:rPr/>
      </w:pPr>
      <w:bookmarkStart w:id="33" w:name="doc_1_8"/>
      <w:bookmarkStart w:id="34" w:name="doc_1_5"/>
      <w:bookmarkEnd w:id="33"/>
      <w:bookmarkEnd w:id="34"/>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35" w:name="irix-ex32_2.htm"/>
      <w:bookmarkStart w:id="36" w:name="ksirixex32_2"/>
      <w:bookmarkEnd w:id="35"/>
      <w:bookmarkEnd w:id="36"/>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32.2</w:t>
      </w:r>
    </w:p>
    <w:p>
      <w:pPr>
        <w:pStyle w:val="TextBody"/>
        <w:bidi w:val="0"/>
        <w:spacing w:before="240" w:after="0"/>
        <w:jc w:val="center"/>
        <w:rPr>
          <w:rFonts w:ascii="Times New Roman" w:hAnsi="Times New Roman"/>
          <w:sz w:val="20"/>
        </w:rPr>
      </w:pPr>
      <w:r>
        <w:rPr>
          <w:rFonts w:ascii="Times New Roman;serif" w:hAnsi="Times New Roman;serif"/>
          <w:b/>
          <w:sz w:val="20"/>
        </w:rPr>
        <w:t>CERTIFICATION OF PRINCIPAL FINANCIAL OFFICER</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18 U.S.C. SECTION 1350,</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 Fuad Ahmad, pursuant to 18 U.S.C. Section 1350, as adopted pursuant to Section 906 of the Sarbanes-Oxley Act of 2002, certify that the Quarterly Report of IRIDEX Corporation on Form 10-Q for the fiscal quarter ended July 1, 2023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Date: August 10, 2023</w:t>
      </w:r>
    </w:p>
    <w:p>
      <w:pPr>
        <w:pStyle w:val="TextBody"/>
        <w:bidi w:val="0"/>
        <w:spacing w:before="0" w:after="0"/>
        <w:jc w:val="left"/>
        <w:rPr/>
      </w:pPr>
      <w:r>
        <w:rPr/>
        <w:t> </w:t>
      </w:r>
    </w:p>
    <w:tbl>
      <w:tblPr>
        <w:tblW w:w="3433" w:type="dxa"/>
        <w:jc w:val="left"/>
        <w:tblInd w:w="0" w:type="dxa"/>
        <w:tblLayout w:type="fixed"/>
        <w:tblCellMar>
          <w:top w:w="28" w:type="dxa"/>
          <w:left w:w="28" w:type="dxa"/>
          <w:bottom w:w="28" w:type="dxa"/>
          <w:right w:w="28" w:type="dxa"/>
        </w:tblCellMar>
      </w:tblPr>
      <w:tblGrid>
        <w:gridCol w:w="161"/>
        <w:gridCol w:w="631"/>
        <w:gridCol w:w="2641"/>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6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FUAD AHMAD</w:t>
            </w:r>
          </w:p>
        </w:tc>
      </w:tr>
      <w:tr>
        <w:trPr/>
        <w:tc>
          <w:tcPr>
            <w:tcW w:w="16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2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Fuad Ahmad</w:t>
            </w:r>
          </w:p>
        </w:tc>
      </w:tr>
      <w:tr>
        <w:trPr/>
        <w:tc>
          <w:tcPr>
            <w:tcW w:w="16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2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Interim Chief Financial Officer</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Officer)</w:t>
            </w:r>
          </w:p>
        </w:tc>
      </w:tr>
    </w:tbl>
    <w:p>
      <w:pPr>
        <w:pStyle w:val="TextBody"/>
        <w:bidi w:val="0"/>
        <w:spacing w:before="0" w:after="0"/>
        <w:jc w:val="left"/>
        <w:rPr/>
      </w:pPr>
      <w:bookmarkStart w:id="37" w:name="doc_1_81"/>
      <w:bookmarkStart w:id="38" w:name="doc_1_51"/>
      <w:bookmarkEnd w:id="37"/>
      <w:bookmarkEnd w:id="38"/>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06045/000095017023028282/irix-ex10_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31281</Words>
  <Characters>173343</Characters>
  <CharactersWithSpaces>204964</CharactersWithSpaces>
  <Paragraphs>4955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