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 w:lineRule="exact"/>
        <w:rPr>
          <w:sz w:val="24"/>
          <w:szCs w:val="24"/>
          <w:color w:val="auto"/>
        </w:rPr>
      </w:pPr>
    </w:p>
    <w:p>
      <w:pPr>
        <w:ind w:left="520" w:right="300" w:hanging="512"/>
        <w:spacing w:after="0" w:line="234"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300" w:hanging="512"/>
        <w:spacing w:after="0" w:line="254"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25"/>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8"/>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25"/>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398"/>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60" w:lineRule="exact"/>
        <w:rPr>
          <w:sz w:val="24"/>
          <w:szCs w:val="24"/>
          <w:color w:val="auto"/>
        </w:rPr>
      </w:pPr>
    </w:p>
    <w:p>
      <w:pPr>
        <w:ind w:right="3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1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4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55" w:lineRule="exact"/>
        <w:rPr>
          <w:sz w:val="24"/>
          <w:szCs w:val="24"/>
          <w:color w:val="auto"/>
        </w:rPr>
      </w:pPr>
    </w:p>
    <w:p>
      <w:pPr>
        <w:jc w:val="both"/>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58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August 11, 2022 was 15,985,622.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4"/>
        </w:trPr>
        <w:tc>
          <w:tcPr>
            <w:tcW w:w="10500" w:type="dxa"/>
            <w:vAlign w:val="bottom"/>
            <w:gridSpan w:val="23"/>
          </w:tcPr>
          <w:p>
            <w:pPr>
              <w:ind w:left="20"/>
              <w:spacing w:after="0"/>
              <w:rPr>
                <w:sz w:val="20"/>
                <w:szCs w:val="20"/>
                <w:color w:val="auto"/>
              </w:rPr>
            </w:pPr>
            <w:r>
              <w:rPr>
                <w:rFonts w:ascii="Arial" w:cs="Arial" w:eastAsia="Arial" w:hAnsi="Arial"/>
                <w:sz w:val="18"/>
                <w:szCs w:val="18"/>
                <w:color w:val="0000FF"/>
              </w:rPr>
              <w:t>PART I. FINANCIAL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Unaudited Condensed Consolidated Balance Sheets as of July 2, 2022 and January 1, 2022</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1"/>
              </w:rPr>
              <w:t>Unaudited Condensed Consolidated Statements of Operations for the three and six months ended July 2, 2022 and July 3, 2021</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0"/>
              </w:rPr>
              <w:t>Unaudited Condensed Consolidated Statements of Comprehensive Income (Loss) for the three and six months ended July 2, 2022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and July 3, 2021</w:t>
            </w: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1"/>
              </w:rPr>
              <w:t>Unaudited Condensed Consolidated Statements of Stockholder's Equity for the three and six months ended July 2, 2022 and July</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3"/>
              </w:rPr>
              <w:t>3, 2021</w:t>
            </w:r>
          </w:p>
        </w:tc>
        <w:tc>
          <w:tcPr>
            <w:tcW w:w="20" w:type="dxa"/>
            <w:vAlign w:val="bottom"/>
            <w:tcBorders>
              <w:top w:val="single" w:sz="8" w:color="0000FF"/>
              <w:bottom w:val="single" w:sz="8" w:color="0000EE"/>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9"/>
              </w:rPr>
              <w:t>Unaudited Condensed Consolidated Statements of Cash Flows for the six months ended July 2, 2022 and July 3, 2021</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0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5"/>
              </w:rPr>
              <w:t>PART II. OTHER INFORMATION</w:t>
            </w:r>
          </w:p>
        </w:tc>
        <w:tc>
          <w:tcPr>
            <w:tcW w:w="790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1"/>
        </w:trPr>
        <w:tc>
          <w:tcPr>
            <w:tcW w:w="940" w:type="dxa"/>
            <w:vAlign w:val="bottom"/>
            <w:gridSpan w:val="2"/>
          </w:tcPr>
          <w:p>
            <w:pPr>
              <w:ind w:left="20"/>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55"/>
        </w:trPr>
        <w:tc>
          <w:tcPr>
            <w:tcW w:w="7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14"/>
          </w:tcPr>
          <w:p>
            <w:pPr>
              <w:jc w:val="right"/>
              <w:ind w:right="22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16" w:lineRule="exact"/>
        <w:rPr>
          <w:sz w:val="20"/>
          <w:szCs w:val="20"/>
          <w:color w:val="auto"/>
        </w:rPr>
      </w:pPr>
    </w:p>
    <w:p>
      <w:pPr>
        <w:ind w:right="260" w:firstLine="509"/>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w:t>
      </w:r>
    </w:p>
    <w:p>
      <w:pPr>
        <w:ind w:right="380"/>
        <w:spacing w:after="0" w:line="246" w:lineRule="auto"/>
        <w:rPr>
          <w:sz w:val="20"/>
          <w:szCs w:val="20"/>
          <w:color w:val="auto"/>
        </w:rPr>
      </w:pPr>
      <w:r>
        <w:rPr>
          <w:rFonts w:ascii="Arial" w:cs="Arial" w:eastAsia="Arial" w:hAnsi="Arial"/>
          <w:sz w:val="16"/>
          <w:szCs w:val="16"/>
          <w:color w:val="auto"/>
        </w:rPr>
        <w:t>looking statements generally relate to future events or our future financial or operating performance. In some cases, you can identify forward-looking statements because they contain words such as “may,” “will,” “should,” “expects,” “plans,” “anticipates,” “could,” “intends,” “target,” “projects,”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limited to, statements about:</w:t>
      </w:r>
    </w:p>
    <w:p>
      <w:pPr>
        <w:spacing w:after="0" w:line="88" w:lineRule="exact"/>
        <w:rPr>
          <w:sz w:val="20"/>
          <w:szCs w:val="20"/>
          <w:color w:val="auto"/>
        </w:rPr>
      </w:pPr>
    </w:p>
    <w:p>
      <w:pPr>
        <w:jc w:val="both"/>
        <w:ind w:left="1020" w:right="1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 Corporation;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171"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inquiry into, or review of, all potentially available relevant information. These statements are inherently uncertain and investors are cautioned not to unduly rely upon these statements.</w:t>
      </w:r>
    </w:p>
    <w:p>
      <w:pPr>
        <w:spacing w:after="0" w:line="1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9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IRIDEX Corporation</w:t>
      </w:r>
    </w:p>
    <w:p>
      <w:pPr>
        <w:jc w:val="center"/>
        <w:spacing w:after="0" w:line="205"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July 2,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January 1, 2022 (1)</w:t>
            </w:r>
          </w:p>
        </w:tc>
      </w:tr>
      <w:tr>
        <w:trPr>
          <w:trHeight w:val="209"/>
        </w:trPr>
        <w:tc>
          <w:tcPr>
            <w:tcW w:w="770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FF0FC"/>
          </w:tcPr>
          <w:p>
            <w:pPr>
              <w:spacing w:after="0"/>
              <w:rPr>
                <w:sz w:val="18"/>
                <w:szCs w:val="18"/>
                <w:color w:val="auto"/>
              </w:rPr>
            </w:pPr>
          </w:p>
        </w:tc>
      </w:tr>
      <w:tr>
        <w:trPr>
          <w:trHeight w:val="175"/>
        </w:trPr>
        <w:tc>
          <w:tcPr>
            <w:tcW w:w="7700" w:type="dxa"/>
            <w:vAlign w:val="bottom"/>
          </w:tcPr>
          <w:p>
            <w:pPr>
              <w:ind w:left="200"/>
              <w:spacing w:after="0" w:line="175" w:lineRule="exact"/>
              <w:rPr>
                <w:sz w:val="20"/>
                <w:szCs w:val="20"/>
                <w:color w:val="auto"/>
              </w:rPr>
            </w:pPr>
            <w:r>
              <w:rPr>
                <w:rFonts w:ascii="Arial" w:cs="Arial" w:eastAsia="Arial" w:hAnsi="Arial"/>
                <w:sz w:val="18"/>
                <w:szCs w:val="18"/>
                <w:color w:val="auto"/>
              </w:rPr>
              <w:t>Accounts receivable, net of allowance for doubtful accounts of</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$264 as of July 2, 2022 and $268 as of January 1, 2022</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from related party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42,253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45,646</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18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Payable to related party</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Accrued warranty</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00" w:type="dxa"/>
            <w:vAlign w:val="bottom"/>
          </w:tcPr>
          <w:p>
            <w:pPr>
              <w:ind w:left="20"/>
              <w:spacing w:after="0" w:line="175" w:lineRule="exact"/>
              <w:rPr>
                <w:sz w:val="20"/>
                <w:szCs w:val="20"/>
                <w:color w:val="auto"/>
              </w:rPr>
            </w:pPr>
            <w:r>
              <w:rPr>
                <w:rFonts w:ascii="Arial" w:cs="Arial" w:eastAsia="Arial" w:hAnsi="Arial"/>
                <w:sz w:val="18"/>
                <w:szCs w:val="18"/>
                <w:color w:val="auto"/>
              </w:rPr>
              <w:t>Preferred stock, $0.01 par value, 2,000,000 shares authorized, no shares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0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$0.01 par value: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Authorized: 30,000,000 shares;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0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Issued and outstanding 15,955,536 and 15,876,171 shares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 of July 2, 2022 and January 1, 2022, respectively</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85,255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(66,801 )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(62,169 )</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45,646</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-5151120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-4319905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-1799590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right="440" w:hanging="512"/>
        <w:spacing w:after="0" w:line="26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January 1, 2022.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6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w w:val="94"/>
              </w:rPr>
              <w:t>July 2, 2022</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July 3, 2021</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14"/>
                <w:szCs w:val="14"/>
                <w:b w:val="1"/>
                <w:bCs w:val="1"/>
                <w:color w:val="auto"/>
                <w:w w:val="94"/>
              </w:rPr>
              <w:t>July 2, 2022</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r>
      <w:tr>
        <w:trPr>
          <w:trHeight w:val="21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13,755</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27,142</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25,385</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8"/>
                <w:szCs w:val="18"/>
                <w:color w:val="auto"/>
              </w:rPr>
            </w:pPr>
          </w:p>
        </w:tc>
      </w:tr>
      <w:tr>
        <w:trPr>
          <w:trHeight w:val="209"/>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18"/>
                <w:szCs w:val="18"/>
                <w:color w:val="auto"/>
              </w:rPr>
            </w:pPr>
          </w:p>
        </w:tc>
      </w:tr>
      <w:tr>
        <w:trPr>
          <w:trHeight w:val="21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r>
      <w:tr>
        <w:trPr>
          <w:trHeight w:val="20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operations before provision for income taxes</w:t>
            </w: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50"/>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040" w:type="dxa"/>
            <w:vAlign w:val="bottom"/>
          </w:tcPr>
          <w:p>
            <w:pPr>
              <w:ind w:left="20"/>
              <w:spacing w:after="0" w:line="196" w:lineRule="exact"/>
              <w:rPr>
                <w:sz w:val="20"/>
                <w:szCs w:val="20"/>
                <w:color w:val="auto"/>
              </w:rPr>
            </w:pPr>
            <w:r>
              <w:rPr>
                <w:rFonts w:ascii="Arial" w:cs="Arial" w:eastAsia="Arial" w:hAnsi="Arial"/>
                <w:sz w:val="18"/>
                <w:szCs w:val="18"/>
                <w:color w:val="auto"/>
              </w:rPr>
              <w:t>Net (loss) income per share: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(0.14 )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(0.29 )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(0.04 )</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04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(0.14 )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(0.29 )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(0.04 )</w:t>
            </w:r>
          </w:p>
        </w:tc>
      </w:tr>
      <w:tr>
        <w:trPr>
          <w:trHeight w:val="20"/>
        </w:trPr>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04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 average shares used in computing net (loss) income</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0"/>
        </w:trPr>
        <w:tc>
          <w:tcPr>
            <w:tcW w:w="6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per common share:</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04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15,894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16,307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15,888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-2485390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-2485390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-2485390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-1928495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-1928495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-1928495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-1071245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-1054100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-1071245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-1054100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-1071245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-1054100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-770890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-753745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-770890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-753745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-770890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-753745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60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w w:val="94"/>
              </w:rPr>
              <w:t>July 2, 2022</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July 3, 2021</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14"/>
                <w:szCs w:val="14"/>
                <w:b w:val="1"/>
                <w:bCs w:val="1"/>
                <w:color w:val="auto"/>
                <w:w w:val="94"/>
              </w:rPr>
              <w:t>July 2, 2022</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r>
      <w:tr>
        <w:trPr>
          <w:trHeight w:val="21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4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-25400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July 2, 2022</w:t>
            </w:r>
          </w:p>
        </w:tc>
        <w:tc>
          <w:tcPr>
            <w:tcW w:w="21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60" w:type="dxa"/>
            <w:vAlign w:val="bottom"/>
            <w:gridSpan w:val="2"/>
          </w:tcPr>
          <w:p>
            <w:pPr>
              <w:jc w:val="right"/>
              <w:ind w:right="579"/>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2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April 2,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15,885,307</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168</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85,645</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(64,560</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70,229</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(2,241 )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(2,241 )</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6"/>
                <w:szCs w:val="16"/>
                <w:color w:val="auto"/>
              </w:rPr>
              <w:t>Balances, July 2, 2022</w:t>
            </w:r>
          </w:p>
        </w:tc>
        <w:tc>
          <w:tcPr>
            <w:tcW w:w="1060" w:type="dxa"/>
            <w:vAlign w:val="bottom"/>
          </w:tcPr>
          <w:p>
            <w:pPr>
              <w:jc w:val="right"/>
              <w:spacing w:after="0"/>
              <w:rPr>
                <w:sz w:val="20"/>
                <w:szCs w:val="20"/>
                <w:color w:val="auto"/>
              </w:rPr>
            </w:pPr>
            <w:r>
              <w:rPr>
                <w:rFonts w:ascii="Arial" w:cs="Arial" w:eastAsia="Arial" w:hAnsi="Arial"/>
                <w:sz w:val="16"/>
                <w:szCs w:val="16"/>
                <w:color w:val="auto"/>
              </w:rPr>
              <w:t>15,955,536</w:t>
            </w:r>
          </w:p>
        </w:tc>
        <w:tc>
          <w:tcPr>
            <w:tcW w:w="220" w:type="dxa"/>
            <w:vAlign w:val="bottom"/>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169</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85,935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(66,801 )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six months ended July 2, 2022</w:t>
            </w:r>
          </w:p>
        </w:tc>
        <w:tc>
          <w:tcPr>
            <w:tcW w:w="21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60" w:type="dxa"/>
            <w:vAlign w:val="bottom"/>
            <w:gridSpan w:val="2"/>
          </w:tcPr>
          <w:p>
            <w:pPr>
              <w:jc w:val="center"/>
              <w:ind w:right="23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40" w:type="dxa"/>
            <w:vAlign w:val="bottom"/>
            <w:vMerge w:val="continue"/>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2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January 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15,876,171</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168</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85,255</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(62,169</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4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6,063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plan</w:t>
            </w: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73,302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(4,632 )</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(4,632 )</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July 2,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15,955,536</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85,935</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(66,801</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3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July 3, 2021</w:t>
            </w:r>
          </w:p>
        </w:tc>
        <w:tc>
          <w:tcPr>
            <w:tcW w:w="21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60" w:type="dxa"/>
            <w:vAlign w:val="bottom"/>
            <w:gridSpan w:val="2"/>
          </w:tcPr>
          <w:p>
            <w:pPr>
              <w:jc w:val="center"/>
              <w:ind w:right="27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40" w:type="dxa"/>
            <w:vAlign w:val="bottom"/>
            <w:vMerge w:val="continue"/>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6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2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April 3,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15,522,809</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84,419</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(58,954</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4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20,222</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plan</w:t>
            </w: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240,673</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(514 )</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(512 )</w:t>
            </w: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July 3, 2021</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15,783,704</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84,265</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(57,561</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six months ended July 3, 2021</w:t>
            </w:r>
          </w:p>
        </w:tc>
        <w:tc>
          <w:tcPr>
            <w:tcW w:w="21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1360" w:type="dxa"/>
            <w:vAlign w:val="bottom"/>
            <w:gridSpan w:val="2"/>
          </w:tcPr>
          <w:p>
            <w:pPr>
              <w:jc w:val="center"/>
              <w:ind w:right="27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5"/>
                <w:szCs w:val="15"/>
                <w:color w:val="auto"/>
              </w:rPr>
            </w:pPr>
          </w:p>
        </w:tc>
        <w:tc>
          <w:tcPr>
            <w:tcW w:w="13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36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2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January 2,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13,899,683</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148</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74,181</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(56,944</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w w:val="94"/>
              </w:rPr>
              <w:t>Issuance of common stock, net of issuance costs</w:t>
            </w:r>
          </w:p>
        </w:tc>
        <w:tc>
          <w:tcPr>
            <w:tcW w:w="1060" w:type="dxa"/>
            <w:vAlign w:val="bottom"/>
          </w:tcPr>
          <w:p>
            <w:pPr>
              <w:jc w:val="right"/>
              <w:spacing w:after="0"/>
              <w:rPr>
                <w:sz w:val="20"/>
                <w:szCs w:val="20"/>
                <w:color w:val="auto"/>
              </w:rPr>
            </w:pPr>
            <w:r>
              <w:rPr>
                <w:rFonts w:ascii="Arial" w:cs="Arial" w:eastAsia="Arial" w:hAnsi="Arial"/>
                <w:sz w:val="16"/>
                <w:szCs w:val="16"/>
                <w:color w:val="auto"/>
              </w:rPr>
              <w:t>1,618,122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3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under stock option</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23,304</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w:t>
            </w:r>
          </w:p>
        </w:tc>
        <w:tc>
          <w:tcPr>
            <w:tcW w:w="10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242,595</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(520 )</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(518 )</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(617 )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6"/>
                <w:szCs w:val="16"/>
                <w:color w:val="auto"/>
              </w:rPr>
              <w:t>Balances, July 3, 2021</w:t>
            </w:r>
          </w:p>
        </w:tc>
        <w:tc>
          <w:tcPr>
            <w:tcW w:w="1060" w:type="dxa"/>
            <w:vAlign w:val="bottom"/>
          </w:tcPr>
          <w:p>
            <w:pPr>
              <w:jc w:val="right"/>
              <w:spacing w:after="0"/>
              <w:rPr>
                <w:sz w:val="20"/>
                <w:szCs w:val="20"/>
                <w:color w:val="auto"/>
              </w:rPr>
            </w:pPr>
            <w:r>
              <w:rPr>
                <w:rFonts w:ascii="Arial" w:cs="Arial" w:eastAsia="Arial" w:hAnsi="Arial"/>
                <w:sz w:val="16"/>
                <w:szCs w:val="16"/>
                <w:color w:val="auto"/>
              </w:rPr>
              <w:t>15,783,704</w:t>
            </w:r>
          </w:p>
        </w:tc>
        <w:tc>
          <w:tcPr>
            <w:tcW w:w="220" w:type="dxa"/>
            <w:vAlign w:val="bottom"/>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167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84,265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(57,561 )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-5331460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-5331460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-5331460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-5331460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-5331460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-5331460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-3470910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-3453765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-3470910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-3453765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-3470910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-3453765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-3470910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-3453765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-3470910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-3453765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-1748155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-1731010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-1748155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-1731010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-1748155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-1731010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-1748155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-1731010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-1748155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-1731010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-162560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-162560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7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July 2, 2022</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July 3, 2021</w:t>
            </w:r>
          </w:p>
        </w:tc>
        <w:tc>
          <w:tcPr>
            <w:tcW w:w="100" w:type="dxa"/>
            <w:vAlign w:val="bottom"/>
          </w:tcPr>
          <w:p>
            <w:pPr>
              <w:spacing w:after="0"/>
              <w:rPr>
                <w:sz w:val="14"/>
                <w:szCs w:val="14"/>
                <w:color w:val="auto"/>
              </w:rPr>
            </w:pPr>
          </w:p>
        </w:tc>
      </w:tr>
      <w:tr>
        <w:trPr>
          <w:trHeight w:val="21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(4,632 )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(617 )</w:t>
            </w: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Gain on PPP loan forgiveness</w:t>
            </w:r>
          </w:p>
        </w:tc>
        <w:tc>
          <w:tcPr>
            <w:tcW w:w="24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(2,497 )</w:t>
            </w: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(211 )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Receivable from related party</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(1,378 )</w:t>
            </w: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(2,590 )</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(994 )</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(181 )</w:t>
            </w: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(329 )</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Payable to related party</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(447 )</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(889 )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11,257</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(440 )</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(524 )</w:t>
            </w: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(231 )</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FF0FC"/>
          </w:tcPr>
          <w:p>
            <w:pPr>
              <w:spacing w:after="0"/>
              <w:rPr>
                <w:sz w:val="18"/>
                <w:szCs w:val="18"/>
                <w:color w:val="auto"/>
              </w:rPr>
            </w:pPr>
          </w:p>
        </w:tc>
      </w:tr>
      <w:tr>
        <w:trPr>
          <w:trHeight w:val="20"/>
        </w:trPr>
        <w:tc>
          <w:tcPr>
            <w:tcW w:w="7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(5,823 )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10,599</w:t>
            </w:r>
          </w:p>
        </w:tc>
        <w:tc>
          <w:tcPr>
            <w:tcW w:w="100" w:type="dxa"/>
            <w:vAlign w:val="bottom"/>
          </w:tcPr>
          <w:p>
            <w:pPr>
              <w:spacing w:after="0"/>
              <w:rPr>
                <w:sz w:val="18"/>
                <w:szCs w:val="18"/>
                <w:color w:val="auto"/>
              </w:rPr>
            </w:pPr>
          </w:p>
        </w:tc>
      </w:tr>
      <w:tr>
        <w:trPr>
          <w:trHeight w:val="209"/>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(146 )</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paid for business combination, net</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(5,343 )</w:t>
            </w:r>
          </w:p>
        </w:tc>
      </w:tr>
      <w:tr>
        <w:trPr>
          <w:trHeight w:val="20"/>
        </w:trPr>
        <w:tc>
          <w:tcPr>
            <w:tcW w:w="7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(146 )</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(5,468 )</w:t>
            </w:r>
          </w:p>
        </w:tc>
      </w:tr>
      <w:tr>
        <w:trPr>
          <w:trHeight w:val="21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24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stock option exercise</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settlements of equity awards</w:t>
            </w:r>
          </w:p>
        </w:tc>
        <w:tc>
          <w:tcPr>
            <w:tcW w:w="24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(61 )</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(518 )</w:t>
            </w:r>
          </w:p>
        </w:tc>
      </w:tr>
      <w:tr>
        <w:trPr>
          <w:trHeight w:val="210"/>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23,852</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18"/>
                <w:szCs w:val="18"/>
                <w:color w:val="auto"/>
              </w:rPr>
            </w:pPr>
          </w:p>
        </w:tc>
      </w:tr>
      <w:tr>
        <w:trPr>
          <w:trHeight w:val="250"/>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17,966</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8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 of inventory (from) to property and equipment</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(10 )</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ind w:left="200"/>
              <w:spacing w:after="0"/>
              <w:rPr>
                <w:sz w:val="20"/>
                <w:szCs w:val="20"/>
                <w:color w:val="auto"/>
              </w:rPr>
            </w:pPr>
            <w:r>
              <w:rPr>
                <w:rFonts w:ascii="Arial" w:cs="Arial" w:eastAsia="Arial" w:hAnsi="Arial"/>
                <w:sz w:val="18"/>
                <w:szCs w:val="18"/>
                <w:color w:val="auto"/>
              </w:rPr>
              <w:t>ROU assets obtained with the modification of operating lease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-2708910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-2708910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-2143125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-2143125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-1294130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-720090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-702945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-720090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-702945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1, 2022, which was filed with the Securities and Exchange Commission (“SEC”) on March 15, 2022. The results of operations for the three and six months ended July 2, 2022 and July 3, 2021 are not necessarily indicative of the results for the fiscal year ending December 31, 2022 or any future interim period. The three and six months ended July 2, 2022 and July 3, 2021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January 1, 2022, which was filed with the SEC on March 15,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0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the following revenue transaction types: (1) Product Sale Only, (2) Service Contracts, (3) System Repairs (outside of warranty),</w:t>
      </w:r>
    </w:p>
    <w:p>
      <w:pPr>
        <w:spacing w:after="0" w:line="3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Royalty Revenue and (5) Exclusive Distribution Rights.</w:t>
      </w:r>
    </w:p>
    <w:p>
      <w:pPr>
        <w:spacing w:after="0" w:line="101" w:lineRule="exact"/>
        <w:rPr>
          <w:rFonts w:ascii="Arial" w:cs="Arial" w:eastAsia="Arial" w:hAnsi="Arial"/>
          <w:sz w:val="18"/>
          <w:szCs w:val="18"/>
          <w:color w:val="auto"/>
        </w:rPr>
      </w:pPr>
    </w:p>
    <w:p>
      <w:pPr>
        <w:ind w:left="1020" w:right="100" w:hanging="503"/>
        <w:spacing w:after="0" w:line="245"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7" w:lineRule="exact"/>
        <w:rPr>
          <w:rFonts w:ascii="Arial" w:cs="Arial" w:eastAsia="Arial" w:hAnsi="Arial"/>
          <w:sz w:val="18"/>
          <w:szCs w:val="18"/>
          <w:color w:val="auto"/>
        </w:rPr>
      </w:pPr>
    </w:p>
    <w:p>
      <w:pPr>
        <w:ind w:left="1020" w:right="80"/>
        <w:spacing w:after="0" w:line="261" w:lineRule="auto"/>
        <w:rPr>
          <w:rFonts w:ascii="Arial" w:cs="Arial" w:eastAsia="Arial" w:hAnsi="Arial"/>
          <w:sz w:val="18"/>
          <w:szCs w:val="18"/>
          <w:color w:val="auto"/>
        </w:rPr>
      </w:pPr>
      <w:r>
        <w:rPr>
          <w:rFonts w:ascii="Arial" w:cs="Arial" w:eastAsia="Arial" w:hAnsi="Arial"/>
          <w:sz w:val="18"/>
          <w:szCs w:val="18"/>
          <w:color w:val="auto"/>
        </w:rPr>
        <w:t>The Company recognizes revenue from product sale at a point in time subject to the allocation of transaction price to additional performance obligations, if any.</w:t>
      </w:r>
    </w:p>
    <w:p>
      <w:pPr>
        <w:spacing w:after="0" w:line="76" w:lineRule="exact"/>
        <w:rPr>
          <w:rFonts w:ascii="Arial" w:cs="Arial" w:eastAsia="Arial" w:hAnsi="Arial"/>
          <w:sz w:val="18"/>
          <w:szCs w:val="18"/>
          <w:color w:val="auto"/>
        </w:rPr>
      </w:pPr>
    </w:p>
    <w:p>
      <w:pPr>
        <w:ind w:left="1020" w:right="120" w:hanging="503"/>
        <w:spacing w:after="0" w:line="26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Service Contracts: The Company offers a standard two-year warranty on all system sales. The Company also offers a service contract which is sold to customers in incremental, one-year periods which begin subsequent to the expiration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1020" w:right="40"/>
        <w:spacing w:after="0" w:line="277" w:lineRule="auto"/>
        <w:rPr>
          <w:sz w:val="20"/>
          <w:szCs w:val="20"/>
          <w:color w:val="auto"/>
        </w:rPr>
      </w:pPr>
      <w:r>
        <w:rPr>
          <w:rFonts w:ascii="Arial" w:cs="Arial" w:eastAsia="Arial" w:hAnsi="Arial"/>
          <w:sz w:val="18"/>
          <w:szCs w:val="18"/>
          <w:color w:val="auto"/>
        </w:rPr>
        <w:t>the standard two-year warranty. The customer can opt to purchase the service contract at the time of the system sale or after the initial system sale.</w:t>
      </w:r>
    </w:p>
    <w:p>
      <w:pPr>
        <w:spacing w:after="0" w:line="49" w:lineRule="exact"/>
        <w:rPr>
          <w:sz w:val="20"/>
          <w:szCs w:val="20"/>
          <w:color w:val="auto"/>
        </w:rPr>
      </w:pPr>
    </w:p>
    <w:p>
      <w:pPr>
        <w:ind w:left="1020" w:right="580"/>
        <w:spacing w:after="0" w:line="261" w:lineRule="auto"/>
        <w:rPr>
          <w:sz w:val="20"/>
          <w:szCs w:val="20"/>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76" w:lineRule="exact"/>
        <w:rPr>
          <w:sz w:val="20"/>
          <w:szCs w:val="20"/>
          <w:color w:val="auto"/>
        </w:rPr>
      </w:pPr>
    </w:p>
    <w:p>
      <w:pPr>
        <w:ind w:left="1540" w:right="120" w:hanging="502"/>
        <w:spacing w:after="0" w:line="249" w:lineRule="auto"/>
        <w:tabs>
          <w:tab w:leader="none" w:pos="15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2" w:lineRule="exact"/>
        <w:rPr>
          <w:rFonts w:ascii="Arial" w:cs="Arial" w:eastAsia="Arial" w:hAnsi="Arial"/>
          <w:sz w:val="18"/>
          <w:szCs w:val="18"/>
          <w:color w:val="auto"/>
        </w:rPr>
      </w:pPr>
    </w:p>
    <w:p>
      <w:pPr>
        <w:ind w:left="1540" w:right="20" w:hanging="502"/>
        <w:spacing w:after="0" w:line="280" w:lineRule="auto"/>
        <w:tabs>
          <w:tab w:leader="none" w:pos="1540" w:val="left"/>
        </w:tabs>
        <w:numPr>
          <w:ilvl w:val="2"/>
          <w:numId w:val="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49" w:lineRule="exact"/>
        <w:rPr>
          <w:rFonts w:ascii="Arial" w:cs="Arial" w:eastAsia="Arial" w:hAnsi="Arial"/>
          <w:sz w:val="16"/>
          <w:szCs w:val="16"/>
          <w:color w:val="auto"/>
        </w:rPr>
      </w:pPr>
    </w:p>
    <w:p>
      <w:pPr>
        <w:ind w:left="1020" w:right="36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76" w:lineRule="exact"/>
        <w:rPr>
          <w:rFonts w:ascii="Arial" w:cs="Arial" w:eastAsia="Arial" w:hAnsi="Arial"/>
          <w:sz w:val="18"/>
          <w:szCs w:val="18"/>
          <w:color w:val="auto"/>
        </w:rPr>
      </w:pPr>
    </w:p>
    <w:p>
      <w:pPr>
        <w:ind w:left="1020" w:right="120"/>
        <w:spacing w:after="0" w:line="294"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5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four customers related to sale of the Company’s intellectual property. Under the terms of these agreements, the customer is to remit a percentage of its sales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20" w:right="100"/>
        <w:spacing w:after="0" w:line="245"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7" w:lineRule="exact"/>
        <w:rPr>
          <w:rFonts w:ascii="Arial" w:cs="Arial" w:eastAsia="Arial" w:hAnsi="Arial"/>
          <w:sz w:val="18"/>
          <w:szCs w:val="18"/>
          <w:color w:val="auto"/>
        </w:rPr>
      </w:pPr>
    </w:p>
    <w:p>
      <w:pPr>
        <w:ind w:left="1040" w:right="20" w:hanging="470"/>
        <w:spacing w:after="0" w:line="256" w:lineRule="auto"/>
        <w:tabs>
          <w:tab w:leader="none" w:pos="1040" w:val="left"/>
        </w:tabs>
        <w:numPr>
          <w:ilvl w:val="1"/>
          <w:numId w:val="8"/>
        </w:numPr>
        <w:rPr>
          <w:rFonts w:ascii="Arial" w:cs="Arial" w:eastAsia="Arial" w:hAnsi="Arial"/>
          <w:sz w:val="17"/>
          <w:szCs w:val="17"/>
          <w:color w:val="auto"/>
        </w:rPr>
      </w:pPr>
      <w:r>
        <w:rPr>
          <w:rFonts w:ascii="Arial" w:cs="Arial" w:eastAsia="Arial" w:hAnsi="Arial"/>
          <w:sz w:val="17"/>
          <w:szCs w:val="17"/>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relationships was not feasible. For the three and six months ended July 2, 2022, $0.3 million and $0.6 million in revenue related to the exclusive distribution rights was recorded.</w:t>
      </w:r>
    </w:p>
    <w:p>
      <w:pPr>
        <w:spacing w:after="0" w:line="7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380" w:firstLine="509"/>
        <w:spacing w:after="0" w:line="274" w:lineRule="auto"/>
        <w:rPr>
          <w:sz w:val="20"/>
          <w:szCs w:val="20"/>
          <w:color w:val="auto"/>
        </w:rPr>
      </w:pPr>
      <w:r>
        <w:rPr>
          <w:rFonts w:ascii="Arial" w:cs="Arial" w:eastAsia="Arial" w:hAnsi="Arial"/>
          <w:sz w:val="16"/>
          <w:szCs w:val="16"/>
          <w:color w:val="auto"/>
        </w:rPr>
        <w:t>The Company recognized an asset from the costs incurred to fulfill a contract. These costs relate directly and must be incurred to satisfy performance obligations on certain specific contact with a customer. These costs are expected to be recovered over time and will be amortized on a systematic basis that is consistent with the recognition of revenue to which it relates. As of July 2, 2022, recognized deferred costs incurred to fulfill a contract with a customer amounted to $0.6 million, included in Prepaid expenses and other current assets and Other long-term assets in the Company’s condensed consolidated balance sheets. Amortization was $21 thousand for both the three and six months ended July 2,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July 2, 2022 and January 1, 2022, the Company was not a party to finance lease arrangements.</w:t>
      </w:r>
    </w:p>
    <w:p>
      <w:pPr>
        <w:spacing w:after="0" w:line="67"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25"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six months ended July 2, 2022, one customer, Topcon, accounted for more than 10% of total revenues, representing 26% and 28%, respectively. For the three and six months ended July 3, 2021, one customer, Topcon, accounted for more than 10% of total revenues, representing 15% and 12%, respectively. As of July 2, 2022, one customer, Topcon, accounted for over 10% of our accounts receivable, representing 26%. As of January 1, 2022, two customers, including Topcon, accounted for more than 10% of our accounts receivable, representing 31% and 11%,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04"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changes in the Company’s deferred revenue balance for the six months ended July 2, 2022 and July 3, 2021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July 2, 2022</w:t>
            </w:r>
          </w:p>
        </w:tc>
        <w:tc>
          <w:tcPr>
            <w:tcW w:w="160" w:type="dxa"/>
            <w:vAlign w:val="bottom"/>
          </w:tcPr>
          <w:p>
            <w:pPr>
              <w:spacing w:after="0"/>
              <w:rPr>
                <w:sz w:val="17"/>
                <w:szCs w:val="17"/>
                <w:color w:val="auto"/>
              </w:rPr>
            </w:pPr>
          </w:p>
        </w:tc>
        <w:tc>
          <w:tcPr>
            <w:tcW w:w="272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 2021</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9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Additions to deferral</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(1,613 )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(1,022 )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9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14,907</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12,484</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portion of deferred revenue</w:t>
            </w:r>
          </w:p>
        </w:tc>
        <w:tc>
          <w:tcPr>
            <w:tcW w:w="1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10,479</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Current portion of deferred 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40" w:type="dxa"/>
            <w:vAlign w:val="bottom"/>
            <w:vMerge w:val="restart"/>
          </w:tcPr>
          <w:p>
            <w:pPr>
              <w:jc w:val="right"/>
              <w:ind w:right="121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-934085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-934085</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-650875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-650875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2" w:name="page13"/>
    <w:bookmarkEnd w:id="12"/>
    <w:p>
      <w:pPr>
        <w:jc w:val="both"/>
        <w:ind w:right="320" w:firstLine="509"/>
        <w:spacing w:after="0" w:line="248" w:lineRule="auto"/>
        <w:rPr>
          <w:sz w:val="20"/>
          <w:szCs w:val="20"/>
          <w:color w:val="auto"/>
        </w:rPr>
      </w:pPr>
      <w:r>
        <w:rPr>
          <w:rFonts w:ascii="Arial" w:cs="Arial" w:eastAsia="Arial" w:hAnsi="Arial"/>
          <w:sz w:val="18"/>
          <w:szCs w:val="18"/>
          <w:color w:val="auto"/>
        </w:rPr>
        <w:t>During the six months ended July 2, 2022 and July 3, 2021, approximately $0.7 million and $0.7 million were recognized pertaining to amounts deferred as of January 1, 2022 and January 2, 2021, respectively. As of July 2, 2022, approximately $11.9 million of the non-current portion of deferred revenue and $1.5 million of the current portion of deferred revenue pertain to exclusivity fee deferred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changes in the Company’s warranty liability for the six months ended July 2, 2022 and July 3, 2021 is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July 2, 2022</w:t>
            </w: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July 3, 2021</w:t>
            </w: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(102 )</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(41 )</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r>
      <w:tr>
        <w:trPr>
          <w:trHeight w:val="249"/>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Related Party - Topcon</w:t>
      </w:r>
    </w:p>
    <w:p>
      <w:pPr>
        <w:spacing w:after="0" w:line="121"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Topcon holds a 10.2% voting interest in the Company, which qualifies it to be a principal owner considered a related party, even though it currently does not have significant influence over the Company’s operations.</w:t>
      </w:r>
    </w:p>
    <w:p>
      <w:pPr>
        <w:spacing w:after="0" w:line="63" w:lineRule="exact"/>
        <w:rPr>
          <w:sz w:val="20"/>
          <w:szCs w:val="20"/>
          <w:color w:val="auto"/>
        </w:rPr>
      </w:pPr>
    </w:p>
    <w:p>
      <w:pPr>
        <w:ind w:firstLine="374"/>
        <w:spacing w:after="0" w:line="260" w:lineRule="auto"/>
        <w:rPr>
          <w:sz w:val="20"/>
          <w:szCs w:val="20"/>
          <w:color w:val="auto"/>
        </w:rPr>
      </w:pPr>
      <w:r>
        <w:rPr>
          <w:rFonts w:ascii="Arial" w:cs="Arial" w:eastAsia="Arial" w:hAnsi="Arial"/>
          <w:sz w:val="17"/>
          <w:szCs w:val="17"/>
          <w:color w:val="auto"/>
        </w:rPr>
        <w:t>Topcon resells certain of our products as our exclusive distributor in certain international regions. At the same time, the Company also purchases certain raw materials from Topcon. During the three months ended July 2, 2022, the Company’s revenues related to Topcon amounted to approximately $3.6 million, including $0.3 million recognized exclusive distribution rights revenue. During the six months ended July 2, 2022, the Company's revenues related to Topcon amounted to approximately $7.6 million, including $0.6 million recognized exclusive distribution rights revenue. During the three and six months ended July 3, 2021, the Company’s revenues related to Topcon amounted to approximately $2.2 million and $3.3 million, respectively, including $0.1 million recognized exclusive distribution fees for both the for the three and six months ended July 3, 2021. The Company’s purchases from Topcon during the three and six months ended July 2, 2022 amounted to approximately $0.2 million and $0.6 million, respectively. As of July 2, 2022, the amounts receivable from and payable to Topcon were $2.4 million and $0.2 million, respectively. As of January 1, 2022, the amounts receivable from and payable to Topcon were $3.1 million and $0.6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July 2, 2022 and January 1, 2022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2022</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January 1, 2022</w:t>
            </w:r>
          </w:p>
        </w:tc>
        <w:tc>
          <w:tcPr>
            <w:tcW w:w="80" w:type="dxa"/>
            <w:vAlign w:val="bottom"/>
          </w:tcPr>
          <w:p>
            <w:pPr>
              <w:spacing w:after="0"/>
              <w:rPr>
                <w:sz w:val="16"/>
                <w:szCs w:val="16"/>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320" w:type="dxa"/>
            <w:vAlign w:val="bottom"/>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1320" w:type="dxa"/>
            <w:vAlign w:val="bottom"/>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10,176</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7,614</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ind w:right="8660" w:firstLine="8"/>
        <w:spacing w:after="0" w:line="354"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$1.0 million as of both July 2, 2022 and January 1, 2022.</w:t>
      </w:r>
    </w:p>
    <w:p>
      <w:pPr>
        <w:spacing w:after="0" w:line="90"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 w:name="page14"/>
    <w:bookmarkEnd w:id="13"/>
    <w:p>
      <w:pPr>
        <w:ind w:right="20"/>
        <w:spacing w:after="0" w:line="246" w:lineRule="auto"/>
        <w:rPr>
          <w:sz w:val="20"/>
          <w:szCs w:val="20"/>
          <w:color w:val="auto"/>
        </w:rPr>
      </w:pPr>
      <w:r>
        <w:rPr>
          <w:rFonts w:ascii="Arial" w:cs="Arial" w:eastAsia="Arial" w:hAnsi="Arial"/>
          <w:sz w:val="17"/>
          <w:szCs w:val="17"/>
          <w:color w:val="auto"/>
        </w:rPr>
        <w:t>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2022 and determined that its goodwill was not impaired.</w:t>
      </w:r>
    </w:p>
    <w:p>
      <w:pPr>
        <w:spacing w:after="0" w:line="65"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As of July 2, 2022, the Company had not identified any factors that indicated there was an impairment of its goodwill and determined that no additional impairment analysis was then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of intangible assets carrying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January 1, 2022</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r>
      <w:tr>
        <w:trPr>
          <w:trHeight w:val="158"/>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80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r>
      <w:tr>
        <w:trPr>
          <w:trHeight w:val="189"/>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Amortization Life</w:t>
            </w: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r>
      <w:tr>
        <w:trPr>
          <w:trHeight w:val="209"/>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4.64 Years</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8"/>
                <w:szCs w:val="18"/>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5.67 Years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7.67 Years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8"/>
                <w:szCs w:val="18"/>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In-process R&amp;D</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 applicable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None</w:t>
            </w: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-170815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-170815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July 2, 2022 and July 3, 2021, amortization expense totaled $96 thousand and $67 thousand, respectively.</w:t>
      </w:r>
    </w:p>
    <w:p>
      <w:pPr>
        <w:spacing w:after="0" w:line="104" w:lineRule="exact"/>
        <w:rPr>
          <w:sz w:val="20"/>
          <w:szCs w:val="20"/>
          <w:color w:val="auto"/>
        </w:rPr>
      </w:pPr>
    </w:p>
    <w:p>
      <w:pPr>
        <w:ind w:right="680" w:firstLine="509"/>
        <w:spacing w:after="0" w:line="342" w:lineRule="auto"/>
        <w:rPr>
          <w:sz w:val="20"/>
          <w:szCs w:val="20"/>
          <w:color w:val="auto"/>
        </w:rPr>
      </w:pPr>
      <w:r>
        <w:rPr>
          <w:rFonts w:ascii="Arial" w:cs="Arial" w:eastAsia="Arial" w:hAnsi="Arial"/>
          <w:sz w:val="16"/>
          <w:szCs w:val="16"/>
          <w:color w:val="auto"/>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2022 (six months)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180" w:firstLine="509"/>
        <w:spacing w:after="0"/>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69"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90" w:lineRule="exact"/>
        <w:rPr>
          <w:rFonts w:ascii="Arial" w:cs="Arial" w:eastAsia="Arial" w:hAnsi="Arial"/>
          <w:sz w:val="18"/>
          <w:szCs w:val="18"/>
          <w:color w:val="auto"/>
        </w:rPr>
      </w:pPr>
    </w:p>
    <w:p>
      <w:pPr>
        <w:ind w:left="1020" w:hanging="503"/>
        <w:spacing w:after="0" w:line="23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4" w:name="page15"/>
    <w:bookmarkEnd w:id="14"/>
    <w:p>
      <w:pPr>
        <w:ind w:left="1020" w:right="40" w:hanging="503"/>
        <w:spacing w:after="0" w:line="25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7" w:lineRule="exact"/>
        <w:rPr>
          <w:sz w:val="20"/>
          <w:szCs w:val="20"/>
          <w:color w:val="auto"/>
        </w:rPr>
      </w:pPr>
    </w:p>
    <w:p>
      <w:pPr>
        <w:ind w:right="880" w:firstLine="509"/>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25"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accounts receivable, accounts payable, and accrued expenses as of July 2, 2022 and January 1, 2022, approximate fair value because of the short maturity of these instruments.</w:t>
      </w:r>
    </w:p>
    <w:p>
      <w:pPr>
        <w:spacing w:after="0" w:line="52"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As of July 2, 2022 and January 1, 2022, financial assets measured and recognized at fair value on a recurring basis and classified under the appropriate level of the fair value hierarchy as described above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 July 2, 2022</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2"/>
              </w:rPr>
              <w:t>As of January 1, 2022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4"/>
              </w:rPr>
              <w:t>Fair Value Measurements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16,910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23,359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120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jc w:val="both"/>
        <w:ind w:right="120" w:firstLine="509"/>
        <w:spacing w:after="0" w:line="235"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77" w:lineRule="exact"/>
        <w:rPr>
          <w:sz w:val="20"/>
          <w:szCs w:val="20"/>
          <w:color w:val="auto"/>
        </w:rPr>
      </w:pPr>
    </w:p>
    <w:p>
      <w:pPr>
        <w:ind w:right="7620" w:firstLine="8"/>
        <w:spacing w:after="0" w:line="362"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and Commitments and Contingencies </w:t>
      </w:r>
      <w:r>
        <w:rPr>
          <w:rFonts w:ascii="Arial" w:cs="Arial" w:eastAsia="Arial" w:hAnsi="Arial"/>
          <w:sz w:val="18"/>
          <w:szCs w:val="18"/>
          <w:i w:val="1"/>
          <w:iCs w:val="1"/>
          <w:color w:val="auto"/>
        </w:rPr>
        <w:t>Operating Leases</w:t>
      </w:r>
    </w:p>
    <w:p>
      <w:pPr>
        <w:spacing w:after="0" w:line="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Our operating leases consist of facility and office equipment leases. Operating lease expenses for the six months ended July 2, 2022 and July 3, 2021 were approximately $0.5 million and $0.6 million, respectively. The weighted average discount rate used in calculating the present value of lease payments was 4.8%. As of July 2, 2022, the weighted average remaining lease term for our operating leases was 2.1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July 2, 2022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5"/>
        </w:trPr>
        <w:tc>
          <w:tcPr>
            <w:tcW w:w="7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Lease Payments</w:t>
            </w:r>
          </w:p>
        </w:tc>
        <w:tc>
          <w:tcPr>
            <w:tcW w:w="0" w:type="dxa"/>
            <w:vAlign w:val="bottom"/>
          </w:tcPr>
          <w:p>
            <w:pPr>
              <w:spacing w:after="0"/>
              <w:rPr>
                <w:sz w:val="1"/>
                <w:szCs w:val="1"/>
                <w:color w:val="auto"/>
              </w:rPr>
            </w:pPr>
          </w:p>
        </w:tc>
      </w:tr>
      <w:tr>
        <w:trPr>
          <w:trHeight w:val="210"/>
        </w:trPr>
        <w:tc>
          <w:tcPr>
            <w:tcW w:w="7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2022 (6 months)</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July 2, 2022, our future minimum payments through fiscal year 2024 for our purchase commitments were approximately $22.7 million, with $15.2 million committed for the next 12 months.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04" w:lineRule="exact"/>
        <w:rPr>
          <w:sz w:val="20"/>
          <w:szCs w:val="20"/>
          <w:color w:val="auto"/>
        </w:rPr>
      </w:pPr>
    </w:p>
    <w:p>
      <w:pPr>
        <w:ind w:right="80" w:firstLine="509"/>
        <w:spacing w:after="0" w:line="265"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64" w:lineRule="exact"/>
        <w:rPr>
          <w:sz w:val="20"/>
          <w:szCs w:val="20"/>
          <w:color w:val="auto"/>
        </w:rPr>
      </w:pPr>
    </w:p>
    <w:p>
      <w:pPr>
        <w:ind w:right="120" w:firstLine="509"/>
        <w:spacing w:after="0" w:line="234"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ind w:right="6940" w:firstLine="8"/>
        <w:spacing w:after="0" w:line="370"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right="20" w:firstLine="509"/>
        <w:spacing w:after="0" w:line="268"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(“RSUs”)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58"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0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terms of awards granted during the six months ended July 2, 2022 were consistent with those described in the consolidated financial statements included in our Annual Report on Form 10-K for the year ended January 1, 2022.</w:t>
      </w:r>
    </w:p>
    <w:p>
      <w:pPr>
        <w:spacing w:after="0" w:line="4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six months ended July 2, 2022 and July 3, 2021:</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July 2, 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July 3, 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July 2, 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capitalized to inventory was immaterial for the six months ended July 2, 2022 and July 3, 2021.</w:t>
      </w:r>
    </w:p>
    <w:p>
      <w:pPr>
        <w:spacing w:after="0" w:line="117"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As of July 2, 2022, there was $2.4 million of total unrecognized compensation cost, net of expected forfeitures, related to non-vested stock-based compensation arrangements. The cost is expected to be recognized over a weighted average period of 1.74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six months ended July 2, 2022: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4"/>
                <w:szCs w:val="14"/>
                <w:color w:val="auto"/>
              </w:rPr>
            </w:pPr>
          </w:p>
        </w:tc>
      </w:tr>
      <w:tr>
        <w:trPr>
          <w:trHeight w:val="148"/>
        </w:trPr>
        <w:tc>
          <w:tcPr>
            <w:tcW w:w="3820" w:type="dxa"/>
            <w:vAlign w:val="bottom"/>
          </w:tcPr>
          <w:p>
            <w:pPr>
              <w:spacing w:after="0"/>
              <w:rPr>
                <w:sz w:val="12"/>
                <w:szCs w:val="12"/>
                <w:color w:val="auto"/>
              </w:rPr>
            </w:pPr>
          </w:p>
        </w:tc>
        <w:tc>
          <w:tcPr>
            <w:tcW w:w="16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r>
      <w:tr>
        <w:trPr>
          <w:trHeight w:val="185"/>
        </w:trPr>
        <w:tc>
          <w:tcPr>
            <w:tcW w:w="3820" w:type="dxa"/>
            <w:vAlign w:val="bottom"/>
          </w:tcPr>
          <w:p>
            <w:pPr>
              <w:spacing w:after="0"/>
              <w:rPr>
                <w:sz w:val="16"/>
                <w:szCs w:val="16"/>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04"/>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6"/>
                <w:szCs w:val="16"/>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January 2, 2022</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1,772,621</w:t>
            </w:r>
          </w:p>
        </w:tc>
        <w:tc>
          <w:tcPr>
            <w:tcW w:w="2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5.07</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54,000</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(6,063 )</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2.25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(83,346 )</w:t>
            </w: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July 2, 2022</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1,737,212</w:t>
            </w: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4.90</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weighted average grant date fair value of the options granted was $2.68 and $3.86 per share for the six months ended July 2, 2022 and July 3, 2021, respectively.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 w:name="page17"/>
    <w:bookmarkEnd w:id="16"/>
    <w:p>
      <w:pPr>
        <w:ind w:right="180" w:firstLine="509"/>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10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July 2, 2022</w:t>
            </w:r>
          </w:p>
        </w:tc>
        <w:tc>
          <w:tcPr>
            <w:tcW w:w="116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July 3, 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July 2, 2022</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July 3, 2021</w:t>
            </w:r>
          </w:p>
        </w:tc>
        <w:tc>
          <w:tcPr>
            <w:tcW w:w="160" w:type="dxa"/>
            <w:vAlign w:val="bottom"/>
          </w:tcPr>
          <w:p>
            <w:pPr>
              <w:spacing w:after="0"/>
              <w:rPr>
                <w:sz w:val="14"/>
                <w:szCs w:val="14"/>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Average risk free interest rate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Average volatility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-556895</wp:posOffset>
            </wp:positionV>
            <wp:extent cx="641223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7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July 2, 2022 is summarized below:</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26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9"/>
              <w:spacing w:after="0" w:line="158"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99"/>
              <w:spacing w:after="0" w:line="158" w:lineRule="exact"/>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1,737,212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260" w:type="dxa"/>
            <w:vAlign w:val="bottom"/>
          </w:tcPr>
          <w:p>
            <w:pPr>
              <w:jc w:val="right"/>
              <w:spacing w:after="0"/>
              <w:rPr>
                <w:sz w:val="20"/>
                <w:szCs w:val="20"/>
                <w:color w:val="auto"/>
              </w:rPr>
            </w:pPr>
            <w:r>
              <w:rPr>
                <w:rFonts w:ascii="Arial" w:cs="Arial" w:eastAsia="Arial" w:hAnsi="Arial"/>
                <w:sz w:val="18"/>
                <w:szCs w:val="18"/>
                <w:color w:val="auto"/>
              </w:rPr>
              <w:t>1,652,151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833,881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July 2, 2022, that would have been received by option holders had all option holders exercised their stock options as of that date. This amount changes based on the fair market value of the Company’s common stock. The total intrinsic value of options exercised for the six months ended July 2, 2022 and July 3, 2021 was approximately $19 thousand and $70 thousand,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RSUs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RSUs activity for the six months ended July 2, 2022 is summarized below:</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r>
      <w:tr>
        <w:trPr>
          <w:trHeight w:val="185"/>
        </w:trPr>
        <w:tc>
          <w:tcPr>
            <w:tcW w:w="55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January 1, 2022</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253,761</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RSUs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137,360</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RSUs released</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(95,242 )</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RSUs 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(6,638 )</w:t>
            </w:r>
          </w:p>
        </w:tc>
        <w:tc>
          <w:tcPr>
            <w:tcW w:w="2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July 2, 2022</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289,241</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9360" w:firstLine="8"/>
        <w:spacing w:after="0" w:line="407" w:lineRule="auto"/>
        <w:tabs>
          <w:tab w:leader="none" w:pos="1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i w:val="1"/>
          <w:iCs w:val="1"/>
          <w:color w:val="auto"/>
        </w:rPr>
        <w:t>Provision for Income Tax.</w:t>
      </w:r>
    </w:p>
    <w:p>
      <w:pPr>
        <w:spacing w:after="0" w:line="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$37 thousand and $16 thousand for the six months ended July 2, 2022 and July 3, 2021,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2022,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accounts for its uncertain tax positions in accordance with ASC 740. As of January 1, 2022, the Company had $1.3 million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none of the unrecognized tax benefits would result in a change in the Company’s effective tax rate if recognized in future years.</w:t>
      </w:r>
    </w:p>
    <w:p>
      <w:pPr>
        <w:spacing w:after="0" w:line="111"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4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Computation of Basic and Diluted Net (Loss) Income Per Common Share</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Basic and diluted net (loss) income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7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For the three months ended July 2, 2022 and July 3, 2021, potential shares from stock options and RSUs totaling 1,698,584 and 211,788 shares, respectively, were excluded from the computation of diluted weighted average shares outstanding. For the six months ended July 2, 2022 and July 3, 2021, potential shares from stock options and RSUs totaling 1,700,686 and 1,586,374 shares, respectively, were excluded from the computation of diluted weighted average shares outstanding.</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4"/>
              </w:rPr>
              <w:t>July 2, 2022</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July 3, 2021</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1"/>
              </w:rPr>
              <w:t>July 2, 2022</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(2,241 )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(4,632 )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(617 )</w:t>
            </w: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(basic)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Effect of dilutive stock options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Effect of dilutive RSUs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Weighted average shares of common stock (diluted)</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Basic net (loss)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(0.04 )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160" w:type="dxa"/>
            <w:vAlign w:val="bottom"/>
          </w:tcPr>
          <w:p>
            <w:pPr>
              <w:ind w:left="360"/>
              <w:spacing w:after="0" w:line="196" w:lineRule="exact"/>
              <w:rPr>
                <w:sz w:val="20"/>
                <w:szCs w:val="20"/>
                <w:color w:val="auto"/>
              </w:rPr>
            </w:pPr>
            <w:r>
              <w:rPr>
                <w:rFonts w:ascii="Arial" w:cs="Arial" w:eastAsia="Arial" w:hAnsi="Arial"/>
                <w:sz w:val="18"/>
                <w:szCs w:val="18"/>
                <w:color w:val="auto"/>
              </w:rPr>
              <w:t>Diluted net (loss) income per share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(0.14 )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(0.29 )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(0.04 )</w:t>
            </w: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-487680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-470535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-487680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-470535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-487680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-470535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-470535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94" w:lineRule="exact"/>
        <w:rPr>
          <w:sz w:val="20"/>
          <w:szCs w:val="20"/>
          <w:color w:val="auto"/>
        </w:rPr>
      </w:pPr>
    </w:p>
    <w:p>
      <w:pPr>
        <w:ind w:right="340" w:firstLine="509"/>
        <w:spacing w:after="0" w:line="235"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July 2, 2022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July 3, 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July 2, 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20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Retina</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Other(1)</w:t>
            </w:r>
          </w:p>
        </w:tc>
        <w:tc>
          <w:tcPr>
            <w:tcW w:w="2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13,755</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13,426</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-659130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-659130</wp:posOffset>
            </wp:positionV>
            <wp:extent cx="59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-659130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firstLine="517"/>
        <w:spacing w:after="0" w:line="294" w:lineRule="auto"/>
        <w:tabs>
          <w:tab w:leader="none" w:pos="7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service contract revenues of $402 and $375 and $764 and $674 recognized during the three and six months ended July 2, 2022 and July 3, 2021, respectively. Includes $357 and $634 and $0 and $111 recognized revenue related to the exclusive distribution rights during the three and six months ended July 2, 2022 and July 3, 2021, respectively. Other also includes revenues from paid service, royalty, freight and legacy G probes.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July 2, 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July 3, 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July 2, 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July 3, 2021</w:t>
            </w:r>
          </w:p>
        </w:tc>
        <w:tc>
          <w:tcPr>
            <w:tcW w:w="100" w:type="dxa"/>
            <w:vAlign w:val="bottom"/>
          </w:tcPr>
          <w:p>
            <w:pPr>
              <w:spacing w:after="0"/>
              <w:rPr>
                <w:sz w:val="14"/>
                <w:szCs w:val="14"/>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6,849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6,396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Asia/Pacific Rim</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25,385</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than the United States, no individual country accounted for at least 10% of the Company’s revenues during the three and six months ended</w:t>
      </w:r>
    </w:p>
    <w:p>
      <w:pPr>
        <w:spacing w:after="0" w:line="2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July 2, 2022. Other than the United States, Japan accounted for more than 10% of the Company’s revenues during the three and six months ended July 3, 2021, representing 12% and 14%, respectively. The United States accounted for 49.8% and 47.6% of revenues for the three months ended July 2, 2022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July 3, 2021, respectively, and for 49.3% and 47.1% of revenues for the six months ended July 2, 2022 and July 3, 2021, respectively.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center"/>
        <w:ind w:right="140"/>
        <w:spacing w:after="0" w:line="24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w:t>
      </w:r>
    </w:p>
    <w:p>
      <w:pPr>
        <w:ind w:right="120"/>
        <w:spacing w:after="0" w:line="246" w:lineRule="auto"/>
        <w:rPr>
          <w:sz w:val="20"/>
          <w:szCs w:val="20"/>
          <w:color w:val="auto"/>
        </w:rPr>
      </w:pPr>
      <w:r>
        <w:rPr>
          <w:rFonts w:ascii="Arial" w:cs="Arial" w:eastAsia="Arial" w:hAnsi="Arial"/>
          <w:sz w:val="16"/>
          <w:szCs w:val="16"/>
          <w:i w:val="1"/>
          <w:iCs w:val="1"/>
          <w:color w:val="auto"/>
        </w:rPr>
        <w:t>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i w:val="1"/>
          <w:iCs w:val="1"/>
          <w:color w:val="auto"/>
        </w:rPr>
        <w:t>differ materially from those discussed in these forward-looking statements. Factors that could cause or contribute to such differences include, but are not limited to, those discussed in the section entitled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8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delivery devices used for the treatment of glaucoma;</w:t>
      </w:r>
    </w:p>
    <w:p>
      <w:pPr>
        <w:spacing w:after="0" w:line="48" w:lineRule="exact"/>
        <w:rPr>
          <w:rFonts w:ascii="Arial" w:cs="Arial" w:eastAsia="Arial" w:hAnsi="Arial"/>
          <w:sz w:val="18"/>
          <w:szCs w:val="18"/>
          <w:color w:val="auto"/>
        </w:rPr>
      </w:pPr>
    </w:p>
    <w:p>
      <w:pPr>
        <w:ind w:left="1020" w:right="100" w:hanging="503"/>
        <w:spacing w:after="0" w:line="20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and IQ 577</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diabetic macular edema and other retinal diseases, and our PASCAL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Synthesis Photocoagulator for the treatment of retinal diseases; and</w:t>
      </w:r>
    </w:p>
    <w:p>
      <w:pPr>
        <w:spacing w:after="0" w:line="60" w:lineRule="exact"/>
        <w:rPr>
          <w:rFonts w:ascii="Arial" w:cs="Arial" w:eastAsia="Arial" w:hAnsi="Arial"/>
          <w:sz w:val="18"/>
          <w:szCs w:val="18"/>
          <w:color w:val="auto"/>
        </w:rPr>
      </w:pPr>
    </w:p>
    <w:p>
      <w:pPr>
        <w:ind w:left="1020" w:hanging="503"/>
        <w:spacing w:after="0" w:line="21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 OcuLight systems are often used in vitrectomy procedures, which are used to treat proliferative diabetic retinopathy, macular holes, retinal tears and detachments.</w:t>
      </w:r>
    </w:p>
    <w:p>
      <w:pPr>
        <w:spacing w:after="0" w:line="68" w:lineRule="exact"/>
        <w:rPr>
          <w:sz w:val="20"/>
          <w:szCs w:val="20"/>
          <w:color w:val="auto"/>
        </w:rPr>
      </w:pPr>
    </w:p>
    <w:p>
      <w:pPr>
        <w:ind w:right="240" w:firstLine="509"/>
        <w:spacing w:after="0" w:line="307"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Glaucoma </w:t>
      </w:r>
      <w:r>
        <w:rPr>
          <w:rFonts w:ascii="Arial" w:cs="Arial" w:eastAsia="Arial" w:hAnsi="Arial"/>
          <w:sz w:val="16"/>
          <w:szCs w:val="16"/>
          <w:color w:val="auto"/>
        </w:rPr>
        <w:t>– Probes used in our glaucoma product line include our patented MicroPulse P3</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probe, G-Probe</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G-Probe Illuminate</w:t>
      </w:r>
      <w:r>
        <w:rPr>
          <w:rFonts w:ascii="Arial" w:cs="Arial" w:eastAsia="Arial" w:hAnsi="Arial"/>
          <w:sz w:val="21"/>
          <w:szCs w:val="21"/>
          <w:color w:val="auto"/>
          <w:vertAlign w:val="superscript"/>
        </w:rPr>
        <w:t>®</w:t>
      </w:r>
      <w:r>
        <w:rPr>
          <w:rFonts w:ascii="Arial" w:cs="Arial" w:eastAsia="Arial" w:hAnsi="Arial"/>
          <w:sz w:val="16"/>
          <w:szCs w:val="16"/>
          <w:color w:val="auto"/>
        </w:rPr>
        <w:t>; and</w:t>
      </w:r>
    </w:p>
    <w:p>
      <w:pPr>
        <w:spacing w:after="0" w:line="82"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5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consumable, single use MicroPulse P3 probe, G-Probe, G-Probe Illuminate or EndoProbe.</w:t>
      </w:r>
    </w:p>
    <w:p>
      <w:pPr>
        <w:spacing w:after="0" w:line="67"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7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32"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2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3460" w:type="dxa"/>
            <w:vAlign w:val="bottom"/>
            <w:gridSpan w:val="6"/>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3040" w:type="dxa"/>
            <w:vAlign w:val="bottom"/>
            <w:gridSpan w:val="5"/>
          </w:tcPr>
          <w:p>
            <w:pPr>
              <w:jc w:val="right"/>
              <w:ind w:right="10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82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July 2, 2022</w:t>
            </w:r>
          </w:p>
        </w:tc>
        <w:tc>
          <w:tcPr>
            <w:tcW w:w="126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July 3, 2021</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July 2, 2022</w:t>
            </w:r>
          </w:p>
        </w:tc>
        <w:tc>
          <w:tcPr>
            <w:tcW w:w="12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July 3, 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Total revenues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54.4 %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54.5 %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Gross margin</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33.5 %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61.3 %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54.0 %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61.5 %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ind w:left="20"/>
              <w:spacing w:after="0"/>
              <w:rPr>
                <w:sz w:val="20"/>
                <w:szCs w:val="20"/>
                <w:color w:val="auto"/>
              </w:rPr>
            </w:pPr>
            <w:r>
              <w:rPr>
                <w:rFonts w:ascii="Arial" w:cs="Arial" w:eastAsia="Arial" w:hAnsi="Arial"/>
                <w:sz w:val="18"/>
                <w:szCs w:val="18"/>
                <w:color w:val="auto"/>
                <w:w w:val="72"/>
              </w:rPr>
              <w:t>%)</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ind w:left="20"/>
              <w:spacing w:after="0"/>
              <w:rPr>
                <w:sz w:val="20"/>
                <w:szCs w:val="20"/>
                <w:color w:val="auto"/>
              </w:rPr>
            </w:pPr>
            <w:r>
              <w:rPr>
                <w:rFonts w:ascii="Arial" w:cs="Arial" w:eastAsia="Arial" w:hAnsi="Arial"/>
                <w:sz w:val="18"/>
                <w:szCs w:val="18"/>
                <w:color w:val="auto"/>
                <w:w w:val="72"/>
              </w:rPr>
              <w:t>%)</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(loss) income, net</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(0.5 %)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18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(0.6 %)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Arial" w:cs="Arial" w:eastAsia="Arial" w:hAnsi="Arial"/>
                <w:sz w:val="18"/>
                <w:szCs w:val="18"/>
                <w:color w:val="auto"/>
                <w:w w:val="98"/>
              </w:rPr>
              <w:t>(Loss) Income from operations before provision</w:t>
            </w:r>
          </w:p>
        </w:tc>
        <w:tc>
          <w:tcPr>
            <w:tcW w:w="1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for</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(16.2 %)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80" w:type="dxa"/>
            <w:vAlign w:val="bottom"/>
          </w:tcPr>
          <w:p>
            <w:pPr>
              <w:spacing w:after="0"/>
              <w:rPr>
                <w:sz w:val="20"/>
                <w:szCs w:val="20"/>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(17.0 %)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Net (loss) income</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ind w:left="20"/>
              <w:spacing w:after="0"/>
              <w:rPr>
                <w:sz w:val="20"/>
                <w:szCs w:val="20"/>
                <w:color w:val="auto"/>
              </w:rPr>
            </w:pPr>
            <w:r>
              <w:rPr>
                <w:rFonts w:ascii="Arial" w:cs="Arial" w:eastAsia="Arial" w:hAnsi="Arial"/>
                <w:sz w:val="18"/>
                <w:szCs w:val="18"/>
                <w:color w:val="auto"/>
                <w:w w:val="72"/>
              </w:rPr>
              <w: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-2099945</wp:posOffset>
            </wp:positionV>
            <wp:extent cx="64122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-1816735</wp:posOffset>
            </wp:positionV>
            <wp:extent cx="641223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-1534160</wp:posOffset>
            </wp:positionV>
            <wp:extent cx="641223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-1259205</wp:posOffset>
            </wp:positionV>
            <wp:extent cx="641223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-967740</wp:posOffset>
            </wp:positionV>
            <wp:extent cx="641223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3771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three months ended July 2, 2022 and July 3,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440" w:type="dxa"/>
            <w:vAlign w:val="bottom"/>
          </w:tcPr>
          <w:p>
            <w:pPr>
              <w:jc w:val="right"/>
              <w:ind w:right="336"/>
              <w:spacing w:after="0"/>
              <w:rPr>
                <w:sz w:val="20"/>
                <w:szCs w:val="20"/>
                <w:color w:val="auto"/>
              </w:rPr>
            </w:pPr>
            <w:r>
              <w:rPr>
                <w:rFonts w:ascii="Arial" w:cs="Arial" w:eastAsia="Arial" w:hAnsi="Arial"/>
                <w:sz w:val="14"/>
                <w:szCs w:val="14"/>
                <w:b w:val="1"/>
                <w:bCs w:val="1"/>
                <w:color w:val="auto"/>
              </w:rPr>
              <w:t>July 2, 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316"/>
              <w:spacing w:after="0"/>
              <w:rPr>
                <w:sz w:val="20"/>
                <w:szCs w:val="20"/>
                <w:color w:val="auto"/>
              </w:rPr>
            </w:pPr>
            <w:r>
              <w:rPr>
                <w:rFonts w:ascii="Arial" w:cs="Arial" w:eastAsia="Arial" w:hAnsi="Arial"/>
                <w:sz w:val="14"/>
                <w:szCs w:val="14"/>
                <w:b w:val="1"/>
                <w:bCs w:val="1"/>
                <w:color w:val="auto"/>
              </w:rPr>
              <w:t>July 3, 2021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Change in $</w:t>
            </w:r>
          </w:p>
        </w:tc>
        <w:tc>
          <w:tcPr>
            <w:tcW w:w="16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 in %</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Cyclo G6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Retina</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(46 )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13,426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Our total revenues increased by $0.4 million, or 2.5%, from $13.4 million to $13.8 million. The increase is primarily due to an increase in service and legacy G probes revenues and an increase in recognized exclusive distribution rights revenue, partially offset by a decrease in international Cyclo G6 probes revenue.</w:t>
      </w:r>
    </w:p>
    <w:p>
      <w:pPr>
        <w:spacing w:after="0" w:line="67"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other variants. Until this pandemic subsides, we anticipate capital expenditures may continue to be deferred.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Gross profit increased by $0.2 million, or 2.6%, from $6.1 million to $6.3 million. Gross margin increased by 0.1% from 45.5% to 45.6%. The increase in gross margin was driven by favorable geographic mix, continuing pricing discipline and an increase in recognized exclusive distribution rights revenue.</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2" w:right="479" w:bottom="1440" w:gutter="0" w:footer="0" w:header="0"/>
        </w:sectPr>
      </w:pPr>
    </w:p>
    <w:bookmarkStart w:id="21" w:name="page22"/>
    <w:bookmarkEnd w:id="21"/>
    <w:p>
      <w:pPr>
        <w:ind w:right="240" w:firstLine="509"/>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Research and development (“R&amp;D”) expenses increased by $0.2 million, or 15.0%, from $1.7 million to $1.9 million. The increase in spending was primarily attributable to continued investment in PASCAL product line and on new and expanded product portfolio.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Sales and marketing expenses increased by $1.0 million, or 26.4%, from $3.6 million to $4.6 million. The increase was primarily attributable to the targeted expansion of our sales and marketing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General and administrative expenses remained flat at $1.9 million, helped by a decrease in personnel costs but offset by an increase in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jc w:val="both"/>
        <w:ind w:right="320" w:firstLine="509"/>
        <w:spacing w:after="0" w:line="256" w:lineRule="auto"/>
        <w:rPr>
          <w:sz w:val="20"/>
          <w:szCs w:val="20"/>
          <w:color w:val="auto"/>
        </w:rPr>
      </w:pPr>
      <w:r>
        <w:rPr>
          <w:rFonts w:ascii="Arial" w:cs="Arial" w:eastAsia="Arial" w:hAnsi="Arial"/>
          <w:sz w:val="18"/>
          <w:szCs w:val="18"/>
          <w:color w:val="auto"/>
        </w:rPr>
        <w:t>Other expense, net was $0.1 million compared to other income, net of $2.5 million. Other income (expense), net, consisted primarily of interest income or expense and foreign currency gain or loss. We recognized a $2.5 million gain on the Paycheck Protection Loan (“PPP”) forgiveness as other income during the three months ended July 3,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$17 thousand and $8 thousand,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six months ended July 2, 2022 and July 3,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Six Months Ended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3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July 3, 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6"/>
                <w:szCs w:val="16"/>
                <w:color w:val="auto"/>
              </w:rPr>
            </w:pPr>
          </w:p>
        </w:tc>
        <w:tc>
          <w:tcPr>
            <w:tcW w:w="16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Change in %</w:t>
            </w: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Cyclo G6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Retina</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4.2 %</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26.0 %</w:t>
            </w: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27,142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25,385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1,757</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6.9 %</w:t>
            </w: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jc w:val="both"/>
        <w:ind w:right="180" w:firstLine="509"/>
        <w:spacing w:after="0" w:line="256" w:lineRule="auto"/>
        <w:rPr>
          <w:sz w:val="20"/>
          <w:szCs w:val="20"/>
          <w:color w:val="auto"/>
        </w:rPr>
      </w:pPr>
      <w:r>
        <w:rPr>
          <w:rFonts w:ascii="Arial" w:cs="Arial" w:eastAsia="Arial" w:hAnsi="Arial"/>
          <w:sz w:val="18"/>
          <w:szCs w:val="18"/>
          <w:color w:val="auto"/>
        </w:rPr>
        <w:t>Our total revenues increased by $1.7 million, or 6.9%, from $25.4 million to $27.1 million. The increase is primarily due to an increase in service and legacy G probes revenues, an increase in recognized exclusive distribution rights revenue and continued strength of Retina product line in domestic market.</w:t>
      </w:r>
    </w:p>
    <w:p>
      <w:pPr>
        <w:spacing w:after="0" w:line="67" w:lineRule="exact"/>
        <w:rPr>
          <w:sz w:val="20"/>
          <w:szCs w:val="20"/>
          <w:color w:val="auto"/>
        </w:rPr>
      </w:pPr>
    </w:p>
    <w:p>
      <w:pPr>
        <w:jc w:val="both"/>
        <w:ind w:right="200" w:firstLine="509"/>
        <w:spacing w:after="0" w:line="256"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other variants. Until this pandemic subsides, we anticipate capital expenditures may continue to be deferred.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04"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Gross profit increased by $1.2 million, or 10.8%, from $11.0 million to $12.2 million. Gross margin increased by 1.6% from 43.5% to 45.1%. The increase in gross margin was driven by favorable geographic mix, continuing pricing discipline and an increase in recognized exclusive distribution rights revenue.</w:t>
      </w:r>
    </w:p>
    <w:p>
      <w:pPr>
        <w:spacing w:after="0" w:line="67"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Research and development (“R&amp;D”) expenses increased by $1.2 million, or 42.3%, from $2.8 million to $4.0 million. The increase in spending was primarily attributable to increased level of spending on new product development initiatives and on development of PASCAL product line.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Sales and marketing expenses increased by $2.3 million, or 34.4%, from $6.6 million to $8.9 million. The increase was primarily attributable to the targeted expansion of our sales and marketing programs.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General and administrative expenses decreased by $0.9 million, or 18.1%, from $4.6 million to $3.7 million. The decrease in spending was primarily attributable to a decrease in legal and consulting expenses with prior year's spending was mainly associated with acquisition of the PASCAL Business and execution of the Exclusive Distribution Agreement with Topcon.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Other (expense), net was $0.2 million, compared to other income, net of $2.4 million. Other income (expense), net, consisted primarily of interest income or expense and foreign currency gain or loss. We recognized a $2.5 million gain on PPP Loan forgiveness as other income during the six months ended July 3, 2021.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$37 thousand and $16 thousand,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7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As of July 2, 2022, we had cash and cash equivalents of $18.0 million and working capital of $27.1 million compared to cash and cash equivalents of $23.9 million and working capital of $29.6 million as of January 1, 2022.</w:t>
      </w:r>
    </w:p>
    <w:p>
      <w:pPr>
        <w:spacing w:after="0" w:line="63"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Net cash used in operating activities was $5.8 million in the six months ended July 2, 2022 compared to net cash provided by operating activities of $10.6 million in the six months ended July 3, 2021. The increase in net cash used by operating activities, expressed in direct cash flow terms, was primarily due to the receipt of exclusive distribution fee during the prior year period, an increase in vendor payments as we try to mitigate supply chain challenges and an increase in payroll due to higher headcount and higher bonus payout, partially offset by an increase in cash receipts from customers.</w:t>
      </w:r>
    </w:p>
    <w:p>
      <w:pPr>
        <w:spacing w:after="0" w:line="56"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For the six months ended July 2, 2022, net cash used in investing activities was $146 thousand, which consisted of capital expenditures. For the six months ended July 3, 2021, net cash used in investing activities was $5.5 million, which consisted primarily of the purchase of PASCAL Business.</w:t>
      </w:r>
    </w:p>
    <w:p>
      <w:pPr>
        <w:spacing w:after="0" w:line="16" w:lineRule="exact"/>
        <w:rPr>
          <w:sz w:val="20"/>
          <w:szCs w:val="20"/>
          <w:color w:val="auto"/>
        </w:rPr>
      </w:pPr>
    </w:p>
    <w:p>
      <w:pPr>
        <w:jc w:val="both"/>
        <w:ind w:right="380" w:firstLine="509"/>
        <w:spacing w:after="0" w:line="249" w:lineRule="auto"/>
        <w:rPr>
          <w:sz w:val="20"/>
          <w:szCs w:val="20"/>
          <w:color w:val="auto"/>
        </w:rPr>
      </w:pPr>
      <w:r>
        <w:rPr>
          <w:rFonts w:ascii="Arial" w:cs="Arial" w:eastAsia="Arial" w:hAnsi="Arial"/>
          <w:sz w:val="18"/>
          <w:szCs w:val="18"/>
          <w:color w:val="auto"/>
        </w:rPr>
        <w:t>For the six months ended July 2, 2022, net cash used in financing activities was $47 thousand, primarily from payroll taxes related to net share settlement of equity awards partially offset by the net proceeds arising from the proceeds from stock option exercises. For the six months ended July 3, 2021, net cash provided by financing activities was $9.5 million, primarily from the net proceeds arising from the issuance of common stock, partially offset by payroll taxes related to net share settlement of equity awards.</w:t>
      </w:r>
    </w:p>
    <w:p>
      <w:pPr>
        <w:spacing w:after="0" w:line="73"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We have historically funded our operations primarily through sales of our products to customers, sales of our common stock and borrowing arrangements. As of July 2, 2022, our principal sources of liquidity consisted of cash and cash equivalents of $18.0 million. We have incurred net losses over the last several years, and as of July 2, 2022, have an accumulated deficit of approximately $66.8 million. We expect to continue to incur operating losses and negative cash flows from operations through July 1, 2023.</w:t>
      </w:r>
    </w:p>
    <w:p>
      <w:pPr>
        <w:spacing w:after="0" w:line="86"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Company has an existing Loan and Security Agreement (“Loan Agreement”) with Silicon Valley Bank providing for up to $8.0 million secured revolving loan facility (“Revolving Loan Facility”). In March 2022, the Fourth Amendment to the Loan Agreement was executed primarily to extend the term through May 31, 2022. In June 2022, the Fifth Amendment to the Loan Agreement was executed primarily to extend the term through December 1, 2023. As of July 2, 2022 and January 1, 2022, there were no amounts outstanding under the Loan Agreement.</w:t>
      </w:r>
    </w:p>
    <w:p>
      <w:pPr>
        <w:spacing w:after="0" w:line="58"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financing or financing on terms satisfactory to us, when we require it, our ability to continue to grow or support our business and to respond to business challenges could be significantly limited.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520" w:firstLine="509"/>
        <w:spacing w:after="0" w:line="256"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6"/>
          <w:szCs w:val="16"/>
          <w:color w:val="auto"/>
        </w:rPr>
        <w:t>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potential future conditions.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w:t>
      </w:r>
    </w:p>
    <w:p>
      <w:pPr>
        <w:spacing w:after="0" w:line="21"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our Principal Executive Officer and our Principal Financial Officer, of the effectiveness of the design and operation of our disclosure controls and procedures as of July 2, 2022. Based on the foregoing, our Principal Executive Officer and our Principal Financial Officer concluded that our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were effective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08"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0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COVID-19 pandemic and responsive measures;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partnership with Topcon;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economic downturns, public health crises or political crises.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Operational factors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 with our strategic partner and main distributor, Topcon;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5" w:name="page26"/>
    <w:bookmarkEnd w:id="25"/>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recalls of our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0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foreign laws, including changes to those 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03"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in our charter documents, Delaware law and contractual provisions that could delay or prevent an acquisition or sale of our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0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1" w:lineRule="exact"/>
        <w:rPr>
          <w:sz w:val="20"/>
          <w:szCs w:val="20"/>
          <w:color w:val="auto"/>
        </w:rPr>
      </w:pPr>
    </w:p>
    <w:p>
      <w:pPr>
        <w:ind w:right="220" w:firstLine="509"/>
        <w:spacing w:after="0" w:line="270" w:lineRule="auto"/>
        <w:rPr>
          <w:sz w:val="20"/>
          <w:szCs w:val="20"/>
          <w:color w:val="auto"/>
        </w:rPr>
      </w:pPr>
      <w:r>
        <w:rPr>
          <w:rFonts w:ascii="Arial" w:cs="Arial" w:eastAsia="Arial" w:hAnsi="Arial"/>
          <w:sz w:val="15"/>
          <w:szCs w:val="15"/>
          <w:b w:val="1"/>
          <w:bCs w:val="1"/>
          <w:i w:val="1"/>
          <w:iCs w:val="1"/>
          <w:color w:val="auto"/>
        </w:rPr>
        <w:t>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5"/>
          <w:szCs w:val="15"/>
          <w:b w:val="1"/>
          <w:bCs w:val="1"/>
          <w:i w:val="1"/>
          <w:iCs w:val="1"/>
          <w:color w:val="auto"/>
        </w:rPr>
        <w:t xml:space="preserve">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business, results of operation and financial performance have been negatively impacted by the COVID-19 pandemic and related public health responses, such as social distancing protocols, and travel restrictions in countries and regions in which we have</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22" w:right="539" w:bottom="1440" w:gutter="0" w:footer="0" w:header="0"/>
        </w:sectPr>
      </w:pPr>
    </w:p>
    <w:bookmarkStart w:id="26" w:name="page27"/>
    <w:bookmarkEnd w:id="26"/>
    <w:p>
      <w:pPr>
        <w:ind w:right="40"/>
        <w:spacing w:after="0" w:line="280" w:lineRule="auto"/>
        <w:rPr>
          <w:sz w:val="20"/>
          <w:szCs w:val="20"/>
          <w:color w:val="auto"/>
        </w:rPr>
      </w:pPr>
      <w:r>
        <w:rPr>
          <w:rFonts w:ascii="Arial" w:cs="Arial" w:eastAsia="Arial" w:hAnsi="Arial"/>
          <w:sz w:val="16"/>
          <w:szCs w:val="16"/>
          <w:color w:val="auto"/>
        </w:rPr>
        <w:t>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the near term, we expect COVID-19 will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spacing w:after="0" w:line="5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As a result of the COVID-19 outbreak around the world, we have adopted several measures including allowing employees to work from home, slowing our manufacturing operations, and restricting non-critical business travel by our employees. 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7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70"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3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March 2, 2021, we entered into a series of strategic transactions with Topcon, Topcon America Corporation (the “Investor”) and Topcon Medical Laser Systems, Inc., a subsidiary of Topcon (“TMLS”), which included an asset purchase agreement with TMLS, pursuant to which we acquired substantially all the assets (except for cash and cash equivalents) of TMLS,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w:t>
      </w:r>
    </w:p>
    <w:p>
      <w:pPr>
        <w:spacing w:after="0" w:line="9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right="120" w:firstLine="509"/>
        <w:spacing w:after="0" w:line="280"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63"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spacing w:after="0" w:line="6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94" w:lineRule="exact"/>
        <w:rPr>
          <w:sz w:val="20"/>
          <w:szCs w:val="20"/>
          <w:color w:val="auto"/>
        </w:rPr>
      </w:pPr>
    </w:p>
    <w:p>
      <w:pPr>
        <w:ind w:right="840" w:firstLine="509"/>
        <w:spacing w:after="0" w:line="261"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76"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39" w:lineRule="exact"/>
        <w:rPr>
          <w:sz w:val="20"/>
          <w:szCs w:val="20"/>
          <w:color w:val="auto"/>
        </w:rPr>
      </w:pPr>
    </w:p>
    <w:p>
      <w:pPr>
        <w:ind w:firstLine="509"/>
        <w:spacing w:after="0" w:line="232"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4"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75" w:lineRule="exact"/>
        <w:rPr>
          <w:sz w:val="20"/>
          <w:szCs w:val="20"/>
          <w:color w:val="auto"/>
        </w:rPr>
      </w:pPr>
    </w:p>
    <w:p>
      <w:pPr>
        <w:ind w:right="20" w:firstLine="509"/>
        <w:spacing w:after="0" w:line="262"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67" w:lineRule="exact"/>
        <w:rPr>
          <w:sz w:val="20"/>
          <w:szCs w:val="20"/>
          <w:color w:val="auto"/>
        </w:rPr>
      </w:pPr>
    </w:p>
    <w:p>
      <w:pPr>
        <w:ind w:right="200" w:firstLine="509"/>
        <w:spacing w:after="0" w:line="285"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7"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1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49" w:lineRule="exact"/>
        <w:rPr>
          <w:sz w:val="20"/>
          <w:szCs w:val="20"/>
          <w:color w:val="auto"/>
        </w:rPr>
      </w:pPr>
    </w:p>
    <w:p>
      <w:pPr>
        <w:ind w:right="40" w:firstLine="509"/>
        <w:spacing w:after="0" w:line="232"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25 employees and two independent representatives, respectively, and our direct sales force in Germany consists of one employee. Our international independent distributors are managed by a team of five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8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travel is restricted and some services are being performed from home, all of which could have an impact on our ability to sell and distribute our products.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6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04"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second fiscal quarter of fiscal year 2022, our international sales were $6.9 million, or 50.2% of total revenues. We anticipate that international sales will continue to account for a significant portion of our revenues in the foreseeable future. All of our international revenues and costs for the second fiscal quarter of fiscal year 2022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48"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29" w:name="page30"/>
    <w:bookmarkEnd w:id="29"/>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03" w:lineRule="exact"/>
        <w:rPr>
          <w:rFonts w:ascii="Arial" w:cs="Arial" w:eastAsia="Arial" w:hAnsi="Arial"/>
          <w:sz w:val="18"/>
          <w:szCs w:val="18"/>
          <w:color w:val="auto"/>
        </w:rPr>
      </w:pPr>
    </w:p>
    <w:p>
      <w:pPr>
        <w:ind w:left="1020" w:right="240" w:hanging="503"/>
        <w:spacing w:after="0" w:line="274"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53" w:lineRule="exact"/>
        <w:rPr>
          <w:rFonts w:ascii="Arial" w:cs="Arial" w:eastAsia="Arial" w:hAnsi="Arial"/>
          <w:sz w:val="17"/>
          <w:szCs w:val="17"/>
          <w:color w:val="auto"/>
        </w:rPr>
      </w:pPr>
    </w:p>
    <w:p>
      <w:pPr>
        <w:ind w:left="1020" w:right="3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27" w:lineRule="exact"/>
        <w:rPr>
          <w:sz w:val="20"/>
          <w:szCs w:val="20"/>
          <w:color w:val="auto"/>
        </w:rPr>
      </w:pPr>
    </w:p>
    <w:p>
      <w:pPr>
        <w:ind w:right="440" w:firstLine="509"/>
        <w:spacing w:after="0" w:line="257"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49"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delayed due to the impact of COVID-19, and should COVID-19 economic restrictions worsen, it could delay and disrupt our research and development processes even further.</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6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international conflicts, terrorist and military activity, civil unrest and pandemic-related illness could reduce customer orders or cause customer order cancellations. For example, the COVID-19 pandemic has and may continue to cause adverse impacts on global economic activity which could negatively impact our business. In addition,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0" w:name="page31"/>
    <w:bookmarkEnd w:id="30"/>
    <w:p>
      <w:pPr>
        <w:ind w:right="340"/>
        <w:spacing w:after="0" w:line="261" w:lineRule="auto"/>
        <w:rPr>
          <w:sz w:val="20"/>
          <w:szCs w:val="20"/>
          <w:color w:val="auto"/>
        </w:rPr>
      </w:pPr>
      <w:r>
        <w:rPr>
          <w:rFonts w:ascii="Arial" w:cs="Arial" w:eastAsia="Arial" w:hAnsi="Arial"/>
          <w:sz w:val="18"/>
          <w:szCs w:val="18"/>
          <w:color w:val="auto"/>
        </w:rPr>
        <w:t>political and social turmoil related to international conflicts, such as that occurring in Russia and Ukraine, and terrorist acts may put further pressure on economic conditions in the United States and abroad.</w:t>
      </w:r>
    </w:p>
    <w:p>
      <w:pPr>
        <w:spacing w:after="0" w:line="7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90" w:lineRule="exact"/>
        <w:rPr>
          <w:sz w:val="20"/>
          <w:szCs w:val="20"/>
          <w:color w:val="auto"/>
        </w:rPr>
      </w:pPr>
    </w:p>
    <w:p>
      <w:pPr>
        <w:ind w:right="140" w:firstLine="509"/>
        <w:spacing w:after="0" w:line="274"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40" w:lineRule="exact"/>
        <w:rPr>
          <w:sz w:val="20"/>
          <w:szCs w:val="20"/>
          <w:color w:val="auto"/>
        </w:rPr>
      </w:pPr>
    </w:p>
    <w:p>
      <w:pPr>
        <w:ind w:left="1020" w:right="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uncertainties, inflationary pressures and political concerns, including the impact of COVID-19 and the war between Russia and Ukraine;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90"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8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90"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90" w:lineRule="exact"/>
        <w:rPr>
          <w:rFonts w:ascii="Arial" w:cs="Arial" w:eastAsia="Arial" w:hAnsi="Arial"/>
          <w:sz w:val="18"/>
          <w:szCs w:val="18"/>
          <w:color w:val="auto"/>
        </w:rPr>
      </w:pPr>
    </w:p>
    <w:p>
      <w:pPr>
        <w:ind w:left="1020" w:right="260" w:hanging="503"/>
        <w:spacing w:after="0" w:line="23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variances in shipment volumes as a result of product, supply chain due to global constraints or other factors and training issues; and</w:t>
      </w:r>
    </w:p>
    <w:p>
      <w:pPr>
        <w:spacing w:after="0" w:line="101"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90" w:lineRule="exact"/>
        <w:rPr>
          <w:sz w:val="20"/>
          <w:szCs w:val="20"/>
          <w:color w:val="auto"/>
        </w:rPr>
      </w:pPr>
    </w:p>
    <w:p>
      <w:pPr>
        <w:ind w:right="540" w:firstLine="509"/>
        <w:spacing w:after="0" w:line="307"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2" w:lineRule="exact"/>
        <w:rPr>
          <w:sz w:val="20"/>
          <w:szCs w:val="20"/>
          <w:color w:val="auto"/>
        </w:rPr>
      </w:pPr>
    </w:p>
    <w:p>
      <w:pPr>
        <w:ind w:right="20" w:firstLine="509"/>
        <w:spacing w:after="0" w:line="251" w:lineRule="auto"/>
        <w:rPr>
          <w:sz w:val="20"/>
          <w:szCs w:val="20"/>
          <w:color w:val="auto"/>
        </w:rPr>
      </w:pPr>
      <w:r>
        <w:rPr>
          <w:rFonts w:ascii="Arial" w:cs="Arial" w:eastAsia="Arial" w:hAnsi="Arial"/>
          <w:sz w:val="16"/>
          <w:szCs w:val="16"/>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w:t>
      </w:r>
    </w:p>
    <w:p>
      <w:pPr>
        <w:spacing w:after="0" w:line="2"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to fall.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1" w:name="page32"/>
    <w:bookmarkEnd w:id="31"/>
    <w:p>
      <w:pPr>
        <w:ind w:right="300" w:firstLine="509"/>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4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7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03" w:lineRule="exact"/>
        <w:rPr>
          <w:rFonts w:ascii="Arial" w:cs="Arial" w:eastAsia="Arial" w:hAnsi="Arial"/>
          <w:sz w:val="18"/>
          <w:szCs w:val="18"/>
          <w:color w:val="auto"/>
        </w:rPr>
      </w:pPr>
    </w:p>
    <w:p>
      <w:pPr>
        <w:ind w:left="1020" w:right="8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 and our PASCAL product;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0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04"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49"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20"/>
        <w:spacing w:after="0" w:line="249" w:lineRule="auto"/>
        <w:rPr>
          <w:sz w:val="20"/>
          <w:szCs w:val="20"/>
          <w:color w:val="auto"/>
        </w:rPr>
      </w:pPr>
      <w:r>
        <w:rPr>
          <w:rFonts w:ascii="Arial" w:cs="Arial" w:eastAsia="Arial" w:hAnsi="Arial"/>
          <w:sz w:val="18"/>
          <w:szCs w:val="18"/>
          <w:color w:val="auto"/>
        </w:rPr>
        <w:t>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93"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76"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56"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2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3" w:name="page34"/>
    <w:bookmarkEnd w:id="33"/>
    <w:p>
      <w:pPr>
        <w:ind w:right="20"/>
        <w:spacing w:after="0" w:line="238" w:lineRule="auto"/>
        <w:rPr>
          <w:sz w:val="20"/>
          <w:szCs w:val="20"/>
          <w:color w:val="auto"/>
        </w:rPr>
      </w:pPr>
      <w:r>
        <w:rPr>
          <w:rFonts w:ascii="Arial" w:cs="Arial" w:eastAsia="Arial" w:hAnsi="Arial"/>
          <w:sz w:val="18"/>
          <w:szCs w:val="18"/>
          <w:color w:val="auto"/>
        </w:rPr>
        <w:t>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8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4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9" w:lineRule="exact"/>
        <w:rPr>
          <w:sz w:val="20"/>
          <w:szCs w:val="20"/>
          <w:color w:val="auto"/>
        </w:rPr>
      </w:pPr>
    </w:p>
    <w:p>
      <w:pPr>
        <w:ind w:right="700" w:firstLine="509"/>
        <w:spacing w:after="0" w:line="324"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04"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04"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July 2, 2022, our patent portfolio includes 60 active United States patents and 96 active international patents on the technologies related to our products and processes. In addition, as of July 2, 2022, we have 12 patent applications pending in the United States and 22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62"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70"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3"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4" w:name="page35"/>
    <w:bookmarkEnd w:id="34"/>
    <w:p>
      <w:pPr>
        <w:ind w:right="300"/>
        <w:spacing w:after="0" w:line="261" w:lineRule="auto"/>
        <w:rPr>
          <w:sz w:val="20"/>
          <w:szCs w:val="20"/>
          <w:color w:val="auto"/>
        </w:rPr>
      </w:pPr>
      <w:r>
        <w:rPr>
          <w:rFonts w:ascii="Arial" w:cs="Arial" w:eastAsia="Arial" w:hAnsi="Arial"/>
          <w:sz w:val="18"/>
          <w:szCs w:val="18"/>
          <w:color w:val="auto"/>
        </w:rPr>
        <w:t>patent holders commonly offer such licenses, licenses under such patents or intellectual property may not be offered or the terms of any offered licenses may not be reasonable.</w:t>
      </w:r>
    </w:p>
    <w:p>
      <w:pPr>
        <w:spacing w:after="0" w:line="63" w:lineRule="exact"/>
        <w:rPr>
          <w:sz w:val="20"/>
          <w:szCs w:val="20"/>
          <w:color w:val="auto"/>
        </w:rPr>
      </w:pPr>
    </w:p>
    <w:p>
      <w:pPr>
        <w:ind w:right="100" w:firstLine="509"/>
        <w:spacing w:after="0" w:line="234"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27" w:lineRule="exact"/>
        <w:rPr>
          <w:sz w:val="20"/>
          <w:szCs w:val="20"/>
          <w:color w:val="auto"/>
        </w:rPr>
      </w:pPr>
    </w:p>
    <w:p>
      <w:pPr>
        <w:ind w:firstLine="509"/>
        <w:spacing w:after="0" w:line="264"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2"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90"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7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90"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01"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inability to obtain components and products in a timely manner or at acceptable prices due to global supply chain constraints or other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w:t>
      </w:r>
    </w:p>
    <w:p>
      <w:pPr>
        <w:spacing w:after="0" w:line="2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5" w:name="page36"/>
    <w:bookmarkEnd w:id="35"/>
    <w:p>
      <w:pPr>
        <w:ind w:right="100"/>
        <w:spacing w:after="0" w:line="307" w:lineRule="auto"/>
        <w:rPr>
          <w:sz w:val="20"/>
          <w:szCs w:val="20"/>
          <w:color w:val="auto"/>
        </w:rPr>
      </w:pPr>
      <w:r>
        <w:rPr>
          <w:rFonts w:ascii="Arial" w:cs="Arial" w:eastAsia="Arial" w:hAnsi="Arial"/>
          <w:sz w:val="16"/>
          <w:szCs w:val="16"/>
          <w:color w:val="auto"/>
        </w:rPr>
        <w:t>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90" w:lineRule="exact"/>
        <w:rPr>
          <w:sz w:val="20"/>
          <w:szCs w:val="20"/>
          <w:color w:val="auto"/>
        </w:rPr>
      </w:pPr>
    </w:p>
    <w:p>
      <w:pPr>
        <w:ind w:right="620" w:firstLine="509"/>
        <w:spacing w:after="0" w:line="248" w:lineRule="auto"/>
        <w:rPr>
          <w:sz w:val="20"/>
          <w:szCs w:val="20"/>
          <w:color w:val="auto"/>
        </w:rPr>
      </w:pPr>
      <w:r>
        <w:rPr>
          <w:rFonts w:ascii="Arial" w:cs="Arial" w:eastAsia="Arial" w:hAnsi="Arial"/>
          <w:sz w:val="16"/>
          <w:szCs w:val="16"/>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w:t>
      </w:r>
    </w:p>
    <w:p>
      <w:pPr>
        <w:ind w:right="60"/>
        <w:spacing w:after="0" w:line="228" w:lineRule="auto"/>
        <w:rPr>
          <w:sz w:val="20"/>
          <w:szCs w:val="20"/>
          <w:color w:val="auto"/>
        </w:rPr>
      </w:pPr>
      <w:r>
        <w:rPr>
          <w:rFonts w:ascii="Arial" w:cs="Arial" w:eastAsia="Arial" w:hAnsi="Arial"/>
          <w:sz w:val="18"/>
          <w:szCs w:val="18"/>
          <w:color w:val="auto"/>
        </w:rPr>
        <w:t>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69" w:lineRule="exact"/>
        <w:rPr>
          <w:sz w:val="20"/>
          <w:szCs w:val="20"/>
          <w:color w:val="auto"/>
        </w:rPr>
      </w:pPr>
    </w:p>
    <w:p>
      <w:pPr>
        <w:ind w:right="320" w:firstLine="515"/>
        <w:spacing w:after="0" w:line="235"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7" w:lineRule="exact"/>
        <w:rPr>
          <w:sz w:val="20"/>
          <w:szCs w:val="20"/>
          <w:color w:val="auto"/>
        </w:rPr>
      </w:pPr>
    </w:p>
    <w:p>
      <w:pPr>
        <w:ind w:right="20" w:firstLine="509"/>
        <w:spacing w:after="0" w:line="256" w:lineRule="auto"/>
        <w:rPr>
          <w:sz w:val="20"/>
          <w:szCs w:val="20"/>
          <w:color w:val="auto"/>
        </w:rPr>
      </w:pPr>
      <w:r>
        <w:rPr>
          <w:rFonts w:ascii="Arial" w:cs="Arial" w:eastAsia="Arial" w:hAnsi="Arial"/>
          <w:sz w:val="16"/>
          <w:szCs w:val="16"/>
          <w:color w:val="auto"/>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w:t>
      </w:r>
    </w:p>
    <w:p>
      <w:pPr>
        <w:spacing w:after="0" w:line="1" w:lineRule="exact"/>
        <w:rPr>
          <w:sz w:val="20"/>
          <w:szCs w:val="20"/>
          <w:color w:val="auto"/>
        </w:rPr>
      </w:pPr>
    </w:p>
    <w:p>
      <w:pPr>
        <w:jc w:val="both"/>
        <w:ind w:right="400"/>
        <w:spacing w:after="0" w:line="237" w:lineRule="auto"/>
        <w:rPr>
          <w:sz w:val="20"/>
          <w:szCs w:val="20"/>
          <w:color w:val="auto"/>
        </w:rPr>
      </w:pPr>
      <w:r>
        <w:rPr>
          <w:rFonts w:ascii="Arial" w:cs="Arial" w:eastAsia="Arial" w:hAnsi="Arial"/>
          <w:sz w:val="16"/>
          <w:szCs w:val="16"/>
          <w:color w:val="auto"/>
        </w:rPr>
        <w:t>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companies have experienced an increase in phishing and spoofing attacks from third parties in connection with working remotely due to the COVID-19 pandemic.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it may cause a material disruption in our business if we are not capable of restoring function on an acceptable time frame.</w:t>
      </w:r>
    </w:p>
    <w:p>
      <w:pPr>
        <w:spacing w:after="0" w:line="74"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w:t>
      </w:r>
    </w:p>
    <w:p>
      <w:pPr>
        <w:spacing w:after="0" w:line="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46" w:lineRule="exact"/>
        <w:rPr>
          <w:sz w:val="20"/>
          <w:szCs w:val="20"/>
          <w:color w:val="auto"/>
        </w:rPr>
      </w:pPr>
    </w:p>
    <w:p>
      <w:pPr>
        <w:ind w:right="200" w:firstLine="509"/>
        <w:spacing w:after="0" w:line="256"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6"/>
          <w:szCs w:val="16"/>
          <w:color w:val="auto"/>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effect on our business. In addition, we cannot be sure that our existing insurance coverage will continue to be available on acceptable terms or that our insurers will not deny coverage as to any future claim.</w:t>
      </w:r>
    </w:p>
    <w:p>
      <w:pPr>
        <w:spacing w:after="0" w:line="67" w:lineRule="exact"/>
        <w:rPr>
          <w:sz w:val="20"/>
          <w:szCs w:val="20"/>
          <w:color w:val="auto"/>
        </w:rPr>
      </w:pPr>
    </w:p>
    <w:p>
      <w:pPr>
        <w:ind w:right="220" w:firstLine="509"/>
        <w:spacing w:after="0"/>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8" w:lineRule="exact"/>
        <w:rPr>
          <w:sz w:val="20"/>
          <w:szCs w:val="20"/>
          <w:color w:val="auto"/>
        </w:rPr>
      </w:pPr>
    </w:p>
    <w:p>
      <w:pPr>
        <w:ind w:right="80" w:firstLine="509"/>
        <w:spacing w:after="0" w:line="251"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w:t>
      </w:r>
    </w:p>
    <w:p>
      <w:pPr>
        <w:spacing w:after="0" w:line="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4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4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6" w:name="page37"/>
    <w:bookmarkEnd w:id="36"/>
    <w:p>
      <w:pPr>
        <w:ind w:right="20"/>
        <w:spacing w:after="0" w:line="245" w:lineRule="auto"/>
        <w:rPr>
          <w:sz w:val="20"/>
          <w:szCs w:val="20"/>
          <w:color w:val="auto"/>
        </w:rPr>
      </w:pPr>
      <w:r>
        <w:rPr>
          <w:rFonts w:ascii="Arial" w:cs="Arial" w:eastAsia="Arial" w:hAnsi="Arial"/>
          <w:sz w:val="17"/>
          <w:szCs w:val="17"/>
          <w:color w:val="auto"/>
        </w:rPr>
        <w:t>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9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67"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w:t>
      </w:r>
    </w:p>
    <w:p>
      <w:pPr>
        <w:spacing w:after="0" w:line="1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6"/>
          <w:szCs w:val="16"/>
          <w:color w:val="auto"/>
        </w:rPr>
        <w:t>results of operations and financial condition. There are several major regulatory changes occurring in the regulation of medical devices in the EU. The revision of the quality system regulation (ISO 13485:2016) has been released that substantially increased the requirements for a medical device quality</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Switzerland has changed its relationship with the EU and in May 2022, will require medical device manufacturers, including us, to contract with a Swiss Authorized Representative. Additionally, the new revision 4 of the clinical evaluation report guidance document (MEDDEV 2.7.1) severely restricts the use</w:t>
      </w:r>
    </w:p>
    <w:p>
      <w:pPr>
        <w:spacing w:after="0" w:line="1" w:lineRule="exact"/>
        <w:rPr>
          <w:sz w:val="20"/>
          <w:szCs w:val="20"/>
          <w:color w:val="auto"/>
        </w:rPr>
      </w:pPr>
    </w:p>
    <w:p>
      <w:pPr>
        <w:jc w:val="both"/>
        <w:ind w:right="180"/>
        <w:spacing w:after="0" w:line="228" w:lineRule="auto"/>
        <w:rPr>
          <w:sz w:val="20"/>
          <w:szCs w:val="20"/>
          <w:color w:val="auto"/>
        </w:rPr>
      </w:pPr>
      <w:r>
        <w:rPr>
          <w:rFonts w:ascii="Arial" w:cs="Arial" w:eastAsia="Arial" w:hAnsi="Arial"/>
          <w:sz w:val="18"/>
          <w:szCs w:val="18"/>
          <w:color w:val="auto"/>
        </w:rPr>
        <w:t>of substantial equivalence for new products, resulting in the need for formal clinical trial data for many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56" w:lineRule="exact"/>
        <w:rPr>
          <w:sz w:val="20"/>
          <w:szCs w:val="20"/>
          <w:color w:val="auto"/>
        </w:rPr>
      </w:pPr>
    </w:p>
    <w:p>
      <w:pPr>
        <w:ind w:right="480" w:firstLine="509"/>
        <w:spacing w:after="0" w:line="307"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5" w:lineRule="exact"/>
        <w:rPr>
          <w:sz w:val="20"/>
          <w:szCs w:val="20"/>
          <w:color w:val="auto"/>
        </w:rPr>
      </w:pPr>
    </w:p>
    <w:p>
      <w:pPr>
        <w:ind w:right="60" w:firstLine="509"/>
        <w:spacing w:after="0" w:line="256" w:lineRule="auto"/>
        <w:rPr>
          <w:sz w:val="20"/>
          <w:szCs w:val="20"/>
          <w:color w:val="auto"/>
        </w:rPr>
      </w:pPr>
      <w:r>
        <w:rPr>
          <w:rFonts w:ascii="Arial" w:cs="Arial" w:eastAsia="Arial" w:hAnsi="Arial"/>
          <w:sz w:val="16"/>
          <w:szCs w:val="16"/>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80" w:firstLine="509"/>
        <w:spacing w:after="0" w:line="235"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7" w:lineRule="exact"/>
        <w:rPr>
          <w:sz w:val="20"/>
          <w:szCs w:val="20"/>
          <w:color w:val="auto"/>
        </w:rPr>
      </w:pPr>
    </w:p>
    <w:p>
      <w:pPr>
        <w:ind w:right="200" w:firstLine="509"/>
        <w:spacing w:after="0" w:line="256" w:lineRule="auto"/>
        <w:rPr>
          <w:sz w:val="20"/>
          <w:szCs w:val="20"/>
          <w:color w:val="auto"/>
        </w:rPr>
      </w:pPr>
      <w:r>
        <w:rPr>
          <w:rFonts w:ascii="Arial" w:cs="Arial" w:eastAsia="Arial" w:hAnsi="Arial"/>
          <w:sz w:val="16"/>
          <w:szCs w:val="16"/>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warning labels to laser products, as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7" w:name="page38"/>
    <w:bookmarkEnd w:id="37"/>
    <w:p>
      <w:pPr>
        <w:jc w:val="both"/>
        <w:ind w:right="100"/>
        <w:spacing w:after="0" w:line="253" w:lineRule="auto"/>
        <w:rPr>
          <w:sz w:val="20"/>
          <w:szCs w:val="20"/>
          <w:color w:val="auto"/>
        </w:rPr>
      </w:pPr>
      <w:r>
        <w:rPr>
          <w:rFonts w:ascii="Arial" w:cs="Arial" w:eastAsia="Arial" w:hAnsi="Arial"/>
          <w:sz w:val="16"/>
          <w:szCs w:val="16"/>
          <w:color w:val="auto"/>
        </w:rPr>
        <w:t>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 public warning letter, a shutdown of our manufacturing operations, a recall of our products, civil or criminal penalties, or other sanctions, which would cause our sales and business to suffer.</w:t>
      </w:r>
    </w:p>
    <w:p>
      <w:pPr>
        <w:spacing w:after="0" w:line="8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49"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36" w:lineRule="exact"/>
        <w:rPr>
          <w:sz w:val="20"/>
          <w:szCs w:val="20"/>
          <w:color w:val="auto"/>
        </w:rPr>
      </w:pPr>
    </w:p>
    <w:p>
      <w:pPr>
        <w:ind w:right="400" w:firstLine="509"/>
        <w:spacing w:after="0" w:line="307"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5"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90"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04"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04" w:lineRule="exact"/>
        <w:rPr>
          <w:sz w:val="20"/>
          <w:szCs w:val="20"/>
          <w:color w:val="auto"/>
        </w:rPr>
      </w:pPr>
    </w:p>
    <w:p>
      <w:pPr>
        <w:ind w:right="100" w:firstLine="509"/>
        <w:spacing w:after="0" w:line="237"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90" w:lineRule="exact"/>
        <w:rPr>
          <w:sz w:val="20"/>
          <w:szCs w:val="20"/>
          <w:color w:val="auto"/>
        </w:rPr>
      </w:pPr>
    </w:p>
    <w:p>
      <w:pPr>
        <w:ind w:right="60" w:firstLine="509"/>
        <w:spacing w:after="0" w:line="266"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8" w:name="page39"/>
    <w:bookmarkEnd w:id="38"/>
    <w:p>
      <w:pPr>
        <w:ind w:right="400" w:firstLine="509"/>
        <w:spacing w:after="0" w:line="246"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75"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40"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75" w:lineRule="exact"/>
        <w:rPr>
          <w:sz w:val="20"/>
          <w:szCs w:val="20"/>
          <w:color w:val="auto"/>
        </w:rPr>
      </w:pPr>
    </w:p>
    <w:p>
      <w:pPr>
        <w:ind w:right="440" w:firstLine="509"/>
        <w:spacing w:after="0" w:line="248" w:lineRule="auto"/>
        <w:rPr>
          <w:sz w:val="20"/>
          <w:szCs w:val="20"/>
          <w:color w:val="auto"/>
        </w:rPr>
      </w:pPr>
      <w:r>
        <w:rPr>
          <w:rFonts w:ascii="Arial" w:cs="Arial" w:eastAsia="Arial" w:hAnsi="Arial"/>
          <w:sz w:val="16"/>
          <w:szCs w:val="16"/>
          <w:color w:val="auto"/>
        </w:rPr>
        <w:t>For example, on February 23, 2018, we initiated a worldwide voluntary recall of a specific laser accessory called the TruFocus LIO Premiere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spacing w:after="0" w:line="69" w:lineRule="exact"/>
        <w:rPr>
          <w:sz w:val="20"/>
          <w:szCs w:val="20"/>
          <w:color w:val="auto"/>
        </w:rPr>
      </w:pPr>
    </w:p>
    <w:p>
      <w:pPr>
        <w:ind w:right="100" w:firstLine="509"/>
        <w:spacing w:after="0" w:line="219"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82"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3"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Significant developments resulting from recent and potential changes in U.S. trade policies could have a material adverse effect on us.</w:t>
      </w:r>
    </w:p>
    <w:p>
      <w:pPr>
        <w:spacing w:after="0" w:line="140"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66"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9" w:name="page40"/>
    <w:bookmarkEnd w:id="39"/>
    <w:p>
      <w:pPr>
        <w:ind w:firstLine="509"/>
        <w:spacing w:after="0" w:line="24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27" w:lineRule="exact"/>
        <w:rPr>
          <w:sz w:val="20"/>
          <w:szCs w:val="20"/>
          <w:color w:val="auto"/>
        </w:rPr>
      </w:pPr>
    </w:p>
    <w:p>
      <w:pPr>
        <w:ind w:right="220" w:firstLine="509"/>
        <w:spacing w:after="0" w:line="290"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2"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9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87" w:lineRule="exact"/>
        <w:rPr>
          <w:sz w:val="20"/>
          <w:szCs w:val="20"/>
          <w:color w:val="auto"/>
        </w:rPr>
      </w:pPr>
    </w:p>
    <w:p>
      <w:pPr>
        <w:jc w:val="both"/>
        <w:ind w:right="560" w:firstLine="509"/>
        <w:spacing w:after="0" w:line="248"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8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4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3"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5" w:lineRule="exact"/>
        <w:rPr>
          <w:sz w:val="20"/>
          <w:szCs w:val="20"/>
          <w:color w:val="auto"/>
        </w:rPr>
      </w:pPr>
    </w:p>
    <w:p>
      <w:pPr>
        <w:ind w:right="220" w:firstLine="509"/>
        <w:spacing w:after="0" w:line="278"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6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0" w:name="page41"/>
    <w:bookmarkEnd w:id="40"/>
    <w:p>
      <w:pPr>
        <w:ind w:right="40" w:firstLine="509"/>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25"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6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3"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39" w:lineRule="exact"/>
        <w:rPr>
          <w:sz w:val="20"/>
          <w:szCs w:val="20"/>
          <w:color w:val="auto"/>
        </w:rPr>
      </w:pPr>
    </w:p>
    <w:p>
      <w:pPr>
        <w:ind w:right="320" w:firstLine="509"/>
        <w:spacing w:after="0" w:line="25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02" w:lineRule="exact"/>
        <w:rPr>
          <w:sz w:val="20"/>
          <w:szCs w:val="20"/>
          <w:color w:val="auto"/>
        </w:rPr>
      </w:pPr>
    </w:p>
    <w:p>
      <w:pPr>
        <w:ind w:right="20" w:firstLine="509"/>
        <w:spacing w:after="0" w:line="256" w:lineRule="auto"/>
        <w:rPr>
          <w:sz w:val="20"/>
          <w:szCs w:val="20"/>
          <w:color w:val="auto"/>
        </w:rPr>
      </w:pPr>
      <w:r>
        <w:rPr>
          <w:rFonts w:ascii="Arial" w:cs="Arial" w:eastAsia="Arial" w:hAnsi="Arial"/>
          <w:sz w:val="16"/>
          <w:szCs w:val="16"/>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second</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quarter of fiscal year 2022, the trading price of our common stock fluctuated from a low of $2.47 per share to a high of $4.55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13" w:lineRule="exact"/>
        <w:rPr>
          <w:sz w:val="20"/>
          <w:szCs w:val="20"/>
          <w:color w:val="auto"/>
        </w:rPr>
      </w:pPr>
    </w:p>
    <w:p>
      <w:pPr>
        <w:ind w:right="20" w:firstLine="509"/>
        <w:spacing w:after="0" w:line="256" w:lineRule="auto"/>
        <w:rPr>
          <w:sz w:val="20"/>
          <w:szCs w:val="20"/>
          <w:color w:val="auto"/>
        </w:rPr>
      </w:pPr>
      <w:r>
        <w:rPr>
          <w:rFonts w:ascii="Arial" w:cs="Arial" w:eastAsia="Arial" w:hAnsi="Arial"/>
          <w:sz w:val="16"/>
          <w:szCs w:val="16"/>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price at which stockholders have purchased their shares.</w:t>
      </w:r>
    </w:p>
    <w:p>
      <w:pPr>
        <w:spacing w:after="0" w:line="7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500" w:firstLine="509"/>
        <w:spacing w:after="0" w:line="258"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420"/>
        <w:spacing w:after="0" w:line="253" w:lineRule="auto"/>
        <w:rPr>
          <w:sz w:val="20"/>
          <w:szCs w:val="20"/>
          <w:color w:val="auto"/>
        </w:rPr>
      </w:pPr>
      <w:r>
        <w:rPr>
          <w:rFonts w:ascii="Arial" w:cs="Arial" w:eastAsia="Arial" w:hAnsi="Arial"/>
          <w:sz w:val="17"/>
          <w:szCs w:val="17"/>
          <w:color w:val="auto"/>
        </w:rPr>
        <w:t>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88"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86" w:lineRule="exact"/>
        <w:rPr>
          <w:sz w:val="20"/>
          <w:szCs w:val="20"/>
          <w:color w:val="auto"/>
        </w:rPr>
      </w:pPr>
    </w:p>
    <w:p>
      <w:pPr>
        <w:jc w:val="both"/>
        <w:ind w:right="540" w:firstLine="509"/>
        <w:spacing w:after="0" w:line="294"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39"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9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9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3"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0"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2" w:name="page43"/>
    <w:bookmarkEnd w:id="42"/>
    <w:p>
      <w:pPr>
        <w:ind w:firstLine="509"/>
        <w:spacing w:after="0" w:line="303"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6"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0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w w:val="91"/>
              </w:rPr>
              <w:t>Fourth Amendment to Loan and Security Agreement between Silicon Valley Bank and Iridex Corporation, executed on March 24, 2022.</w:t>
            </w: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Fifth Amendment to Loan and Security Agreement between Silicon Valley Bank and Iridex Corporation, executed on June 15, 2022.</w:t>
            </w:r>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Executive Officer pursuant to Securities Exchange Act Rules 13a-14(a) and 15d-14(a).</w:t>
            </w:r>
          </w:p>
        </w:tc>
        <w:tc>
          <w:tcPr>
            <w:tcW w:w="2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Act of 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Act of 2002.</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hanging="1114"/>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1" w:lineRule="exact"/>
        <w:rPr>
          <w:rFonts w:ascii="Arial" w:cs="Arial" w:eastAsia="Arial" w:hAnsi="Arial"/>
          <w:sz w:val="18"/>
          <w:szCs w:val="18"/>
          <w:color w:val="auto"/>
        </w:rPr>
      </w:pPr>
    </w:p>
    <w:p>
      <w:pPr>
        <w:ind w:right="120"/>
        <w:spacing w:after="0" w:line="249" w:lineRule="auto"/>
        <w:rPr>
          <w:rFonts w:ascii="Arial" w:cs="Arial" w:eastAsia="Arial" w:hAnsi="Arial"/>
          <w:sz w:val="18"/>
          <w:szCs w:val="18"/>
          <w:color w:val="auto"/>
        </w:rPr>
      </w:pPr>
      <w:r>
        <w:rPr>
          <w:rFonts w:ascii="Arial" w:cs="Arial" w:eastAsia="Arial" w:hAnsi="Arial"/>
          <w:sz w:val="18"/>
          <w:szCs w:val="18"/>
          <w:color w:val="auto"/>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08"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IRIDEX Corporation</w:t>
            </w:r>
          </w:p>
        </w:tc>
      </w:tr>
      <w:tr>
        <w:trPr>
          <w:trHeight w:val="567"/>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15, 2022</w:t>
            </w:r>
          </w:p>
        </w:tc>
        <w:tc>
          <w:tcPr>
            <w:tcW w:w="3160" w:type="dxa"/>
            <w:vAlign w:val="bottom"/>
          </w:tcPr>
          <w:p>
            <w:pPr>
              <w:ind w:left="2620"/>
              <w:spacing w:after="0"/>
              <w:rPr>
                <w:sz w:val="20"/>
                <w:szCs w:val="20"/>
                <w:color w:val="auto"/>
              </w:rPr>
            </w:pPr>
            <w:r>
              <w:rPr>
                <w:rFonts w:ascii="Arial" w:cs="Arial" w:eastAsia="Arial" w:hAnsi="Arial"/>
                <w:sz w:val="18"/>
                <w:szCs w:val="18"/>
                <w:color w:val="auto"/>
              </w:rPr>
              <w:t>By:</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 DAVID I. BRUCE</w:t>
            </w:r>
          </w:p>
        </w:tc>
      </w:tr>
      <w:tr>
        <w:trPr>
          <w:trHeight w:val="175"/>
        </w:trPr>
        <w:tc>
          <w:tcPr>
            <w:tcW w:w="3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24"/>
        </w:trPr>
        <w:tc>
          <w:tcPr>
            <w:tcW w:w="3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3840" w:type="dxa"/>
            <w:vAlign w:val="bottom"/>
          </w:tcPr>
          <w:p>
            <w:pPr>
              <w:ind w:left="140"/>
              <w:spacing w:after="0"/>
              <w:rPr>
                <w:sz w:val="20"/>
                <w:szCs w:val="20"/>
                <w:color w:val="auto"/>
              </w:rPr>
            </w:pPr>
            <w:r>
              <w:rPr>
                <w:rFonts w:ascii="Arial" w:cs="Arial" w:eastAsia="Arial" w:hAnsi="Arial"/>
                <w:sz w:val="18"/>
                <w:szCs w:val="18"/>
                <w:color w:val="auto"/>
              </w:rPr>
              <w:t>David I. Bruce</w:t>
            </w:r>
          </w:p>
        </w:tc>
      </w:tr>
      <w:tr>
        <w:trPr>
          <w:trHeight w:val="349"/>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15, 2022</w:t>
            </w:r>
          </w:p>
        </w:tc>
        <w:tc>
          <w:tcPr>
            <w:tcW w:w="3160" w:type="dxa"/>
            <w:vAlign w:val="bottom"/>
          </w:tcPr>
          <w:p>
            <w:pPr>
              <w:ind w:left="26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 FUAD AHMAD</w:t>
            </w:r>
          </w:p>
        </w:tc>
      </w:tr>
      <w:tr>
        <w:trPr>
          <w:trHeight w:val="175"/>
        </w:trPr>
        <w:tc>
          <w:tcPr>
            <w:tcW w:w="3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24"/>
        </w:trPr>
        <w:tc>
          <w:tcPr>
            <w:tcW w:w="3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20"/>
              <w:spacing w:after="0"/>
              <w:rPr>
                <w:sz w:val="20"/>
                <w:szCs w:val="20"/>
                <w:color w:val="auto"/>
              </w:rPr>
            </w:pPr>
            <w:r>
              <w:rPr>
                <w:rFonts w:ascii="Arial" w:cs="Arial" w:eastAsia="Arial" w:hAnsi="Arial"/>
                <w:sz w:val="18"/>
                <w:szCs w:val="18"/>
                <w:color w:val="auto"/>
              </w:rPr>
              <w:t>Fuad Ahmad</w:t>
            </w:r>
          </w:p>
        </w:tc>
      </w:tr>
      <w:tr>
        <w:trPr>
          <w:trHeight w:val="349"/>
        </w:trPr>
        <w:tc>
          <w:tcPr>
            <w:tcW w:w="3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1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634"/>
        </w:trPr>
        <w:tc>
          <w:tcPr>
            <w:tcW w:w="3600" w:type="dxa"/>
            <w:vAlign w:val="bottom"/>
          </w:tcPr>
          <w:p>
            <w:pPr>
              <w:spacing w:after="0"/>
              <w:rPr>
                <w:sz w:val="24"/>
                <w:szCs w:val="24"/>
                <w:color w:val="auto"/>
              </w:rPr>
            </w:pPr>
          </w:p>
        </w:tc>
        <w:tc>
          <w:tcPr>
            <w:tcW w:w="3160" w:type="dxa"/>
            <w:vAlign w:val="bottom"/>
          </w:tcPr>
          <w:p>
            <w:pPr>
              <w:jc w:val="right"/>
              <w:ind w:right="95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93"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b w:val="1"/>
          <w:bCs w:val="1"/>
          <w:color w:val="auto"/>
        </w:rPr>
        <w:t xml:space="preserve">THIS FOURTH AMENDMENT TO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24th day of March,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2022, by and between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xml:space="preserve">”), and </w:t>
      </w:r>
      <w:r>
        <w:rPr>
          <w:rFonts w:ascii="Arial" w:cs="Arial" w:eastAsia="Arial" w:hAnsi="Arial"/>
          <w:sz w:val="17"/>
          <w:szCs w:val="17"/>
          <w:b w:val="1"/>
          <w:bCs w:val="1"/>
          <w:color w:val="auto"/>
        </w:rPr>
        <w:t>IRIDEX CORPORATION</w:t>
      </w:r>
      <w:r>
        <w:rPr>
          <w:rFonts w:ascii="Arial" w:cs="Arial" w:eastAsia="Arial" w:hAnsi="Arial"/>
          <w:sz w:val="17"/>
          <w:szCs w:val="17"/>
          <w:color w:val="auto"/>
        </w:rPr>
        <w:t>, a Delaware corporation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43" w:lineRule="exact"/>
        <w:rPr>
          <w:sz w:val="20"/>
          <w:szCs w:val="20"/>
          <w:color w:val="auto"/>
        </w:rPr>
      </w:pPr>
    </w:p>
    <w:p>
      <w:pPr>
        <w:ind w:firstLine="757"/>
        <w:spacing w:after="0" w:line="239"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18"/>
          <w:szCs w:val="18"/>
          <w:color w:val="auto"/>
        </w:rPr>
        <w:t>Bank and Borrower have entered into that certain Loan and Security Agreement dated as of November 2, 2016 (as the same may from time to time be further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94" w:lineRule="exact"/>
        <w:rPr>
          <w:rFonts w:ascii="Arial" w:cs="Arial" w:eastAsia="Arial" w:hAnsi="Arial"/>
          <w:sz w:val="22"/>
          <w:szCs w:val="22"/>
          <w:color w:val="auto"/>
        </w:rPr>
      </w:pPr>
    </w:p>
    <w:p>
      <w:pPr>
        <w:ind w:left="1500" w:hanging="743"/>
        <w:spacing w:after="0"/>
        <w:tabs>
          <w:tab w:leader="none" w:pos="1500" w:val="left"/>
        </w:tabs>
        <w:numPr>
          <w:ilvl w:val="0"/>
          <w:numId w:val="33"/>
        </w:numPr>
        <w:rPr>
          <w:rFonts w:ascii="Arial" w:cs="Arial" w:eastAsia="Arial" w:hAnsi="Arial"/>
          <w:sz w:val="22"/>
          <w:szCs w:val="22"/>
          <w:color w:val="auto"/>
        </w:rPr>
      </w:pPr>
      <w:r>
        <w:rPr>
          <w:rFonts w:ascii="Arial" w:cs="Arial" w:eastAsia="Arial" w:hAnsi="Arial"/>
          <w:sz w:val="18"/>
          <w:szCs w:val="18"/>
          <w:color w:val="auto"/>
        </w:rPr>
        <w:t>Bank has extended credit to Borrower for the purposes permitted in the Loan Agreement.</w:t>
      </w:r>
    </w:p>
    <w:p>
      <w:pPr>
        <w:spacing w:after="0" w:line="228" w:lineRule="exact"/>
        <w:rPr>
          <w:rFonts w:ascii="Arial" w:cs="Arial" w:eastAsia="Arial" w:hAnsi="Arial"/>
          <w:sz w:val="22"/>
          <w:szCs w:val="22"/>
          <w:color w:val="auto"/>
        </w:rPr>
      </w:pPr>
    </w:p>
    <w:p>
      <w:pPr>
        <w:ind w:firstLine="757"/>
        <w:spacing w:after="0" w:line="239"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18"/>
          <w:szCs w:val="18"/>
          <w:color w:val="auto"/>
        </w:rPr>
        <w:t>Borrower has requested that Bank amend the Loan Agreement to (i) extend the Revolving Line Maturity Date, and (ii) make certain other revisions to the Loan Agreement as more fully set forth herein.</w:t>
      </w:r>
    </w:p>
    <w:p>
      <w:pPr>
        <w:spacing w:after="0" w:line="216" w:lineRule="exact"/>
        <w:rPr>
          <w:rFonts w:ascii="Arial" w:cs="Arial" w:eastAsia="Arial" w:hAnsi="Arial"/>
          <w:sz w:val="22"/>
          <w:szCs w:val="22"/>
          <w:color w:val="auto"/>
        </w:rPr>
      </w:pPr>
    </w:p>
    <w:p>
      <w:pPr>
        <w:ind w:firstLine="757"/>
        <w:spacing w:after="0" w:line="232"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12" w:lineRule="exact"/>
        <w:rPr>
          <w:sz w:val="20"/>
          <w:szCs w:val="20"/>
          <w:color w:val="auto"/>
        </w:rPr>
      </w:pPr>
    </w:p>
    <w:p>
      <w:pPr>
        <w:ind w:right="20" w:firstLine="749"/>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203" w:lineRule="exact"/>
        <w:rPr>
          <w:sz w:val="20"/>
          <w:szCs w:val="20"/>
          <w:color w:val="auto"/>
        </w:rPr>
      </w:pPr>
    </w:p>
    <w:p>
      <w:pPr>
        <w:ind w:left="1500" w:hanging="743"/>
        <w:spacing w:after="0"/>
        <w:tabs>
          <w:tab w:leader="none" w:pos="1500" w:val="left"/>
        </w:tabs>
        <w:numPr>
          <w:ilvl w:val="0"/>
          <w:numId w:val="3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Loan Agreement.</w:t>
      </w:r>
    </w:p>
    <w:p>
      <w:pPr>
        <w:spacing w:after="0" w:line="221" w:lineRule="exact"/>
        <w:rPr>
          <w:rFonts w:ascii="Arial" w:cs="Arial" w:eastAsia="Arial" w:hAnsi="Arial"/>
          <w:sz w:val="19"/>
          <w:szCs w:val="19"/>
          <w:b w:val="1"/>
          <w:bCs w:val="1"/>
          <w:color w:val="auto"/>
        </w:rPr>
      </w:pPr>
    </w:p>
    <w:p>
      <w:pPr>
        <w:ind w:left="1500" w:hanging="743"/>
        <w:spacing w:after="0"/>
        <w:tabs>
          <w:tab w:leader="none" w:pos="1500"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Amendments to Loan Agreement.</w:t>
      </w:r>
    </w:p>
    <w:p>
      <w:pPr>
        <w:spacing w:after="0" w:line="189" w:lineRule="exact"/>
        <w:rPr>
          <w:sz w:val="20"/>
          <w:szCs w:val="20"/>
          <w:color w:val="auto"/>
        </w:rPr>
      </w:pPr>
    </w:p>
    <w:p>
      <w:pPr>
        <w:ind w:firstLine="1497"/>
        <w:spacing w:after="0" w:line="303"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17"/>
          <w:szCs w:val="17"/>
          <w:b w:val="1"/>
          <w:bCs w:val="1"/>
          <w:color w:val="auto"/>
        </w:rPr>
        <w:t>Section 2.3 (Cash Management Services Sublimit)</w:t>
      </w:r>
      <w:r>
        <w:rPr>
          <w:rFonts w:ascii="Arial" w:cs="Arial" w:eastAsia="Arial" w:hAnsi="Arial"/>
          <w:sz w:val="17"/>
          <w:szCs w:val="17"/>
          <w:color w:val="auto"/>
        </w:rPr>
        <w:t>. Section 2.3 of the Loan Agreement is hereby deleted in its</w:t>
      </w:r>
      <w:r>
        <w:rPr>
          <w:rFonts w:ascii="Arial" w:cs="Arial" w:eastAsia="Arial" w:hAnsi="Arial"/>
          <w:sz w:val="22"/>
          <w:szCs w:val="22"/>
          <w:b w:val="1"/>
          <w:bCs w:val="1"/>
          <w:color w:val="auto"/>
        </w:rPr>
        <w:t xml:space="preserve"> </w:t>
      </w:r>
      <w:r>
        <w:rPr>
          <w:rFonts w:ascii="Arial" w:cs="Arial" w:eastAsia="Arial" w:hAnsi="Arial"/>
          <w:sz w:val="17"/>
          <w:szCs w:val="17"/>
          <w:color w:val="auto"/>
        </w:rPr>
        <w:t>entirety and replaced with the following:</w:t>
      </w:r>
    </w:p>
    <w:p>
      <w:pPr>
        <w:spacing w:after="0" w:line="118" w:lineRule="exact"/>
        <w:rPr>
          <w:sz w:val="20"/>
          <w:szCs w:val="20"/>
          <w:color w:val="auto"/>
        </w:rPr>
      </w:pPr>
    </w:p>
    <w:p>
      <w:pPr>
        <w:jc w:val="both"/>
        <w:ind w:left="760" w:firstLine="1136"/>
        <w:spacing w:after="0" w:line="246" w:lineRule="auto"/>
        <w:rPr>
          <w:sz w:val="20"/>
          <w:szCs w:val="20"/>
          <w:color w:val="auto"/>
        </w:rPr>
      </w:pPr>
      <w:r>
        <w:rPr>
          <w:rFonts w:ascii="Arial" w:cs="Arial" w:eastAsia="Arial" w:hAnsi="Arial"/>
          <w:sz w:val="18"/>
          <w:szCs w:val="18"/>
          <w:b w:val="1"/>
          <w:bCs w:val="1"/>
          <w:color w:val="auto"/>
        </w:rPr>
        <w:t>2.3 Cash Management Services Sublimit</w:t>
      </w:r>
      <w:r>
        <w:rPr>
          <w:rFonts w:ascii="Arial" w:cs="Arial" w:eastAsia="Arial" w:hAnsi="Arial"/>
          <w:sz w:val="18"/>
          <w:szCs w:val="18"/>
          <w:color w:val="auto"/>
        </w:rPr>
        <w:t>. Borrower may use up to Two Hundred Thousand Dollars ($200,000)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 for Bank’s cash management services which may include merchant services, direct deposit of payroll, business credit card, and check cashing services identified in Bank’s various cash management services agreements (collectively, the “</w:t>
      </w:r>
      <w:r>
        <w:rPr>
          <w:rFonts w:ascii="Arial" w:cs="Arial" w:eastAsia="Arial" w:hAnsi="Arial"/>
          <w:sz w:val="18"/>
          <w:szCs w:val="18"/>
          <w:b w:val="1"/>
          <w:bCs w:val="1"/>
          <w:color w:val="auto"/>
        </w:rPr>
        <w:t>Cash Management Services</w:t>
      </w:r>
      <w:r>
        <w:rPr>
          <w:rFonts w:ascii="Arial" w:cs="Arial" w:eastAsia="Arial" w:hAnsi="Arial"/>
          <w:sz w:val="18"/>
          <w:szCs w:val="18"/>
          <w:color w:val="auto"/>
        </w:rPr>
        <w:t>”). Any amounts Bank pays on behalf of Borrower for any Cash Management Services will be treated as Advances under the Revolving Line and will accrue interest at the interest rate applicable to Advances.</w:t>
      </w:r>
    </w:p>
    <w:p>
      <w:pPr>
        <w:spacing w:after="0" w:line="18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7"/>
          <w:szCs w:val="17"/>
          <w:b w:val="1"/>
          <w:bCs w:val="1"/>
          <w:color w:val="auto"/>
        </w:rPr>
        <w:t>Section 13 (Definitions)</w:t>
      </w:r>
      <w:r>
        <w:rPr>
          <w:rFonts w:ascii="Arial" w:cs="Arial" w:eastAsia="Arial" w:hAnsi="Arial"/>
          <w:sz w:val="17"/>
          <w:szCs w:val="17"/>
          <w:color w:val="auto"/>
        </w:rPr>
        <w:t>. The definition of “</w:t>
      </w:r>
      <w:r>
        <w:rPr>
          <w:rFonts w:ascii="Arial" w:cs="Arial" w:eastAsia="Arial" w:hAnsi="Arial"/>
          <w:sz w:val="17"/>
          <w:szCs w:val="17"/>
          <w:b w:val="1"/>
          <w:bCs w:val="1"/>
          <w:color w:val="auto"/>
        </w:rPr>
        <w:t>Revolving Line Maturity Date</w:t>
      </w:r>
      <w:r>
        <w:rPr>
          <w:rFonts w:ascii="Arial" w:cs="Arial" w:eastAsia="Arial" w:hAnsi="Arial"/>
          <w:sz w:val="17"/>
          <w:szCs w:val="17"/>
          <w:color w:val="auto"/>
        </w:rPr>
        <w:t>” as set forth in Section 13.1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Loan Agreement is hereby deleted in its entirety and replaced with the following:</w:t>
      </w:r>
    </w:p>
    <w:p>
      <w:pPr>
        <w:spacing w:after="0" w:line="19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May 31,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ind w:left="1500" w:hanging="743"/>
        <w:spacing w:after="0"/>
        <w:tabs>
          <w:tab w:leader="none" w:pos="150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Limitation of Amendments.</w:t>
      </w:r>
    </w:p>
    <w:p>
      <w:pPr>
        <w:spacing w:after="0" w:line="202"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17"/>
          <w:szCs w:val="17"/>
          <w:color w:val="auto"/>
        </w:rPr>
        <w:t>The amendments set forth in Section 2, above, are effective for the purposes set forth herein and shall be limited</w:t>
      </w:r>
      <w:r>
        <w:rPr>
          <w:rFonts w:ascii="Arial" w:cs="Arial" w:eastAsia="Arial" w:hAnsi="Arial"/>
          <w:sz w:val="22"/>
          <w:szCs w:val="22"/>
          <w:b w:val="1"/>
          <w:bCs w:val="1"/>
          <w:color w:val="auto"/>
        </w:rPr>
        <w:t xml:space="preserve"> </w:t>
      </w:r>
      <w:r>
        <w:rPr>
          <w:rFonts w:ascii="Arial" w:cs="Arial" w:eastAsia="Arial" w:hAnsi="Arial"/>
          <w:sz w:val="17"/>
          <w:szCs w:val="17"/>
          <w:color w:val="auto"/>
        </w:rPr>
        <w:t>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7"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17"/>
          <w:szCs w:val="17"/>
          <w:color w:val="auto"/>
        </w:rPr>
        <w:t>This Amendment shall be construed in connection with and as part of the Loan Documents and all terms,</w:t>
      </w:r>
      <w:r>
        <w:rPr>
          <w:rFonts w:ascii="Arial" w:cs="Arial" w:eastAsia="Arial" w:hAnsi="Arial"/>
          <w:sz w:val="22"/>
          <w:szCs w:val="22"/>
          <w:b w:val="1"/>
          <w:bCs w:val="1"/>
          <w:color w:val="auto"/>
        </w:rPr>
        <w:t xml:space="preserve"> </w:t>
      </w:r>
      <w:r>
        <w:rPr>
          <w:rFonts w:ascii="Arial" w:cs="Arial" w:eastAsia="Arial" w:hAnsi="Arial"/>
          <w:sz w:val="17"/>
          <w:szCs w:val="17"/>
          <w:color w:val="auto"/>
        </w:rPr>
        <w:t>conditions, representations, warranties, covenants and agreements set forth in the Loan Documents, except as herein amended, are hereby ratified and confirmed and shall remain in full force and effect.</w:t>
      </w:r>
    </w:p>
    <w:p>
      <w:pPr>
        <w:spacing w:after="0" w:line="187" w:lineRule="exact"/>
        <w:rPr>
          <w:sz w:val="20"/>
          <w:szCs w:val="20"/>
          <w:color w:val="auto"/>
        </w:rPr>
      </w:pPr>
    </w:p>
    <w:p>
      <w:pPr>
        <w:ind w:left="1500" w:hanging="743"/>
        <w:spacing w:after="0"/>
        <w:tabs>
          <w:tab w:leader="none" w:pos="1500" w:val="left"/>
        </w:tabs>
        <w:numPr>
          <w:ilvl w:val="0"/>
          <w:numId w:val="36"/>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w:t>
      </w:r>
    </w:p>
    <w:p>
      <w:pPr>
        <w:spacing w:after="0" w:line="1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as follows:</w:t>
      </w:r>
    </w:p>
    <w:p>
      <w:pPr>
        <w:spacing w:after="0" w:line="196"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17"/>
          <w:szCs w:val="17"/>
          <w:color w:val="auto"/>
        </w:rPr>
        <w:t>Immediately after giving effect to this Amendment (a) the representations and warranties contained in the Loan</w:t>
      </w:r>
      <w:r>
        <w:rPr>
          <w:rFonts w:ascii="Arial" w:cs="Arial" w:eastAsia="Arial" w:hAnsi="Arial"/>
          <w:sz w:val="22"/>
          <w:szCs w:val="22"/>
          <w:b w:val="1"/>
          <w:bCs w:val="1"/>
          <w:color w:val="auto"/>
        </w:rPr>
        <w:t xml:space="preserve"> </w:t>
      </w:r>
      <w:r>
        <w:rPr>
          <w:rFonts w:ascii="Arial" w:cs="Arial" w:eastAsia="Arial" w:hAnsi="Arial"/>
          <w:sz w:val="17"/>
          <w:szCs w:val="17"/>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9"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17"/>
          <w:szCs w:val="17"/>
          <w:color w:val="auto"/>
        </w:rPr>
        <w:t>Borrower has the power and authority to execute and deliver this Amendment and to perform its obligations under</w:t>
      </w:r>
      <w:r>
        <w:rPr>
          <w:rFonts w:ascii="Arial" w:cs="Arial" w:eastAsia="Arial" w:hAnsi="Arial"/>
          <w:sz w:val="22"/>
          <w:szCs w:val="22"/>
          <w:b w:val="1"/>
          <w:bCs w:val="1"/>
          <w:color w:val="auto"/>
        </w:rPr>
        <w:t xml:space="preserve"> </w:t>
      </w:r>
      <w:r>
        <w:rPr>
          <w:rFonts w:ascii="Arial" w:cs="Arial" w:eastAsia="Arial" w:hAnsi="Arial"/>
          <w:sz w:val="17"/>
          <w:szCs w:val="17"/>
          <w:color w:val="auto"/>
        </w:rPr>
        <w:t>the Loan Agreement, as amended by this Amendment;</w:t>
      </w:r>
    </w:p>
    <w:p>
      <w:pPr>
        <w:spacing w:after="0" w:line="127"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17"/>
          <w:szCs w:val="17"/>
          <w:color w:val="auto"/>
        </w:rPr>
        <w:t>The organizational documents of Borrower delivered to Bank on the Effective Date remain true, accurate and</w:t>
      </w:r>
      <w:r>
        <w:rPr>
          <w:rFonts w:ascii="Arial" w:cs="Arial" w:eastAsia="Arial" w:hAnsi="Arial"/>
          <w:sz w:val="22"/>
          <w:szCs w:val="22"/>
          <w:b w:val="1"/>
          <w:bCs w:val="1"/>
          <w:color w:val="auto"/>
        </w:rPr>
        <w:t xml:space="preserve"> </w:t>
      </w:r>
      <w:r>
        <w:rPr>
          <w:rFonts w:ascii="Arial" w:cs="Arial" w:eastAsia="Arial" w:hAnsi="Arial"/>
          <w:sz w:val="17"/>
          <w:szCs w:val="17"/>
          <w:color w:val="auto"/>
        </w:rPr>
        <w:t>complete and have not been amended, supplemented or restated and are and continue to be in full force and effect;</w:t>
      </w:r>
    </w:p>
    <w:p>
      <w:pPr>
        <w:spacing w:after="0" w:line="109"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17"/>
          <w:szCs w:val="17"/>
          <w:color w:val="auto"/>
        </w:rPr>
        <w:t>The execution and delivery by Borrower of this Amendment and the performance by Borrower of its obligations</w:t>
      </w:r>
      <w:r>
        <w:rPr>
          <w:rFonts w:ascii="Arial" w:cs="Arial" w:eastAsia="Arial" w:hAnsi="Arial"/>
          <w:sz w:val="22"/>
          <w:szCs w:val="22"/>
          <w:b w:val="1"/>
          <w:bCs w:val="1"/>
          <w:color w:val="auto"/>
        </w:rPr>
        <w:t xml:space="preserve"> </w:t>
      </w:r>
      <w:r>
        <w:rPr>
          <w:rFonts w:ascii="Arial" w:cs="Arial" w:eastAsia="Arial" w:hAnsi="Arial"/>
          <w:sz w:val="17"/>
          <w:szCs w:val="17"/>
          <w:color w:val="auto"/>
        </w:rPr>
        <w:t>under the Loan Agreement, as amended by this Amendment, have been duly authorized;</w:t>
      </w:r>
    </w:p>
    <w:p>
      <w:pPr>
        <w:spacing w:after="0" w:line="109"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17"/>
          <w:szCs w:val="17"/>
          <w:color w:val="auto"/>
        </w:rPr>
        <w:t>The execution and delivery by Borrower of this Amendment and the performance by Borrower of its obligations</w:t>
      </w:r>
      <w:r>
        <w:rPr>
          <w:rFonts w:ascii="Arial" w:cs="Arial" w:eastAsia="Arial" w:hAnsi="Arial"/>
          <w:sz w:val="22"/>
          <w:szCs w:val="22"/>
          <w:b w:val="1"/>
          <w:bCs w:val="1"/>
          <w:color w:val="auto"/>
        </w:rPr>
        <w:t xml:space="preserve"> </w:t>
      </w:r>
      <w:r>
        <w:rPr>
          <w:rFonts w:ascii="Arial" w:cs="Arial" w:eastAsia="Arial" w:hAnsi="Arial"/>
          <w:sz w:val="17"/>
          <w:szCs w:val="17"/>
          <w:color w:val="auto"/>
        </w:rPr>
        <w:t>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5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6"/>
          <w:szCs w:val="16"/>
          <w:color w:val="auto"/>
        </w:rPr>
        <w:t>The execution and delivery by Borrower of this Amendment and the performance by Borrower of its obligations</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7" w:lineRule="exact"/>
        <w:rPr>
          <w:sz w:val="20"/>
          <w:szCs w:val="20"/>
          <w:color w:val="auto"/>
        </w:rPr>
      </w:pPr>
    </w:p>
    <w:p>
      <w:pPr>
        <w:jc w:val="both"/>
        <w:ind w:right="20" w:firstLine="1497"/>
        <w:spacing w:after="0" w:line="264"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17"/>
          <w:szCs w:val="17"/>
          <w:color w:val="auto"/>
        </w:rPr>
        <w:t>This Amendment has been duly executed and delivered by Borrower and is the binding obligation of Borrower,</w:t>
      </w:r>
      <w:r>
        <w:rPr>
          <w:rFonts w:ascii="Arial" w:cs="Arial" w:eastAsia="Arial" w:hAnsi="Arial"/>
          <w:sz w:val="22"/>
          <w:szCs w:val="22"/>
          <w:b w:val="1"/>
          <w:bCs w:val="1"/>
          <w:color w:val="auto"/>
        </w:rPr>
        <w:t xml:space="preserve"> </w:t>
      </w:r>
      <w:r>
        <w:rPr>
          <w:rFonts w:ascii="Arial" w:cs="Arial" w:eastAsia="Arial" w:hAnsi="Arial"/>
          <w:sz w:val="17"/>
          <w:szCs w:val="17"/>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5" w:lineRule="exact"/>
        <w:rPr>
          <w:sz w:val="20"/>
          <w:szCs w:val="20"/>
          <w:color w:val="auto"/>
        </w:rPr>
      </w:pPr>
    </w:p>
    <w:p>
      <w:pPr>
        <w:jc w:val="both"/>
        <w:ind w:firstLine="757"/>
        <w:spacing w:after="0" w:line="234" w:lineRule="auto"/>
        <w:tabs>
          <w:tab w:leader="none" w:pos="1498" w:val="left"/>
        </w:tabs>
        <w:numPr>
          <w:ilvl w:val="0"/>
          <w:numId w:val="37"/>
        </w:numPr>
        <w:rPr>
          <w:rFonts w:ascii="Arial" w:cs="Arial" w:eastAsia="Arial" w:hAnsi="Arial"/>
          <w:sz w:val="22"/>
          <w:szCs w:val="22"/>
          <w:b w:val="1"/>
          <w:bCs w:val="1"/>
          <w:color w:val="auto"/>
        </w:rPr>
      </w:pPr>
      <w:r>
        <w:rPr>
          <w:rFonts w:ascii="Arial" w:cs="Arial" w:eastAsia="Arial" w:hAnsi="Arial"/>
          <w:sz w:val="18"/>
          <w:szCs w:val="18"/>
          <w:b w:val="1"/>
          <w:bCs w:val="1"/>
          <w:color w:val="auto"/>
        </w:rPr>
        <w:t>Ratification of Perfection Certificate</w:t>
      </w:r>
      <w:r>
        <w:rPr>
          <w:rFonts w:ascii="Arial" w:cs="Arial" w:eastAsia="Arial" w:hAnsi="Arial"/>
          <w:sz w:val="18"/>
          <w:szCs w:val="18"/>
          <w:color w:val="auto"/>
        </w:rPr>
        <w:t>. Borrower hereby ratifies, confirms and reaffirms, all and singular, the terms and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a certain Perfection Certificate dated as of the Effective Date, and acknowledges, confirms and agrees that the disclosures and information Borrower provided to Bank in such Perfection Certificate have not changed, as of the date hereof.</w:t>
      </w:r>
    </w:p>
    <w:p>
      <w:pPr>
        <w:spacing w:after="0" w:line="227" w:lineRule="exact"/>
        <w:rPr>
          <w:rFonts w:ascii="Arial" w:cs="Arial" w:eastAsia="Arial" w:hAnsi="Arial"/>
          <w:sz w:val="22"/>
          <w:szCs w:val="22"/>
          <w:b w:val="1"/>
          <w:bCs w:val="1"/>
          <w:color w:val="auto"/>
        </w:rPr>
      </w:pPr>
    </w:p>
    <w:p>
      <w:pPr>
        <w:ind w:right="20" w:firstLine="757"/>
        <w:spacing w:after="0" w:line="234" w:lineRule="auto"/>
        <w:tabs>
          <w:tab w:leader="none" w:pos="1498" w:val="left"/>
        </w:tabs>
        <w:numPr>
          <w:ilvl w:val="0"/>
          <w:numId w:val="37"/>
        </w:numPr>
        <w:rPr>
          <w:rFonts w:ascii="Arial" w:cs="Arial" w:eastAsia="Arial" w:hAnsi="Arial"/>
          <w:sz w:val="22"/>
          <w:szCs w:val="22"/>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warranties, and negotiations between the parties about the subject matter of this Amendment and the Loan Documents merge into this Amendment and the Loan Documents.</w:t>
      </w:r>
    </w:p>
    <w:p>
      <w:pPr>
        <w:spacing w:after="0" w:line="180" w:lineRule="exact"/>
        <w:rPr>
          <w:sz w:val="20"/>
          <w:szCs w:val="20"/>
          <w:color w:val="auto"/>
        </w:rPr>
      </w:pPr>
    </w:p>
    <w:p>
      <w:pPr>
        <w:ind w:firstLine="757"/>
        <w:spacing w:after="0" w:line="234" w:lineRule="auto"/>
        <w:tabs>
          <w:tab w:leader="none" w:pos="1498"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pacing w:after="0" w:line="226" w:lineRule="exact"/>
        <w:rPr>
          <w:rFonts w:ascii="Arial" w:cs="Arial" w:eastAsia="Arial" w:hAnsi="Arial"/>
          <w:sz w:val="22"/>
          <w:szCs w:val="22"/>
          <w:b w:val="1"/>
          <w:bCs w:val="1"/>
          <w:color w:val="auto"/>
        </w:rPr>
      </w:pPr>
    </w:p>
    <w:p>
      <w:pPr>
        <w:jc w:val="both"/>
        <w:ind w:firstLine="757"/>
        <w:spacing w:after="0" w:line="238" w:lineRule="auto"/>
        <w:tabs>
          <w:tab w:leader="none" w:pos="1498"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 Amendment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and (b) Borrower’s payment of (i) a pro-rated, fully-earned, non-refundable commitment fee in an amount equal to Three Thousand Three Hundred Thirty-Three Dollars and Thirty-Three Cents ($3,333.33), and (ii) Bank’s legal fees and expenses incurred in connection with the negotiation and preparation of this Amendment.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ind w:firstLine="749"/>
        <w:spacing w:after="0" w:line="269"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SILICON VALLEY BANK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80" w:type="dxa"/>
            <w:vAlign w:val="bottom"/>
          </w:tcPr>
          <w:p>
            <w:pPr>
              <w:ind w:left="12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Mark Davis</w:t>
            </w:r>
          </w:p>
        </w:tc>
        <w:tc>
          <w:tcPr>
            <w:tcW w:w="59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4200" w:type="dxa"/>
            <w:vAlign w:val="bottom"/>
          </w:tcPr>
          <w:p>
            <w:pPr>
              <w:ind w:left="100"/>
              <w:spacing w:after="0" w:line="230" w:lineRule="exact"/>
              <w:rPr>
                <w:sz w:val="20"/>
                <w:szCs w:val="20"/>
                <w:color w:val="auto"/>
              </w:rPr>
            </w:pPr>
            <w:r>
              <w:rPr>
                <w:rFonts w:ascii="Arial" w:cs="Arial" w:eastAsia="Arial" w:hAnsi="Arial"/>
                <w:sz w:val="22"/>
                <w:szCs w:val="22"/>
                <w:color w:val="auto"/>
              </w:rPr>
              <w:t>Mark Davis</w:t>
            </w:r>
          </w:p>
        </w:tc>
        <w:tc>
          <w:tcPr>
            <w:tcW w:w="5960" w:type="dxa"/>
            <w:vAlign w:val="bottom"/>
          </w:tcPr>
          <w:p>
            <w:pPr>
              <w:spacing w:after="0"/>
              <w:rPr>
                <w:sz w:val="20"/>
                <w:szCs w:val="20"/>
                <w:color w:val="auto"/>
              </w:rPr>
            </w:pPr>
          </w:p>
        </w:tc>
      </w:tr>
      <w:tr>
        <w:trPr>
          <w:trHeight w:val="274"/>
        </w:trPr>
        <w:tc>
          <w:tcPr>
            <w:tcW w:w="1080" w:type="dxa"/>
            <w:vAlign w:val="bottom"/>
          </w:tcPr>
          <w:p>
            <w:pPr>
              <w:spacing w:after="0"/>
              <w:rPr>
                <w:sz w:val="23"/>
                <w:szCs w:val="23"/>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5960" w:type="dxa"/>
            <w:vAlign w:val="bottom"/>
          </w:tcPr>
          <w:p>
            <w:pPr>
              <w:spacing w:after="0"/>
              <w:rPr>
                <w:sz w:val="23"/>
                <w:szCs w:val="23"/>
                <w:color w:val="auto"/>
              </w:rPr>
            </w:pPr>
          </w:p>
        </w:tc>
      </w:tr>
      <w:tr>
        <w:trPr>
          <w:trHeight w:val="459"/>
        </w:trPr>
        <w:tc>
          <w:tcPr>
            <w:tcW w:w="5280" w:type="dxa"/>
            <w:vAlign w:val="bottom"/>
            <w:gridSpan w:val="2"/>
          </w:tcPr>
          <w:p>
            <w:pPr>
              <w:ind w:left="120"/>
              <w:spacing w:after="0"/>
              <w:rPr>
                <w:sz w:val="20"/>
                <w:szCs w:val="20"/>
                <w:color w:val="auto"/>
              </w:rPr>
            </w:pPr>
            <w:r>
              <w:rPr>
                <w:rFonts w:ascii="Arial" w:cs="Arial" w:eastAsia="Arial" w:hAnsi="Arial"/>
                <w:sz w:val="22"/>
                <w:szCs w:val="22"/>
                <w:b w:val="1"/>
                <w:bCs w:val="1"/>
                <w:color w:val="auto"/>
              </w:rPr>
              <w:t>BORROWER:</w:t>
            </w:r>
          </w:p>
        </w:tc>
        <w:tc>
          <w:tcPr>
            <w:tcW w:w="5960" w:type="dxa"/>
            <w:vAlign w:val="bottom"/>
          </w:tcPr>
          <w:p>
            <w:pPr>
              <w:spacing w:after="0"/>
              <w:rPr>
                <w:sz w:val="24"/>
                <w:szCs w:val="24"/>
                <w:color w:val="auto"/>
              </w:rPr>
            </w:pPr>
          </w:p>
        </w:tc>
      </w:tr>
      <w:tr>
        <w:trPr>
          <w:trHeight w:val="459"/>
        </w:trPr>
        <w:tc>
          <w:tcPr>
            <w:tcW w:w="5280" w:type="dxa"/>
            <w:vAlign w:val="bottom"/>
            <w:gridSpan w:val="2"/>
          </w:tcPr>
          <w:p>
            <w:pPr>
              <w:ind w:left="120"/>
              <w:spacing w:after="0"/>
              <w:rPr>
                <w:sz w:val="20"/>
                <w:szCs w:val="20"/>
                <w:color w:val="auto"/>
              </w:rPr>
            </w:pPr>
            <w:r>
              <w:rPr>
                <w:rFonts w:ascii="Arial" w:cs="Arial" w:eastAsia="Arial" w:hAnsi="Arial"/>
                <w:sz w:val="22"/>
                <w:szCs w:val="22"/>
                <w:color w:val="auto"/>
              </w:rPr>
              <w:t>IRIDEX CORPORATION</w:t>
            </w:r>
          </w:p>
        </w:tc>
        <w:tc>
          <w:tcPr>
            <w:tcW w:w="5960" w:type="dxa"/>
            <w:vAlign w:val="bottom"/>
          </w:tcPr>
          <w:p>
            <w:pPr>
              <w:spacing w:after="0"/>
              <w:rPr>
                <w:sz w:val="24"/>
                <w:szCs w:val="24"/>
                <w:color w:val="auto"/>
              </w:rPr>
            </w:pPr>
          </w:p>
        </w:tc>
      </w:tr>
      <w:tr>
        <w:trPr>
          <w:trHeight w:val="474"/>
        </w:trPr>
        <w:tc>
          <w:tcPr>
            <w:tcW w:w="1080" w:type="dxa"/>
            <w:vAlign w:val="bottom"/>
          </w:tcPr>
          <w:p>
            <w:pPr>
              <w:ind w:left="12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David I. Bruce</w:t>
            </w:r>
          </w:p>
        </w:tc>
        <w:tc>
          <w:tcPr>
            <w:tcW w:w="59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4200" w:type="dxa"/>
            <w:vAlign w:val="bottom"/>
          </w:tcPr>
          <w:p>
            <w:pPr>
              <w:ind w:left="100"/>
              <w:spacing w:after="0" w:line="230" w:lineRule="exact"/>
              <w:rPr>
                <w:sz w:val="20"/>
                <w:szCs w:val="20"/>
                <w:color w:val="auto"/>
              </w:rPr>
            </w:pPr>
            <w:r>
              <w:rPr>
                <w:rFonts w:ascii="Arial" w:cs="Arial" w:eastAsia="Arial" w:hAnsi="Arial"/>
                <w:sz w:val="22"/>
                <w:szCs w:val="22"/>
                <w:color w:val="auto"/>
              </w:rPr>
              <w:t>David I. Bruce</w:t>
            </w:r>
          </w:p>
        </w:tc>
        <w:tc>
          <w:tcPr>
            <w:tcW w:w="5960" w:type="dxa"/>
            <w:vAlign w:val="bottom"/>
          </w:tcPr>
          <w:p>
            <w:pPr>
              <w:spacing w:after="0"/>
              <w:rPr>
                <w:sz w:val="20"/>
                <w:szCs w:val="20"/>
                <w:color w:val="auto"/>
              </w:rPr>
            </w:pPr>
          </w:p>
        </w:tc>
      </w:tr>
      <w:tr>
        <w:trPr>
          <w:trHeight w:val="274"/>
        </w:trPr>
        <w:tc>
          <w:tcPr>
            <w:tcW w:w="1080" w:type="dxa"/>
            <w:vAlign w:val="bottom"/>
          </w:tcPr>
          <w:p>
            <w:pPr>
              <w:spacing w:after="0"/>
              <w:rPr>
                <w:sz w:val="23"/>
                <w:szCs w:val="23"/>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President &amp; CEO</w:t>
            </w:r>
          </w:p>
        </w:tc>
        <w:tc>
          <w:tcPr>
            <w:tcW w:w="5960" w:type="dxa"/>
            <w:vAlign w:val="bottom"/>
          </w:tcPr>
          <w:p>
            <w:pPr>
              <w:spacing w:after="0"/>
              <w:rPr>
                <w:sz w:val="23"/>
                <w:szCs w:val="23"/>
                <w:color w:val="auto"/>
              </w:rPr>
            </w:pPr>
          </w:p>
        </w:tc>
      </w:tr>
      <w:tr>
        <w:trPr>
          <w:trHeight w:val="1144"/>
        </w:trPr>
        <w:tc>
          <w:tcPr>
            <w:tcW w:w="10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10.2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jc w:val="center"/>
        <w:ind w:right="60"/>
        <w:spacing w:after="0" w:line="230"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9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b w:val="1"/>
          <w:bCs w:val="1"/>
          <w:color w:val="auto"/>
        </w:rPr>
        <w:t xml:space="preserve">THIS FIFTH AMENDMENT TO LOAN AND SECURITY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15th day of June, 2022, by and between </w:t>
      </w:r>
      <w:r>
        <w:rPr>
          <w:rFonts w:ascii="Arial" w:cs="Arial" w:eastAsia="Arial" w:hAnsi="Arial"/>
          <w:sz w:val="22"/>
          <w:szCs w:val="22"/>
          <w:b w:val="1"/>
          <w:bCs w:val="1"/>
          <w:color w:val="auto"/>
        </w:rPr>
        <w:t>SILICON VALLEY BANK</w:t>
      </w:r>
      <w:r>
        <w:rPr>
          <w:rFonts w:ascii="Arial" w:cs="Arial" w:eastAsia="Arial" w:hAnsi="Arial"/>
          <w:sz w:val="22"/>
          <w:szCs w:val="22"/>
          <w:color w:val="auto"/>
        </w:rPr>
        <w:t>, a California corporation (“</w:t>
      </w:r>
      <w:r>
        <w:rPr>
          <w:rFonts w:ascii="Arial" w:cs="Arial" w:eastAsia="Arial" w:hAnsi="Arial"/>
          <w:sz w:val="22"/>
          <w:szCs w:val="22"/>
          <w:b w:val="1"/>
          <w:bCs w:val="1"/>
          <w:color w:val="auto"/>
        </w:rPr>
        <w:t>Bank</w:t>
      </w:r>
      <w:r>
        <w:rPr>
          <w:rFonts w:ascii="Arial" w:cs="Arial" w:eastAsia="Arial" w:hAnsi="Arial"/>
          <w:sz w:val="22"/>
          <w:szCs w:val="22"/>
          <w:color w:val="auto"/>
        </w:rPr>
        <w:t xml:space="preserve">”), and </w:t>
      </w:r>
      <w:r>
        <w:rPr>
          <w:rFonts w:ascii="Arial" w:cs="Arial" w:eastAsia="Arial" w:hAnsi="Arial"/>
          <w:sz w:val="22"/>
          <w:szCs w:val="22"/>
          <w:b w:val="1"/>
          <w:bCs w:val="1"/>
          <w:color w:val="auto"/>
        </w:rPr>
        <w:t>IRIDEX</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ind w:right="20" w:firstLine="757"/>
        <w:spacing w:after="0" w:line="343" w:lineRule="auto"/>
        <w:tabs>
          <w:tab w:leader="none" w:pos="1498" w:val="left"/>
        </w:tabs>
        <w:numPr>
          <w:ilvl w:val="0"/>
          <w:numId w:val="39"/>
        </w:numPr>
        <w:rPr>
          <w:rFonts w:ascii="Arial" w:cs="Arial" w:eastAsia="Arial" w:hAnsi="Arial"/>
          <w:sz w:val="19"/>
          <w:szCs w:val="19"/>
          <w:color w:val="auto"/>
        </w:rPr>
      </w:pPr>
      <w:r>
        <w:rPr>
          <w:rFonts w:ascii="Arial" w:cs="Arial" w:eastAsia="Arial" w:hAnsi="Arial"/>
          <w:sz w:val="19"/>
          <w:szCs w:val="19"/>
          <w:color w:val="auto"/>
        </w:rPr>
        <w:t>Bank and Borrower have entered into that certain Loan and Security Agreement dated as of November 2, 2016 (as the same may from time to time be further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1500" w:hanging="743"/>
        <w:spacing w:after="0"/>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 Agreement.</w:t>
      </w:r>
    </w:p>
    <w:p>
      <w:pPr>
        <w:spacing w:after="0" w:line="219" w:lineRule="exact"/>
        <w:rPr>
          <w:rFonts w:ascii="Arial" w:cs="Arial" w:eastAsia="Arial" w:hAnsi="Arial"/>
          <w:sz w:val="22"/>
          <w:szCs w:val="22"/>
          <w:color w:val="auto"/>
        </w:rPr>
      </w:pPr>
    </w:p>
    <w:p>
      <w:pPr>
        <w:ind w:left="1500" w:hanging="743"/>
        <w:spacing w:after="0"/>
        <w:tabs>
          <w:tab w:leader="none" w:pos="15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Borrower has requested that Bank amend the Loan Agreement to extend the Revolving Line Maturity Date.</w:t>
      </w:r>
    </w:p>
    <w:p>
      <w:pPr>
        <w:spacing w:after="0" w:line="240" w:lineRule="exact"/>
        <w:rPr>
          <w:rFonts w:ascii="Arial" w:cs="Arial" w:eastAsia="Arial" w:hAnsi="Arial"/>
          <w:sz w:val="19"/>
          <w:szCs w:val="19"/>
          <w:color w:val="auto"/>
        </w:rPr>
      </w:pPr>
    </w:p>
    <w:p>
      <w:pPr>
        <w:ind w:firstLine="757"/>
        <w:spacing w:after="0" w:line="250" w:lineRule="auto"/>
        <w:tabs>
          <w:tab w:leader="none" w:pos="1498" w:val="left"/>
        </w:tabs>
        <w:numPr>
          <w:ilvl w:val="0"/>
          <w:numId w:val="39"/>
        </w:numPr>
        <w:rPr>
          <w:rFonts w:ascii="Arial" w:cs="Arial" w:eastAsia="Arial" w:hAnsi="Arial"/>
          <w:sz w:val="22"/>
          <w:szCs w:val="22"/>
          <w:color w:val="auto"/>
        </w:rPr>
      </w:pPr>
      <w:r>
        <w:rPr>
          <w:rFonts w:ascii="Arial" w:cs="Arial" w:eastAsia="Arial" w:hAnsi="Arial"/>
          <w:sz w:val="22"/>
          <w:szCs w:val="22"/>
          <w:color w:val="auto"/>
        </w:rPr>
        <w:t>Bank has agreed to so amend the Loan Agreement but only to the extent, in accordance with the terms, subject to the conditions and in reliance upon the representations and warranties set forth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firstLine="749"/>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29" w:lineRule="exact"/>
        <w:rPr>
          <w:sz w:val="20"/>
          <w:szCs w:val="20"/>
          <w:color w:val="auto"/>
        </w:rPr>
      </w:pPr>
    </w:p>
    <w:p>
      <w:pPr>
        <w:ind w:right="20" w:firstLine="757"/>
        <w:spacing w:after="0" w:line="256" w:lineRule="auto"/>
        <w:tabs>
          <w:tab w:leader="none" w:pos="1498"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 them</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Agreement.</w:t>
      </w:r>
    </w:p>
    <w:p>
      <w:pPr>
        <w:spacing w:after="0" w:line="175" w:lineRule="exact"/>
        <w:rPr>
          <w:rFonts w:ascii="Arial" w:cs="Arial" w:eastAsia="Arial" w:hAnsi="Arial"/>
          <w:sz w:val="22"/>
          <w:szCs w:val="22"/>
          <w:b w:val="1"/>
          <w:bCs w:val="1"/>
          <w:color w:val="auto"/>
        </w:rPr>
      </w:pPr>
    </w:p>
    <w:p>
      <w:pPr>
        <w:ind w:left="1500" w:hanging="743"/>
        <w:spacing w:after="0"/>
        <w:tabs>
          <w:tab w:leader="none" w:pos="15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Section 2.3 (Cash Management Services Sublimit)</w:t>
      </w:r>
      <w:r>
        <w:rPr>
          <w:rFonts w:ascii="Arial" w:cs="Arial" w:eastAsia="Arial" w:hAnsi="Arial"/>
          <w:sz w:val="19"/>
          <w:szCs w:val="19"/>
          <w:color w:val="auto"/>
        </w:rPr>
        <w:t>. Section 2.3 of the Loan Agreement 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hereby deleted in its entirety and replaced with the following:</w:t>
      </w:r>
    </w:p>
    <w:p>
      <w:pPr>
        <w:spacing w:after="0" w:line="196" w:lineRule="exact"/>
        <w:rPr>
          <w:sz w:val="20"/>
          <w:szCs w:val="20"/>
          <w:color w:val="auto"/>
        </w:rPr>
      </w:pPr>
    </w:p>
    <w:p>
      <w:pPr>
        <w:jc w:val="both"/>
        <w:ind w:left="760" w:firstLine="1497"/>
        <w:spacing w:after="0" w:line="254" w:lineRule="auto"/>
        <w:rPr>
          <w:sz w:val="20"/>
          <w:szCs w:val="20"/>
          <w:color w:val="auto"/>
        </w:rPr>
      </w:pPr>
      <w:r>
        <w:rPr>
          <w:rFonts w:ascii="Arial" w:cs="Arial" w:eastAsia="Arial" w:hAnsi="Arial"/>
          <w:sz w:val="21"/>
          <w:szCs w:val="21"/>
          <w:b w:val="1"/>
          <w:bCs w:val="1"/>
          <w:color w:val="auto"/>
        </w:rPr>
        <w:t>2.3 Cash Management Services Sublimit</w:t>
      </w:r>
      <w:r>
        <w:rPr>
          <w:rFonts w:ascii="Arial" w:cs="Arial" w:eastAsia="Arial" w:hAnsi="Arial"/>
          <w:sz w:val="21"/>
          <w:szCs w:val="21"/>
          <w:color w:val="auto"/>
        </w:rPr>
        <w:t>. Borrower may use up to Five Hundred Thousand Dollars</w:t>
      </w:r>
      <w:r>
        <w:rPr>
          <w:rFonts w:ascii="Arial" w:cs="Arial" w:eastAsia="Arial" w:hAnsi="Arial"/>
          <w:sz w:val="21"/>
          <w:szCs w:val="21"/>
          <w:b w:val="1"/>
          <w:bCs w:val="1"/>
          <w:color w:val="auto"/>
        </w:rPr>
        <w:t xml:space="preserve"> </w:t>
      </w:r>
      <w:r>
        <w:rPr>
          <w:rFonts w:ascii="Arial" w:cs="Arial" w:eastAsia="Arial" w:hAnsi="Arial"/>
          <w:sz w:val="21"/>
          <w:szCs w:val="21"/>
          <w:color w:val="auto"/>
        </w:rPr>
        <w:t>($500,000) of the Revolving Line for Bank’s cash management services which may include merchant services, direct deposit of payroll, business credit card, and check cashing services identified in Bank’s various cash management services agreements (collectively, the “</w:t>
      </w:r>
      <w:r>
        <w:rPr>
          <w:rFonts w:ascii="Arial" w:cs="Arial" w:eastAsia="Arial" w:hAnsi="Arial"/>
          <w:sz w:val="21"/>
          <w:szCs w:val="21"/>
          <w:b w:val="1"/>
          <w:bCs w:val="1"/>
          <w:color w:val="auto"/>
        </w:rPr>
        <w:t>Cash Management Services</w:t>
      </w:r>
      <w:r>
        <w:rPr>
          <w:rFonts w:ascii="Arial" w:cs="Arial" w:eastAsia="Arial" w:hAnsi="Arial"/>
          <w:sz w:val="21"/>
          <w:szCs w:val="21"/>
          <w:color w:val="auto"/>
        </w:rPr>
        <w:t>”). Any amounts Bank pays on behalf of Borrower for any Cash Management Services will be treated as Advances under the Revolving Line and will accrue interest at the interest rate applicable to Advances.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ind w:left="1500"/>
        <w:spacing w:after="0"/>
        <w:rPr>
          <w:sz w:val="20"/>
          <w:szCs w:val="20"/>
          <w:color w:val="auto"/>
        </w:rPr>
      </w:pPr>
      <w:r>
        <w:rPr>
          <w:rFonts w:ascii="Arial" w:cs="Arial" w:eastAsia="Arial" w:hAnsi="Arial"/>
          <w:sz w:val="19"/>
          <w:szCs w:val="19"/>
          <w:b w:val="1"/>
          <w:bCs w:val="1"/>
          <w:color w:val="auto"/>
        </w:rPr>
        <w:t>2.2</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entirety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Section 2.6 (Fees)</w:t>
      </w:r>
      <w:r>
        <w:rPr>
          <w:rFonts w:ascii="Arial" w:cs="Arial" w:eastAsia="Arial" w:hAnsi="Arial"/>
          <w:sz w:val="19"/>
          <w:szCs w:val="19"/>
          <w:color w:val="auto"/>
        </w:rPr>
        <w:t>. Section 2.6 of the Loan Agreement is amended by restating clause (g) in its</w:t>
      </w:r>
    </w:p>
    <w:p>
      <w:pPr>
        <w:spacing w:after="0" w:line="503" w:lineRule="exact"/>
        <w:rPr>
          <w:sz w:val="20"/>
          <w:szCs w:val="20"/>
          <w:color w:val="auto"/>
        </w:rPr>
      </w:pPr>
    </w:p>
    <w:p>
      <w:pPr>
        <w:sectPr>
          <w:pgSz w:w="11900" w:h="16838" w:orient="portrait"/>
          <w:cols w:equalWidth="0" w:num="2">
            <w:col w:w="2280" w:space="720"/>
            <w:col w:w="8240"/>
          </w:cols>
          <w:pgMar w:left="320" w:top="315" w:right="339" w:bottom="1440" w:gutter="0" w:footer="0" w:header="0"/>
        </w:sectPr>
      </w:pPr>
    </w:p>
    <w:p>
      <w:pPr>
        <w:jc w:val="both"/>
        <w:ind w:left="760" w:firstLine="1494"/>
        <w:spacing w:after="0" w:line="247" w:lineRule="auto"/>
        <w:tabs>
          <w:tab w:leader="none" w:pos="273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Anniversary Fee</w:t>
      </w:r>
      <w:r>
        <w:rPr>
          <w:rFonts w:ascii="Arial" w:cs="Arial" w:eastAsia="Arial" w:hAnsi="Arial"/>
          <w:sz w:val="22"/>
          <w:szCs w:val="22"/>
          <w:color w:val="auto"/>
        </w:rPr>
        <w:t>. A fully earned, non-refundable anniversary fee of Ten Thousand Dollars ($10,000) due on the earlier of (i) June 15, 2023 or (ii) termination of the Revolving Line for any reason prior to the Revolving Line Maturity Date.</w:t>
      </w:r>
    </w:p>
    <w:p>
      <w:pPr>
        <w:spacing w:after="0" w:line="171" w:lineRule="exact"/>
        <w:rPr>
          <w:sz w:val="20"/>
          <w:szCs w:val="20"/>
          <w:color w:val="auto"/>
        </w:rPr>
      </w:pPr>
    </w:p>
    <w:p>
      <w:pPr>
        <w:jc w:val="right"/>
        <w:spacing w:after="0"/>
        <w:tabs>
          <w:tab w:leader="none" w:pos="82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Section 13 (Definitions)</w:t>
      </w:r>
      <w:r>
        <w:rPr>
          <w:rFonts w:ascii="Arial" w:cs="Arial" w:eastAsia="Arial" w:hAnsi="Arial"/>
          <w:sz w:val="19"/>
          <w:szCs w:val="19"/>
          <w:color w:val="auto"/>
        </w:rPr>
        <w:t>. The definition of “</w:t>
      </w:r>
      <w:r>
        <w:rPr>
          <w:rFonts w:ascii="Arial" w:cs="Arial" w:eastAsia="Arial" w:hAnsi="Arial"/>
          <w:sz w:val="19"/>
          <w:szCs w:val="19"/>
          <w:b w:val="1"/>
          <w:bCs w:val="1"/>
          <w:color w:val="auto"/>
        </w:rPr>
        <w:t>Revolving Line Maturity Date</w:t>
      </w:r>
      <w:r>
        <w:rPr>
          <w:rFonts w:ascii="Arial" w:cs="Arial" w:eastAsia="Arial" w:hAnsi="Arial"/>
          <w:sz w:val="19"/>
          <w:szCs w:val="19"/>
          <w:color w:val="auto"/>
        </w:rPr>
        <w:t>” as set forth in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Section 13.1 of the Loan Agreement is hereby deleted in its entirety and replaced with the following:</w:t>
      </w:r>
    </w:p>
    <w:p>
      <w:pPr>
        <w:spacing w:after="0" w:line="18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December 1, 2023.</w:t>
      </w:r>
    </w:p>
    <w:p>
      <w:pPr>
        <w:spacing w:after="0" w:line="206" w:lineRule="exact"/>
        <w:rPr>
          <w:sz w:val="20"/>
          <w:szCs w:val="20"/>
          <w:color w:val="auto"/>
        </w:rPr>
      </w:pPr>
    </w:p>
    <w:p>
      <w:pPr>
        <w:ind w:left="1500" w:hanging="743"/>
        <w:spacing w:after="0"/>
        <w:tabs>
          <w:tab w:leader="none" w:pos="15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2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7"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terms, conditions, representations, warranties, covenants and agreements set forth in the Loan Documents, except as herein amended, are hereby ratified and confirmed and shall remain in full force and effect.</w:t>
      </w:r>
    </w:p>
    <w:p>
      <w:pPr>
        <w:spacing w:after="0" w:line="185" w:lineRule="exact"/>
        <w:rPr>
          <w:sz w:val="20"/>
          <w:szCs w:val="20"/>
          <w:color w:val="auto"/>
        </w:rPr>
      </w:pPr>
    </w:p>
    <w:p>
      <w:pPr>
        <w:ind w:firstLine="757"/>
        <w:spacing w:after="0" w:line="256" w:lineRule="auto"/>
        <w:tabs>
          <w:tab w:leader="none" w:pos="1498"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 represents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warrants to Bank as follows:</w:t>
      </w:r>
    </w:p>
    <w:p>
      <w:pPr>
        <w:spacing w:after="0" w:line="162"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Immediately after giving effect to this Amendment (a) the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the Loan Documents are true, accurate and complete in all material respects as of the date hereof (except to the extent such representations and warranties relate to an earlier date, in which case they are true and correct as of such date),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 no Event of Default has occurred and is continuing;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b w:val="1"/>
                <w:bCs w:val="1"/>
                <w:color w:val="auto"/>
              </w:rPr>
              <w:t>4.2</w:t>
            </w:r>
          </w:p>
        </w:tc>
        <w:tc>
          <w:tcPr>
            <w:tcW w:w="8860" w:type="dxa"/>
            <w:vAlign w:val="bottom"/>
          </w:tcPr>
          <w:p>
            <w:pPr>
              <w:ind w:left="620"/>
              <w:spacing w:after="0"/>
              <w:rPr>
                <w:sz w:val="20"/>
                <w:szCs w:val="20"/>
                <w:color w:val="auto"/>
              </w:rPr>
            </w:pPr>
            <w:r>
              <w:rPr>
                <w:rFonts w:ascii="Arial" w:cs="Arial" w:eastAsia="Arial" w:hAnsi="Arial"/>
                <w:sz w:val="22"/>
                <w:szCs w:val="22"/>
                <w:color w:val="auto"/>
                <w:w w:val="91"/>
              </w:rPr>
              <w:t>Borrower has the power and authority to execute and deliver this Amendment and to perform</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its obligations under the Loan Agreement, as amended by this Amendment;</w:t>
            </w:r>
          </w:p>
        </w:tc>
      </w:tr>
      <w:tr>
        <w:trPr>
          <w:trHeight w:val="459"/>
        </w:trPr>
        <w:tc>
          <w:tcPr>
            <w:tcW w:w="2380" w:type="dxa"/>
            <w:vAlign w:val="bottom"/>
          </w:tcPr>
          <w:p>
            <w:pPr>
              <w:jc w:val="right"/>
              <w:ind w:right="492"/>
              <w:spacing w:after="0"/>
              <w:rPr>
                <w:sz w:val="20"/>
                <w:szCs w:val="20"/>
                <w:color w:val="auto"/>
              </w:rPr>
            </w:pPr>
            <w:r>
              <w:rPr>
                <w:rFonts w:ascii="Arial" w:cs="Arial" w:eastAsia="Arial" w:hAnsi="Arial"/>
                <w:sz w:val="22"/>
                <w:szCs w:val="22"/>
                <w:b w:val="1"/>
                <w:bCs w:val="1"/>
                <w:color w:val="auto"/>
              </w:rPr>
              <w:t>4.3</w:t>
            </w:r>
          </w:p>
        </w:tc>
        <w:tc>
          <w:tcPr>
            <w:tcW w:w="8860" w:type="dxa"/>
            <w:vAlign w:val="bottom"/>
          </w:tcPr>
          <w:p>
            <w:pPr>
              <w:ind w:left="620"/>
              <w:spacing w:after="0"/>
              <w:rPr>
                <w:sz w:val="20"/>
                <w:szCs w:val="20"/>
                <w:color w:val="auto"/>
              </w:rPr>
            </w:pPr>
            <w:r>
              <w:rPr>
                <w:rFonts w:ascii="Arial" w:cs="Arial" w:eastAsia="Arial" w:hAnsi="Arial"/>
                <w:sz w:val="22"/>
                <w:szCs w:val="22"/>
                <w:color w:val="auto"/>
                <w:w w:val="94"/>
              </w:rPr>
              <w:t>The organizational documents of Borrower delivered to Bank on the Effective Date remain</w:t>
            </w:r>
          </w:p>
        </w:tc>
      </w:tr>
    </w:tbl>
    <w:p>
      <w:pPr>
        <w:jc w:val="both"/>
        <w:spacing w:after="0" w:line="236" w:lineRule="auto"/>
        <w:rPr>
          <w:sz w:val="20"/>
          <w:szCs w:val="20"/>
          <w:color w:val="auto"/>
        </w:rPr>
      </w:pPr>
      <w:r>
        <w:rPr>
          <w:rFonts w:ascii="Arial" w:cs="Arial" w:eastAsia="Arial" w:hAnsi="Arial"/>
          <w:sz w:val="22"/>
          <w:szCs w:val="22"/>
          <w:color w:val="auto"/>
        </w:rPr>
        <w:t>true, accurate and complete and have not been amended, supplemented or restated and are and continue to be in full force and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Arial" w:cs="Arial" w:eastAsia="Arial" w:hAnsi="Arial"/>
                <w:sz w:val="22"/>
                <w:szCs w:val="22"/>
                <w:b w:val="1"/>
                <w:bCs w:val="1"/>
                <w:color w:val="auto"/>
              </w:rPr>
              <w:t>4.4</w:t>
            </w:r>
          </w:p>
        </w:tc>
        <w:tc>
          <w:tcPr>
            <w:tcW w:w="8840" w:type="dxa"/>
            <w:vAlign w:val="bottom"/>
          </w:tcPr>
          <w:p>
            <w:pPr>
              <w:ind w:left="620"/>
              <w:spacing w:after="0"/>
              <w:rPr>
                <w:sz w:val="20"/>
                <w:szCs w:val="20"/>
                <w:color w:val="auto"/>
              </w:rPr>
            </w:pPr>
            <w:r>
              <w:rPr>
                <w:rFonts w:ascii="Arial" w:cs="Arial" w:eastAsia="Arial" w:hAnsi="Arial"/>
                <w:sz w:val="22"/>
                <w:szCs w:val="22"/>
                <w:color w:val="auto"/>
                <w:w w:val="90"/>
              </w:rPr>
              <w:t>The execution and delivery by Borrower of this Amendment and the performance by Borrower</w:t>
            </w:r>
          </w:p>
        </w:tc>
      </w:tr>
      <w:tr>
        <w:trPr>
          <w:trHeight w:val="274"/>
        </w:trPr>
        <w:tc>
          <w:tcPr>
            <w:tcW w:w="11220" w:type="dxa"/>
            <w:vAlign w:val="bottom"/>
            <w:gridSpan w:val="2"/>
          </w:tcPr>
          <w:p>
            <w:pPr>
              <w:spacing w:after="0"/>
              <w:rPr>
                <w:sz w:val="20"/>
                <w:szCs w:val="20"/>
                <w:color w:val="auto"/>
              </w:rPr>
            </w:pPr>
            <w:r>
              <w:rPr>
                <w:rFonts w:ascii="Arial" w:cs="Arial" w:eastAsia="Arial" w:hAnsi="Arial"/>
                <w:sz w:val="22"/>
                <w:szCs w:val="22"/>
                <w:color w:val="auto"/>
              </w:rPr>
              <w:t>of its obligations under the Loan Agreement, as amended by this Amendment, have been duly authorized;</w:t>
            </w:r>
          </w:p>
        </w:tc>
      </w:tr>
      <w:tr>
        <w:trPr>
          <w:trHeight w:val="459"/>
        </w:trPr>
        <w:tc>
          <w:tcPr>
            <w:tcW w:w="2380" w:type="dxa"/>
            <w:vAlign w:val="bottom"/>
          </w:tcPr>
          <w:p>
            <w:pPr>
              <w:jc w:val="right"/>
              <w:ind w:right="492"/>
              <w:spacing w:after="0"/>
              <w:rPr>
                <w:sz w:val="20"/>
                <w:szCs w:val="20"/>
                <w:color w:val="auto"/>
              </w:rPr>
            </w:pPr>
            <w:r>
              <w:rPr>
                <w:rFonts w:ascii="Arial" w:cs="Arial" w:eastAsia="Arial" w:hAnsi="Arial"/>
                <w:sz w:val="22"/>
                <w:szCs w:val="22"/>
                <w:b w:val="1"/>
                <w:bCs w:val="1"/>
                <w:color w:val="auto"/>
              </w:rPr>
              <w:t>4.5</w:t>
            </w:r>
          </w:p>
        </w:tc>
        <w:tc>
          <w:tcPr>
            <w:tcW w:w="8840" w:type="dxa"/>
            <w:vAlign w:val="bottom"/>
          </w:tcPr>
          <w:p>
            <w:pPr>
              <w:ind w:left="620"/>
              <w:spacing w:after="0"/>
              <w:rPr>
                <w:sz w:val="20"/>
                <w:szCs w:val="20"/>
                <w:color w:val="auto"/>
              </w:rPr>
            </w:pPr>
            <w:r>
              <w:rPr>
                <w:rFonts w:ascii="Arial" w:cs="Arial" w:eastAsia="Arial" w:hAnsi="Arial"/>
                <w:sz w:val="22"/>
                <w:szCs w:val="22"/>
                <w:color w:val="auto"/>
                <w:w w:val="90"/>
              </w:rPr>
              <w:t>The execution and delivery by Borrower of this Amendment and the performance by Borrower</w:t>
            </w:r>
          </w:p>
        </w:tc>
      </w:tr>
    </w:tbl>
    <w:p>
      <w:pPr>
        <w:ind w:left="5580" w:right="5580" w:hanging="5570"/>
        <w:spacing w:after="0" w:line="505" w:lineRule="auto"/>
        <w:rPr>
          <w:sz w:val="20"/>
          <w:szCs w:val="20"/>
          <w:color w:val="auto"/>
        </w:rPr>
      </w:pPr>
      <w:r>
        <w:rPr>
          <w:rFonts w:ascii="Arial" w:cs="Arial" w:eastAsia="Arial" w:hAnsi="Arial"/>
          <w:sz w:val="14"/>
          <w:szCs w:val="14"/>
          <w:color w:val="auto"/>
        </w:rPr>
        <w:t xml:space="preserve">of its obligations under the Loan Agreement, as amended by this </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51" w:name="page52"/>
    <w:bookmarkEnd w:id="51"/>
    <w:p>
      <w:pPr>
        <w:jc w:val="both"/>
        <w:spacing w:after="0" w:line="305" w:lineRule="auto"/>
        <w:rPr>
          <w:sz w:val="20"/>
          <w:szCs w:val="20"/>
          <w:color w:val="auto"/>
        </w:rPr>
      </w:pPr>
      <w:r>
        <w:rPr>
          <w:rFonts w:ascii="Arial" w:cs="Arial" w:eastAsia="Arial" w:hAnsi="Arial"/>
          <w:sz w:val="19"/>
          <w:szCs w:val="19"/>
          <w:color w:val="auto"/>
        </w:rPr>
        <w:t>Amendment, do not and will not contravene (a) any law or regulation binding on or affecting Borrower, (b) any contractual restriction with a Person binding on Borrower, (c) any order, judgment or decree of any court or other governmental or public body or authority, (d) or subdivision thereof, binding on Borrower, or the organizational documents of Borrower;</w:t>
      </w:r>
    </w:p>
    <w:p>
      <w:pPr>
        <w:spacing w:after="0" w:line="120"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5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0" w:lineRule="exact"/>
        <w:rPr>
          <w:sz w:val="20"/>
          <w:szCs w:val="20"/>
          <w:color w:val="auto"/>
        </w:rPr>
      </w:pPr>
    </w:p>
    <w:p>
      <w:pPr>
        <w:jc w:val="both"/>
        <w:ind w:firstLine="757"/>
        <w:spacing w:after="0" w:line="243" w:lineRule="auto"/>
        <w:tabs>
          <w:tab w:leader="none" w:pos="149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disclosures contained in a certain Perfection Certificate dated as of the Effective Date, and acknowledges, confirms and agrees that the disclosures and information Borrower provided to Bank in such Perfection Certificate have not changed, as of the date hereof.</w:t>
      </w:r>
    </w:p>
    <w:p>
      <w:pPr>
        <w:spacing w:after="0" w:line="176" w:lineRule="exact"/>
        <w:rPr>
          <w:rFonts w:ascii="Arial" w:cs="Arial" w:eastAsia="Arial" w:hAnsi="Arial"/>
          <w:sz w:val="22"/>
          <w:szCs w:val="22"/>
          <w:b w:val="1"/>
          <w:bCs w:val="1"/>
          <w:color w:val="auto"/>
        </w:rPr>
      </w:pPr>
    </w:p>
    <w:p>
      <w:pPr>
        <w:jc w:val="both"/>
        <w:ind w:firstLine="757"/>
        <w:spacing w:after="0" w:line="243" w:lineRule="auto"/>
        <w:tabs>
          <w:tab w:leader="none" w:pos="149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90" w:lineRule="exact"/>
        <w:rPr>
          <w:rFonts w:ascii="Arial" w:cs="Arial" w:eastAsia="Arial" w:hAnsi="Arial"/>
          <w:sz w:val="22"/>
          <w:szCs w:val="22"/>
          <w:b w:val="1"/>
          <w:bCs w:val="1"/>
          <w:color w:val="auto"/>
        </w:rPr>
      </w:pPr>
    </w:p>
    <w:p>
      <w:pPr>
        <w:ind w:right="20" w:firstLine="757"/>
        <w:spacing w:after="0" w:line="256" w:lineRule="auto"/>
        <w:tabs>
          <w:tab w:leader="none" w:pos="149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75" w:lineRule="exact"/>
        <w:rPr>
          <w:rFonts w:ascii="Arial" w:cs="Arial" w:eastAsia="Arial" w:hAnsi="Arial"/>
          <w:sz w:val="22"/>
          <w:szCs w:val="22"/>
          <w:b w:val="1"/>
          <w:bCs w:val="1"/>
          <w:color w:val="auto"/>
        </w:rPr>
      </w:pPr>
    </w:p>
    <w:p>
      <w:pPr>
        <w:jc w:val="both"/>
        <w:ind w:firstLine="757"/>
        <w:spacing w:after="0" w:line="243" w:lineRule="auto"/>
        <w:tabs>
          <w:tab w:leader="none" w:pos="149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Bank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by each party hereto, and (b) Borrower’s payment of (i) a fully-earned, non-refundable commitment fee in an amount equal to Twenty Thousand Dollars ($20,000), and (ii) Bank’s legal fees and expenses incurred in connection with the negotiation and preparation of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2" w:name="page53"/>
    <w:bookmarkEnd w:id="52"/>
    <w:p>
      <w:pPr>
        <w:ind w:firstLine="749"/>
        <w:spacing w:after="0" w:line="269"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SILICON VALLEY BANK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80" w:type="dxa"/>
            <w:vAlign w:val="bottom"/>
          </w:tcPr>
          <w:p>
            <w:pPr>
              <w:ind w:left="12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Mark Davis</w:t>
            </w:r>
          </w:p>
        </w:tc>
        <w:tc>
          <w:tcPr>
            <w:tcW w:w="59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4200" w:type="dxa"/>
            <w:vAlign w:val="bottom"/>
          </w:tcPr>
          <w:p>
            <w:pPr>
              <w:ind w:left="100"/>
              <w:spacing w:after="0" w:line="230" w:lineRule="exact"/>
              <w:rPr>
                <w:sz w:val="20"/>
                <w:szCs w:val="20"/>
                <w:color w:val="auto"/>
              </w:rPr>
            </w:pPr>
            <w:r>
              <w:rPr>
                <w:rFonts w:ascii="Arial" w:cs="Arial" w:eastAsia="Arial" w:hAnsi="Arial"/>
                <w:sz w:val="22"/>
                <w:szCs w:val="22"/>
                <w:color w:val="auto"/>
              </w:rPr>
              <w:t>Mark Davis</w:t>
            </w:r>
          </w:p>
        </w:tc>
        <w:tc>
          <w:tcPr>
            <w:tcW w:w="5960" w:type="dxa"/>
            <w:vAlign w:val="bottom"/>
          </w:tcPr>
          <w:p>
            <w:pPr>
              <w:spacing w:after="0"/>
              <w:rPr>
                <w:sz w:val="20"/>
                <w:szCs w:val="20"/>
                <w:color w:val="auto"/>
              </w:rPr>
            </w:pPr>
          </w:p>
        </w:tc>
      </w:tr>
      <w:tr>
        <w:trPr>
          <w:trHeight w:val="274"/>
        </w:trPr>
        <w:tc>
          <w:tcPr>
            <w:tcW w:w="1080" w:type="dxa"/>
            <w:vAlign w:val="bottom"/>
          </w:tcPr>
          <w:p>
            <w:pPr>
              <w:spacing w:after="0"/>
              <w:rPr>
                <w:sz w:val="23"/>
                <w:szCs w:val="23"/>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Vice President</w:t>
            </w:r>
          </w:p>
        </w:tc>
        <w:tc>
          <w:tcPr>
            <w:tcW w:w="5960" w:type="dxa"/>
            <w:vAlign w:val="bottom"/>
          </w:tcPr>
          <w:p>
            <w:pPr>
              <w:spacing w:after="0"/>
              <w:rPr>
                <w:sz w:val="23"/>
                <w:szCs w:val="23"/>
                <w:color w:val="auto"/>
              </w:rPr>
            </w:pPr>
          </w:p>
        </w:tc>
      </w:tr>
      <w:tr>
        <w:trPr>
          <w:trHeight w:val="459"/>
        </w:trPr>
        <w:tc>
          <w:tcPr>
            <w:tcW w:w="5280" w:type="dxa"/>
            <w:vAlign w:val="bottom"/>
            <w:gridSpan w:val="2"/>
          </w:tcPr>
          <w:p>
            <w:pPr>
              <w:ind w:left="120"/>
              <w:spacing w:after="0"/>
              <w:rPr>
                <w:sz w:val="20"/>
                <w:szCs w:val="20"/>
                <w:color w:val="auto"/>
              </w:rPr>
            </w:pPr>
            <w:r>
              <w:rPr>
                <w:rFonts w:ascii="Arial" w:cs="Arial" w:eastAsia="Arial" w:hAnsi="Arial"/>
                <w:sz w:val="22"/>
                <w:szCs w:val="22"/>
                <w:b w:val="1"/>
                <w:bCs w:val="1"/>
                <w:color w:val="auto"/>
              </w:rPr>
              <w:t>BORROWER:</w:t>
            </w:r>
          </w:p>
        </w:tc>
        <w:tc>
          <w:tcPr>
            <w:tcW w:w="5960" w:type="dxa"/>
            <w:vAlign w:val="bottom"/>
          </w:tcPr>
          <w:p>
            <w:pPr>
              <w:spacing w:after="0"/>
              <w:rPr>
                <w:sz w:val="24"/>
                <w:szCs w:val="24"/>
                <w:color w:val="auto"/>
              </w:rPr>
            </w:pPr>
          </w:p>
        </w:tc>
      </w:tr>
      <w:tr>
        <w:trPr>
          <w:trHeight w:val="459"/>
        </w:trPr>
        <w:tc>
          <w:tcPr>
            <w:tcW w:w="5280" w:type="dxa"/>
            <w:vAlign w:val="bottom"/>
            <w:gridSpan w:val="2"/>
          </w:tcPr>
          <w:p>
            <w:pPr>
              <w:ind w:left="120"/>
              <w:spacing w:after="0"/>
              <w:rPr>
                <w:sz w:val="20"/>
                <w:szCs w:val="20"/>
                <w:color w:val="auto"/>
              </w:rPr>
            </w:pPr>
            <w:r>
              <w:rPr>
                <w:rFonts w:ascii="Arial" w:cs="Arial" w:eastAsia="Arial" w:hAnsi="Arial"/>
                <w:sz w:val="22"/>
                <w:szCs w:val="22"/>
                <w:color w:val="auto"/>
              </w:rPr>
              <w:t>IRIDEX CORPORATION</w:t>
            </w:r>
          </w:p>
        </w:tc>
        <w:tc>
          <w:tcPr>
            <w:tcW w:w="5960" w:type="dxa"/>
            <w:vAlign w:val="bottom"/>
          </w:tcPr>
          <w:p>
            <w:pPr>
              <w:spacing w:after="0"/>
              <w:rPr>
                <w:sz w:val="24"/>
                <w:szCs w:val="24"/>
                <w:color w:val="auto"/>
              </w:rPr>
            </w:pPr>
          </w:p>
        </w:tc>
      </w:tr>
      <w:tr>
        <w:trPr>
          <w:trHeight w:val="474"/>
        </w:trPr>
        <w:tc>
          <w:tcPr>
            <w:tcW w:w="1080" w:type="dxa"/>
            <w:vAlign w:val="bottom"/>
          </w:tcPr>
          <w:p>
            <w:pPr>
              <w:ind w:left="12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David I. Bruce</w:t>
            </w:r>
          </w:p>
        </w:tc>
        <w:tc>
          <w:tcPr>
            <w:tcW w:w="59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4200" w:type="dxa"/>
            <w:vAlign w:val="bottom"/>
          </w:tcPr>
          <w:p>
            <w:pPr>
              <w:ind w:left="100"/>
              <w:spacing w:after="0" w:line="230" w:lineRule="exact"/>
              <w:rPr>
                <w:sz w:val="20"/>
                <w:szCs w:val="20"/>
                <w:color w:val="auto"/>
              </w:rPr>
            </w:pPr>
            <w:r>
              <w:rPr>
                <w:rFonts w:ascii="Arial" w:cs="Arial" w:eastAsia="Arial" w:hAnsi="Arial"/>
                <w:sz w:val="22"/>
                <w:szCs w:val="22"/>
                <w:color w:val="auto"/>
              </w:rPr>
              <w:t>David I. Bruce</w:t>
            </w:r>
          </w:p>
        </w:tc>
        <w:tc>
          <w:tcPr>
            <w:tcW w:w="5960" w:type="dxa"/>
            <w:vAlign w:val="bottom"/>
          </w:tcPr>
          <w:p>
            <w:pPr>
              <w:spacing w:after="0"/>
              <w:rPr>
                <w:sz w:val="20"/>
                <w:szCs w:val="20"/>
                <w:color w:val="auto"/>
              </w:rPr>
            </w:pPr>
          </w:p>
        </w:tc>
      </w:tr>
      <w:tr>
        <w:trPr>
          <w:trHeight w:val="274"/>
        </w:trPr>
        <w:tc>
          <w:tcPr>
            <w:tcW w:w="1080" w:type="dxa"/>
            <w:vAlign w:val="bottom"/>
          </w:tcPr>
          <w:p>
            <w:pPr>
              <w:spacing w:after="0"/>
              <w:rPr>
                <w:sz w:val="23"/>
                <w:szCs w:val="23"/>
                <w:color w:val="auto"/>
              </w:rPr>
            </w:pPr>
          </w:p>
        </w:tc>
        <w:tc>
          <w:tcPr>
            <w:tcW w:w="4200" w:type="dxa"/>
            <w:vAlign w:val="bottom"/>
          </w:tcPr>
          <w:p>
            <w:pPr>
              <w:ind w:left="100"/>
              <w:spacing w:after="0"/>
              <w:rPr>
                <w:sz w:val="20"/>
                <w:szCs w:val="20"/>
                <w:color w:val="auto"/>
              </w:rPr>
            </w:pPr>
            <w:r>
              <w:rPr>
                <w:rFonts w:ascii="Arial" w:cs="Arial" w:eastAsia="Arial" w:hAnsi="Arial"/>
                <w:sz w:val="22"/>
                <w:szCs w:val="22"/>
                <w:color w:val="auto"/>
              </w:rPr>
              <w:t>President &amp; CEO</w:t>
            </w:r>
          </w:p>
        </w:tc>
        <w:tc>
          <w:tcPr>
            <w:tcW w:w="5960" w:type="dxa"/>
            <w:vAlign w:val="bottom"/>
          </w:tcPr>
          <w:p>
            <w:pPr>
              <w:spacing w:after="0"/>
              <w:rPr>
                <w:sz w:val="23"/>
                <w:szCs w:val="23"/>
                <w:color w:val="auto"/>
              </w:rPr>
            </w:pPr>
          </w:p>
        </w:tc>
      </w:tr>
      <w:tr>
        <w:trPr>
          <w:trHeight w:val="1968"/>
        </w:trPr>
        <w:tc>
          <w:tcPr>
            <w:tcW w:w="10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04"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678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I. BRUCE</w:t>
            </w:r>
          </w:p>
        </w:tc>
      </w:tr>
      <w:tr>
        <w:trPr>
          <w:trHeight w:val="209"/>
        </w:trPr>
        <w:tc>
          <w:tcPr>
            <w:tcW w:w="7680" w:type="dxa"/>
            <w:vAlign w:val="bottom"/>
          </w:tcPr>
          <w:p>
            <w:pPr>
              <w:ind w:left="6780"/>
              <w:spacing w:after="0"/>
              <w:rPr>
                <w:sz w:val="20"/>
                <w:szCs w:val="20"/>
                <w:color w:val="auto"/>
              </w:rPr>
            </w:pPr>
            <w:r>
              <w:rPr>
                <w:rFonts w:ascii="Arial" w:cs="Arial" w:eastAsia="Arial" w:hAnsi="Arial"/>
                <w:sz w:val="18"/>
                <w:szCs w:val="18"/>
                <w:color w:val="auto"/>
              </w:rPr>
              <w:t>Name:</w:t>
            </w:r>
          </w:p>
        </w:tc>
        <w:tc>
          <w:tcPr>
            <w:tcW w:w="3560" w:type="dxa"/>
            <w:vAlign w:val="bottom"/>
          </w:tcPr>
          <w:p>
            <w:pPr>
              <w:ind w:left="20"/>
              <w:spacing w:after="0"/>
              <w:rPr>
                <w:sz w:val="20"/>
                <w:szCs w:val="20"/>
                <w:color w:val="auto"/>
              </w:rPr>
            </w:pPr>
            <w:r>
              <w:rPr>
                <w:rFonts w:ascii="Arial" w:cs="Arial" w:eastAsia="Arial" w:hAnsi="Arial"/>
                <w:sz w:val="18"/>
                <w:szCs w:val="18"/>
                <w:color w:val="auto"/>
              </w:rPr>
              <w:t>David I. Bruce</w:t>
            </w:r>
          </w:p>
        </w:tc>
      </w:tr>
      <w:tr>
        <w:trPr>
          <w:trHeight w:val="216"/>
        </w:trPr>
        <w:tc>
          <w:tcPr>
            <w:tcW w:w="7680" w:type="dxa"/>
            <w:vAlign w:val="bottom"/>
          </w:tcPr>
          <w:p>
            <w:pPr>
              <w:ind w:left="6780"/>
              <w:spacing w:after="0"/>
              <w:rPr>
                <w:sz w:val="20"/>
                <w:szCs w:val="20"/>
                <w:color w:val="auto"/>
              </w:rPr>
            </w:pPr>
            <w:r>
              <w:rPr>
                <w:rFonts w:ascii="Arial" w:cs="Arial" w:eastAsia="Arial" w:hAnsi="Arial"/>
                <w:sz w:val="18"/>
                <w:szCs w:val="18"/>
                <w:color w:val="auto"/>
              </w:rPr>
              <w:t>Title:</w:t>
            </w:r>
          </w:p>
        </w:tc>
        <w:tc>
          <w:tcPr>
            <w:tcW w:w="3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6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33"/>
        </w:trPr>
        <w:tc>
          <w:tcPr>
            <w:tcW w:w="7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04"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78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FUAD AHMAD</w:t>
            </w:r>
          </w:p>
        </w:tc>
      </w:tr>
      <w:tr>
        <w:trPr>
          <w:trHeight w:val="209"/>
        </w:trPr>
        <w:tc>
          <w:tcPr>
            <w:tcW w:w="7440" w:type="dxa"/>
            <w:vAlign w:val="bottom"/>
          </w:tcPr>
          <w:p>
            <w:pPr>
              <w:ind w:left="6780"/>
              <w:spacing w:after="0"/>
              <w:rPr>
                <w:sz w:val="20"/>
                <w:szCs w:val="20"/>
                <w:color w:val="auto"/>
              </w:rPr>
            </w:pPr>
            <w:r>
              <w:rPr>
                <w:rFonts w:ascii="Arial" w:cs="Arial" w:eastAsia="Arial" w:hAnsi="Arial"/>
                <w:sz w:val="18"/>
                <w:szCs w:val="18"/>
                <w:color w:val="auto"/>
              </w:rPr>
              <w:t>Name:</w:t>
            </w:r>
          </w:p>
        </w:tc>
        <w:tc>
          <w:tcPr>
            <w:tcW w:w="3800" w:type="dxa"/>
            <w:vAlign w:val="bottom"/>
          </w:tcPr>
          <w:p>
            <w:pPr>
              <w:ind w:left="20"/>
              <w:spacing w:after="0"/>
              <w:rPr>
                <w:sz w:val="20"/>
                <w:szCs w:val="20"/>
                <w:color w:val="auto"/>
              </w:rPr>
            </w:pPr>
            <w:r>
              <w:rPr>
                <w:rFonts w:ascii="Arial" w:cs="Arial" w:eastAsia="Arial" w:hAnsi="Arial"/>
                <w:sz w:val="18"/>
                <w:szCs w:val="18"/>
                <w:color w:val="auto"/>
              </w:rPr>
              <w:t>Fuad Ahmad</w:t>
            </w:r>
          </w:p>
        </w:tc>
      </w:tr>
      <w:tr>
        <w:trPr>
          <w:trHeight w:val="216"/>
        </w:trPr>
        <w:tc>
          <w:tcPr>
            <w:tcW w:w="7440" w:type="dxa"/>
            <w:vAlign w:val="bottom"/>
          </w:tcPr>
          <w:p>
            <w:pPr>
              <w:ind w:left="67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744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601"/>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July 2,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5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620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189"/>
        </w:trPr>
        <w:tc>
          <w:tcPr>
            <w:tcW w:w="6200" w:type="dxa"/>
            <w:vAlign w:val="bottom"/>
          </w:tcPr>
          <w:p>
            <w:pPr>
              <w:ind w:left="5520"/>
              <w:spacing w:after="0" w:line="189" w:lineRule="exact"/>
              <w:rPr>
                <w:sz w:val="20"/>
                <w:szCs w:val="20"/>
                <w:color w:val="auto"/>
              </w:rPr>
            </w:pPr>
            <w:r>
              <w:rPr>
                <w:rFonts w:ascii="Arial" w:cs="Arial" w:eastAsia="Arial" w:hAnsi="Arial"/>
                <w:sz w:val="18"/>
                <w:szCs w:val="18"/>
                <w:color w:val="auto"/>
              </w:rPr>
              <w:t>Title:</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20"/>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Quarterly Report of IRIDEX Corporation on Form 10-Q for the fiscal quarter ended July 2,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5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195"/>
        </w:trPr>
        <w:tc>
          <w:tcPr>
            <w:tcW w:w="620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Fuad Ahmad</w:t>
            </w:r>
          </w:p>
        </w:tc>
      </w:tr>
      <w:tr>
        <w:trPr>
          <w:trHeight w:val="189"/>
        </w:trPr>
        <w:tc>
          <w:tcPr>
            <w:tcW w:w="6200" w:type="dxa"/>
            <w:vAlign w:val="bottom"/>
          </w:tcPr>
          <w:p>
            <w:pPr>
              <w:ind w:left="5520"/>
              <w:spacing w:after="0" w:line="189" w:lineRule="exact"/>
              <w:rPr>
                <w:sz w:val="20"/>
                <w:szCs w:val="20"/>
                <w:color w:val="auto"/>
              </w:rPr>
            </w:pPr>
            <w:r>
              <w:rPr>
                <w:rFonts w:ascii="Arial" w:cs="Arial" w:eastAsia="Arial" w:hAnsi="Arial"/>
                <w:sz w:val="18"/>
                <w:szCs w:val="18"/>
                <w:color w:val="auto"/>
              </w:rPr>
              <w:t>Title:</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Interim Chief Financial Officer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20"/>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4"/>
    </w:lvl>
    <w:lvl w:ilvl="1">
      <w:lvlJc w:val="left"/>
      <w:lvlText w:val="(%2)"/>
      <w:numFmt w:val="decimal"/>
      <w:start w:val="1"/>
    </w:lvl>
  </w:abstractNum>
  <w:abstractNum w:abstractNumId="6">
    <w:nsid w:val="189A76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54E49EB4"/>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7"/>
    </w:lvl>
  </w:abstractNum>
  <w:abstractNum w:abstractNumId="12">
    <w:nsid w:val="3A95F874"/>
    <w:multiLevelType w:val="hybridMultilevel"/>
    <w:lvl w:ilvl="0">
      <w:lvlJc w:val="left"/>
      <w:lvlText w:val="%1."/>
      <w:numFmt w:val="decimal"/>
      <w:start w:val="8"/>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lvl w:ilvl="1">
      <w:lvlJc w:val="left"/>
      <w:lvlText w:val="%2"/>
      <w:numFmt w:val="decimal"/>
      <w:start w:val="104"/>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decimal"/>
      <w:start w:val="4"/>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1."/>
      <w:numFmt w:val="decimal"/>
      <w:start w:val="7"/>
    </w:lvl>
  </w:abstractNum>
  <w:abstractNum w:abstractNumId="38">
    <w:nsid w:val="6A2342EC"/>
    <w:multiLevelType w:val="hybridMultilevel"/>
    <w:lvl w:ilvl="0">
      <w:lvlJc w:val="left"/>
      <w:lvlText w:val="%1."/>
      <w:numFmt w:val="upp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Letter"/>
      <w:start w:val="7"/>
    </w:lvl>
  </w:abstractNum>
  <w:abstractNum w:abstractNumId="41">
    <w:nsid w:val="725A06FB"/>
    <w:multiLevelType w:val="hybridMultilevel"/>
    <w:lvl w:ilvl="0">
      <w:lvlJc w:val="left"/>
      <w:lvlText w:val="%1."/>
      <w:numFmt w:val="decimal"/>
      <w:start w:val="3"/>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1."/>
      <w:numFmt w:val="decimal"/>
      <w:start w:val="5"/>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2022-08-15T18:03:04Z</dcterms:created>
  <dcterms:modified xsi:type="dcterms:W3CDTF">2022-08-15T18:03:04Z</dcterms:modified>
</cp:coreProperties>
</file>