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rix-20231230.htm"/>
      <w:bookmarkStart w:id="1" w:name="ksirix202312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8"/>
        </w:rPr>
        <w:t>FORM 10-K</w:t>
      </w:r>
      <w:r>
        <w:rPr>
          <w:rFonts w:ascii="Times New Roman" w:hAnsi="Times New Roman"/>
          <w:color w:val="000000"/>
          <w:sz w:val="20"/>
        </w:rPr>
        <w:t xml:space="preserve"> </w:t>
      </w:r>
    </w:p>
    <w:p>
      <w:pPr>
        <w:pStyle w:val="TextBody"/>
        <w:bidi w:val="0"/>
        <w:spacing w:before="40" w:after="283"/>
        <w:jc w:val="left"/>
        <w:rPr>
          <w:rFonts w:ascii="Times New Roman" w:hAnsi="Times New Roman"/>
          <w:b/>
          <w:color w:val="000000"/>
          <w:sz w:val="15"/>
        </w:rPr>
      </w:pPr>
      <w:r>
        <w:rPr>
          <w:rFonts w:ascii="Times New Roman" w:hAnsi="Times New Roman"/>
          <w:b/>
          <w:color w:val="000000"/>
          <w:sz w:val="15"/>
        </w:rPr>
        <w:t>(Mark One)</w:t>
      </w:r>
    </w:p>
    <w:p>
      <w:pPr>
        <w:pStyle w:val="TextBody"/>
        <w:bidi w:val="0"/>
        <w:spacing w:before="40" w:after="283"/>
        <w:jc w:val="left"/>
        <w:rPr/>
      </w:pPr>
      <w:r>
        <w:rPr>
          <w:color w:val="000000"/>
        </w:rPr>
        <w:t xml:space="preserve">☑ </w:t>
      </w:r>
      <w:r>
        <w:rPr>
          <w:rFonts w:ascii="Times New Roman" w:hAnsi="Times New Roman"/>
          <w:b/>
          <w:color w:val="000000"/>
          <w:sz w:val="15"/>
        </w:rPr>
        <w:t>ANNUAL REPORT PURSUANT TO SECTION 13 OR 15(d) OF THE SECURITIES EXCHANGE ACT OF 1934</w:t>
      </w:r>
    </w:p>
    <w:p>
      <w:pPr>
        <w:pStyle w:val="TextBody"/>
        <w:bidi w:val="0"/>
        <w:spacing w:before="40" w:after="283"/>
        <w:jc w:val="left"/>
        <w:rPr>
          <w:rFonts w:ascii="Times New Roman" w:hAnsi="Times New Roman"/>
          <w:b/>
          <w:color w:val="000000"/>
          <w:sz w:val="15"/>
        </w:rPr>
      </w:pPr>
      <w:r>
        <w:rPr>
          <w:rFonts w:ascii="Times New Roman" w:hAnsi="Times New Roman"/>
          <w:b/>
          <w:color w:val="000000"/>
          <w:sz w:val="15"/>
        </w:rPr>
        <w:t>For the fiscal year ended December 30, 2023</w:t>
      </w:r>
    </w:p>
    <w:p>
      <w:pPr>
        <w:pStyle w:val="TextBody"/>
        <w:bidi w:val="0"/>
        <w:spacing w:before="40" w:after="283"/>
        <w:jc w:val="center"/>
        <w:rPr>
          <w:rFonts w:ascii="Times New Roman" w:hAnsi="Times New Roman"/>
          <w:sz w:val="20"/>
        </w:rPr>
      </w:pPr>
      <w:r>
        <w:rPr>
          <w:rFonts w:ascii="Times New Roman" w:hAnsi="Times New Roman"/>
          <w:b/>
          <w:color w:val="000000"/>
          <w:sz w:val="16"/>
        </w:rPr>
        <w:t>or</w:t>
      </w:r>
      <w:r>
        <w:rPr>
          <w:rFonts w:ascii="Times New Roman" w:hAnsi="Times New Roman"/>
          <w:color w:val="000000"/>
          <w:sz w:val="20"/>
        </w:rPr>
        <w:t xml:space="preserve"> </w:t>
      </w:r>
    </w:p>
    <w:p>
      <w:pPr>
        <w:pStyle w:val="TextBody"/>
        <w:bidi w:val="0"/>
        <w:spacing w:before="40" w:after="283"/>
        <w:jc w:val="left"/>
        <w:rPr/>
      </w:pPr>
      <w:r>
        <w:rPr>
          <w:color w:val="000000"/>
        </w:rPr>
        <w:t xml:space="preserve">☐ </w:t>
      </w:r>
      <w:r>
        <w:rPr>
          <w:rFonts w:ascii="Times New Roman" w:hAnsi="Times New Roman"/>
          <w:b/>
          <w:color w:val="000000"/>
          <w:sz w:val="15"/>
        </w:rPr>
        <w:t>TRANSITION REPORT PURSUANT TO SECTION 13 OR 15(d) OF THE SECURITIES EXCHANGE ACT OF 1934</w:t>
      </w:r>
    </w:p>
    <w:p>
      <w:pPr>
        <w:pStyle w:val="TextBody"/>
        <w:bidi w:val="0"/>
        <w:spacing w:before="40" w:after="283"/>
        <w:jc w:val="center"/>
        <w:rPr>
          <w:rFonts w:ascii="Times New Roman" w:hAnsi="Times New Roman"/>
          <w:b/>
          <w:color w:val="000000"/>
          <w:sz w:val="15"/>
        </w:rPr>
      </w:pPr>
      <w:r>
        <w:rPr>
          <w:rFonts w:ascii="Times New Roman" w:hAnsi="Times New Roman"/>
          <w:b/>
          <w:color w:val="000000"/>
          <w:sz w:val="15"/>
        </w:rPr>
        <w:t>For the transition period from to .</w:t>
      </w:r>
    </w:p>
    <w:p>
      <w:pPr>
        <w:pStyle w:val="TextBody"/>
        <w:bidi w:val="0"/>
        <w:spacing w:before="40" w:after="283"/>
        <w:jc w:val="center"/>
        <w:rPr>
          <w:rFonts w:ascii="Times New Roman" w:hAnsi="Times New Roman"/>
          <w:sz w:val="20"/>
        </w:rPr>
      </w:pPr>
      <w:r>
        <w:rPr>
          <w:rFonts w:ascii="Times New Roman" w:hAnsi="Times New Roman"/>
          <w:b/>
          <w:color w:val="000000"/>
          <w:sz w:val="15"/>
        </w:rPr>
        <w:t>Commission File Number 0-27598</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40"/>
        </w:rPr>
        <w:t>IRIDEX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(Exact name of Registrant as specified in its charter)</w:t>
      </w:r>
      <w:r>
        <w:rPr>
          <w:rFonts w:ascii="Times New Roman" w:hAnsi="Times New Roman"/>
          <w:color w:val="000000"/>
          <w:sz w:val="20"/>
        </w:rPr>
        <w:t xml:space="preserve"> </w:t>
      </w:r>
    </w:p>
    <w:tbl>
      <w:tblPr>
        <w:tblW w:w="6497" w:type="dxa"/>
        <w:jc w:val="left"/>
        <w:tblInd w:w="0" w:type="dxa"/>
        <w:tblLayout w:type="fixed"/>
        <w:tblCellMar>
          <w:top w:w="28" w:type="dxa"/>
          <w:left w:w="28" w:type="dxa"/>
          <w:bottom w:w="28" w:type="dxa"/>
          <w:right w:w="28" w:type="dxa"/>
        </w:tblCellMar>
      </w:tblPr>
      <w:tblGrid>
        <w:gridCol w:w="4006"/>
        <w:gridCol w:w="2491"/>
      </w:tblGrid>
      <w:tr>
        <w:trPr/>
        <w:tc>
          <w:tcPr>
            <w:tcW w:w="4006"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400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249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77-0210467</w:t>
            </w:r>
          </w:p>
        </w:tc>
      </w:tr>
      <w:tr>
        <w:trPr/>
        <w:tc>
          <w:tcPr>
            <w:tcW w:w="4006" w:type="dxa"/>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 of incorporation or organization)</w:t>
            </w:r>
          </w:p>
        </w:tc>
        <w:tc>
          <w:tcPr>
            <w:tcW w:w="2491" w:type="dxa"/>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 Identification No.)</w:t>
            </w:r>
          </w:p>
        </w:tc>
      </w:tr>
    </w:tbl>
    <w:p>
      <w:pPr>
        <w:pStyle w:val="TextBody"/>
        <w:bidi w:val="0"/>
        <w:jc w:val="left"/>
        <w:rPr/>
      </w:pPr>
      <w:r>
        <w:rPr/>
        <w:t> </w:t>
      </w:r>
    </w:p>
    <w:tbl>
      <w:tblPr>
        <w:tblW w:w="7068" w:type="dxa"/>
        <w:jc w:val="left"/>
        <w:tblInd w:w="0" w:type="dxa"/>
        <w:tblLayout w:type="fixed"/>
        <w:tblCellMar>
          <w:top w:w="28" w:type="dxa"/>
          <w:left w:w="28" w:type="dxa"/>
          <w:bottom w:w="28" w:type="dxa"/>
          <w:right w:w="28" w:type="dxa"/>
        </w:tblCellMar>
      </w:tblPr>
      <w:tblGrid>
        <w:gridCol w:w="2596"/>
        <w:gridCol w:w="3541"/>
        <w:gridCol w:w="931"/>
      </w:tblGrid>
      <w:tr>
        <w:trPr/>
        <w:tc>
          <w:tcPr>
            <w:tcW w:w="2596"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59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1212 Terra Bella Avenue</w:t>
            </w:r>
          </w:p>
          <w:p>
            <w:pPr>
              <w:pStyle w:val="TableContents"/>
              <w:bidi w:val="0"/>
              <w:jc w:val="center"/>
              <w:rPr>
                <w:rFonts w:ascii="Times New Roman" w:hAnsi="Times New Roman"/>
                <w:b/>
                <w:color w:val="000000"/>
                <w:sz w:val="16"/>
              </w:rPr>
            </w:pPr>
            <w:r>
              <w:rPr>
                <w:rFonts w:ascii="Times New Roman" w:hAnsi="Times New Roman"/>
                <w:b/>
                <w:color w:val="000000"/>
                <w:sz w:val="16"/>
              </w:rPr>
              <w:t>Mountain View, CA</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3541" w:type="dxa"/>
            <w:tcBorders/>
            <w:vAlign w:val="center"/>
          </w:tcPr>
          <w:p>
            <w:pPr>
              <w:pStyle w:val="TableContents"/>
              <w:bidi w:val="0"/>
              <w:jc w:val="center"/>
              <w:rPr>
                <w:rFonts w:ascii="Times New Roman" w:hAnsi="Times New Roman"/>
                <w:sz w:val="15"/>
              </w:rPr>
            </w:pPr>
            <w:r>
              <w:rPr>
                <w:rFonts w:ascii="Times New Roman" w:hAnsi="Times New Roman"/>
                <w:b/>
                <w:color w:val="000000"/>
                <w:sz w:val="15"/>
              </w:rPr>
              <w:t>(650) 940-4700</w:t>
            </w:r>
            <w:r>
              <w:rPr>
                <w:rFonts w:ascii="Times New Roman" w:hAnsi="Times New Roman"/>
                <w:color w:val="000000"/>
                <w:sz w:val="15"/>
              </w:rPr>
              <w:t xml:space="preserve"> </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(Registrant’s telephone number, including area code)</w:t>
            </w:r>
          </w:p>
        </w:tc>
        <w:tc>
          <w:tcPr>
            <w:tcW w:w="931" w:type="dxa"/>
            <w:tcBorders/>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94043</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6"/>
        </w:rPr>
        <w:t>Securities registered pursuant to Section 12(b) of the Act:</w:t>
      </w:r>
      <w:r>
        <w:rPr>
          <w:rFonts w:ascii="Times New Roman" w:hAnsi="Times New Roman"/>
          <w:color w:val="000000"/>
          <w:sz w:val="20"/>
        </w:rPr>
        <w:t xml:space="preserve"> </w:t>
      </w:r>
    </w:p>
    <w:tbl>
      <w:tblPr>
        <w:tblW w:w="6640" w:type="dxa"/>
        <w:jc w:val="left"/>
        <w:tblInd w:w="0" w:type="dxa"/>
        <w:tblLayout w:type="fixed"/>
        <w:tblCellMar>
          <w:top w:w="28" w:type="dxa"/>
          <w:left w:w="28" w:type="dxa"/>
          <w:bottom w:w="28" w:type="dxa"/>
          <w:right w:w="28" w:type="dxa"/>
        </w:tblCellMar>
      </w:tblPr>
      <w:tblGrid>
        <w:gridCol w:w="2671"/>
        <w:gridCol w:w="146"/>
        <w:gridCol w:w="1096"/>
        <w:gridCol w:w="146"/>
        <w:gridCol w:w="258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6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5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Name of Exchange on Which Registered</w:t>
            </w:r>
          </w:p>
        </w:tc>
      </w:tr>
      <w:tr>
        <w:trPr/>
        <w:tc>
          <w:tcPr>
            <w:tcW w:w="2671" w:type="dxa"/>
            <w:tcBorders/>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Common Stock, par value $0.01 per share</w:t>
            </w:r>
          </w:p>
        </w:tc>
        <w:tc>
          <w:tcPr>
            <w:tcW w:w="146" w:type="dxa"/>
            <w:tcBorders/>
            <w:vAlign w:val="center"/>
          </w:tcPr>
          <w:p>
            <w:pPr>
              <w:pStyle w:val="TableContents"/>
              <w:bidi w:val="0"/>
              <w:spacing w:before="0" w:after="283"/>
              <w:jc w:val="center"/>
              <w:rPr/>
            </w:pPr>
            <w:r>
              <w:rPr/>
              <w:t> </w:t>
            </w:r>
          </w:p>
        </w:tc>
        <w:tc>
          <w:tcPr>
            <w:tcW w:w="1096" w:type="dxa"/>
            <w:tcBorders/>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IRIX</w:t>
            </w:r>
          </w:p>
        </w:tc>
        <w:tc>
          <w:tcPr>
            <w:tcW w:w="146" w:type="dxa"/>
            <w:tcBorders/>
            <w:vAlign w:val="center"/>
          </w:tcPr>
          <w:p>
            <w:pPr>
              <w:pStyle w:val="TableContents"/>
              <w:bidi w:val="0"/>
              <w:spacing w:before="0" w:after="283"/>
              <w:jc w:val="center"/>
              <w:rPr/>
            </w:pPr>
            <w:r>
              <w:rPr/>
              <w:t> </w:t>
            </w:r>
          </w:p>
        </w:tc>
        <w:tc>
          <w:tcPr>
            <w:tcW w:w="2581" w:type="dxa"/>
            <w:tcBorders/>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Nasdaq Global Market</w:t>
            </w:r>
          </w:p>
        </w:tc>
      </w:tr>
    </w:tbl>
    <w:p>
      <w:pPr>
        <w:pStyle w:val="TextBody"/>
        <w:bidi w:val="0"/>
        <w:spacing w:before="40" w:after="283"/>
        <w:jc w:val="center"/>
        <w:rPr>
          <w:rFonts w:ascii="Times New Roman" w:hAnsi="Times New Roman"/>
          <w:sz w:val="20"/>
        </w:rPr>
      </w:pPr>
      <w:r>
        <w:rPr>
          <w:rFonts w:ascii="Times New Roman" w:hAnsi="Times New Roman"/>
          <w:b/>
          <w:color w:val="000000"/>
          <w:sz w:val="15"/>
        </w:rPr>
        <w:t>Securities registered pursuant to Section 12(g) of the Act:</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5"/>
        </w:rPr>
        <w:t>None.</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of 1933. Yes </w:t>
      </w:r>
      <w:r>
        <w:rPr>
          <w:rFonts w:ascii="Times New Roman" w:hAnsi="Times New Roman"/>
          <w:color w:val="000000"/>
          <w:sz w:val="20"/>
        </w:rPr>
        <w:t xml:space="preserve">☐ </w:t>
      </w:r>
      <w:r>
        <w:rPr>
          <w:rFonts w:ascii="Times New Roman" w:hAnsi="Times New Roman"/>
          <w:color w:val="000000"/>
          <w:sz w:val="15"/>
        </w:rPr>
        <w:t>No</w:t>
      </w:r>
      <w:r>
        <w:rPr>
          <w:rFonts w:ascii="Times New Roman" w:hAnsi="Times New Roman"/>
          <w:color w:val="000000"/>
          <w:sz w:val="20"/>
        </w:rPr>
        <w:t xml:space="preserve"> ☑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Section 15(d) of the Securities Exchange Act of 1934 (the “Exchange Act”). Yes </w:t>
      </w:r>
      <w:r>
        <w:rPr>
          <w:rFonts w:ascii="Times New Roman" w:hAnsi="Times New Roman"/>
          <w:color w:val="000000"/>
          <w:sz w:val="20"/>
        </w:rPr>
        <w:t xml:space="preserve">☐ </w:t>
      </w:r>
      <w:r>
        <w:rPr>
          <w:rFonts w:ascii="Times New Roman" w:hAnsi="Times New Roman"/>
          <w:color w:val="000000"/>
          <w:sz w:val="15"/>
        </w:rPr>
        <w:t>No</w:t>
      </w:r>
      <w:r>
        <w:rPr>
          <w:rFonts w:ascii="Times New Roman" w:hAnsi="Times New Roman"/>
          <w:color w:val="000000"/>
          <w:sz w:val="20"/>
        </w:rPr>
        <w:t xml:space="preserve"> ☑ </w:t>
      </w:r>
    </w:p>
    <w:p>
      <w:pPr>
        <w:pStyle w:val="TextBody"/>
        <w:bidi w:val="0"/>
        <w:spacing w:before="40" w:after="283"/>
        <w:jc w:val="left"/>
        <w:rPr>
          <w:rFonts w:ascii="Times New Roman" w:hAnsi="Times New Roman"/>
          <w:sz w:val="20"/>
        </w:rPr>
      </w:pPr>
      <w:r>
        <w:rPr>
          <w:rFonts w:ascii="Times New Roman" w:hAnsi="Times New Roman"/>
          <w:color w:val="000000"/>
          <w:sz w:val="15"/>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tbl>
      <w:tblPr>
        <w:tblW w:w="4612" w:type="dxa"/>
        <w:jc w:val="left"/>
        <w:tblInd w:w="0" w:type="dxa"/>
        <w:tblLayout w:type="fixed"/>
        <w:tblCellMar>
          <w:top w:w="28" w:type="dxa"/>
          <w:left w:w="28" w:type="dxa"/>
          <w:bottom w:w="28" w:type="dxa"/>
          <w:right w:w="28" w:type="dxa"/>
        </w:tblCellMar>
      </w:tblPr>
      <w:tblGrid>
        <w:gridCol w:w="1756"/>
        <w:gridCol w:w="146"/>
        <w:gridCol w:w="316"/>
        <w:gridCol w:w="146"/>
        <w:gridCol w:w="1741"/>
        <w:gridCol w:w="146"/>
        <w:gridCol w:w="36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56" w:type="dxa"/>
            <w:tcBorders/>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1756" w:type="dxa"/>
            <w:tcBorders/>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1756" w:type="dxa"/>
            <w:tcBorders/>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17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The aggregate market value of the voting common equity held by non-affiliates of the Registrant was approximately $28,380,052</w:t>
      </w:r>
      <w:r>
        <w:rPr>
          <w:rFonts w:ascii="Times New Roman" w:hAnsi="Times New Roman"/>
          <w:color w:val="000000"/>
          <w:sz w:val="20"/>
        </w:rPr>
        <w:t xml:space="preserve"> </w:t>
      </w:r>
      <w:r>
        <w:rPr>
          <w:rFonts w:ascii="Times New Roman" w:hAnsi="Times New Roman"/>
          <w:color w:val="000000"/>
          <w:sz w:val="15"/>
        </w:rPr>
        <w:t>as</w:t>
      </w:r>
      <w:r>
        <w:rPr>
          <w:rFonts w:ascii="Times New Roman" w:hAnsi="Times New Roman"/>
          <w:color w:val="000000"/>
          <w:sz w:val="20"/>
        </w:rPr>
        <w:t xml:space="preserve"> </w:t>
      </w:r>
      <w:r>
        <w:rPr>
          <w:rFonts w:ascii="Times New Roman" w:hAnsi="Times New Roman"/>
          <w:color w:val="000000"/>
          <w:sz w:val="15"/>
        </w:rPr>
        <w:t>of July 1, 2023, the last business day of the Registrant’s most recently completed second fiscal quarter, based on the closing price reported for such date on the Nasdaq Global Market. The registrant did not have any non-voting common equity outstanding. For purposes of this disclosure, shares of common stock held by each executive officer and director and by each holder of 5% or more of the outstanding shares of common stock have been excluded from this calculation, because such persons may be deemed to be affiliates. This determination of affiliate status is not necessarily a conclusive determination for other purposes.</w:t>
      </w:r>
    </w:p>
    <w:p>
      <w:pPr>
        <w:pStyle w:val="TextBody"/>
        <w:bidi w:val="0"/>
        <w:spacing w:before="40" w:after="283"/>
        <w:jc w:val="left"/>
        <w:rPr>
          <w:rFonts w:ascii="Times New Roman" w:hAnsi="Times New Roman"/>
          <w:sz w:val="20"/>
        </w:rPr>
      </w:pPr>
      <w:r>
        <w:rPr>
          <w:rFonts w:ascii="Times New Roman" w:hAnsi="Times New Roman"/>
          <w:color w:val="000000"/>
          <w:sz w:val="15"/>
        </w:rPr>
        <w:t>As of March 15, 2024, Registrant had 16,252,813</w:t>
      </w:r>
      <w:r>
        <w:rPr>
          <w:rFonts w:ascii="Times New Roman" w:hAnsi="Times New Roman"/>
          <w:color w:val="000000"/>
          <w:sz w:val="20"/>
        </w:rPr>
        <w:t xml:space="preserve"> </w:t>
      </w:r>
      <w:r>
        <w:rPr>
          <w:rFonts w:ascii="Times New Roman" w:hAnsi="Times New Roman"/>
          <w:color w:val="000000"/>
          <w:sz w:val="15"/>
        </w:rPr>
        <w:t>shares of common stock outstanding.</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6"/>
        </w:rPr>
        <w:t>DOCUMENTS INCORPORATED BY REFERENCE</w:t>
      </w:r>
      <w:r>
        <w:rPr>
          <w:rFonts w:ascii="Times New Roman" w:hAnsi="Times New Roman"/>
          <w:color w:val="000000"/>
          <w:sz w:val="20"/>
        </w:rPr>
        <w:t xml:space="preserve"> </w:t>
      </w:r>
    </w:p>
    <w:p>
      <w:pPr>
        <w:pStyle w:val="TextBody"/>
        <w:bidi w:val="0"/>
        <w:spacing w:before="40" w:after="283"/>
        <w:ind w:left="0" w:right="0" w:firstLine="490"/>
        <w:jc w:val="left"/>
        <w:rPr>
          <w:rFonts w:ascii="Times New Roman" w:hAnsi="Times New Roman"/>
          <w:color w:val="000000"/>
          <w:sz w:val="15"/>
        </w:rPr>
      </w:pPr>
      <w:r>
        <w:rPr>
          <w:rFonts w:ascii="Times New Roman" w:hAnsi="Times New Roman"/>
          <w:color w:val="000000"/>
          <w:sz w:val="15"/>
        </w:rPr>
        <w:t>Certain parts of the Proxy Statement for the Registrant’s 2024 Annual Meeting of Stockholders (the “Proxy Statement”) are incorporated by reference into Part III of this Annual Report on Form 10-K. The 2024 Proxy Statement will be filed with the U.S. Securities and Exchange commission within 120 days after the end of the fiscal year to which this report relates.</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Annual Report on Form 10-K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 </w:t>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conditions, including impact of global pandemics or other public health emergencies or outbreaks, foreign exchange fluctuation, inflation concerns, heightened interest rates and recessionary fears and uncertainty in the global banking and financial services market, on our business and results of operations;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acceptance and purchase of our existing products and new products;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and expand our customer base;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from other products;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foreign currency exchange rate and interest rate fluctuations on our results and sales;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pace of change and innovation in the markets in which we participate and the competitive nature of those markets;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strategy and our plan to build our business;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strategic partnership with Topcon Corporation;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costs of manufacturing and reliance on third party manufacturers;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forecast and meet product demand;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discover defects in our products and systems;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international expansion and sales strategy;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results and cash flows;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beliefs and objectives for future operations;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relationships with third parties;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protect, and enhance our intellectual property rights;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protect, and enhance our information technology systems and data;</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facilities in good working order;</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recover the carrying value of goodwill;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expensing stock options and other equity awards;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defend litigation brought against us;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indemnify our directors and officers;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repay indebtedness and have indebtedness forgiven;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expand in our existing markets and into new markets;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sufficiency of cash to meet cash needs for at least the next 12 months;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laws, policies, and regulations that currently apply or become applicable to our business both in the United States and internationally;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qualified employees and key personnel, and source suppliers;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raise additional capital;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future trading prices of our common stock;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pay dividends in the future.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made in this Annual Report on Form 10-K relate only to events as of the date on which such statements are made. We undertake no obligation to update any forward-looking statements made in this Annual Report on Form 10-K to reflect events or circumstances after the date of this Annual Report on Form 10-K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used in this Annual Report on Form 10-K, the terms “Company,” “Iridex,” “we,” “us” and “our” refer to IRIDEX Corporation, and its consolidated subsidiaries.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978"/>
        <w:gridCol w:w="146"/>
        <w:gridCol w:w="1081"/>
      </w:tblGrid>
      <w:tr>
        <w:trPr/>
        <w:tc>
          <w:tcPr>
            <w:tcW w:w="897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89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 No.</w:t>
            </w:r>
          </w:p>
        </w:tc>
      </w:tr>
      <w:tr>
        <w:trPr/>
        <w:tc>
          <w:tcPr>
            <w:tcW w:w="8978" w:type="dxa"/>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color w:val="0000FF"/>
                  <w:sz w:val="20"/>
                  <w:u w:val="single"/>
                </w:rPr>
                <w:t>Part I</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5</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1">
              <w:r>
                <w:rPr>
                  <w:rStyle w:val="InternetLink"/>
                  <w:rFonts w:ascii="Times New Roman" w:hAnsi="Times New Roman"/>
                  <w:color w:val="0000FF"/>
                  <w:sz w:val="20"/>
                  <w:u w:val="single"/>
                </w:rPr>
                <w:t>Item 1. Business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5</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1a_riskfactors">
              <w:r>
                <w:rPr>
                  <w:rStyle w:val="InternetLink"/>
                  <w:rFonts w:ascii="Times New Roman" w:hAnsi="Times New Roman"/>
                  <w:color w:val="0000FF"/>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18</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1_b">
              <w:r>
                <w:rPr>
                  <w:rStyle w:val="InternetLink"/>
                  <w:rFonts w:ascii="Times New Roman" w:hAnsi="Times New Roman"/>
                  <w:color w:val="0000FF"/>
                  <w:sz w:val="20"/>
                  <w:u w:val="single"/>
                </w:rPr>
                <w:t>Item 1B. Unresolved Staff Comments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37</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1c">
              <w:r>
                <w:rPr>
                  <w:rStyle w:val="InternetLink"/>
                  <w:rFonts w:ascii="Times New Roman" w:hAnsi="Times New Roman"/>
                  <w:color w:val="0000FF"/>
                  <w:sz w:val="20"/>
                  <w:u w:val="single"/>
                </w:rPr>
                <w:t>Item 1C. Cybersecurity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37</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2">
              <w:r>
                <w:rPr>
                  <w:rStyle w:val="InternetLink"/>
                  <w:rFonts w:ascii="Times New Roman" w:hAnsi="Times New Roman"/>
                  <w:color w:val="0000FF"/>
                  <w:sz w:val="20"/>
                  <w:u w:val="single"/>
                </w:rPr>
                <w:t>Item 2. Properties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38</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3">
              <w:r>
                <w:rPr>
                  <w:rStyle w:val="InternetLink"/>
                  <w:rFonts w:ascii="Times New Roman" w:hAnsi="Times New Roman"/>
                  <w:color w:val="0000FF"/>
                  <w:sz w:val="20"/>
                  <w:u w:val="single"/>
                </w:rPr>
                <w:t>Item 3.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38</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4">
              <w:r>
                <w:rPr>
                  <w:rStyle w:val="InternetLink"/>
                  <w:rFonts w:ascii="Times New Roman" w:hAnsi="Times New Roman"/>
                  <w:color w:val="0000FF"/>
                  <w:sz w:val="20"/>
                  <w:u w:val="single"/>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r>
      <w:tr>
        <w:trPr/>
        <w:tc>
          <w:tcPr>
            <w:tcW w:w="8978" w:type="dxa"/>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Part II</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39</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5">
              <w:r>
                <w:rPr>
                  <w:rStyle w:val="InternetLink"/>
                  <w:rFonts w:ascii="Times New Roman" w:hAnsi="Times New Roman"/>
                  <w:color w:val="0000FF"/>
                  <w:sz w:val="20"/>
                  <w:u w:val="single"/>
                </w:rPr>
                <w:t>Item 5. Market for Registrant’s Common Equity and Related Stockholder Matters, and Issuer Purchases of Equity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39</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6">
              <w:r>
                <w:rPr>
                  <w:rStyle w:val="InternetLink"/>
                  <w:rFonts w:ascii="Times New Roman" w:hAnsi="Times New Roman"/>
                  <w:color w:val="0000FF"/>
                  <w:sz w:val="20"/>
                  <w:u w:val="single"/>
                </w:rPr>
                <w:t>Item 6. [Reserved]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39</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7">
              <w:r>
                <w:rPr>
                  <w:rStyle w:val="InternetLink"/>
                  <w:rFonts w:ascii="Times New Roman" w:hAnsi="Times New Roman"/>
                  <w:color w:val="0000FF"/>
                  <w:sz w:val="20"/>
                  <w:u w:val="single"/>
                </w:rPr>
                <w:t>Item 7.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40</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7a_quantitative_qualitative_disclos">
              <w:r>
                <w:rPr>
                  <w:rStyle w:val="InternetLink"/>
                  <w:rFonts w:ascii="Times New Roman" w:hAnsi="Times New Roman"/>
                  <w:color w:val="0000FF"/>
                  <w:sz w:val="20"/>
                  <w:u w:val="single"/>
                </w:rPr>
                <w:t>Item 7A.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47</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8_financial_statements_supplementar">
              <w:r>
                <w:rPr>
                  <w:rStyle w:val="InternetLink"/>
                  <w:rFonts w:ascii="Times New Roman" w:hAnsi="Times New Roman"/>
                  <w:color w:val="0000FF"/>
                  <w:sz w:val="20"/>
                  <w:u w:val="single"/>
                </w:rPr>
                <w:t>Item 8. Financial Statements and Supplementary Data</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47</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9">
              <w:r>
                <w:rPr>
                  <w:rStyle w:val="InternetLink"/>
                  <w:rFonts w:ascii="Times New Roman" w:hAnsi="Times New Roman"/>
                  <w:color w:val="0000FF"/>
                  <w:sz w:val="20"/>
                  <w:u w:val="single"/>
                </w:rPr>
                <w:t>Item 9. Changes in and Disagreements with Accountants on Accounting and Financial Disclosure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74</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9a">
              <w:r>
                <w:rPr>
                  <w:rStyle w:val="InternetLink"/>
                  <w:rFonts w:ascii="Times New Roman" w:hAnsi="Times New Roman"/>
                  <w:color w:val="0000FF"/>
                  <w:sz w:val="20"/>
                  <w:u w:val="single"/>
                </w:rPr>
                <w:t>Item 9A.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74</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9b">
              <w:r>
                <w:rPr>
                  <w:rStyle w:val="InternetLink"/>
                  <w:rFonts w:ascii="Times New Roman" w:hAnsi="Times New Roman"/>
                  <w:color w:val="0000FF"/>
                  <w:sz w:val="20"/>
                  <w:u w:val="single"/>
                </w:rPr>
                <w:t>Item 9B.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75</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9c_disclosure_regarding_foreign_jur">
              <w:r>
                <w:rPr>
                  <w:rStyle w:val="InternetLink"/>
                  <w:rFonts w:ascii="Times New Roman" w:hAnsi="Times New Roman"/>
                  <w:color w:val="0000FF"/>
                  <w:sz w:val="20"/>
                  <w:u w:val="single"/>
                </w:rPr>
                <w:t>Item 9C. Disclosure Regarding Foreign Jurisdictions that Prevent Inspections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r>
      <w:tr>
        <w:trPr/>
        <w:tc>
          <w:tcPr>
            <w:tcW w:w="8978" w:type="dxa"/>
            <w:tcBorders/>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color w:val="0000FF"/>
                  <w:sz w:val="20"/>
                  <w:u w:val="single"/>
                </w:rPr>
                <w:t>Part III</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76</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10">
              <w:r>
                <w:rPr>
                  <w:rStyle w:val="InternetLink"/>
                  <w:rFonts w:ascii="Times New Roman" w:hAnsi="Times New Roman"/>
                  <w:color w:val="0000FF"/>
                  <w:sz w:val="20"/>
                  <w:u w:val="single"/>
                </w:rPr>
                <w:t>Item 10. Directors, Executive Officers and 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76</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11">
              <w:r>
                <w:rPr>
                  <w:rStyle w:val="InternetLink"/>
                  <w:rFonts w:ascii="Times New Roman" w:hAnsi="Times New Roman"/>
                  <w:color w:val="0000FF"/>
                  <w:sz w:val="20"/>
                  <w:u w:val="single"/>
                </w:rPr>
                <w:t>Item 11. 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76</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12">
              <w:r>
                <w:rPr>
                  <w:rStyle w:val="InternetLink"/>
                  <w:rFonts w:ascii="Times New Roman" w:hAnsi="Times New Roman"/>
                  <w:color w:val="0000FF"/>
                  <w:sz w:val="20"/>
                  <w:u w:val="single"/>
                </w:rPr>
                <w:t>Item 12. Security Ownership of Certain Beneficial Owners and Management and Related Stockholder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76</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13">
              <w:r>
                <w:rPr>
                  <w:rStyle w:val="InternetLink"/>
                  <w:rFonts w:ascii="Times New Roman" w:hAnsi="Times New Roman"/>
                  <w:color w:val="0000FF"/>
                  <w:sz w:val="20"/>
                  <w:u w:val="single"/>
                </w:rPr>
                <w:t>Item 13. Certain Relationships and Related Transactions, and Director Independence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76</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14">
              <w:r>
                <w:rPr>
                  <w:rStyle w:val="InternetLink"/>
                  <w:rFonts w:ascii="Times New Roman" w:hAnsi="Times New Roman"/>
                  <w:color w:val="0000FF"/>
                  <w:sz w:val="20"/>
                  <w:u w:val="single"/>
                </w:rPr>
                <w:t>Item 14. Principal Accountant Fees and Services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w:t>
            </w:r>
          </w:p>
        </w:tc>
      </w:tr>
      <w:tr>
        <w:trPr/>
        <w:tc>
          <w:tcPr>
            <w:tcW w:w="8978" w:type="dxa"/>
            <w:tcBorders/>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color w:val="0000FF"/>
                  <w:sz w:val="20"/>
                  <w:u w:val="single"/>
                </w:rPr>
                <w:t>Part IV</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77</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15">
              <w:r>
                <w:rPr>
                  <w:rStyle w:val="InternetLink"/>
                  <w:rFonts w:ascii="Times New Roman" w:hAnsi="Times New Roman"/>
                  <w:color w:val="0000FF"/>
                  <w:sz w:val="20"/>
                  <w:u w:val="single"/>
                </w:rPr>
                <w:t>Item 15. Exhibits and Financial Statement Schedules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77</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978"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 I</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bookmarkStart w:id="3" w:name="item_1"/>
      <w:bookmarkEnd w:id="3"/>
      <w:r>
        <w:rPr>
          <w:rFonts w:ascii="Times New Roman" w:hAnsi="Times New Roman"/>
          <w:b/>
          <w:color w:val="000000"/>
          <w:sz w:val="20"/>
        </w:rPr>
        <w:t>Item 1. Business</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IRIDEX Corporation (“Iridex”) is an ophthalmic medical technology company focused on the development and commercialization of breakthrough products and procedures used to treat sight-threatening eye conditions, including glaucoma and retinal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propriety MicroPulse® Technology and Endpoint Management Technology are used for the treatment of glaucoma and retina disorders. Both technologies are offered as optional treatment modes in select laser consoles in addition to the standard continuous-wave (“CW”) treatment mode. They allow low-energy, subvisible, tissue-sparing laser therapy by different means: MicroPulse technology uses short, microsecond-long laser pulses that allow tissue to cool between pulses giving physicians finer control of thermal elevation to minimize tissue damage. Endpoint Management technology uses a delivery algorithm to titrate the laser energy. CW laser photocoagulation can stabilize vision over the long term but can also result in varying degrees of vision loss. Both MicroPulse and Endpoint Management technologies have demonstrated clinical efficacy with a safer profile compared to standard high-energy CW laser for the treatment of both retinal diseases and glaucoma.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consist of laser consoles, delivery devices and consumable probes.</w:t>
      </w:r>
    </w:p>
    <w:p>
      <w:pPr>
        <w:pStyle w:val="TextBody"/>
        <w:bidi w:val="0"/>
        <w:spacing w:before="120" w:after="283"/>
        <w:jc w:val="left"/>
        <w:rPr>
          <w:rFonts w:ascii="Times New Roman" w:hAnsi="Times New Roman"/>
          <w:sz w:val="20"/>
        </w:rPr>
      </w:pPr>
      <w:r>
        <w:rPr>
          <w:rFonts w:ascii="Times New Roman" w:hAnsi="Times New Roman"/>
          <w:i/>
          <w:color w:val="000000"/>
          <w:sz w:val="20"/>
        </w:rPr>
        <w:t>Our laser consoles consist of the following product lines:</w:t>
      </w:r>
      <w:r>
        <w:rPr>
          <w:rFonts w:ascii="Times New Roman" w:hAnsi="Times New Roman"/>
          <w:color w:val="000000"/>
          <w:sz w:val="20"/>
        </w:rPr>
        <w:t xml:space="preserv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Glaucoma</w:t>
      </w:r>
      <w:r>
        <w:rPr>
          <w:color w:val="000000"/>
        </w:rPr>
        <w:t xml:space="preserve"> – </w:t>
      </w:r>
      <w:r>
        <w:rPr>
          <w:rFonts w:ascii="Times New Roman" w:hAnsi="Times New Roman"/>
          <w:color w:val="000000"/>
          <w:sz w:val="20"/>
        </w:rPr>
        <w:t>Our primary glaucoma console line is the Cyclo G6</w:t>
      </w:r>
      <w:r>
        <w:rPr>
          <w:rFonts w:ascii="Times New Roman" w:hAnsi="Times New Roman"/>
          <w:color w:val="000000"/>
          <w:sz w:val="13"/>
        </w:rPr>
        <w:t>®</w:t>
      </w:r>
      <w:r>
        <w:rPr>
          <w:color w:val="000000"/>
        </w:rPr>
        <w:t xml:space="preserve"> </w:t>
      </w:r>
      <w:r>
        <w:rPr>
          <w:rFonts w:ascii="Times New Roman" w:hAnsi="Times New Roman"/>
          <w:color w:val="000000"/>
          <w:sz w:val="20"/>
        </w:rPr>
        <w:t>laser system with MicroPulse technology. In addition, our medical retina consoles have features supporting glaucoma laser treatments.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Medical Retina</w:t>
      </w:r>
      <w:r>
        <w:rPr>
          <w:color w:val="000000"/>
        </w:rPr>
        <w:t xml:space="preserve"> – </w:t>
      </w:r>
      <w:r>
        <w:rPr>
          <w:rFonts w:ascii="Times New Roman" w:hAnsi="Times New Roman"/>
          <w:color w:val="000000"/>
          <w:sz w:val="20"/>
        </w:rPr>
        <w:t>Our medical-retina product line includes our portable IQ 532</w:t>
      </w:r>
      <w:r>
        <w:rPr>
          <w:rFonts w:ascii="Times New Roman" w:hAnsi="Times New Roman"/>
          <w:color w:val="000000"/>
          <w:sz w:val="13"/>
        </w:rPr>
        <w:t>®</w:t>
      </w:r>
      <w:r>
        <w:rPr>
          <w:color w:val="000000"/>
        </w:rPr>
        <w:t xml:space="preserve"> </w:t>
      </w:r>
      <w:r>
        <w:rPr>
          <w:rFonts w:ascii="Times New Roman" w:hAnsi="Times New Roman"/>
          <w:color w:val="000000"/>
          <w:sz w:val="20"/>
        </w:rPr>
        <w:t>and IQ 577</w:t>
      </w:r>
      <w:r>
        <w:rPr>
          <w:rFonts w:ascii="Times New Roman" w:hAnsi="Times New Roman"/>
          <w:color w:val="000000"/>
          <w:sz w:val="13"/>
        </w:rPr>
        <w:t>®</w:t>
      </w:r>
      <w:r>
        <w:rPr>
          <w:color w:val="000000"/>
        </w:rPr>
        <w:t xml:space="preserve"> </w:t>
      </w:r>
      <w:r>
        <w:rPr>
          <w:rFonts w:ascii="Times New Roman" w:hAnsi="Times New Roman"/>
          <w:color w:val="000000"/>
          <w:sz w:val="20"/>
        </w:rPr>
        <w:t>laser systems with MicroPulse technology; and the Pattern Scanning Laser (“PASCAL”) System, an integrated workstation with Endpoint Management technology and MicroPulse technology. These systems are ideal for multispecialty practices because these lasers also can be used to treat glaucoma, i.e., single-spot laser trabeculoplasty using MicroPulse technology, iridotomy, and iridectomy using the IQ lasers; and pattern scanning laser trabeculoplasty (PSLT) using the PASCAL laser system.</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Surgical Retina</w:t>
      </w:r>
      <w:r>
        <w:rPr>
          <w:color w:val="000000"/>
        </w:rPr>
        <w:t xml:space="preserve"> – </w:t>
      </w:r>
      <w:r>
        <w:rPr>
          <w:rFonts w:ascii="Times New Roman" w:hAnsi="Times New Roman"/>
          <w:color w:val="000000"/>
          <w:sz w:val="20"/>
        </w:rPr>
        <w:t>Our surgical-retina product line includes our OcuLight</w:t>
      </w:r>
      <w:r>
        <w:rPr>
          <w:rFonts w:ascii="Times New Roman" w:hAnsi="Times New Roman"/>
          <w:color w:val="000000"/>
          <w:sz w:val="13"/>
        </w:rPr>
        <w:t>®</w:t>
      </w:r>
      <w:r>
        <w:rPr>
          <w:color w:val="000000"/>
        </w:rPr>
        <w:t xml:space="preserve"> </w:t>
      </w:r>
      <w:r>
        <w:rPr>
          <w:rFonts w:ascii="Times New Roman" w:hAnsi="Times New Roman"/>
          <w:color w:val="000000"/>
          <w:sz w:val="20"/>
        </w:rPr>
        <w:t>TX and OcuLight</w:t>
      </w:r>
      <w:r>
        <w:rPr>
          <w:rFonts w:ascii="Times New Roman" w:hAnsi="Times New Roman"/>
          <w:color w:val="000000"/>
          <w:sz w:val="13"/>
        </w:rPr>
        <w:t>®</w:t>
      </w:r>
      <w:r>
        <w:rPr>
          <w:color w:val="000000"/>
        </w:rPr>
        <w:t xml:space="preserve"> </w:t>
      </w:r>
      <w:r>
        <w:rPr>
          <w:rFonts w:ascii="Times New Roman" w:hAnsi="Times New Roman"/>
          <w:color w:val="000000"/>
          <w:sz w:val="20"/>
        </w:rPr>
        <w:t>SLx (with MicroPulse technology) laser photocoagulation systems. These systems are often used in vitrectomy procedures, which are used to treat proliferative diabetic retinopathy, macular holes, retinal tears and detachments.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generates recurring revenues through sales of consumable products, predominantly single-use laser probe devices and other instrumentation, as well as repair, service and extended service contracts for our laser systems.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laser probes consist of the following product lines: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Glaucoma</w:t>
      </w:r>
      <w:r>
        <w:rPr>
          <w:color w:val="000000"/>
        </w:rPr>
        <w:t xml:space="preserve"> – </w:t>
      </w:r>
      <w:r>
        <w:rPr>
          <w:rFonts w:ascii="Times New Roman" w:hAnsi="Times New Roman"/>
          <w:color w:val="000000"/>
          <w:sz w:val="20"/>
        </w:rPr>
        <w:t>Probes used in our glaucoma product line include our patented single-use delivery devices - MicroPulse P3</w:t>
      </w:r>
      <w:r>
        <w:rPr>
          <w:rFonts w:ascii="Times New Roman" w:hAnsi="Times New Roman"/>
          <w:color w:val="000000"/>
          <w:sz w:val="13"/>
        </w:rPr>
        <w:t>®</w:t>
      </w:r>
      <w:r>
        <w:rPr>
          <w:rFonts w:ascii="Times New Roman" w:hAnsi="Times New Roman"/>
          <w:color w:val="000000"/>
          <w:sz w:val="20"/>
        </w:rPr>
        <w:t>, G-Probe®, and G-Probe Illuminate®.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Surgical Retina </w:t>
      </w:r>
      <w:r>
        <w:rPr>
          <w:color w:val="000000"/>
        </w:rPr>
        <w:t xml:space="preserve">– </w:t>
      </w:r>
      <w:r>
        <w:rPr>
          <w:rFonts w:ascii="Times New Roman" w:hAnsi="Times New Roman"/>
          <w:color w:val="000000"/>
          <w:sz w:val="20"/>
        </w:rPr>
        <w:t>Probes used in our surgical retina product line include our family of single-use EndoProbe</w:t>
      </w:r>
      <w:r>
        <w:rPr>
          <w:rFonts w:ascii="Times New Roman" w:hAnsi="Times New Roman"/>
          <w:color w:val="000000"/>
          <w:sz w:val="13"/>
        </w:rPr>
        <w:t>®</w:t>
      </w:r>
      <w:r>
        <w:rPr>
          <w:color w:val="000000"/>
        </w:rPr>
        <w:t xml:space="preserve"> </w:t>
      </w:r>
      <w:r>
        <w:rPr>
          <w:rFonts w:ascii="Times New Roman" w:hAnsi="Times New Roman"/>
          <w:color w:val="000000"/>
          <w:sz w:val="20"/>
        </w:rPr>
        <w:t>handpieces.</w:t>
      </w:r>
    </w:p>
    <w:p>
      <w:pPr>
        <w:pStyle w:val="TextBody"/>
        <w:bidi w:val="0"/>
        <w:spacing w:before="120" w:after="283"/>
        <w:jc w:val="left"/>
        <w:rPr>
          <w:rFonts w:ascii="Times New Roman" w:hAnsi="Times New Roman"/>
          <w:sz w:val="20"/>
        </w:rPr>
      </w:pPr>
      <w:r>
        <w:rPr>
          <w:rFonts w:ascii="Times New Roman" w:hAnsi="Times New Roman"/>
          <w:color w:val="000000"/>
          <w:sz w:val="20"/>
        </w:rPr>
        <w:t>Ophthalmologists typically use our laser systems in hospital operating rooms and ambulatory surgical centers, as well as their offices and clinics. In operating rooms and ambulatory surgical centers, ophthalmologists use our laser systems with either an indirect laser ophthalmoscope or a single-use consumable probe, including MicroPulse P3</w:t>
      </w:r>
      <w:r>
        <w:rPr>
          <w:rFonts w:ascii="Times New Roman" w:hAnsi="Times New Roman"/>
          <w:color w:val="000000"/>
          <w:sz w:val="13"/>
        </w:rPr>
        <w:t>®</w:t>
      </w:r>
      <w:r>
        <w:rPr>
          <w:rFonts w:ascii="Times New Roman" w:hAnsi="Times New Roman"/>
          <w:color w:val="000000"/>
          <w:sz w:val="20"/>
        </w:rPr>
        <w:t>, G-Probe</w:t>
      </w:r>
      <w:r>
        <w:rPr>
          <w:rFonts w:ascii="Times New Roman" w:hAnsi="Times New Roman"/>
          <w:color w:val="000000"/>
          <w:sz w:val="13"/>
        </w:rPr>
        <w:t xml:space="preserve">® </w:t>
      </w:r>
      <w:r>
        <w:rPr>
          <w:rFonts w:ascii="Times New Roman" w:hAnsi="Times New Roman"/>
          <w:color w:val="000000"/>
          <w:sz w:val="20"/>
        </w:rPr>
        <w:t>and G-Probe Illuminate</w:t>
      </w:r>
      <w:r>
        <w:rPr>
          <w:rFonts w:ascii="Times New Roman" w:hAnsi="Times New Roman"/>
          <w:color w:val="000000"/>
          <w:sz w:val="13"/>
        </w:rPr>
        <w:t xml:space="preserve">® </w:t>
      </w:r>
      <w:r>
        <w:rPr>
          <w:rFonts w:ascii="Times New Roman" w:hAnsi="Times New Roman"/>
          <w:color w:val="000000"/>
          <w:sz w:val="20"/>
        </w:rPr>
        <w:t xml:space="preserve">delivery devices, and EndoProbe handpieces. In the offices and clinics, ophthalmologists use our laser systems with either an indirect laser ophthalmoscope or a slit-lamp adapter.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2023 and 2022, our products were sold in the United States and Germany predominantly through a direct sales force and internationally (aside from Germany, Italy, UK (Glaucoma), India, and other smaller markets) primarily through Topcon Corporation (“Topcon”) and other independent distributors. Total revenues in 2023 and 2022 were $51.9 million and $57.0 million, respectively. We generated net losses of $9.6 million and $7.5 million in 2023 and 2022,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IRIDEX Corporation was incorporated in California in February 1989 as IRIS Medical Instruments, Inc. In January 1996, we changed our name to IRIDEX Corporation and reincorporated in Delaware. Our executive offices are located at 1212 Terra Bella Avenue, Mountain View, California 94043-1824, and our telephone number is (650) 940-4700. We can also be reached at our website at www.Iridex.com; however, the information on, or that can be accessed through, our website is not part of this report.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Impact of Macroeconomic Conditions to our Business</w:t>
      </w:r>
    </w:p>
    <w:p>
      <w:pPr>
        <w:pStyle w:val="TextBody"/>
        <w:bidi w:val="0"/>
        <w:spacing w:before="120" w:after="283"/>
        <w:jc w:val="left"/>
        <w:rPr>
          <w:rFonts w:ascii="Times New Roman" w:hAnsi="Times New Roman"/>
          <w:sz w:val="20"/>
        </w:rPr>
      </w:pPr>
      <w:r>
        <w:rPr>
          <w:rFonts w:ascii="Times New Roman" w:hAnsi="Times New Roman"/>
          <w:color w:val="000000"/>
          <w:sz w:val="20"/>
        </w:rPr>
        <w:t>Current macroeconomic conditions present challenges that can affect capital equipment purchasing demand and timing, including recessionary fears, inflation concerns, heightened interest rates as a result of government actions to combat inflation, and uncertainty in the global banking and financial services market, as well as other geopolitical developments, have impacted and may continue to impact business spending and the economy as a whole. As a result, we have seen customers extend their purchasing decisions. We have also experienced some demand softness due to pricing effects from the strength of the U.S. dollar that have impacted and may continue to impact our operations</w:t>
      </w:r>
      <w:r>
        <w:rPr>
          <w:rFonts w:ascii="Times New Roman" w:hAnsi="Times New Roman"/>
          <w:color w:val="000000"/>
          <w:sz w:val="24"/>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macroeconomic conditions on our business and operations remains uncertain, and it is not possible for us to predict the duration and extent to which they will affect our business, future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more information on risks associated with the current macroeconomic conditions, see the section titled “Risk Factors” in Item 1A of Part I. For more information on the impact of macroeconomic conditions, on our business, see the section titled “Management’s Discussion and Analysis of Financial Condition and Results of Operation” in Item 7 of Part II.</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Market Opportunity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global ophthalmology market is experiencing significant growth, driven by the aging population and the increasing prevalence of chronic diseases. Our focus is on the glaucoma and retina disease markets, which represent a significant portion of this market.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Glaucoma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Glaucoma is a progressive, chronic disease most recognized by high intraocular pressure (“IOP”). Elevated IOP is often caused by too much aqueous humor (the thin watery fluid that fills the front of the eye) being produced, not enough being drained, or a combination of both. It is a leading cause of blindness worldwide, with an estimated 80-100 million candidates for treatment. Although reducing IOP is the only proven treatment, the traditional options of pharmaceuticals and incisional surgery have significant shortcomings, such as poor patient compliance, financial burden, impact to lifestyle, and side-effects more invasive than MP laser treatments. These limitations create an unmet medical need in the management of glaucoma patients. Given these limitations, there is a growing interest in alternative approaches that can provide comparable or better outcomes with a better safety profile at a lower cost. Our company is poised to address this unmet medical need and capture a significant market opportunity.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Medical Retina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medical retina business is focused on providing innovative and effective treatments for retinal disorders, which if left untreated, can lead to vision loss and blindness. It is estimated that 463 million people worldwide had diabetes in 2019, and this number is expected to increase to 578 million by 2030 and as many as 700 million by 2045, according to the International Diabetes Federation. Previous clinical studies have shown that 28.5% of diabetic patients may develop some form of diabetic retinopathy.</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some retinal disorders, traditional treatments such as standard CW laser photocoagulation and injected pharmaceuticals have significant shortcomings. CW laser photocoagulation can stabilize vision over the long term but can also result in varying degrees of vision loss, while pharmaceuticals require repeated painful injections that may cause side effects including an increased risk of eye infections. Furthermore, the repeated injections are demanding on physicians, patients, and the healthcare system in terms of time and cost. As a result, there is a growing interest in alternative approaches that can provide comparable or better patient outcomes with an improved safety profile at lower costs. Our medical retina business is dedicated to developing and providing such innovative and effective treatments for retinal diseases.</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Solution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traditional laser technology was developed to perform laser photocoagulation by using a mode that delivers continuously-on laser light, which is referred to as CW mode. Laser photocoagulation generates a local healing response and has been demonstrated to be a safe and effective therapy with long-term benefits for certain ophthalmic procedures. However, use of the CW mode typically leads to local tissue damage and can cause loss of visual function, which limits the applications of the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solutions build on traditional CW laser and innovative technology, such as: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proprietary MicroPulse technology chops a CW laser beam into an envelope of repetitive short “ON” pulses with longer “OFF” periods that allow tissue to cool between pulses. CW laser is analogous to holding your hand still over a candle flame; your hand will quickly burn. MicroPulse is analogous to moving your hand quickly in and out of the candle flame; your hand has time to cool between passes to avoid burning. MicroPulse has been clinically proven to be effective and safe for the treatment of glaucoma and retinal diseases, with a growing body of clinical evidence published over the past decade. We have developed three applications of our MicroPulse technology for the treatment of eye diseases, providing a range of options for physicians and patients seeking improved outcomes with reduced risks.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Endpoint Management technology allows clinicians to titrate the laser to subvisible, tissue-sparing levels using a proprietary energy delivery algorithm for the treatment of retinal diseases and glaucoma. By use of this formula, heat induced changes in the retina are controlled as Endpoint Management simultaneously modulates the laser power and duration providing linear control over a non-linear process.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pattern scanning laser technology efficiently delivers large laser patterns reducing treatment time and patient discomfort during treatment. PASCAL represents an improvement in ophthalmic treatment technology and is committed to helping physicians deliver effective results for patients. Ophthalmologists choose PASCAL because of its speed and ease of use.</w:t>
      </w:r>
    </w:p>
    <w:p>
      <w:pPr>
        <w:pStyle w:val="TextBody"/>
        <w:bidi w:val="0"/>
        <w:spacing w:before="120" w:after="283"/>
        <w:jc w:val="left"/>
        <w:rPr>
          <w:rFonts w:ascii="Times New Roman" w:hAnsi="Times New Roman"/>
          <w:sz w:val="20"/>
        </w:rPr>
      </w:pPr>
      <w:r>
        <w:rPr>
          <w:rFonts w:ascii="Times New Roman" w:hAnsi="Times New Roman"/>
          <w:b/>
          <w:color w:val="000000"/>
          <w:sz w:val="20"/>
        </w:rPr>
        <w:t>Market Opportunities with Iridex' Technology Solutions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469"/>
        <w:gridCol w:w="1556"/>
        <w:gridCol w:w="7180"/>
      </w:tblGrid>
      <w:tr>
        <w:trPr/>
        <w:tc>
          <w:tcPr>
            <w:tcW w:w="1469"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7180" w:type="dxa"/>
            <w:tcBorders/>
            <w:vAlign w:val="center"/>
          </w:tcPr>
          <w:p>
            <w:pPr>
              <w:pStyle w:val="TableContents"/>
              <w:bidi w:val="0"/>
              <w:spacing w:before="0" w:after="283"/>
              <w:ind w:left="0" w:right="0" w:firstLine="115"/>
              <w:jc w:val="left"/>
              <w:rPr>
                <w:sz w:val="4"/>
                <w:szCs w:val="4"/>
              </w:rPr>
            </w:pPr>
            <w:r>
              <w:rPr>
                <w:sz w:val="4"/>
                <w:szCs w:val="4"/>
              </w:rPr>
            </w:r>
          </w:p>
        </w:tc>
      </w:tr>
      <w:tr>
        <w:trPr/>
        <w:tc>
          <w:tcPr>
            <w:tcW w:w="1469"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120" w:after="283"/>
              <w:ind w:left="0" w:right="0" w:firstLine="115"/>
              <w:jc w:val="left"/>
              <w:rPr>
                <w:rFonts w:ascii="Times New Roman" w:hAnsi="Times New Roman"/>
                <w:b/>
                <w:color w:val="000000"/>
                <w:sz w:val="20"/>
              </w:rPr>
            </w:pPr>
            <w:r>
              <w:rPr>
                <w:rFonts w:ascii="Times New Roman" w:hAnsi="Times New Roman"/>
                <w:b/>
                <w:color w:val="000000"/>
                <w:sz w:val="20"/>
              </w:rPr>
              <w:t>Market Opportunities</w:t>
            </w:r>
          </w:p>
        </w:tc>
        <w:tc>
          <w:tcPr>
            <w:tcW w:w="15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283"/>
              <w:ind w:left="0" w:right="0" w:firstLine="115"/>
              <w:jc w:val="left"/>
              <w:rPr>
                <w:rFonts w:ascii="Times New Roman" w:hAnsi="Times New Roman"/>
                <w:b/>
                <w:color w:val="000000"/>
                <w:sz w:val="20"/>
              </w:rPr>
            </w:pPr>
            <w:r>
              <w:rPr>
                <w:rFonts w:ascii="Times New Roman" w:hAnsi="Times New Roman"/>
                <w:b/>
                <w:color w:val="000000"/>
                <w:sz w:val="20"/>
              </w:rPr>
              <w:t>Iridex Technologies</w:t>
            </w:r>
          </w:p>
        </w:tc>
        <w:tc>
          <w:tcPr>
            <w:tcW w:w="7180"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283"/>
              <w:ind w:left="0" w:right="0" w:firstLine="115"/>
              <w:jc w:val="left"/>
              <w:rPr>
                <w:rFonts w:ascii="Times New Roman" w:hAnsi="Times New Roman"/>
                <w:b/>
                <w:color w:val="000000"/>
                <w:sz w:val="20"/>
              </w:rPr>
            </w:pPr>
            <w:r>
              <w:rPr>
                <w:rFonts w:ascii="Times New Roman" w:hAnsi="Times New Roman"/>
                <w:b/>
                <w:color w:val="000000"/>
                <w:sz w:val="20"/>
              </w:rPr>
              <w:t>Laser Systems, Delivery Devices &amp; Overview</w:t>
            </w:r>
          </w:p>
        </w:tc>
      </w:tr>
      <w:tr>
        <w:trPr/>
        <w:tc>
          <w:tcPr>
            <w:tcW w:w="146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Glaucoma</w:t>
            </w:r>
          </w:p>
        </w:tc>
        <w:tc>
          <w:tcPr>
            <w:tcW w:w="1556" w:type="dxa"/>
            <w:tcBorders>
              <w:bottom w:val="single" w:sz="4" w:space="0" w:color="000000"/>
              <w:right w:val="single" w:sz="4" w:space="0" w:color="000000"/>
            </w:tcBorders>
            <w:tcMar>
              <w:top w:w="0" w:type="dxa"/>
              <w:left w:w="0" w:type="dxa"/>
            </w:tcMar>
            <w:vAlign w:val="center"/>
          </w:tcPr>
          <w:p>
            <w:pPr>
              <w:pStyle w:val="TableContents"/>
              <w:bidi w:val="0"/>
              <w:spacing w:before="120" w:after="283"/>
              <w:ind w:left="115" w:right="0" w:firstLine="115"/>
              <w:jc w:val="left"/>
              <w:rPr>
                <w:rFonts w:ascii="Times New Roman" w:hAnsi="Times New Roman"/>
                <w:color w:val="000000"/>
                <w:sz w:val="20"/>
              </w:rPr>
            </w:pPr>
            <w:r>
              <w:rPr>
                <w:rFonts w:ascii="Times New Roman" w:hAnsi="Times New Roman"/>
                <w:color w:val="000000"/>
                <w:sz w:val="20"/>
              </w:rPr>
              <w:t>MicroPulse</w:t>
              <w:br/>
              <w:t> </w:t>
            </w:r>
          </w:p>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Increase outflow via uveoscleral pathway</w:t>
            </w:r>
          </w:p>
        </w:tc>
        <w:tc>
          <w:tcPr>
            <w:tcW w:w="7180" w:type="dxa"/>
            <w:tcBorders>
              <w:bottom w:val="single" w:sz="4" w:space="0" w:color="000000"/>
              <w:right w:val="single" w:sz="4" w:space="0" w:color="000000"/>
            </w:tcBorders>
            <w:tcMar>
              <w:top w:w="0" w:type="dxa"/>
              <w:left w:w="0" w:type="dxa"/>
            </w:tcMar>
            <w:vAlign w:val="center"/>
          </w:tcPr>
          <w:p>
            <w:pPr>
              <w:pStyle w:val="TableContents"/>
              <w:bidi w:val="0"/>
              <w:spacing w:before="120" w:after="283"/>
              <w:ind w:left="115" w:right="0" w:firstLine="115"/>
              <w:jc w:val="left"/>
              <w:rPr>
                <w:rFonts w:ascii="Times New Roman" w:hAnsi="Times New Roman"/>
                <w:sz w:val="20"/>
              </w:rPr>
            </w:pPr>
            <w:r>
              <w:rPr>
                <w:rFonts w:ascii="Times New Roman" w:hAnsi="Times New Roman"/>
                <w:b/>
                <w:color w:val="000000"/>
                <w:sz w:val="20"/>
              </w:rPr>
              <w:t xml:space="preserve">Treats glaucoma using our Cyclo G6 laser system and MicroPulse P3 delivery device. </w:t>
            </w:r>
            <w:r>
              <w:rPr>
                <w:rFonts w:ascii="Times New Roman" w:hAnsi="Times New Roman"/>
                <w:color w:val="000000"/>
                <w:sz w:val="20"/>
              </w:rPr>
              <w:t>MicroPulse P3 is Iridex’s proprietary, single-use, disposable probe. It delivers MicroPulse laser transsclerally (through the white of the eye) to target the ciliary body inside the eye. The ciliary body controls various ocular functions including aqueous humor production, and it helps facilitate the reduction of aqueous humor via outflow channels.</w:t>
            </w:r>
          </w:p>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Transscleral laser therapy (“TLT”) using MicroPulse technology is a non-incisional treatment that is believed to reduce IOP primarily through uveoscleral outflow. Numerous peer-reviewed published clinical studies have demonstrated MicroPulse TLT as a safe and clinically effective treatment to lower patients’ IOP and reduce the number of topical eye drops and oral medications across a wide spectrum of glaucoma types and disease severity. Glaucoma specialists and comprehensive ophthalmologists incorporate MicroPulse TLT prior to, concurrent with, and after other surgical therapies. It’s a repeatable procedure which doesn’t impact the patient’s quality of life nor does it inhibit future interventions.</w:t>
            </w:r>
          </w:p>
        </w:tc>
      </w:tr>
      <w:tr>
        <w:trPr/>
        <w:tc>
          <w:tcPr>
            <w:tcW w:w="146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Glaucoma</w:t>
            </w:r>
          </w:p>
        </w:tc>
        <w:tc>
          <w:tcPr>
            <w:tcW w:w="1556" w:type="dxa"/>
            <w:tcBorders>
              <w:bottom w:val="single" w:sz="4" w:space="0" w:color="000000"/>
              <w:right w:val="single" w:sz="4" w:space="0" w:color="000000"/>
            </w:tcBorders>
            <w:tcMar>
              <w:top w:w="0" w:type="dxa"/>
              <w:left w:w="0" w:type="dxa"/>
            </w:tcMar>
            <w:vAlign w:val="center"/>
          </w:tcPr>
          <w:p>
            <w:pPr>
              <w:pStyle w:val="TableContents"/>
              <w:bidi w:val="0"/>
              <w:spacing w:before="120" w:after="283"/>
              <w:ind w:left="115" w:right="0" w:firstLine="115"/>
              <w:jc w:val="left"/>
              <w:rPr>
                <w:rFonts w:ascii="Times New Roman" w:hAnsi="Times New Roman"/>
                <w:color w:val="000000"/>
                <w:sz w:val="20"/>
              </w:rPr>
            </w:pPr>
            <w:r>
              <w:rPr>
                <w:rFonts w:ascii="Times New Roman" w:hAnsi="Times New Roman"/>
                <w:color w:val="000000"/>
                <w:sz w:val="20"/>
              </w:rPr>
              <w:t>MicroPulse</w:t>
              <w:br/>
              <w:t> </w:t>
            </w:r>
          </w:p>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Increase outflow via trabecular meshwork</w:t>
            </w:r>
          </w:p>
        </w:tc>
        <w:tc>
          <w:tcPr>
            <w:tcW w:w="7180" w:type="dxa"/>
            <w:tcBorders>
              <w:bottom w:val="single" w:sz="4" w:space="0" w:color="000000"/>
              <w:right w:val="single" w:sz="4" w:space="0" w:color="000000"/>
            </w:tcBorders>
            <w:tcMar>
              <w:top w:w="0" w:type="dxa"/>
              <w:left w:w="0" w:type="dxa"/>
            </w:tcMar>
            <w:vAlign w:val="center"/>
          </w:tcPr>
          <w:p>
            <w:pPr>
              <w:pStyle w:val="TableContents"/>
              <w:bidi w:val="0"/>
              <w:spacing w:before="120" w:after="283"/>
              <w:ind w:left="0" w:right="0" w:firstLine="115"/>
              <w:jc w:val="left"/>
              <w:rPr>
                <w:rFonts w:ascii="Times New Roman" w:hAnsi="Times New Roman"/>
                <w:sz w:val="20"/>
              </w:rPr>
            </w:pPr>
            <w:r>
              <w:rPr>
                <w:rFonts w:ascii="Times New Roman" w:hAnsi="Times New Roman"/>
                <w:b/>
                <w:color w:val="000000"/>
                <w:sz w:val="20"/>
              </w:rPr>
              <w:t>Treats glaucoma with our IQ laser systems.</w:t>
            </w:r>
            <w:r>
              <w:rPr>
                <w:rFonts w:ascii="Times New Roman" w:hAnsi="Times New Roman"/>
                <w:color w:val="000000"/>
                <w:sz w:val="20"/>
              </w:rPr>
              <w:t> MicroPulse laser is delivered through a mechanical and optical delivery device and targets the trabecular meshwork. Physicians describe the technique as MicroPulse Laser Trabeculoplasty (“MLT”). It is believed that the MLT procedure improves trabecular meshwork outflow and thus lowers IOP. We believe that the MLT procedure provides incremental clinical benefits relative to other laser trabeculoplasty procedures such as SLT.</w:t>
            </w:r>
          </w:p>
        </w:tc>
      </w:tr>
      <w:tr>
        <w:trPr/>
        <w:tc>
          <w:tcPr>
            <w:tcW w:w="146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Glaucoma</w:t>
            </w:r>
          </w:p>
        </w:tc>
        <w:tc>
          <w:tcPr>
            <w:tcW w:w="1556" w:type="dxa"/>
            <w:tcBorders>
              <w:bottom w:val="single" w:sz="4" w:space="0" w:color="000000"/>
              <w:right w:val="single" w:sz="4" w:space="0" w:color="000000"/>
            </w:tcBorders>
            <w:tcMar>
              <w:top w:w="0" w:type="dxa"/>
              <w:lef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PSLT</w:t>
              <w:br/>
              <w:br/>
              <w:t>Increase outflow via trabecular meshwork</w:t>
            </w:r>
          </w:p>
        </w:tc>
        <w:tc>
          <w:tcPr>
            <w:tcW w:w="7180" w:type="dxa"/>
            <w:tcBorders>
              <w:bottom w:val="single" w:sz="4" w:space="0" w:color="000000"/>
              <w:right w:val="single" w:sz="4" w:space="0" w:color="000000"/>
            </w:tcBorders>
            <w:tcMar>
              <w:top w:w="0" w:type="dxa"/>
              <w:left w:w="0" w:type="dxa"/>
            </w:tcMar>
            <w:vAlign w:val="center"/>
          </w:tcPr>
          <w:p>
            <w:pPr>
              <w:pStyle w:val="TableContents"/>
              <w:bidi w:val="0"/>
              <w:spacing w:before="120" w:after="283"/>
              <w:ind w:left="0" w:right="0" w:firstLine="115"/>
              <w:jc w:val="left"/>
              <w:rPr>
                <w:rFonts w:ascii="Times New Roman" w:hAnsi="Times New Roman"/>
                <w:sz w:val="20"/>
              </w:rPr>
            </w:pPr>
            <w:r>
              <w:rPr>
                <w:rFonts w:ascii="Times New Roman" w:hAnsi="Times New Roman"/>
                <w:b/>
                <w:color w:val="000000"/>
                <w:sz w:val="20"/>
              </w:rPr>
              <w:t xml:space="preserve">Pattern Scanning Laser Trabeculoplasty (PSLT) </w:t>
            </w:r>
            <w:r>
              <w:rPr>
                <w:rFonts w:ascii="Times New Roman" w:hAnsi="Times New Roman"/>
                <w:color w:val="000000"/>
                <w:sz w:val="20"/>
              </w:rPr>
              <w:t>is a computer-guided therapy that provides precise placement of laser patterns along the trabecular meshwork, independent of the visibility of lesions. PSLT provides rapid, precise, and subvisible computer-guided treatment with exact placement of the patterns for the lowering of IOP.</w:t>
            </w:r>
          </w:p>
        </w:tc>
      </w:tr>
      <w:tr>
        <w:trPr/>
        <w:tc>
          <w:tcPr>
            <w:tcW w:w="146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Glaucoma</w:t>
            </w:r>
          </w:p>
        </w:tc>
        <w:tc>
          <w:tcPr>
            <w:tcW w:w="1556" w:type="dxa"/>
            <w:tcBorders>
              <w:bottom w:val="single" w:sz="4" w:space="0" w:color="000000"/>
              <w:right w:val="single" w:sz="4" w:space="0" w:color="000000"/>
            </w:tcBorders>
            <w:tcMar>
              <w:top w:w="0" w:type="dxa"/>
              <w:left w:w="0" w:type="dxa"/>
            </w:tcMar>
            <w:vAlign w:val="center"/>
          </w:tcPr>
          <w:p>
            <w:pPr>
              <w:pStyle w:val="TableContents"/>
              <w:bidi w:val="0"/>
              <w:spacing w:before="120" w:after="283"/>
              <w:ind w:left="115" w:right="0" w:firstLine="115"/>
              <w:jc w:val="left"/>
              <w:rPr>
                <w:rFonts w:ascii="Times New Roman" w:hAnsi="Times New Roman"/>
                <w:color w:val="000000"/>
                <w:sz w:val="20"/>
              </w:rPr>
            </w:pPr>
            <w:r>
              <w:rPr>
                <w:rFonts w:ascii="Times New Roman" w:hAnsi="Times New Roman"/>
                <w:color w:val="000000"/>
                <w:sz w:val="20"/>
              </w:rPr>
              <w:t>CW</w:t>
            </w:r>
          </w:p>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Reduce inflow</w:t>
            </w:r>
          </w:p>
        </w:tc>
        <w:tc>
          <w:tcPr>
            <w:tcW w:w="7180" w:type="dxa"/>
            <w:tcBorders>
              <w:bottom w:val="single" w:sz="4" w:space="0" w:color="000000"/>
              <w:right w:val="single" w:sz="4" w:space="0" w:color="000000"/>
            </w:tcBorders>
            <w:tcMar>
              <w:top w:w="0" w:type="dxa"/>
              <w:left w:w="0" w:type="dxa"/>
            </w:tcMar>
            <w:vAlign w:val="center"/>
          </w:tcPr>
          <w:p>
            <w:pPr>
              <w:pStyle w:val="TableContents"/>
              <w:bidi w:val="0"/>
              <w:spacing w:before="120" w:after="283"/>
              <w:ind w:left="115" w:right="0" w:firstLine="115"/>
              <w:jc w:val="left"/>
              <w:rPr>
                <w:rFonts w:ascii="Times New Roman" w:hAnsi="Times New Roman"/>
                <w:sz w:val="20"/>
              </w:rPr>
            </w:pPr>
            <w:r>
              <w:rPr>
                <w:rFonts w:ascii="Times New Roman" w:hAnsi="Times New Roman"/>
                <w:b/>
                <w:color w:val="000000"/>
                <w:sz w:val="20"/>
              </w:rPr>
              <w:t xml:space="preserve">Treats glaucoma using our Cyclo G6 laser system and G-Probe or G-Probe Illuminate delivery device. </w:t>
            </w:r>
            <w:r>
              <w:rPr>
                <w:rFonts w:ascii="Times New Roman" w:hAnsi="Times New Roman"/>
                <w:color w:val="000000"/>
                <w:sz w:val="20"/>
              </w:rPr>
              <w:t>The Iridex G-Probe is a fiber-optic laser delivery device used to selectively ablate ciliary processes in patients who require treatment for refractory glaucoma. Delivery is transscleral (through the white of the eye). The G-Probe Illuminate provides built-in transillumination for optimized probe placement and therapeutic outcome.</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027"/>
        <w:gridCol w:w="1447"/>
        <w:gridCol w:w="7731"/>
      </w:tblGrid>
      <w:tr>
        <w:trPr/>
        <w:tc>
          <w:tcPr>
            <w:tcW w:w="102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7731" w:type="dxa"/>
            <w:tcBorders/>
            <w:vAlign w:val="center"/>
          </w:tcPr>
          <w:p>
            <w:pPr>
              <w:pStyle w:val="TableContents"/>
              <w:bidi w:val="0"/>
              <w:spacing w:before="0" w:after="283"/>
              <w:ind w:left="0" w:right="0" w:firstLine="115"/>
              <w:jc w:val="left"/>
              <w:rPr>
                <w:sz w:val="4"/>
                <w:szCs w:val="4"/>
              </w:rPr>
            </w:pPr>
            <w:r>
              <w:rPr>
                <w:sz w:val="4"/>
                <w:szCs w:val="4"/>
              </w:rPr>
            </w:r>
          </w:p>
        </w:tc>
      </w:tr>
      <w:tr>
        <w:trPr/>
        <w:tc>
          <w:tcPr>
            <w:tcW w:w="1027"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Medical Retina</w:t>
            </w:r>
          </w:p>
        </w:tc>
        <w:tc>
          <w:tcPr>
            <w:tcW w:w="144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MicroPulse</w:t>
            </w:r>
          </w:p>
        </w:tc>
        <w:tc>
          <w:tcPr>
            <w:tcW w:w="773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283"/>
              <w:ind w:left="0" w:right="0" w:firstLine="115"/>
              <w:jc w:val="left"/>
              <w:rPr>
                <w:rFonts w:ascii="Times New Roman" w:hAnsi="Times New Roman"/>
                <w:sz w:val="20"/>
              </w:rPr>
            </w:pPr>
            <w:r>
              <w:rPr>
                <w:rFonts w:ascii="Times New Roman" w:hAnsi="Times New Roman"/>
                <w:b/>
                <w:color w:val="000000"/>
                <w:sz w:val="20"/>
              </w:rPr>
              <w:t xml:space="preserve">Treats Retinal Disorders with our IQ laser system. </w:t>
            </w:r>
            <w:r>
              <w:rPr>
                <w:rFonts w:ascii="Times New Roman" w:hAnsi="Times New Roman"/>
                <w:color w:val="000000"/>
                <w:sz w:val="20"/>
              </w:rPr>
              <w:t>MicroPulse laser is administered through our TxCell Pattern Scanning Slit Lamp Adapter or standard slit lamp adapter. Studies have demonstrated that for the treatment of retinal disorders, MicroPulse laser therapy has several competitive advantages over alternate therapies with respect to long term vision stability, visual function, and cost effectiveness.</w:t>
            </w:r>
          </w:p>
        </w:tc>
      </w:tr>
      <w:tr>
        <w:trPr/>
        <w:tc>
          <w:tcPr>
            <w:tcW w:w="102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Medical Retina</w:t>
            </w:r>
          </w:p>
        </w:tc>
        <w:tc>
          <w:tcPr>
            <w:tcW w:w="1447" w:type="dxa"/>
            <w:tcBorders>
              <w:bottom w:val="single" w:sz="4" w:space="0" w:color="000000"/>
              <w:right w:val="single" w:sz="4" w:space="0" w:color="000000"/>
            </w:tcBorders>
            <w:tcMar>
              <w:top w:w="0" w:type="dxa"/>
              <w:left w:w="0" w:type="dxa"/>
            </w:tcMar>
            <w:vAlign w:val="center"/>
          </w:tcPr>
          <w:p>
            <w:pPr>
              <w:pStyle w:val="TableContents"/>
              <w:bidi w:val="0"/>
              <w:spacing w:before="120" w:after="283"/>
              <w:ind w:left="115" w:right="0" w:firstLine="115"/>
              <w:jc w:val="left"/>
              <w:rPr>
                <w:rFonts w:ascii="Times New Roman" w:hAnsi="Times New Roman"/>
                <w:color w:val="000000"/>
                <w:sz w:val="20"/>
              </w:rPr>
            </w:pPr>
            <w:r>
              <w:rPr>
                <w:rFonts w:ascii="Times New Roman" w:hAnsi="Times New Roman"/>
                <w:color w:val="000000"/>
                <w:sz w:val="20"/>
              </w:rPr>
              <w:t>CW</w:t>
              <w:br/>
              <w:t> </w:t>
            </w:r>
          </w:p>
          <w:p>
            <w:pPr>
              <w:pStyle w:val="TableContents"/>
              <w:bidi w:val="0"/>
              <w:spacing w:before="120" w:after="283"/>
              <w:ind w:left="115" w:right="0" w:firstLine="115"/>
              <w:jc w:val="left"/>
              <w:rPr>
                <w:rFonts w:ascii="Times New Roman" w:hAnsi="Times New Roman"/>
                <w:color w:val="000000"/>
                <w:sz w:val="20"/>
              </w:rPr>
            </w:pPr>
            <w:r>
              <w:rPr>
                <w:rFonts w:ascii="Times New Roman" w:hAnsi="Times New Roman"/>
                <w:color w:val="000000"/>
                <w:sz w:val="20"/>
              </w:rPr>
              <w:t>Endpoint Management</w:t>
            </w:r>
          </w:p>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MicroPulse</w:t>
            </w:r>
          </w:p>
        </w:tc>
        <w:tc>
          <w:tcPr>
            <w:tcW w:w="7731" w:type="dxa"/>
            <w:tcBorders>
              <w:bottom w:val="single" w:sz="4" w:space="0" w:color="000000"/>
              <w:right w:val="single" w:sz="4" w:space="0" w:color="000000"/>
            </w:tcBorders>
            <w:tcMar>
              <w:top w:w="0" w:type="dxa"/>
              <w:left w:w="0" w:type="dxa"/>
            </w:tcMar>
            <w:vAlign w:val="center"/>
          </w:tcPr>
          <w:p>
            <w:pPr>
              <w:pStyle w:val="TableContents"/>
              <w:bidi w:val="0"/>
              <w:spacing w:before="120" w:after="283"/>
              <w:ind w:left="115" w:right="0" w:firstLine="115"/>
              <w:jc w:val="left"/>
              <w:rPr>
                <w:rFonts w:ascii="Times New Roman" w:hAnsi="Times New Roman"/>
                <w:sz w:val="20"/>
              </w:rPr>
            </w:pPr>
            <w:r>
              <w:rPr>
                <w:rFonts w:ascii="Times New Roman" w:hAnsi="Times New Roman"/>
                <w:b/>
                <w:color w:val="000000"/>
                <w:sz w:val="20"/>
              </w:rPr>
              <w:t xml:space="preserve">Treats Retinal Disorders with our PASCAL laser system. </w:t>
            </w:r>
            <w:r>
              <w:rPr>
                <w:rFonts w:ascii="Times New Roman" w:hAnsi="Times New Roman"/>
                <w:color w:val="000000"/>
                <w:sz w:val="20"/>
              </w:rPr>
              <w:t>PASCAL efficiently delivers large laser patterns reducing treatment time and patient discomfort during treatment of retinal disorders using standard CW laser therapy or sub-threshold Endpoint Management.</w:t>
            </w:r>
            <w:r>
              <w:rPr>
                <w:rFonts w:ascii="Times New Roman" w:hAnsi="Times New Roman"/>
                <w:b/>
                <w:color w:val="000000"/>
                <w:sz w:val="20"/>
              </w:rPr>
              <w:br/>
            </w:r>
            <w:r>
              <w:rPr>
                <w:rFonts w:ascii="Times New Roman" w:hAnsi="Times New Roman"/>
                <w:color w:val="000000"/>
                <w:sz w:val="20"/>
              </w:rPr>
              <w:t> </w:t>
            </w:r>
          </w:p>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MicroPulse laser is administered through the integrated slit lamp on our PASCAL laser system. Studies have demonstrated that for the treatment of retinal disorders, MicroPulse laser therapy has several competitive advantages over alternate therapies with respect to long term vision stability, visual function, and cost effectiveness.</w:t>
            </w:r>
          </w:p>
        </w:tc>
      </w:tr>
      <w:tr>
        <w:trPr/>
        <w:tc>
          <w:tcPr>
            <w:tcW w:w="102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Surgical Retina</w:t>
            </w:r>
          </w:p>
        </w:tc>
        <w:tc>
          <w:tcPr>
            <w:tcW w:w="1447" w:type="dxa"/>
            <w:tcBorders>
              <w:bottom w:val="single" w:sz="4" w:space="0" w:color="000000"/>
              <w:right w:val="single" w:sz="4" w:space="0" w:color="000000"/>
            </w:tcBorders>
            <w:tcMar>
              <w:top w:w="0" w:type="dxa"/>
              <w:lef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CW</w:t>
            </w:r>
          </w:p>
        </w:tc>
        <w:tc>
          <w:tcPr>
            <w:tcW w:w="7731" w:type="dxa"/>
            <w:tcBorders>
              <w:bottom w:val="single" w:sz="4" w:space="0" w:color="000000"/>
              <w:right w:val="single" w:sz="4" w:space="0" w:color="000000"/>
            </w:tcBorders>
            <w:tcMar>
              <w:top w:w="0" w:type="dxa"/>
              <w:left w:w="0" w:type="dxa"/>
            </w:tcMar>
            <w:vAlign w:val="center"/>
          </w:tcPr>
          <w:p>
            <w:pPr>
              <w:pStyle w:val="TableContents"/>
              <w:bidi w:val="0"/>
              <w:spacing w:before="120" w:after="283"/>
              <w:ind w:left="115" w:right="0" w:firstLine="115"/>
              <w:jc w:val="left"/>
              <w:rPr>
                <w:rFonts w:ascii="Times New Roman" w:hAnsi="Times New Roman"/>
                <w:sz w:val="20"/>
              </w:rPr>
            </w:pPr>
            <w:r>
              <w:rPr>
                <w:rFonts w:ascii="Times New Roman" w:hAnsi="Times New Roman"/>
                <w:b/>
                <w:color w:val="000000"/>
                <w:sz w:val="20"/>
              </w:rPr>
              <w:t xml:space="preserve">The Iridex EndoProbe is used with our IQ and OcuLight lasers. </w:t>
            </w:r>
            <w:r>
              <w:rPr>
                <w:rFonts w:ascii="Times New Roman" w:hAnsi="Times New Roman"/>
                <w:color w:val="000000"/>
                <w:sz w:val="20"/>
              </w:rPr>
              <w:t>EndoProbe handpieces are used to treat proliferative diabetic retinopathy, macular holes, retinal tears and detachments. These disposable probes are available in tapered, angled, stepped, aspirating, illuminating, and adjustable styles, as well as a wide variety of sizes. The EndoProbe is a sterile disposable product.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Our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global leader in developing, manufacturing, marketing, selling and servicing innovative medical laser systems and associated instrumentation for the treatment of sight-threatening eye diseases, we aim to capitalize on our strong brand and distribution network within the ophthalmology market. Our goal is to promote MicroPulse as a credible treatment option for glaucoma and retinal diseases, while also commercializing a range of products that enhance therapeutic outcomes for patients, streamline physician efficiency, reduce costs, and provide economic benefits to healthcare systems. We are committed to pursuing a variety of organic initiatives, with potential acquisitions serving as a complementary strategy and complementary inorganic initiatives. Through the successful execution of this strategy, we anticipate driving profitable growth and creating increased shareholder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achieve these goals, we are pursuing several organic initiatives that we anticipate will be supplemented from time to time by acquisitions, such as the asset acquisition completed with one of the subsidiaries for Topcon. We anticipate that the successful execution of this strategy will lead to profitable growth and enhanced shareholder value.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are designed with a system approach in mind, with each system consisting of a laser console that generates laser energy, along with a range of interchangeable delivery devices or single-use disposable probes for use in specific clinical applications. This enables our customers to invest in a basic laser system and expand their therapeutic capabilities over time, with the ability to add additional delivery devices or disposable probes as needed. Our product line currently comprises three main categories: (1) laser consoles, (2) delivery devices, which are optical-mechanical products that can be mounted to ophthalmologists' diagnostic equipment and transmit the laser energy, and (3) single-use disposable probes, which deliver the laser energy to targeted regions inside the eye.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Laser Consoles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laser consoles, which are identified below, incorporate the economic and technical benefits of solid state and semiconductor laser technology to design small, portable and reliable lasers.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Glaucoma:</w:t>
      </w:r>
    </w:p>
    <w:p>
      <w:pPr>
        <w:pStyle w:val="TextBody"/>
        <w:bidi w:val="0"/>
        <w:spacing w:before="120" w:after="283"/>
        <w:jc w:val="left"/>
        <w:rPr>
          <w:rFonts w:ascii="Times New Roman" w:hAnsi="Times New Roman"/>
          <w:sz w:val="20"/>
        </w:rPr>
      </w:pPr>
      <w:r>
        <w:rPr>
          <w:rFonts w:ascii="Times New Roman" w:hAnsi="Times New Roman"/>
          <w:i/>
          <w:color w:val="000000"/>
          <w:sz w:val="20"/>
        </w:rPr>
        <w:t>Cyclo G6</w:t>
      </w:r>
      <w:r>
        <w:rPr>
          <w:rFonts w:ascii="Times New Roman" w:hAnsi="Times New Roman"/>
          <w:color w:val="000000"/>
          <w:sz w:val="20"/>
        </w:rPr>
        <w:t xml:space="preserve"> </w:t>
      </w:r>
      <w:r>
        <w:rPr>
          <w:rFonts w:ascii="Times New Roman" w:hAnsi="Times New Roman"/>
          <w:i/>
          <w:color w:val="000000"/>
          <w:sz w:val="20"/>
        </w:rPr>
        <w:t>Laser System.</w:t>
      </w:r>
      <w:r>
        <w:rPr>
          <w:rFonts w:ascii="Times New Roman" w:hAnsi="Times New Roman"/>
          <w:color w:val="000000"/>
          <w:sz w:val="20"/>
        </w:rPr>
        <w:t xml:space="preserve"> The Cyclo G6 is an infrared (810nm) laser designed to treat patients diagnosed with a range of glaucoma disease states. The Cyclo G6 system is sold with a family of probes that are disposable, including our patented MicroPulse P3 probe that utilizes our MicroPulse technology, our G-Probe and G-Probe Illuminate.</w:t>
      </w:r>
    </w:p>
    <w:p>
      <w:pPr>
        <w:pStyle w:val="TextBody"/>
        <w:bidi w:val="0"/>
        <w:spacing w:before="120" w:after="283"/>
        <w:jc w:val="left"/>
        <w:rPr>
          <w:rFonts w:ascii="Times New Roman" w:hAnsi="Times New Roman"/>
          <w:sz w:val="20"/>
        </w:rPr>
      </w:pPr>
      <w:r>
        <w:rPr>
          <w:rFonts w:ascii="Times New Roman" w:hAnsi="Times New Roman"/>
          <w:i/>
          <w:color w:val="000000"/>
          <w:sz w:val="20"/>
        </w:rPr>
        <w:t>PASCAL Laser System</w:t>
      </w:r>
      <w:r>
        <w:rPr>
          <w:rFonts w:ascii="Times New Roman" w:hAnsi="Times New Roman"/>
          <w:color w:val="000000"/>
          <w:sz w:val="20"/>
        </w:rPr>
        <w:t>. The new Iridex PASCAL is available in either 532 nm or 577 nm wavelengths. Pattern Scanning Laser Trabeculoplasty (“PSLT”) is a tissue-sparing laser treatment for reducing IOP in open angle glaucoma. PSLT provides a rapid, precise, and minimally traumatic computer-guided treatment that applies a sequence of patterns onto the trabecular meshwork.</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Medical retina:</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IQ Laser System. </w:t>
      </w:r>
      <w:r>
        <w:rPr>
          <w:rFonts w:ascii="Times New Roman" w:hAnsi="Times New Roman"/>
          <w:color w:val="000000"/>
          <w:sz w:val="20"/>
        </w:rPr>
        <w:t>Our IQ laser systems offer our MicroPulse technology but also have CW capabilities. Our IQ 577 delivers visible yellow (577nm) laser light and our IQ 532 delivers visible green (532nm) laser light. Our IQ laser systems are typically used with our TxCell</w:t>
      </w:r>
      <w:r>
        <w:rPr>
          <w:rFonts w:ascii="Times New Roman" w:hAnsi="Times New Roman"/>
          <w:color w:val="000000"/>
          <w:sz w:val="13"/>
        </w:rPr>
        <w:t>®</w:t>
      </w:r>
      <w:r>
        <w:rPr>
          <w:rFonts w:ascii="Times New Roman" w:hAnsi="Times New Roman"/>
          <w:color w:val="000000"/>
          <w:sz w:val="20"/>
        </w:rPr>
        <w:t xml:space="preserve"> Scanning Laser Delivery System and our Slit Lamp Adapters when used to treat retinal disorders with MicroPulse.</w:t>
      </w:r>
    </w:p>
    <w:p>
      <w:pPr>
        <w:pStyle w:val="TextBody"/>
        <w:bidi w:val="0"/>
        <w:spacing w:before="120" w:after="283"/>
        <w:jc w:val="left"/>
        <w:rPr>
          <w:rFonts w:ascii="Times New Roman" w:hAnsi="Times New Roman"/>
          <w:sz w:val="20"/>
        </w:rPr>
      </w:pPr>
      <w:r>
        <w:rPr>
          <w:rFonts w:ascii="Times New Roman" w:hAnsi="Times New Roman"/>
          <w:i/>
          <w:color w:val="000000"/>
          <w:sz w:val="20"/>
        </w:rPr>
        <w:t>PASCAL Laser System</w:t>
      </w:r>
      <w:r>
        <w:rPr>
          <w:rFonts w:ascii="Times New Roman" w:hAnsi="Times New Roman"/>
          <w:color w:val="000000"/>
          <w:sz w:val="20"/>
        </w:rPr>
        <w:t>. The new Iridex PASCAL is available in either 532 nm or 577 nm wavelengths. It offers the ultimate combination of pattern scanning, Endpoint Management Technology, Pattern Scanning Laser Trabeculoplasty, and now, MicroPulse Technology, providing physicians with expanded treatment capabilities in a smaller, ergonomically-optimized laser platform.</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Surgical retina: </w:t>
      </w:r>
      <w:r>
        <w:rPr>
          <w:rFonts w:ascii="Times New Roman" w:hAnsi="Times New Roman"/>
          <w:color w:val="000000"/>
          <w:sz w:val="20"/>
        </w:rPr>
        <w:t>Our OcuLight TX laser delivers visible green (532nm) laser light. Our OcuLight SLx laser delivers infrared (810 nm) laser light.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Delivery Devices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delivery devices are typically used with our IQ and OcuLight laser systems: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Slit Lamp Adapter (“SLA”). </w:t>
      </w:r>
      <w:r>
        <w:rPr>
          <w:rFonts w:ascii="Times New Roman" w:hAnsi="Times New Roman"/>
          <w:color w:val="000000"/>
          <w:sz w:val="20"/>
        </w:rPr>
        <w:t xml:space="preserve">These adapters allow the physician to utilize a standard slit lamp in both diagnosis and treatment procedures. Physicians can install an SLA in a few minutes and convert standard diagnostic slit lamps into a therapeutic laser delivery system. SLAs are used in treatment procedures for both retinal diseases and glaucoma.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Laser Indirect Ophthalmoscope (“LIO”). </w:t>
      </w:r>
      <w:r>
        <w:rPr>
          <w:rFonts w:ascii="Times New Roman" w:hAnsi="Times New Roman"/>
          <w:color w:val="000000"/>
          <w:sz w:val="20"/>
        </w:rPr>
        <w:t xml:space="preserve">The indirect ophthalmoscope is designed to be worn on the physician’s head and to be used in procedures to treat peripheral retinal disorders, particularly in infants or adults requiring treatment in the supine position. This product can be used in both diagnosis and treatment procedures at the point-of-care.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Single-use disposable probes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delivery device is typically used with our IQ laser systems:</w:t>
      </w:r>
    </w:p>
    <w:p>
      <w:pPr>
        <w:pStyle w:val="TextBody"/>
        <w:bidi w:val="0"/>
        <w:spacing w:before="120" w:after="283"/>
        <w:jc w:val="left"/>
        <w:rPr>
          <w:rFonts w:ascii="Times New Roman" w:hAnsi="Times New Roman"/>
          <w:sz w:val="20"/>
        </w:rPr>
      </w:pPr>
      <w:r>
        <w:rPr>
          <w:rFonts w:ascii="Times New Roman" w:hAnsi="Times New Roman"/>
          <w:i/>
          <w:color w:val="000000"/>
          <w:sz w:val="20"/>
        </w:rPr>
        <w:t>TxCell Scanning Laser Delivery System (“TxCell”)</w:t>
      </w:r>
      <w:r>
        <w:rPr>
          <w:rFonts w:ascii="Times New Roman" w:hAnsi="Times New Roman"/>
          <w:color w:val="000000"/>
          <w:sz w:val="20"/>
        </w:rPr>
        <w:t>. TxCell allows the physician to perform multi-spot pattern scanning for efficient delivery of MicroPulse laser therapy.</w:t>
      </w:r>
      <w:r>
        <w:rPr>
          <w:rFonts w:ascii="Times New Roman" w:hAnsi="Times New Roman"/>
          <w:i/>
          <w:color w:val="000000"/>
          <w:sz w:val="20"/>
        </w:rPr>
        <w:br/>
      </w:r>
      <w:r>
        <w:rPr>
          <w:rFonts w:ascii="Times New Roman" w:hAnsi="Times New Roman"/>
          <w:color w:val="000000"/>
          <w:sz w:val="20"/>
        </w:rPr>
        <w:t>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MicroPulse P3 Probe. </w:t>
      </w:r>
      <w:r>
        <w:rPr>
          <w:rFonts w:ascii="Times New Roman" w:hAnsi="Times New Roman"/>
          <w:color w:val="000000"/>
          <w:sz w:val="20"/>
        </w:rPr>
        <w:t>The MicroPulse P3 delivery device is used with our Cyclo G6 laser system to perform transscleral laser therapy (“TLT”) using MicroPulse technology. The MicroPulse P3 probe is used on an anesthetized eye in the doctor’s office or in the operating rooms. The non-incisional procedure takes just a few minutes and results in minimal post-operative recovery for the patient. MicroPulse TLT may be used to treat a wide variety of glaucoma types, including open-angle and closed-angle glaucoma, and a broad range of disease severity.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the launch of the MicroPulse P3 probe in 2015, we have worked with physicians to optimize treatment techniques and clinical outcomes. During our collaborations, we learned that minor ergonomic probe modifications could facilitate easier use and result in more consistent clinical outcomes. In Q4 2019, we released a revised MicroPulse P3 probe that reflects these modifications. Initial feedback from approximately 150 physicians has been very positive in terms of better viewing of the treatment area, ease of treating small eyes and deep-set eyes, more intuitive probe orientation and placement, better stabilization of the probe on the eye, and improved light coupling to the tissue. In addition, physicians have continued to observe excellent safety profiles and good preliminary clinical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2021, an international panel of 10 glaucoma experts was formed to provide peer-driven contemporary clinical guidance on the use and indications of the revised MicroPulse P3 Probe and Cyclo G6 Laser System for the treatment of glaucoma. They performed a complete analysis of MicroPulse TLT clinical, technical, and practical experience to date, and then conducted a three-round Delphi method to develop recommendations for its clinical application. Two peer-reviewed manuscripts from Clinical Ophthalmology, an international peer-reviewed journal, document their findings and recommendations, and conclude that used with proper energy settings, techniques and treatment indications, MicroPulse TLT is a safe and effective treatment for many cases of glaucoma and is a useful addition to the glaucoma treatment armamentarium.</w:t>
      </w:r>
    </w:p>
    <w:p>
      <w:pPr>
        <w:pStyle w:val="TextBody"/>
        <w:bidi w:val="0"/>
        <w:spacing w:before="120" w:after="283"/>
        <w:jc w:val="left"/>
        <w:rPr>
          <w:rFonts w:ascii="Times New Roman" w:hAnsi="Times New Roman"/>
          <w:sz w:val="20"/>
        </w:rPr>
      </w:pPr>
      <w:r>
        <w:rPr>
          <w:rFonts w:ascii="Times New Roman" w:hAnsi="Times New Roman"/>
          <w:i/>
          <w:color w:val="000000"/>
          <w:sz w:val="20"/>
        </w:rPr>
        <w:t>G-Probe</w:t>
      </w:r>
      <w:r>
        <w:rPr>
          <w:rFonts w:ascii="Times New Roman" w:hAnsi="Times New Roman"/>
          <w:i/>
          <w:color w:val="000000"/>
          <w:sz w:val="13"/>
        </w:rPr>
        <w:t>®</w:t>
      </w:r>
      <w:r>
        <w:rPr>
          <w:rFonts w:ascii="Times New Roman" w:hAnsi="Times New Roman"/>
          <w:i/>
          <w:color w:val="000000"/>
          <w:sz w:val="20"/>
        </w:rPr>
        <w:t xml:space="preserve">. </w:t>
      </w:r>
      <w:r>
        <w:rPr>
          <w:rFonts w:ascii="Times New Roman" w:hAnsi="Times New Roman"/>
          <w:color w:val="000000"/>
          <w:sz w:val="20"/>
        </w:rPr>
        <w:t>The G-Probe is used in procedures to treat uncontrolled glaucoma, typically described as “refractory glaucoma.” The G-Probe delivers CW laser to the ciliary body and is believed to stop the production of aqueous humor, thus reducing IOP. The G-Probe’s non-invasive procedure takes approximately ten minutes and is performed on an anesthetized eye in the doctor’s office or operating rooms. The G-Probe is a sterile disposable product.</w:t>
      </w:r>
    </w:p>
    <w:p>
      <w:pPr>
        <w:pStyle w:val="TextBody"/>
        <w:bidi w:val="0"/>
        <w:spacing w:before="120" w:after="283"/>
        <w:jc w:val="left"/>
        <w:rPr>
          <w:rFonts w:ascii="Times New Roman" w:hAnsi="Times New Roman"/>
          <w:sz w:val="20"/>
        </w:rPr>
      </w:pPr>
      <w:r>
        <w:rPr>
          <w:rFonts w:ascii="Times New Roman" w:hAnsi="Times New Roman"/>
          <w:i/>
          <w:color w:val="000000"/>
          <w:sz w:val="20"/>
        </w:rPr>
        <w:t>G-Probe Illuminate</w:t>
      </w:r>
      <w:r>
        <w:rPr>
          <w:rFonts w:ascii="Times New Roman" w:hAnsi="Times New Roman"/>
          <w:i/>
          <w:color w:val="000000"/>
          <w:sz w:val="13"/>
        </w:rPr>
        <w:t>®</w:t>
      </w:r>
      <w:r>
        <w:rPr>
          <w:rFonts w:ascii="Times New Roman" w:hAnsi="Times New Roman"/>
          <w:i/>
          <w:color w:val="000000"/>
          <w:sz w:val="20"/>
        </w:rPr>
        <w:t xml:space="preserve">. </w:t>
      </w:r>
      <w:r>
        <w:rPr>
          <w:rFonts w:ascii="Times New Roman" w:hAnsi="Times New Roman"/>
          <w:color w:val="000000"/>
          <w:sz w:val="20"/>
        </w:rPr>
        <w:t>The G-Probe Illuminate is also used in procedures to treat refractory glaucoma. The proprietary illumination feature allows for more targeted treatment and may offer additional clinical benefits. The G-Probe Illuminate is a sterile disposable product.</w:t>
      </w:r>
    </w:p>
    <w:p>
      <w:pPr>
        <w:pStyle w:val="TextBody"/>
        <w:bidi w:val="0"/>
        <w:spacing w:before="120" w:after="283"/>
        <w:jc w:val="left"/>
        <w:rPr>
          <w:rFonts w:ascii="Times New Roman" w:hAnsi="Times New Roman"/>
          <w:sz w:val="20"/>
        </w:rPr>
      </w:pPr>
      <w:r>
        <w:rPr>
          <w:rFonts w:ascii="Times New Roman" w:hAnsi="Times New Roman"/>
          <w:i/>
          <w:color w:val="000000"/>
          <w:sz w:val="20"/>
        </w:rPr>
        <w:t>EndoProbe</w:t>
      </w:r>
      <w:r>
        <w:rPr>
          <w:rFonts w:ascii="Times New Roman" w:hAnsi="Times New Roman"/>
          <w:i/>
          <w:color w:val="000000"/>
          <w:sz w:val="13"/>
        </w:rPr>
        <w:t xml:space="preserve">® </w:t>
      </w:r>
      <w:r>
        <w:rPr>
          <w:rFonts w:ascii="Times New Roman" w:hAnsi="Times New Roman"/>
          <w:i/>
          <w:color w:val="000000"/>
          <w:sz w:val="20"/>
        </w:rPr>
        <w:t xml:space="preserve">Handpieces. </w:t>
      </w:r>
      <w:r>
        <w:rPr>
          <w:rFonts w:ascii="Times New Roman" w:hAnsi="Times New Roman"/>
          <w:color w:val="000000"/>
          <w:sz w:val="20"/>
        </w:rPr>
        <w:t>Our EndoProbe family of products are used for endophotocoagulation, a retinal treatment procedure performed in the hospital operating rooms or ambulatory surgical centers during a vitrectomy procedure. Vitrectomy procedures are performed to treat proliferative diabetic retinopathy, macular holes, retinal tears and detachments. These disposable probes are available in tapered, angled, stepped, aspirating, illuminating, and adjustable styles, as well as a wide variety of sizes. The EndoProbe is a sterile disposable product.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close working relationships with researchers, clinicians and practicing physicians around the world who provide new ideas, evaluate prototypes and assist us in validating new products and new applications before they are introduced.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internal research and development (“R&amp;D”) activities are performed by a current team of 18 engineers and regulatory professionals with experience in various aspects of medical products, laser systems, delivery devices, clinical techniques, and regulatory affairs with a focus on introducing innovative products which satisfy the unmet and emerging needs of our customers. The core competencies of the team include: mechanical engineering, electrical engineering, optics, lasers, fiber optics, software, and industrial designs. The R&amp;D process integrates all of the necessary disciplines from product inception through customer acceptance. This process facilitates reliable new product innovations and a consistent pipeline of innovative products for our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activities are managed internally by our R&amp;D staff. We supplement our internal R&amp;D staff by hiring consultants or partnering with physicians known for their expertise. Research efforts are directed toward the development of new products, as well as the identification of markets not currently addressed by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it is important to make a substantial contribution to improving clinical outcomes. For instance, we have made substantial investments in improving the treatment of serious eye diseases such as glaucoma and retinal disease.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objectives of developing new treatments and applications are to expand the patient population, to better and more economically treat diseases, to treat patients earlier in the treatment regimen and to reduce the side effects of treatment.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consider clinical projects to be a component of our R&amp;D efforts and they may or may not result in additional commercial opportunities.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Customers and Customer Support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products are currently sold for use by ophthalmologists specializing in the treatment of eye disease in retina, glaucoma and pediatric eye diseases. Other customers include research and teaching hospitals, government installations, surgical centers, hospitals, veterinary practices, and office clinics (outpatient).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to provide superior customer support and service and believe that our customer service and technical support distinguish our product offerings from those of our competitors. We provide depot service at our Mountain View facility for our products. Our customer support representatives assist customers with orders, warranty returns and other administrative functions. Our technical support engineers provide customers with answers to technical and product-related questions. We maintain an “around-the-clock” telephone service line to service our customers. If a problem with a depot serviceable product cannot be diagnosed and resolved by telephone, a service loaner is shipped overnight to domestic customers under warranty or service contract, and by the most rapid delivery means available to our international customers, and the problem unit is returned to us. The small size and rugged design of our products allows for economical shipment and quick response to customers worldwide.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Sales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and marketing strategies for 2023 focused on the United States and Germany, primarily through our direct sales team, while we worked with independent distributors for international sales (excluding Germany). We have 30 direct sales personnel in the United States, one in Germany, and seven team members dedicated to managing our distribution sales efforts globally. Sales operations are managed from our headquarters in Mountain View, California. In 2023, international sales accounted for 49.8% of our revenues, respectively. We anticipate that our international sales will remain a significant contributor to our revenue in the future. Our customers are located in Europe, Asia, the Pacific Rim, the Middle East, Africa, Canada and Latin America. We usually enter into exclusive distribution agreements with our international distributors that can be terminated by either party with a 90-day notice.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International sales may be affected by factors such as currency fluctuations, governmental controls, export technology restrictions, political instability, trade restrictions, tariff changes, tax treaties, and economic conditions in each country where we sell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support our sales activities, we utilize various marketing programs including our in-person business site visits, website, social media, email marketing, clinical education, trade shows, public relations, market research, key opinion leader collaborations, and advertising in trade and academic journals and newsletters. We also participate in annual trade shows worldwide, which allow us to showcase our products to existing and potential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marketing programs help us collaborate with customers to identify new product ideas and applications that address their needs, enabling us to develop new products, identify new applications for our products, and validate new procedures using our products. Our customers include key opinion leaders in ophthalmology, often heads of departments or university professors. We believe that these experts are critical to the successful introduction of new products and their subsequent acceptance in the market. The validation and commercialization of our new products depend on early adoption by these opinion leaders.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Clinical Affairs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established a Clinical Affairs group to facilitate clinical research opportunities, provide specialized ophthalmic surgeon training and credentialing for our proprietary MicroPulse products, develop strong relationships with prominent key opinion leaders, and ensure the accuracy and consistency of our messaging to the market. We recognize that a robust research program and professional training for our customers are essential in driving the application of our technology for widespread and consistent use, and our Clinical Affairs group is dedicated to achieving these goals.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manufacture of our visible light and infrared laser consoles and the related delivery devices is a highly complex and precise process. Completed systems must pass quality control testing and quality assurance review before shipment. Our manufacturing activities consist of specifying, sourcing, assembling and testing of components and certain subassemblies for assembly into our final product. Currently we have a total of 17 employees engaged in manufacturing activities for these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medical devices we manufacture are subject to extensive regulation by numerous governmental authorities, including federal, state, and foreign governmental agencies. The principal regulators in the United States are the Food and Drug Administration (“FDA”) and the California Department of Public Health, Food and Drug Branch. In April 1998, we received certification for ISO 9001/EN 46001, which is an international quality system standard that documents compliance to the European Medical Device Directives. In 2004, we were certified to ISO 13485:2003, which replaced ISO 9001/EN46001 as the international standard for quality systems as applied to medical devices. In 2018, we were certified to ISO 13485:2016, which superseded the 2003 version of the standard. In 2008, we received FDA 510(k) clearance on our family of Iridex IQ laser systems. This clearance covers the Iridex IQ 532 Laser and IQ 577 Laser and their associated delivery devices to deliver laser energy in either CW or MicroPulse mode. In January 2015, we received FDA 510(k) clearance for Cyclo G6 Laser. In 2022 and 2023 we received FDA 510(k) clearance for the Iridex Pascal (532 nm and 577 nm models) laser system and the Iridex Laser (532 nm and 577 nm models). These laser systems are intended for a wide range of specific applications in the medical specialties of ophthalmology.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International regulatory bodies often establish varying product standards, packaging requirements, labeling requirements, tariff regulations, duties and tax requirements. As a result of our sales in Europe, we are required to have all products “CE” marked, an international symbol affixed to all our medical device products demonstrating compliance to the European Medical Device Directives and/or Medical Device Regulations and all applicable standards. In 1998, we received CE mark certification under Annex II guidelines, the most stringent path to CE certification. With Annex II CE mark certification, we have demonstrated our ability to both understand and comply with all applicable standards under the European Medical Device Directives. In May 2021, the Medical Device Directives were superseded by the Medical Device Regulations (“MDR”), with a transition period for our Class IIa and IIb products lasting in effect until May 2024, which allows Iridex to market these products during transition period. In February 2023, the European Parliament voted to extend the MDR transition deadline from 2024 to 2028 for our products. The Company will obtain certification of compliance to the Medical Device Regulations before the transition deadline. Currently, all of our products marketed within the EU are CE marked. Continued certification is based on successful review of quality management systems by our European Registrar (Notified Body) during its periodic audits. Any loss of certification could have a material adverse effect on our business, results of operations and financial condition. We rely on third parties to manufacture substantially all of the components used in our products, although we assemble critical subassemblies and the final product at our facility in Mountain View, California. Some of these suppliers and manufacturers are sole source. We have some long-term or volume purchase agreements with our suppliers but currently purchase most components on a purchase order basis. These components may not be available in the quantities required, on reasonable terms, or at all. Financial or other difficulties faced by our suppliers or significant changes in demand for these components or materials could limit their availability. Any failures by our third-party suppliers to adequately perform may delay the submission of products for regulatory approval, impair our ability to deliver products on a timely basis or otherwise impair our competitive position.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principal ophthalmic laser competitors are Alcon Inc., DORC, Bausch Health Companies Inc., Carl Zeiss Meditec AG, Lumenis Ltd., Nidek Co. Ltd., Lumibird, ARC Gmbh, Meridian, OD-OS GmBh and Norlase. We also compete with alternative glaucoma surgical device companies such as Alcon, Inc., Novartis AG, Allergan, Inc., Glaukos Corporation and New World Medical, Inc. Pharmaceuticals represent alternative treatments to our laser procedures. Some of our principal pharmaceutical competitors are Alcon, Inc., Allergan, Inc., Astellas Pharma Inc., Pfizer Inc., Regeneron Pharmaceuticals, Inc., and Roche Holding Ltd. (Genentech). Some of our competitors have substantially greater financial, engineering, product development, manufacturing, marketing and technical resources than we do. Some companies also have greater name recognition than us and long-standing customer relationships. In addition, other medical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Patents and Proprietary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These are either developed internally or obtained from acquisitions that we make.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file patent applications to protect technology, inventions and improvements that are significant to the development of our business. Our patent portfolio includes 66 active United States patents and 84 active international patents on the technologies related to our products and processes. In addition, we have 12 patent applications pending in the United States and 18 international patent applications pending. Our patent applications may not be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provisions requiring such individuals to assign to us, without additional consideration, any inventions conceived or reduced to practice by them while employed or retained by us, subject to customary exceptions. We can provide no assurance that our employees and consultants will abide by the provisions of these agreements and that our confidential information and trade secrets will be protected.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medical devices marketed and manufactured by us are subject to extensive regulation by numerous governmental authorities, including federal, state, and foreign governmental agencies. Pursuant to the Federal Food, Drug, and Cosmetic Act (“FD&amp;C Act”), as amended, and the regulations promulgated thereunder, the FDA serves as the principal federal agency within the United States with authority over medical devices and regulates the research, clinical testing, manufacture, labeling, distribution, sale, marketing and promotion of such devices. Noncompliance with applicable requirements can result in, among other things, warning letters, fines, injunctions, civil penalties, recall or seizures of products, total or partial suspension of production, failure of the government to grant pre-market clearance or approval for devices, withdrawal of marketing approvals, and criminal prosecution. The FDA also has the authority to request repair, replacement or refund of the cost of any medical device manufactured or distributed by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medical devices are classified into one of three classes - Class I, II or III. The class to which the device is assigned determines, among other things, the type of pre-marketing submission/application required for FDA clearance to market. If the device is classified as Class I or II, and if it is not exempt, a 510(k) pre-market notification will be required for marketing. Under FDA regulations, Class I devices are mostly subject to general controls (for example, labeling, pre-market notification and adherence to Quality System Regulations (“QSRs”) requirements). Class II devices typically receive marketing clearance through a 510(k) pre-market notification. For Class III devices, a pre-market approval (“PMA”) application will be required unless the device is a pre-amendments device (on the market prior to the passage of the medical device amendments in 1976, or substantially equivalent to such a device) and PMAs have not been called for. In that case, a 510(k) will be the route to market. A 510(k) clearance will be granted if the submitted information establishes that the proposed device is substantially equivalent to a legally marketed Class I or II medical device, or to a Class III medical device for which the FDA has not called for a PMA. The FDA may determine that a proposed device is not substantially equivalent to a legally marketed device or that additional information or data are needed before a substantial equivalence determination can be made. A request for additional data may require that clinical studies and/or non-clinical studies of the device’s safety and effectiveness be performed.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commercial distribution of a device for which a 510(k) notification is required can begin only after the FDA issues an order finding the device to be substantially equivalent to a previously cleared device. The FDA has recently been requiring a more rigorous demonstration of substantial equivalence than in the past. Even in cases where the FDA grants a 510(k) clearance, it can take the FDA between one and six months from the date of submission to grant a 510(k) clearance, but it may take longer.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“not substantially equivalent” determination, or a request for additional information, could delay the market introduction of new products that fall into this category and could have a material adverse effect on our business, financial condition and results of operations. For any of our products that are cleared through the 510(k) process, modifications or enhancements that could significantly affect the safety or effectiveness of the device or that constitute a major change to the intended use of the device will require new 510(k) submissions.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obtained 510(k) clearances for all of our medical device products marketed within the United States that require 510(k) clearance. We have also modified aspects of our products since receiving regulatory clearance, and we have submitted 510(k)s for those modifications as required by FDA regulations. After a device receives a 510(k) clearance or a PMA, any modification that could significantly affect its safety or effectiveness, or that would constitute a major change in its intended use, will require a new clearance or approval. The FDA requires each manufacturer to make this determination initially, but the FDA can review any such decision and can disagree with a manufacturer’s determination. If the FDA disagrees with our determination not to seek a new 510(k) clearance or PMA, the FDA may retroactively require us to seek 510(k) clearance or pre-market approval. The FDA could also require us to cease marketing and distribution and/or recall the modified device until a 510(k) clearance or a PMA approval is obtained. Also, in these circumstances, we may be subject to significant regulatory fines or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products manufactured or distributed by us pursuant to FDA clearances or approvals are subject to pervasive and continuing regulation by the FDA, including record keeping requirements and reporting of adverse experiences with the use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the device. Device manufacturers are required to register their establishments and list their devices with the FDA and certain state agencies, and are subject to periodic inspections by the FDA and certain state agencies. The FD&amp;C Act requires devices to be manufactured to comply with applicable QSR regulations which impose certain procedural and documentation requirements upon us with respect to design, development, manufacturing and quality assurance activities. We are subject to unannounced inspections by the FDA and the Food and Drug Branch of the California Department of Public Health, to determine our compliance with the QSR and other regulations, and these inspections may include the manufacturing facilities of our subcontractors.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Labeling and promotion activities are subject to scrutiny by the FDA and in certain instances, by the Federal Trade Commission. The FDA actively enforces regulations prohibiting marketing of products for unapproved uses. We and our products are also subject to a variety of state laws and regulations in those states or localities where our products are or will be marketed. Any applicable state or local regulations may hinder our ability to market our products in those states or localities. Manufacturers are also subject to numerous federal, state and local laws relating to such matters as safe working conditions, manufacturing practices, environmental protection, fire hazard control and disposal of hazardous or potentially hazardous substances. We may be required to incur significant costs to comply with such laws and regulations now or in the future. Such laws or regulations may have a material adverse effect upon our ability to do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Export of our products is regulated by the FDA and subject to the FD&amp;C Act, 21 U.S.C. §§321-397, and other statutes FDA administers, which greatly expanded the export of approved and unapproved United States medical devices. However, some foreign countries require manufacturers to provide a specific type of FDA export certificate (such as a Certificate to Foreign Government or Certificate of Exportability) which requires the device manufacturer to certify to the FDA that the product has been granted pre-market clearance in the United States and that the manufacturing facilities appeared to be in compliance with QSR at the time of the last QSR inspection. The FDA will refuse to issue any export certificate if significant outstanding QSR violations exist.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regulated under the Radiation Control provisions (originally enacted as the Radiation Control for Health and Safety Act of 1968) which are located in Sections 531 through 542 of the FD&amp;C Act, which requires laser products to comply with performance standards, including design and operation requirements, and manufacturers to certify in product labeling and in reports to the FDA that their products comply with all such standards. The law also requires laser manufacturers to file new product and annual reports, maintain manufacturing, testing and sales records and report product defects. Various warning labels must be affixed and certain protective devices installed, depending on the class of the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introduction of our products in foreign markets will also subject us to foreign regulatory clearances which may impose substantial additional costs and burdens. International sales of medical devices are subject to the regulatory requirements of each country. The regulatory review process varies from country to country. Many countries also impose product standards, packaging requirements, labeling requirements and import restrictions on devices. In addition, each country has its own tariff regulations, duties and tax requirements. The approval by the FDA and foreign government authorities is unpredictable and uncertain. The necessary approvals or clearances may not be granted on a timely basis, if at all. Delays in receipt of, or a failure to receive, such approvals or clearances, or the loss of any previously received approvals or clearances, could have a material adverse effect on our business, financial condition and results of operations. There are a number of major regulatory changes occurring in the regulation of medical devices in the European Union. The revision of the quality system regulation (ISO 13485:2016) has been released that substantially increased the requirements for a medical device quality system. The Medical Device Regulation (“MDR”) has replaced the medical device directives (93/42/EEC), and it substantially changed the way that medical devices are brought to market in the European Union and how they maintain compliance throughout the product’s life cycle. Additionally, the new revision 4 of the clinical evaluation report guidance document (MEDDEV 2.7.1) and the Medical Device Coordination Group (MDCG) guidance document “Regulation (EU) 2017/745: Clinical evidence needed for medical devices previously CE marked under Directives 93/42/EEC or 90/385/EEC” (MDCG 2020-6) severely restricts the use of substantial equivalence for new products, resulting in the need for formal clinical trial data for many new products. These changes will increase the cost for compliance and for product development, and they lengthen product introduction cycles. Failure to comply with these changes can have an adverse effect on our ability to release new products in a timely manner.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maintain a Canadian Medical Device License (“MDL”), which is needed to sell a medical device in Canada, the holder of the MDL (the “regulatory manufacturer”) must obtain an ISO 13485:2016 certificate through the Medical Device Single Audit Program (“MDSAP”). The MDSAP requirement is new to Canada, and manufacturers that received an MDL prior to adoption of this requirement are required to transition to the MDSAP. To address this Canadian medical device licensing requirement, Iridex transferred its MDLs to Salient Medical Solutions (“Salient”), Iridex’s distributor in Canada and an entity that is certified under MDSAP. Iridex continues to fabricate the devices as Salient’s contract manufacturer. Salient is now the regulatory manufacturer, and has the licenses necessary to import and sell Iridex’s products into Canada.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existing requirements or adoption of new requirements or policies by the FDA or other foreign and domestic regulatory authorities could adversely affect our ability to comply with regulatory requirements. Failure to comply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regulatory requirements could have a material adverse effect on our business, financial condition and results of operations. We may be required to incur significant costs to comply with laws and regulations in the future. These laws or regulations may have a material adverse effect upon our business, financial condition or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a significant portion of medical care in the United States is funded by government programs, health maintenance organizations and private insurance plans. Our ophthalmology products are typically purchased by doctors, clinics, hospitals and other users, which bill various third-party payers, such as government programs and private insurance plans, for the health care services provided to their patients. Government imposed limits on reimbursement of hospitals and other health care providers have significantly affected the spending budgets of doctors, clinics and hospitals to acquire new equipment, including our products. Under certain government insurance programs, a health care provider is reimbursed for a fixed sum for services rendered in treating a patient, regardless of the actual charge for such treatment. The Center for Medicare and Medicaid Services reimburses hospitals on a prospectively-determined fixed amount basis for the costs associated with an in-patient hospitalization based on the patient’s discharge diagnosis, regardless of the actual costs incurred by the hospital or physician in furnishing the care and regardless of the specific devices used in that procedure.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Private third-party reimbursement plans are also developing increasingly sophisticated methods of controlling health-care costs by imposing limitations on reimbursable procedures and the exploration of more cost-effective methods of delivering health care. In general, these government and private measures have caused health care providers, including our customers, to be more selective in the purchase of medical products. In addition, changes in government regulation or in private third-party payers’ policies may limit or eliminate reimbursement for procedures employing our products, which could have a material adverse effect on our business, results of operations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Backlog and Seasonality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generally do not maintain a material level of backlog. As a result, we do not believe that our backlog at any particular time is indicative of future sales levels. Our quarterly results have been, and are expected to continue to be, affected by seasonal factors. For example, our European sales during the third quarter are generally lower due to many businesses being closed for the summer vacation season.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Human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employees are our human capital and they are our greatest strength and most valuable resource. As of December 30, 2023, we had a total of 111 full-time equivalent employees engaged in our ongoing operations, including 45 in operations (including manufacturing, quality, logistics and service), 38 in sales and marketing, 18 in R&amp;D and 10 in finance and administration. We also employ, from time to time, a number of temporary and part-time employees as well as consultants on a contract basis. As of December 30, 2023, we had 28 such persons serving in such roles.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human capital resources objectives include identifying, recruiting, retaining, incentivizing and integrating our existing and new employees, advisors and consultants. We continuously invest in our workforce by seeking to create a diverse, inclusive, and safe work environment where our employees can learn, innovate, and deliver their best. We are committed to being inclusive to enable our workforce and customers to succeed.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employees are not represented by a collective bargaining organization, and we have never experienced a work stoppage or strike. We consider our employee relations to be good.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annual reports on Form 10-K, quarterly reports on Form 10-Q, current reports on Form 8-K and amendments to reports pursuant to Section 13(a) or 15(d) of the Securities Exchange Act of 1934, as amended, are available, free of charge, through the U.S. Securities and Exchange Commission’s (“SEC”) website. These periodic reports and amendments are also available, free of charge, on our website, as soon as reasonably practicable after such reports are electronically filed with the SEC.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Investors and others should note that we announce material financial information to our investors using SEC filings, press releases, our investor relations website, public conference calls and webcasts. We use these channels as well as social media to communicate with investors, customers and the public about our company, our products and other issues. It is possible that the information we post on social media channels could be deemed to be material information. We encourage investors, our customers, and others interested in Iridex to review the information we post on our Facebook page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(www.facebook.com/Iridex) and X feed (https://twitter.com/Iridex). Any information on, or that can be accessed through, our website and social media channels is not part of this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4" w:name="item1a_riskfactors"/>
      <w:bookmarkEnd w:id="4"/>
      <w:r>
        <w:rPr>
          <w:rFonts w:ascii="Times New Roman" w:hAnsi="Times New Roman"/>
          <w:b/>
          <w:color w:val="000000"/>
          <w:sz w:val="20"/>
        </w:rPr>
        <w:t>Item 1A. Risk Factors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Risk Factor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operations are subject to numerous risks, factors and uncertainties outside of our control that could cause our actual results to be harmed, including risks regarding the following:</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economic factors</w:t>
      </w:r>
      <w:r>
        <w:rPr>
          <w:rFonts w:ascii="Times New Roman" w:hAnsi="Times New Roman"/>
          <w:color w:val="000000"/>
          <w:sz w:val="20"/>
        </w:rPr>
        <w:t xml:space="preserv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macroeconomic conditions, including inflationary pressures and rising interest rates, uncertainty in the global banking and financial services market, potential U.S. government shutdown, global pandemics and responsive measures and the wars between Russia-Ukraine and Israel-Hamas.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Operational factors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relationship with our strategic partner and main distributor Topcon;</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quality control and production issues;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complexity of our laser systems;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defects in our laser systems;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direct and independent sales forces and a network of international distributors to sell our products;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dependence on international sales;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products and applications and improving existing products;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our sales and operating results;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ophthalmology market;</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in our industry;</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loss of key personnel;</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collaborative relationships used to enhance products and applications;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sales volumes, results of operations, and revenues;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meeting product demand;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dependence on sole source and limited source suppliers;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catastrophic loss;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to our information technology system and breaches of data security;</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relationships with health care providers;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misuse of our products;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and brand;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our customers to obtain credit or material increases in interest rates;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affecting financial institutions, including bank failures;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recalls of our products;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growth effectively.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Regulatory and legal factors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reform measures and changes in third-party coverage and reimbursement policies;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healthcare laws;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compliance with potential governmental, regulatory and other legal proceedings relative to advertising, promotion and marketing;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and proprietary rights related to our intellectual property;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government regulations, including the FDA’s quality system regulation and laser performance standards;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approval for clinical trials;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product liability claims;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in trade policies;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 laws;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state and foreign laws, including changes to those laws;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environmental requirements.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Financing and transactional risks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divestitures of our businesses or product lines;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acquire additional companies or product lines;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raising additional capital;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charter documents, Delaware law and contractual provisions that could delay or prevent an acquisition or sale of our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Governance risks and risks related to ownership of our common stock</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volatility of the trading price of our common stock;</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intention not to pay dividends for the foreseeable future;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publication of research about us by analysts;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concentration of ownership of our common stock; and</w:t>
      </w:r>
    </w:p>
    <w:p>
      <w:pPr>
        <w:pStyle w:val="TextBody"/>
        <w:bidi w:val="0"/>
        <w:spacing w:before="120" w:after="120"/>
        <w:ind w:left="490" w:right="0" w:hanging="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ability to maintain an effective system of internal control over financial reporting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Factors That May Affect Future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other information contained in this Annual Report Form 10-K, we have identified the following risks and uncertainties that may have a material adverse effect on our business, common stock price, financial condition or results of operations. You should carefully consider the risks described below before making an investment decision.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Relating to our Business</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current macroeconomic conditions have disrupted, and may continue to disrupt our operations, including our ability to manufacture and supply products and perform research and development activities, and our customers’ usage of our products, all of which have had and may continue to have a material and adverse effect on our business, future revenues and financial condition. We are unable to predict the extent to which any future global pandemic or other public health emergencies or outbreaks and related macroeconomic impacts may adversely impact our business operations, financial performance, results of operations, financial position and the achievement of our strategic objectives</w:t>
      </w:r>
      <w:r>
        <w:rPr>
          <w:rFonts w:ascii="Times New Roman" w:hAnsi="Times New Roman"/>
          <w:b/>
          <w:i/>
          <w:color w:val="212529"/>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results of operation and financial performance were negatively impacted by the COVID-19 pandemic and related public health responses, such as travel restrictions in countries and regions in which we have operations or manufacturing partners. Due to these impacts and measures, we have experienced and may continue to experience significant and unpredictable interruptions in the supply of raw materials, components and sub-assemblies necessary to manufacture and assemble our products and reductions in the demand for our products if healthcare customers divert medical resources and priorities towards the treatment of COVID-19 or any future outbreak of disease. In addition, our customers may delay, cancel or redirect planned capital expenditures in order to focus resources on any future outbreak of disease, global pandemic or in response to macroeconomic disruption related to any future global pandemic. For example, during the fiscal year ended January 2, 2021, we experienced significant decline in treatment and procedure volume worldwide, as healthcare systems diverted resources to meet the increasing demands of managing COVID-19. In the near term, a future outbreak of disease or global pandemic may negatively impact the use of our products and the number of ophthalmic treatments and procedures performed. If the volume of elective procedures declines, our results of operations and financial condition will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volatile macroeconomic environment has created economic uncertainty and volatility in the financial markets around the world, resulting in an economic downturn that has affected and may likely continue to affect demand for our products and impact our results of operations. As a result, this may lead to a period of regional, national, and global economic slowdown or regional, national, or global recessions that would curtail or delay spending by hospitals and affect demand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color w:val="000000"/>
          <w:sz w:val="20"/>
        </w:rPr>
        <w:t>our products as well as increase the risk of customer defaults or delays in payments. Our customers may terminate or amend their agreements for the purchase, lease, or service of our products due to bankruptcy, lack of liquidity, lack of funding, operational failures, or other reason. The ultimate impact of the volatile macroeconomic conditions on our operations and financial performance depends on many factors that are not within our control, including, but not limited, to: the recommendations by medical authorities on whether hospitals should and may perform elective surgical procedures; hospitals’ abilities and willingness to devote resources to elective surgical procedures; governmental, business and individuals’ actions that have been and may continue to be taken in response to any future resurgence of the COVID-19 pandemic or other public health emergencies or outbreaks (including restrictions on travel and transport and workforce pressures); the impact of other public health emergencies or any future outbreak of disease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current volatile macroeconomic conditions subside. Although the magnitude of the impact of the COVID-19 pandemic on our business operations remains a dynamic situation, we have experienced and may continue to experience in subsequent periods, disruptions to our business that may adversely impact our business, financial condition and results of operations</w:t>
      </w:r>
      <w:r>
        <w:rPr>
          <w:rFonts w:ascii="Times New Roman" w:hAnsi="Times New Roman"/>
          <w:color w:val="000000"/>
          <w:sz w:val="24"/>
        </w:rPr>
        <w: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not be successful in our strategic partnership with Topcon and the relationship may divert resources away from existing operations or expose us to liabilities, which could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 2021, we entered into a series of strategic transactions with Topcon, Topcon America Corporation (the “Investor”) and Topcon Medical Laser Systems, Inc., a subsidiary of Topcon (“TMLS”), which included (i) an asset purchase agreement with TMLS, pursuant to which we acquired substantially all the assets (except for cash and cash equivalents) of TMLS, including rights to the PASCAL product (the “Asset Purchase Agreement”), (ii) a distribution agreement dated March 2, 2021, pursuant to which we granted Topcon the exclusive right to distribute our retina and glaucoma products in certain geographies outside the United States (the “Distribution Agreement”), and (iii) an investment agreement dated March 2, 2021 (the “Investment Agreement”), pursuant to which we sold the Investor 1,618,122 shares of our common stock for an aggregate purchase price of $10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Asset Purchase Agreement, the transferred assets include substantially all of TMLS’ assets including the rights to the PASCAL product (the “Transferred Assets”). We assumed only those liabilities arising after the closing in connection with the Transferred Assets. In the Asset Purchase Agreement, our company and TMLS made certain customary representations and warranties and agreed to certain customary covenants. The Agreement provides that our company and TMLS will each indemnify the other for losses arising from certain breaches of the Agreement and for certain other liabilities subject to customary caps and deductibles. If there are claims under the indemnification provisions for which we are liable we will need to use some or all our cash to settle those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Distribution Agreement, we appointed Topcon as the exclusive distributor of our glaucoma and retina products, including PASCAL product, in certain countries outside of the United States. Topcon agreed to use commercially reasonable efforts to commercialize our products in each region throughout the territory, including achieving certain sales baselines by product category and region. If Topcon fails to achieve the baselines in a region, we will have the right to, subject to payment of a fee, terminate Topcon’s appointment in such region. The Distribution Agreement and Topcon’s appointment will, unless terminated earlier, continue on a country-by-country basis for a period of 10 years from the date exclusivity is granted. The Distribution Agreement includes customary termination rights and effects of termination, including a termination for convenience right in favor of Topcon and, subject to payment of a fee, a termination right in our favor upon a change of control of our company, as well as customary indemnification provisions.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Distribution Agreement, we terminated our relationships with our prior distributors in certain geographies and we are using Topcon as our exclusive distributor. If Topcon is unable to generate as much revenue under the Distribution Agreement as we received from our prior distributors, our business, results of operations and financial condition could be adversely affected. If there are claims under the indemnification provisions of the Distribution Agreement for which we are liable, we will need to use some or all our cash to settle those claims or make payments to Topcon pursuant to the terms of the Distribution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investing a substantial amount of time, resources and efforts in connection with our relationship with Topcon, including commercializing our products in certain geographies and working to achieve certain sales baselines by product category and region. All of these actions divert resources away from our other initiatives and operations particularly with respect to product sales in the United States. These efforts may not result in the anticipated additional products, efficiencies or revenues for our company, which could adversely affect our business, operating results and financial condition as a result.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face quality control and other production issues that could materially and adversely impact our sales and financial results and the acceptance of our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manufacture of our infrared and visible laser consoles and related delivery devices is a highly complex and precise process. We may experience manufacturing difficulties, quality control issues or assembly constraints.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sales increase substantially, we may need to increase our production capacity and may not be able to do so in a timely, effective or cost-efficient manner. We may not be able (ourselves or through third parties) to manufacture or supply sufficient quantities of our products, which may require that we qualify other manufacturers for our products. Furthermore, we may experience delays, disruptions, capacity constraints or quality control problems in our manufacturing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several years, we have experienced supply chain, production and training issues as we have expanded our product lines and sales volumes, and may experience similar issues in the future as we continue to grow our business. These issues have caused, and may in the future cause, us to reduce or delay the shipment of our products and incur costs to service or replace products already shipped to 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pStyle w:val="TextBody"/>
        <w:bidi w:val="0"/>
        <w:spacing w:before="120" w:after="283"/>
        <w:jc w:val="left"/>
        <w:rPr>
          <w:rFonts w:ascii="Times New Roman" w:hAnsi="Times New Roman"/>
          <w:sz w:val="20"/>
        </w:rPr>
      </w:pPr>
      <w:r>
        <w:rPr>
          <w:rFonts w:ascii="Times New Roman" w:hAnsi="Times New Roman"/>
          <w:b/>
          <w:i/>
          <w:color w:val="000000"/>
          <w:sz w:val="20"/>
        </w:rPr>
        <w:t>Some of our laser systems are complex in design and may contain defects that are not detected until deployed by our customers, which could increase our costs and reduce our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customers;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costs of product returns and warranty expenses;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damage to our brand reputation;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attract new customers or achieve market acceptance;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development and engineering resources;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legal actions by our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one or more of the foregoing factors could seriously harm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on our direct and independent sales forces and international distributors to sell our products and if we lose our sales force or distributor relationships, it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sell our products and generate revenues depends upon our direct and independent sales forces within the United States, direct sales force in Germany and relationships with independent international distributors. Currently our direct and independent sales forces within the United States consist of approximately 30 employees and one independent representatives, respectively, and our direct sales force in Germany consists of one employee. Our international independent distributors are managed by a team of seven people. We generally grant our distributors exclusive territories for the sale of our products in specified countries and regions.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could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contractor and distributor agreements are generally terminable at will by either party and independent contractors and distributors may terminate their relationships with us, which would affect our sales and results of operations. Any loss of the members of our existing direct or indirect sales organizations, or any failure to execute on our plans to further develop our sales function, could have an adverse impact on our business, results of operations and financial condition. </w:t>
      </w:r>
    </w:p>
    <w:p>
      <w:pPr>
        <w:pStyle w:val="TextBody"/>
        <w:bidi w:val="0"/>
        <w:spacing w:before="120" w:after="283"/>
        <w:jc w:val="left"/>
        <w:rPr>
          <w:rFonts w:ascii="Times New Roman" w:hAnsi="Times New Roman"/>
          <w:sz w:val="20"/>
        </w:rPr>
      </w:pPr>
      <w:r>
        <w:rPr>
          <w:rFonts w:ascii="Times New Roman" w:hAnsi="Times New Roman"/>
          <w:b/>
          <w:i/>
          <w:color w:val="000000"/>
          <w:sz w:val="20"/>
        </w:rPr>
        <w:t>We depend on international sales for a significant portion of our operating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derive, and expect to continue to derive, a large portion of our revenues from international sales. For the fiscal year 2023, our international sales were $25.8 million, or 49.8% of total revenues. We anticipate that international sales will continue to account for a significant portion of our revenues in the foreseeable future. All of our international revenues and costs for the fiscal year 2023 have been denominated in U.S. dollars except for sales transacted through our German subsidiary. As a result, an increase in the value of the U.S. dollar relative to foreign currencies makes our U.S. dollar-denominated products more expensive and thus less competitive in foreign markets and may negatively affect our reported revenue in any particular reporting period. Our international operations and sales are subject to a number of risks and potential costs, including: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conditions, including the impact of any future global pandemic on the global economy and financial markets;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foreign currency exchange rates;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uncertainty in the global banking and financial services market;</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and production issues;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of our international channel of distributors;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longer accounts receivable collection periods;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impact of recessions in global economies and availability of credit;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political and economic instability;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change in international regulatory agreements and requirements</w:t>
      </w:r>
      <w:r>
        <w:rPr>
          <w:rFonts w:ascii="Times New Roman" w:hAnsi="Times New Roman"/>
          <w:color w:val="FF0000"/>
          <w:sz w:val="20"/>
        </w:rPr>
        <w:t>;</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sanctions and embargoes;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impact of international conflicts, terrorist and military activity, civil unrest;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certification requirements, including continued ability to use the “CE” mark in Europe, and other local regulatory requirements, pending MDR approvals;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local product preferences and product requirements;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cultural differences;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foreign medical reimbursement and coverage policies and programs;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or limited protections of intellectual property rights in jurisdictions outside the United States;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potentially adverse tax consequences, such as those related to changes in tax laws or tax rates or their interpretations;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protectionist, adverse and changing foreign governmental laws and regulations;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risk of our employees failing to comply with both U.S. and foreign laws, including anti-trust regulations, the U.S. Foreign Corrupt Practices Act, the U.K. Bribery Act of 2010 and any trade regulations designed to ensure fair trade practices;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costs and risks of non-compliance with multiple regulatory regimes governing the production, marketing, sale and use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one or more of these factors stated above could have a material adverse effect on our business, financial condition or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pStyle w:val="TextBody"/>
        <w:bidi w:val="0"/>
        <w:spacing w:before="120" w:after="283"/>
        <w:jc w:val="left"/>
        <w:rPr>
          <w:rFonts w:ascii="Times New Roman" w:hAnsi="Times New Roman"/>
          <w:sz w:val="20"/>
        </w:rPr>
      </w:pPr>
      <w:r>
        <w:rPr>
          <w:rFonts w:ascii="Times New Roman" w:hAnsi="Times New Roman"/>
          <w:b/>
          <w:i/>
          <w:color w:val="000000"/>
          <w:sz w:val="20"/>
        </w:rPr>
        <w:t>Our operating results may be adversely affected by uncertainty regarding healthcare reform measures and changes in third-party coverage and reimbursement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Act and the Health Care and Education Reconciliation Act of 2010, collectively, the “Affordable Care Act”, and the current U.S. presidential administration has announced certain policy changes that could impact the availability of benefits under the Affordable Care Act. For example, tax reform legislation enacted at the end of 2017 eliminated the tax penalty for individuals who did not maintain sufficient health insurance coverage beginning in 2019 (the “individual mandate”). We anticipate continued Congressional interest in modifying provisions of the Affordable Care Act.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 care industry and third-party coverage reimbursement, including the Affordable Care Act, has been subject to judicial challenge, and may be subject to similar challenges from time to time in the future (such as the </w:t>
      </w:r>
      <w:r>
        <w:rPr>
          <w:rFonts w:ascii="Times New Roman" w:hAnsi="Times New Roman"/>
          <w:i/>
          <w:color w:val="000000"/>
          <w:sz w:val="20"/>
        </w:rPr>
        <w:t xml:space="preserve">California v. Texas </w:t>
      </w:r>
      <w:r>
        <w:rPr>
          <w:rFonts w:ascii="Times New Roman" w:hAnsi="Times New Roman"/>
          <w:color w:val="000000"/>
          <w:sz w:val="20"/>
        </w:rPr>
        <w:t>case). In June 2021, the U.S. Supreme Court held that Texas and other challengers had no legal standing to challenge the Affordable Care Act, dismissing the case on procedural grounds without specifically ruling on the constitutionality of the Affordable Care Act. Denial of coverage and reimbursement of our products, or the revocation or changes to coverage and reimbursement policies, could have a material adverse effect on our business, results of operations and financial condition.</w:t>
      </w:r>
    </w:p>
    <w:p>
      <w:pPr>
        <w:pStyle w:val="TextBody"/>
        <w:bidi w:val="0"/>
        <w:spacing w:before="120" w:after="12"/>
        <w:jc w:val="left"/>
        <w:rPr>
          <w:rFonts w:ascii="Times New Roman" w:hAnsi="Times New Roman"/>
          <w:color w:val="000000"/>
          <w:sz w:val="20"/>
        </w:rPr>
      </w:pPr>
      <w:r>
        <w:rPr>
          <w:rFonts w:ascii="Times New Roman" w:hAnsi="Times New Roman"/>
          <w:color w:val="000000"/>
          <w:sz w:val="20"/>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develop and successfully introduce new products and applications or fail to improve our existing products, our business prospects and operating results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 Should the current macroeconomic conditions worsen, it could delay and disrupt our research and development processes even further.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market and sell new products is subject to government regulation, including approval or clearance by the FDA and foreign government agencies. Any failure in our ability to successfully develop and introduce new products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enhanced versions of existing products and achieve market acceptance of new products and new applications could have a material adverse effect on our operating results and would cause our net revenues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Divestitures of our businesses or product lines may materially and adversely affect our financial condition, results of operations or cash flows and require us to raise additional capital to replace revenue from those business units or product lines.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two main businesses: glaucoma and retina, domestic and international operations within each and many product lines within the two businesses. We periodically evaluate the performance and strategic fit of our businesses and may sell businesses or product lines. Divestitures involve risks, including difficulties in the separation of operations, services, products and personnel, the diversion of management’s 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 could have a material adverse effect on our financial condition and results of operations. In addition, we may not realize the expected value from the divestiture of a business or product lines and may need to raise additional capital to replace the revenue generated from the business or product line that is divested. We can provide no assurance that such capital will be available or available on terms that are acceptable to us. We cannot assure you that we will be successful in managing these or any other significant risks that we encounter in divesting a business or product line, and any divestiture we undertake could materially and adversely affect our business, financial condition, results of operations and cash flows, and may also result in a diversion of management attention, operational difficulties and losses.</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exposed to risks associated with worldwide economic slowdowns and related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macroeconomic fluctuations in the U.S. and worldwide economy including inflationary pressures that may cause the cost of manufacturing our products or servicing our products to increase. Concerns about consumer and investor confidence, volatile corporate profits and reduced capital spending, uncertainty in the global banking and financial services market, international conflicts, terrorist and military activity, civil unrest and pandemic-related illness could reduce customer orders or cause customer order cancellations. For example, any future global pandemic or other public health emergencies may cause adverse impacts on global economic activity which could negatively impact our business. In addition, political and social turmoil related to international conflicts, such as that occurring in Russia-Ukraine and Israel-Hamas, and terrorist acts may put further pressure on economic conditions in the United States and abroad.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Weak economic conditions and declines in consumer spending and consumption may harm our operating results. Purchases of our products are often discretionary. During uncertain economic times, customers or potential customers may delay, reduce or forgo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 In addition, negative macroeconomic conditions in the United States (including elevated interest rates) have had, and may continue to have, an adverse impact on capital market conditions, which could limit our ability to obtain additional debt or equity financing on acceptable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economic uncertainty persisted, or if the economy entered a prolonged period of decelerating growth, our results of operations may be harmed.</w:t>
      </w:r>
    </w:p>
    <w:p>
      <w:pPr>
        <w:pStyle w:val="TextBody"/>
        <w:bidi w:val="0"/>
        <w:spacing w:before="120" w:after="283"/>
        <w:jc w:val="left"/>
        <w:rPr>
          <w:rFonts w:ascii="Times New Roman" w:hAnsi="Times New Roman"/>
          <w:sz w:val="20"/>
        </w:rPr>
      </w:pPr>
      <w:r>
        <w:rPr>
          <w:rFonts w:ascii="Times New Roman" w:hAnsi="Times New Roman"/>
          <w:b/>
          <w:i/>
          <w:color w:val="000000"/>
          <w:sz w:val="20"/>
        </w:rPr>
        <w:t>We maintain cash deposits in excess of federally insured limits. Adverse developments affecting financial institutions, including bank failures, could adversely affect our liquidity and financial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cash deposits in financial institutions that may be higher than the $250,000 limit insured by the FDIC or similar agencies. Bank failures, events involving limited liquidity, defaults, non-performance, or other adverse developments that affect financial institutions, or concerns or rumors about such events, may lead to liquidity constraints. For example, on March 10, 2023, SVB failed and was taken into receivership by the FDIC.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or applicable foreign government, or that any bank or financial institution with which we do business will be able to obtain needed liquidity from other banks, government institutions, or by acquisition in the event of a failure or liquidity crisis.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operating results may fluctuate from quarter to quarter and year to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macroeconomic conditions, including inflationary pressures and heightened interest rates, uncertainty in the global banking and financial services market, potential federal government shutdown, global pandemics and responsive measures and the wars between Russia-Ukraine and Israel-Hamas;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prices at which we can sell our products, including the impact of changes in foreign currency exchange rates;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 of new products, product enhancements and new applications by our competitors, including new drugs, entry of new competitors into our markets, pricing pressures and other competitive factors;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delays or reductions in product shipments, or product recalls, resulting from manufacturing, distribution or other operational issues;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the introduction and market acceptance of new products, product enhancements and new applications;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demand for our existing line of ophthalmology products;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availability of components and subassemblies, including the willingness and ability of our sole or limited source suppliers to timely deliver components at the times and prices that we have planned;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sales volumes at a level sufficient to cover fixed manufacturing and operating costs;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our product mix within ophthalmology products and foreign and domestic sales;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regulatory approvals and changes in domestic and foreign regulatory requirements;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long and highly variable sales cycle;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customers’ or potential customers’ budgets as a result of, among other things, reimbursement policies of government programs and private insurers for treatments that use our products;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variances in shipment volumes as a result of product, supply chain due to global constraints or other factors and training issues;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product innovation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these factors, our quarterly results have been, and are expected to continue to be, affected by seasonal factors.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pStyle w:val="TextBody"/>
        <w:bidi w:val="0"/>
        <w:spacing w:before="120" w:after="283"/>
        <w:jc w:val="left"/>
        <w:rPr>
          <w:rFonts w:ascii="Times New Roman" w:hAnsi="Times New Roman"/>
          <w:sz w:val="20"/>
        </w:rPr>
      </w:pPr>
      <w:r>
        <w:rPr>
          <w:rFonts w:ascii="Times New Roman" w:hAnsi="Times New Roman"/>
          <w:b/>
          <w:i/>
          <w:color w:val="000000"/>
          <w:sz w:val="20"/>
        </w:rPr>
        <w:t>We rely on continued market acceptance of our existing products and any decline in sales of our existing products would adversely affect our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future resurgence any future global pandemic or other public health emergencies on timing of ophthalmic treatment procedures;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product performance, features, ease of use, scalability and durability, including with respect to our MicroPulse laser photocoagulation systems, and our PASCAL product;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recommendations and opinions by ophthalmologists, other clinicians, and their associated opinion leaders;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marketing and clinical study outcomes;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of our products and prices of competing products and technologies, particularly in light of the current macro-economic environment where healthcare systems and healthcare operators are becoming increasingly price sensitive;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competing products, technologies and alternative treatments;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of reimbursement for treatments administered with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derive a meaningful portion of our sales in the form of recurring revenues from selling consumable instrumentation, including our probe for the Cyclo G6 Laser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use our products and services rather than purchase competing products or services. Any significant decline in market acceptance of our products or our revenues associated therewith may have a material adverse effect on our business, results of operations and financial condition.</w:t>
      </w:r>
    </w:p>
    <w:p>
      <w:pPr>
        <w:pStyle w:val="TextBody"/>
        <w:bidi w:val="0"/>
        <w:spacing w:before="120" w:after="283"/>
        <w:jc w:val="left"/>
        <w:rPr>
          <w:rFonts w:ascii="Times New Roman" w:hAnsi="Times New Roman"/>
          <w:sz w:val="20"/>
        </w:rPr>
      </w:pPr>
      <w:r>
        <w:rPr>
          <w:rFonts w:ascii="Times New Roman" w:hAnsi="Times New Roman"/>
          <w:b/>
          <w:i/>
          <w:color w:val="000000"/>
          <w:sz w:val="20"/>
        </w:rPr>
        <w:t>We face strong competition in our markets and expect the level of competition to grow in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in the market for laser systems and delivery devices used for ophthalmic treatment procedures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ophthalmic laser competitors are Alcon Inc., DORC, Bausch Health Companies Inc., Carl Zeiss Meditec AG, Lumenis Ltd., Nidek Co. Ltd., Lumibird, ARC Gmbh, Meridian, OD-OS GmBh and Norlase. We also compete with alternative glaucoma surgical device companies such as Alcon, Inc., Novartis AG, Allergan, Inc., Glaukos Corporation and New World Medical, Inc. Pharmaceuticals represent alternative treatments to our laser procedures. Some of our principal pharmaceutical competitors are Alcon, Inc., Allergan, Inc., Astellas Pharma Inc., Pfizer Inc., Regeneron Pharmaceuticals, Inc., and Roche Holding Ltd. (Genentech). Some of our competitors have substantially greater financial, engineering, product development, manufacturing, marketing and technical resources than we do. Some companies also have greater name recognition than us and long-standing customer relationships. In addition, other medical device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lose key personnel or fail to integrate replacement personnel successfully, our ability to manage our business could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Additionally, our common stock is currently trading at a price below the exercise price of many of our outstanding options. As a result, these “underwater” options are less useful as a motivation and retention tool for our existing employees.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highly competitive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healthcare laws, we could face substantial penalties and financial exposure, and our business, operations and financial condition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operations being found in violation of these laws is increased by the fact that the government’s provisions are open to a variety of evolving interpretations and enforcement discretion. Compliance with Open Payments, commonly known as the Sunshine Act, has presented a number of challenges to companies such as ours, in terms of interpretation of the law and its implementation. Under the Sunshine Act, Centers for Medicare &amp; Medicaid Services (“CMS”) has the potential to impose penalties of up to $1.26 million per year for violations, depending on the circumstances and adjusted annually for inflation,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may be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depend on collaborative relationships to develop, introduce and market new products, product enhancements and applications.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both clinical and commercial collaborative relationships. We have entered into collaborative relationships with academic medical centers and physicians in connection with the research and innovation and clinical testing of our products. Commercially, we have licensing agreements with strategic partners. The failure to obtain any additional future clinical or commercial collaborations and the resulting failure or success of such collaboration relationships could have a material adverse effect on our ability to introduce new products or applications and therefore could have a material adverse effect on our business, results of operations and financial condition.</w:t>
      </w:r>
    </w:p>
    <w:p>
      <w:pPr>
        <w:pStyle w:val="TextBody"/>
        <w:bidi w:val="0"/>
        <w:spacing w:before="120" w:after="283"/>
        <w:jc w:val="left"/>
        <w:rPr>
          <w:rFonts w:ascii="Times New Roman" w:hAnsi="Times New Roman"/>
          <w:sz w:val="20"/>
        </w:rPr>
      </w:pPr>
      <w:r>
        <w:rPr>
          <w:rFonts w:ascii="Times New Roman" w:hAnsi="Times New Roman"/>
          <w:b/>
          <w:i/>
          <w:color w:val="000000"/>
          <w:sz w:val="20"/>
        </w:rPr>
        <w:t>If we cannot increase our sales volumes, reduce our costs or introduce higher margin products to offset potential reductions in the average unit price of our products, our operating results may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b/>
          <w:i/>
          <w:color w:val="000000"/>
          <w:sz w:val="20"/>
        </w:rPr>
        <w:t>Our promotional practices are subject to extensive government scrutiny. We may be subject to governmental, regulatory and other legal proceedings relative to advertising, promotion and marketing that could have a</w:t>
      </w:r>
      <w:r>
        <w:rPr>
          <w:rFonts w:ascii="Times New Roman" w:hAnsi="Times New Roman"/>
          <w:color w:val="000000"/>
          <w:sz w:val="20"/>
        </w:rPr>
        <w:t xml:space="preserve"> </w:t>
      </w:r>
      <w:r>
        <w:rPr>
          <w:rFonts w:ascii="Times New Roman" w:hAnsi="Times New Roman"/>
          <w:b/>
          <w:i/>
          <w:color w:val="000000"/>
          <w:sz w:val="20"/>
        </w:rPr>
        <w:t>significant negative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initiating lawsuits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on patents and proprietary rights to protect our intellectual property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As of December 30, 2023, our patent portfolio includes 66 active United States patents and 84 active international patents on the technologies related to our products and processes. In addition, as of December 30, 2023, we have 12 patent applications pending in the United States and 18 international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laser and medical device industry is characterized by frequent litigation regarding patent and other intellectual property rights. Companies in the medical device industry have employed intellectual property litigation to gain a competitive advantage.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Numerous patents are held by others, including academic institutions and our competitors. Patent applications filed in the United States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overestimate the demand for our product, we may have excess inventory, which would increase our costs. If we underestimate demand for our product and consequently, our components, materials and fully assembled products requirements, we may have inadequate inventory, which could interrupt our manufacturing, delay delivery of our product to our customers and result in the loss of customer sales. Any of these occurrences would negatively impact our business and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depend on sole source or limited source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 suppliers. In addition, some of these suppliers are relatively small private companies whose operations may be disrupted or discontinued at any time. There are risks associated with the use of independent manufacturers, including the following: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macroeconomic conditions, including any future global pandemic and inflationary pressures on global supply chains and market stability;</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unavailability of shortages or limitations on the ability to obtain supplies of components and products in the quantities that we require, or that satisfy the environmental requirements to which we are subject;</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delivery or failure of suppliers to deliver critical components and products on the dates we require;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suppliers to manufacture and assemble components and products to our specifications, and potentially reduced quality;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obtain components and products in a timely manner or at acceptable prices due to global supply chain constraints or other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facilities were to experience catastrophic loss, our operations would be seriously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facilities could be subject to catastrophic loss such as fire, flood, unpredictable power outages, or earthquake. All of our research and development activities, manufacturing, our corporate headquarters and other critical business operations are located near major earthquake faults in Mountain View, California. California can experience earthquakes, catastrophic wildfires, and intermittent power outages. Any such loss at any of our facilities caused by fires, flooding, power outages, or earthquakes could disrupt our operations, delay production, shipments and revenue and result in large expense to repair and replace our facilities.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experience a significant disruption in our information technology systems or breaches of data security, our business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information technology systems to keep financial records and corporate records, communicate with staff and external parties and operate other critical functions, including sales and manufacturing processes. Our information technology systems and those of our third-party service providers are potentially vulnerable to disruption, breakdown, damage, service interruption, system malfunction, power outage, natural disaster, malicious intrusion, ransomware, denial-of-service attacks, phishing attacks, social engineering, computer viruses, security breaches and other cyber-attacks. For example, companies have experienced an increase in phishing and spoofing attacks from third parties in connection with working remotely, either permanently or temporarily. If we were to experience a prolonged system disruption in our information technology systems, it could negatively impact the coordination of our sales, planning and manufacturing activities, which could adversely affect our business. In addition, to maximize our information technology efficiency, 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 it may cause a material disruption in our business if we are not capable of restoring function on an acceptable time frame.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information technology systems and those of our third-party service providers are potentially vulnerable to cyber-attacks or other data security breaches-whether by employees or others-which may expose sensitive data to unauthorized persons. Such data security breaches could lead to the loss of trade secrets or other intellectual property,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could lead to the public exposure of sensitive and confidential information of our employees, customers, suppliers and others, any of which could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implemented a number of protective measures, including firewalls, antivirus and malware detection tools, patches, log monitors, routine back-ups, system audits, routine password modifications and disaster recovery procedures, we have experienced and may in the future experience spoofing attacks. In addition, our measures to secure our information technology systems may not be adequate or implemented properly to prevent or fully address the adverse effect of such events, and in some cases we may be unaware of an incident or its magnitude and effects. If we are unable to, or perceived or reported to have been or be unable to, prevent such security breaches or privacy violations or implement satisfactory remedial measures, our operations could be disrupted, and we may be exposed to claims, demands, and litigation or governmental investigations and other proceedings and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we may not have adequate insurance coverage to protect us from, or adequately mitigate, liabilities or damages resulting from cyber-attacks or security breaches.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market our products to numerous health care providers, including physicians, hospitals, ambulatory surgical centers,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government regulations which may cause us to delay or withdraw the introduction of new products or new applications for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medical devices that we market and manufacture are subject to extensive regulation by the FDA and by foreign and state governments. Under the FD&amp;C Act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FD&amp;C Act and implemented by the FDA. Unless otherwise exempt, a device manufacturer must obtain marketing “clearance” through the 510(k) premarket notification process, or “approval” through the lengthier pre-market approval application (“PMA”) process or other processes such as the “de novo” process. Not all devices are eligible for the 510(k) clearance process. Depending upon the type, complexity and novelty of the device and the nature of the disease or disorder to be treated, the PMA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are also subject to varying product standards, packaging requirements, labeling requirements, tariff regulations, duties and tax requirements. As a result of our sales in Europe, we are required to have all medical device products “CE” marked, an international symbol, affixed to all our medical device products demonstrating compliance with the European Medical Device Directives and/or Medical Device Regulations (“MDR”) and all applicable standards. While currently all our released medical device products are CE marked, continued certification is based on the successful review of our quality system by our European Registrar during their periodic audits. Any loss of certification would have a material adverse effect on our business, results of operations and financial condition. There are several major regulatory changes occurring in the regulation of medical devices in the European Union (the “EU”). The revision of the quality system regulation (ISO 13485:2016) has been released that substantially increased the requirements for a medical device quality system. The MDR has replaced the medical device directives (93/42/EEC), and it substantially changes the way that medical devices are brought to market in the EU and how they maintain compliance throughout the product’s life cycle. Due to the UK’s exit from EU (“Brexit”), different rules will apply in Great Britain (England, Wales and Scotland), Northern Ireland and the EU after the Brexit transition period, which began January 1, 2021. Similarly, Switzerland has changed its relationship with the EU and in May 2022, will require medical device manufacturers, including us, to contract with a Swiss authorized representative. Additionally, the new revision 4 of the clinical evaluation report guidance document (MEDDEV 2.7.1) and the Medical Device Coordination Group (MDCG) guidance regarding clinical evidence (MDCG 2020-6) severely restricts the use of substantial equivalence for new products, resulting in the need for formal clinical trial data for many products. These and future changes will increase the cost for compliance and for product development, and they lengthen product introduction cycles. Failure to comply with these changes and any future changes can have an adverse effect on our ability to release new products in a timely manner.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clinical trials necessary that we may undertake for regulatory approval or marketing reasons will be an expensive, lengthy, costly, and uncertain process, and could result in delays in new product introductions or even an inability to release a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undertake clinical trials often required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we or they believed the trial participants faced unacceptable health risks.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the FDA’s quality system regulation and laser performance standards, our manufacturing operations could be halted, and our business would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modify one of our FDA cleared devices, we may need to submit a new 510(k), or potentially a PMA, and if clearance or approval is not obtained, it would prevent us from selling our modified products or cause us to redesign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Efforts to acquire additional companies or product lines may divert our managerial resources away from our business operations, and if we complete additional acquisitions, we may incur or assume additional liabilities or experience integration problems.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integrating any acquired products into our existing business;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integrating an acquired company’s technologies, services, employees and other service providers, customers, partners, business operations and administrative and software management systems with ours;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realizing the benefits of the acquired products;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our management’s time and attention from other business concerns;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customer reaction to the product acquisition;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earnings per share,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products may be misused, which could harm our reputation and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products.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Inability of customers to obtain credit or material increases in interest rates may harm our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products could be subject to recalls even after receiving FDA approval or clearance. A recall would harm our reputation and adversely affect our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and negatively affect our future sales and financial results.</w:t>
      </w:r>
    </w:p>
    <w:p>
      <w:pPr>
        <w:pStyle w:val="TextBody"/>
        <w:bidi w:val="0"/>
        <w:spacing w:before="120" w:after="283"/>
        <w:jc w:val="left"/>
        <w:rPr>
          <w:rFonts w:ascii="Times New Roman" w:hAnsi="Times New Roman"/>
          <w:sz w:val="20"/>
        </w:rPr>
      </w:pPr>
      <w:r>
        <w:rPr>
          <w:rFonts w:ascii="Times New Roman" w:hAnsi="Times New Roman"/>
          <w:color w:val="000000"/>
          <w:sz w:val="20"/>
        </w:rPr>
        <w:t>For example, on February 23, 2018, we initiated a worldwide voluntary recall of a specific laser accessory called the TruFocus LIO Premiere</w:t>
      </w:r>
      <w:r>
        <w:rPr>
          <w:rFonts w:ascii="Times New Roman" w:hAnsi="Times New Roman"/>
          <w:color w:val="000000"/>
          <w:sz w:val="13"/>
        </w:rPr>
        <w:t>®</w:t>
      </w:r>
      <w:r>
        <w:rPr>
          <w:rFonts w:ascii="Times New Roman" w:hAnsi="Times New Roman"/>
          <w:color w:val="000000"/>
          <w:sz w:val="20"/>
        </w:rPr>
        <w:t xml:space="preserve"> (“LIO”). The LIO is a head-mounted indirect ophthalmoscope that connects to our laser console and is used to view and perform laser treatment on a patient’s retina. This recall was prompted after we received reports of three adverse events from one physician in the United States, resulting in focal cataracts and iris burns occurring during procedures in which the TruFocus LIO Premiere was used. We identified several potential root causes for the adverse events, including use error. On March 22, 2019, we provided the FDA with a request for termination of Recall Number Z-1075-2018. On September 22, 2023, the FDA notified the Company that the FDA concluded that the recall has been completed, there has been proper disposition of the recalled product, and, therefore, FDA considers the recall terminated.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product liability claims are successfully asserted against us, we may incur substantial liabilities that may adversely affect our business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product liability claims from time to time. Our products are highly complex and the risk of significant patient injury is more likely with products and procedures involving the eye. Use of our products incorrectly can result in temporary or permanent loss in vision, burns, scarring, blind spots or other injuries of the eye and we may periodically become subject to product liability lawsuits as a result. We believe we maintain adequate levels of product liability insurance to cover such claims subject to certain deductibles.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growth in our sales and marketing organization may increase costs and create operational challenges without immediately offsetting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growth in our sales and marketing organization may place a strain on our management, operating and financial systems and our sales, marketing and administrative resources as well as increase operating costs. For example, if we are unable to efficiently or effectively provide adequate training for our sales force and marketing organization, we may not be able to immediately or fully utilize marketing resources, generate new sales and offset operational challenges such as the cost of recruiting and hiring sales and marketing personnel. If we cannot effectively manage our operations and our costs, our business may not be able to grow effectively or we may grow at a slower pace.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manage growth effectively, our business could be disrupted which could harm our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Significant developments resulting from recent and potential changes in U.S. trade policies could have a material adverse effect on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of our materials may be subject to the effects of various trade agreements, treaties and tariffs. The prior U.S. presidential administration has imposed tariffs on various goods from various countries, including China, Canada and the EU. As a result, Canada, the EU, China and other countries responded with retaliatory tariffs on certain United States exports. 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 and supplies from suppliers outside the United States. These measures could also result in increased costs for goods imported into the United States or may cause us to adjust our worldwide supply chain. Any of these effects could require us to increase prices to our customers which may reduce demand, or, if we are unable to increase prices, may result in lowering our margin on products sold.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adversely impact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U.S. tax laws could have a material adverse effect on our business, consolidated cash flow, results of operations or financial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comprehensive tax legislation commonly referred to as the Tax Cuts and Jobs Act (the “Tax Act”) was enacted in the United States on December 22, 2017 and includes, among other items, a reduction in the federal corporate income tax rate from 35% to 21%, certain interest expense deduction limitations and changes in the timing of certain taxable income. We are required to recognize the effect of the tax law changes in the period of enactment, such as re-measuring our U.S. deferred tax assets and liabilities and reassessing the net realizability of our deferred tax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22, 2017, the SEC staff issued Staff Accounting Bulletin No. 118 (“SAB 118”) which provides guidance on accounting for the tax effects of the Tax Act. We have completed our analysis and accounting with respect the Tax Act, and identified no additional changes from amounts previously recorded. However, changes in law, interpretations, and facts may result in adjustments to these amounts. Based on our net operating loss carryovers and valuation allowance, there is no impact to its consolidated financial statements as a result of the accounting for the tax effects of the Tax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Subsequent legislation, guidance, regulations or audits that differ from our prior assumptions and interpretations, or other factors which were not anticipated at the time we estimated our tax provision could have a material adverse effect on our business, cash flow, results of operations or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ability to raise capital in the future may be limited, and future sales and issuances of securities could negatively affect our stock price and dilute the ownership interest of our existing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and operations may consume resources faster than we anticipate. We may need in the future to raise additional funds through future equity or debt financings to meet our operational needs and capital requirements for product development, clinical trials and commercialization and may subsequently require additional fundraising. Additional financing may not be available on favorable terms, if at all. If adequate funds are not available on acceptable terms, we may be unable to invest in future growth opportunities, which could seriously harm our business and operating results. Future sales or issuances of securities by us could decrease the value of our common stock, dilute stockholders’ voting power and reduce future potential earnings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raise capital, we may sell common stock, convertible securities or other equity-linked securities in one or more transactions at prices and in a manner we determine from time to time. If we sell additional equity securities, our existing stockholders may be materially diluted. Additionally, new investors could gain rights, preferences and privileges senior to those of existing holders of our common stock. We may also issue debt securities, which may impose restrictive covenants on our operations or otherwise adversely affect the holdings or the rights of our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environmental requirements, our business, financial condition, operating results and reputation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with such standards or subject us to fines and penalties. Examples of such standards include laws governing the hazardous material content of our devices and products, such as the EU Directive 2015/863 which is known as “RoHS 3” and that relates to Restrictions on the Use of Certain Hazardous Substances and the EU Directive 2012/19/EU on Waste Electrical and Electronic Equipment. Similar laws and regulations have been passed or are pending in several other jurisdictions and may be enacted in other regions, including in the United States, and we are, or may in the future be, subject to these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Relating to Ownership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stock price has been and may continue to be volatile and an investment in our common stock could suffer a decline in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including deteriorating market conditions due to investor concerns regarding inflation and hostilities between Russia-Ukraine and Israel-Hamas. During the fourth quarter of fiscal year 2023, the trading price of our common stock fluctuated from a low of $1.90 per share to a high of $3.28 per share. During the fiscal year 2023, the trading price of our common stock fluctuated from a low of $1.33 per share to a high of $3.28 per share. There can be no assurance that our common stock trading price will not suffer declines. Our common stock may experience an imbalance between supply and demand resulting from low trading volumes and therefore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broad market fluctuations could have a significant impact on the market price of our common stock regardless of our performance.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Because we do not intend to pay dividends, stockholders will benefit from an investment in our common stock only if it appreciates in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As a result, the success of an investment in our common stock will depend entirely upon any future appreciation. There is no guarantee that our common stock will appreciate in value or even maintain the price at which stockholders have purchased their shares.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securities or industry analysts do not continue to publish research or publish incorrect or unfavorable research about our business,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Ownership of our common stock is concentrated among a few investors, which may affect the ability of a third party to acquire control of us. Substantial sales by such investors could cause our stock price to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directors, executive officers, current five percent or greater stockholders and affiliated entities together beneficially own a significant portion of our common stock outstanding.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Our independent registered public accounting firm will not be required to formally attest to the effectiveness of our internal control over financial reporting pursuant to Section 404 while we are a “smaller reporting company”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company and our stock price could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charter documents, anti-takeover provisions of Delaware law, and contractual provisions could delay or prevent an acquisition or sale of our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authorized number of directors may be changed only by resolution of our board of directors;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only our board of directors is authorized to fill vacant directorships, including newly created seats;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special meetings of our stockholders may be called only by our board of directors, the chairman of the board, chief executive officer or president, thus prohibiting a stockholder from calling a special meeting;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must give advance notice to nominate directors or propose other business;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are not permitted to cumulate votes in the election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5" w:name="item_1_b"/>
      <w:bookmarkEnd w:id="5"/>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20" w:after="283"/>
        <w:jc w:val="left"/>
        <w:rPr/>
      </w:pPr>
      <w:r>
        <w:rPr/>
        <w:t> </w:t>
      </w:r>
    </w:p>
    <w:p>
      <w:pPr>
        <w:pStyle w:val="TextBody"/>
        <w:bidi w:val="0"/>
        <w:jc w:val="left"/>
        <w:rPr>
          <w:rFonts w:ascii="Times New Roman" w:hAnsi="Times New Roman"/>
          <w:b/>
          <w:color w:val="000000"/>
          <w:sz w:val="20"/>
        </w:rPr>
      </w:pPr>
      <w:bookmarkStart w:id="6" w:name="item_1c"/>
      <w:bookmarkEnd w:id="6"/>
      <w:r>
        <w:rPr>
          <w:rFonts w:ascii="Times New Roman" w:hAnsi="Times New Roman"/>
          <w:b/>
          <w:color w:val="000000"/>
          <w:sz w:val="20"/>
        </w:rPr>
        <w:t>Item 1C. Cybersecurity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 Management and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established policies and processes for assessing, identifying, and managing material risk from cybersecurity threats, and have integrated these processes into our overall risk management systems and processes.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 Process documentation is maintained by third party software provider through our document control department.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periodic risk assessments to identify cybersecurity threats and cybersecurity incidents, as well as assessments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these risk assessments, we re-design, implement, and maintain reasonable safeguards to minimize identified risks; we reasonably address any identified gaps in existing safeguards; and we regularly monitor the effectiveness of our safeguards. We devote our resources and designate high-level personnel, including our internal Senior IT manager who reports to our Chief Operational Officer, to manage the risk assessment and mitigation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overall risk management system and in collaboration with human resources, IT, and management, we monitor, test, and train our employees on our safeguards. We inform and train personnel across all levels of our cybersecurity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engage third parties in connection with our risk assessment processes. These service providers assist us to design and implement our cybersecurity policies and procedures, as well as to monitor and test our safeguards. We require each third-party service provider to certify that it has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w:t>
      </w:r>
    </w:p>
    <w:p>
      <w:pPr>
        <w:pStyle w:val="TextBody"/>
        <w:bidi w:val="0"/>
        <w:jc w:val="left"/>
        <w:rPr>
          <w:rFonts w:ascii="Times New Roman" w:hAnsi="Times New Roman"/>
          <w:b/>
          <w:color w:val="000000"/>
          <w:sz w:val="20"/>
        </w:rPr>
      </w:pPr>
      <w:r>
        <w:rPr>
          <w:rFonts w:ascii="Times New Roman" w:hAnsi="Times New Roman"/>
          <w:b/>
          <w:color w:val="000000"/>
          <w:sz w:val="20"/>
        </w:rPr>
        <w:t>Governance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 committee of our Board of Directors (the “Audit Committee”) has oversight responsibility for risks and incidents relating to cybersecurity threats, including compliance with disclosure requirements, cooperation with law enforcement, and related effects on financial and other risks, and it reports any findings and recommendations, as appropriate, to the full Board for consideration. Senior management regularly discusses cyber risks and trends and, should they arise, any material incidents with the Audit Committee.</w:t>
      </w:r>
    </w:p>
    <w:p>
      <w:pPr>
        <w:pStyle w:val="TextBody"/>
        <w:bidi w:val="0"/>
        <w:spacing w:before="120" w:after="283"/>
        <w:jc w:val="left"/>
        <w:rPr>
          <w:rFonts w:ascii="Times New Roman" w:hAnsi="Times New Roman"/>
          <w:sz w:val="20"/>
        </w:rPr>
      </w:pPr>
      <w:r>
        <w:rPr>
          <w:rFonts w:ascii="Times New Roman" w:hAnsi="Times New Roman"/>
          <w:color w:val="000000"/>
          <w:sz w:val="20"/>
        </w:rPr>
        <w:t>Our business strategy, results of operations and financial condition have not been materially affected by risks from cybersecurity threats, including as a result of previously identified cybersecurity incidents, but we cannot provide assurance that they will not be materially affected in the future by such risks or any future material incidents. For more information on our cybersecurity related risks, see Item 1A Risk Factors of this Annual Report on Form 10-K</w:t>
      </w:r>
      <w:r>
        <w:rPr>
          <w:rFonts w:ascii="Arial" w:hAnsi="Arial"/>
          <w:color w:val="000000"/>
          <w:sz w:val="20"/>
        </w:rPr>
        <w:t>.</w:t>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7" w:name="item_2"/>
      <w:bookmarkEnd w:id="7"/>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leased a 37,166 square feet facility in Mountain View, California pursuant to a Triple Net Lease dated April 26, 2017 that expired in February 2022. On April 30, 2021, the First Amendment to the Triple Net Lease (“First Amendment”) was executed, among other things, that reduced the portion of the premises leased by the Company to approximately 29,830 square feet and extended the lease term through August 31, 2024. On August 29, 2022 the Second Amendment to the Triple Net Lease (“Second Amendment”) was executed. On September 23, 2023, the Third Amendment to the Triple Net Lease (“Third Amendment”) was executed that extended the lease term through August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facility is being substantially utilized for all of our manufacturing, research and development efforts and also serves as our corporate headquarters. Management believes that these facilities are adequate for our current needs and that suitable additional space or an alternative space would be available as needed in the future on commercially reasonable terms.</w:t>
      </w:r>
    </w:p>
    <w:p>
      <w:pPr>
        <w:pStyle w:val="TextBody"/>
        <w:bidi w:val="0"/>
        <w:spacing w:before="120" w:after="283"/>
        <w:jc w:val="left"/>
        <w:rPr>
          <w:rFonts w:ascii="Times New Roman" w:hAnsi="Times New Roman"/>
          <w:b/>
          <w:color w:val="000000"/>
          <w:sz w:val="20"/>
        </w:rPr>
      </w:pPr>
      <w:bookmarkStart w:id="8" w:name="item_3"/>
      <w:bookmarkEnd w:id="8"/>
      <w:r>
        <w:rPr>
          <w:rFonts w:ascii="Times New Roman" w:hAnsi="Times New Roman"/>
          <w:b/>
          <w:color w:val="000000"/>
          <w:sz w:val="20"/>
        </w:rPr>
        <w:t>Item 3.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consolidated operating results, financial condition or cash flows. Regardless of the outcome, litigation can have an adverse impact on us because of defense and settlement costs, diversion of management resources and other factors. We are not currently party to any material legal proceedings.</w:t>
      </w:r>
    </w:p>
    <w:p>
      <w:pPr>
        <w:pStyle w:val="TextBody"/>
        <w:bidi w:val="0"/>
        <w:spacing w:before="120" w:after="283"/>
        <w:jc w:val="left"/>
        <w:rPr>
          <w:rFonts w:ascii="Times New Roman" w:hAnsi="Times New Roman"/>
          <w:b/>
          <w:color w:val="000000"/>
          <w:sz w:val="20"/>
        </w:rPr>
      </w:pPr>
      <w:bookmarkStart w:id="9" w:name="item_4"/>
      <w:bookmarkEnd w:id="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10" w:name="part_ii"/>
      <w:bookmarkEnd w:id="10"/>
      <w:r>
        <w:rPr>
          <w:rFonts w:ascii="Times New Roman" w:hAnsi="Times New Roman"/>
          <w:b/>
          <w:color w:val="000000"/>
          <w:sz w:val="20"/>
        </w:rPr>
        <w:t>PART II</w:t>
      </w:r>
    </w:p>
    <w:p>
      <w:pPr>
        <w:pStyle w:val="TextBody"/>
        <w:bidi w:val="0"/>
        <w:spacing w:before="240" w:after="283"/>
        <w:jc w:val="left"/>
        <w:rPr>
          <w:rFonts w:ascii="Times New Roman" w:hAnsi="Times New Roman"/>
          <w:sz w:val="20"/>
        </w:rPr>
      </w:pPr>
      <w:bookmarkStart w:id="11" w:name="item_5"/>
      <w:bookmarkEnd w:id="11"/>
      <w:r>
        <w:rPr>
          <w:rFonts w:ascii="Times New Roman" w:hAnsi="Times New Roman"/>
          <w:b/>
          <w:color w:val="000000"/>
          <w:sz w:val="20"/>
        </w:rPr>
        <w:t>Item 5. Market for Registrant’s Common Equity and Related Stockholder Matters, and 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 Information for Common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is currently quoted on the Nasdaq Global Market under the symbol “IRIX”.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February 29, 2024, there were approximately 33 holders of record (not in street name) of our common stock. Because many of our shares of common stock are held by brokers and other institutions on behalf of our stockholders, we are unable to estimate the total number of stockholders represented by these record holders.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paid cash dividends on our common stock. We currently intend to retain any earnings for use in our business and do not anticipate paying cash dividends in the foreseeable future.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Purchases of Equity Securities by the Issuer and Affiliated Purchasers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jc w:val="left"/>
        <w:rPr>
          <w:rFonts w:ascii="Times New Roman" w:hAnsi="Times New Roman"/>
          <w:b/>
          <w:color w:val="000000"/>
          <w:sz w:val="20"/>
        </w:rPr>
      </w:pPr>
      <w:bookmarkStart w:id="12" w:name="item_6"/>
      <w:bookmarkEnd w:id="12"/>
      <w:r>
        <w:rPr>
          <w:rFonts w:ascii="Times New Roman" w:hAnsi="Times New Roman"/>
          <w:b/>
          <w:color w:val="000000"/>
          <w:sz w:val="20"/>
        </w:rPr>
        <w:t>Item 6. [Reserved]</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13" w:name="item_7"/>
      <w:bookmarkEnd w:id="13"/>
      <w:r>
        <w:rPr>
          <w:rFonts w:ascii="Times New Roman" w:hAnsi="Times New Roman"/>
          <w:b/>
          <w:color w:val="000000"/>
          <w:sz w:val="20"/>
        </w:rPr>
        <w:t>Item 7. Management’s Discussion and Analysis of Financial Condition and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IRIDEX is an ophthalmic medical technology company focused on the development and commercialization of breakthrough products and procedures used to treat sight-threatening eye conditions, including glaucoma and retinal diseases.</w:t>
      </w:r>
    </w:p>
    <w:p>
      <w:pPr>
        <w:pStyle w:val="TextBody"/>
        <w:bidi w:val="0"/>
        <w:spacing w:before="120" w:after="283"/>
        <w:jc w:val="left"/>
        <w:rPr>
          <w:rFonts w:ascii="Times New Roman" w:hAnsi="Times New Roman"/>
          <w:sz w:val="20"/>
        </w:rPr>
      </w:pPr>
      <w:r>
        <w:rPr>
          <w:rFonts w:ascii="Times New Roman" w:hAnsi="Times New Roman"/>
          <w:color w:val="000000"/>
          <w:sz w:val="20"/>
        </w:rPr>
        <w:t>Our propriety MicroPulse</w:t>
      </w:r>
      <w:r>
        <w:rPr>
          <w:rFonts w:ascii="Times New Roman" w:hAnsi="Times New Roman"/>
          <w:color w:val="000000"/>
          <w:sz w:val="13"/>
        </w:rPr>
        <w:t>®</w:t>
      </w:r>
      <w:r>
        <w:rPr>
          <w:rFonts w:ascii="Times New Roman" w:hAnsi="Times New Roman"/>
          <w:color w:val="000000"/>
          <w:sz w:val="20"/>
        </w:rPr>
        <w:t xml:space="preserve"> Technology and Endpoint Management Technology are used for the treatment of glaucoma and retina disorders. Both technologies are offered as optional treatment modes in select laser consoles in addition to the standard continuous-wave (“CW”) treatment mode. They allow low-energy, subvisible, tissue-sparing laser therapy by different means: MicroPulse technology uses short, microsecond-long laser pulses that allow tissue to cool between pulses giving physicians finer control of thermal elevation to minimize tissue damage. Endpoint Management technology uses a delivery algorithm to titrate the laser energy. CW laser photocoagulation can stabilize vision over the long term but can also result in varying degrees of vision loss. Both MicroPulse and Endpoint Management technologies have demonstrated clinical efficacy with a safer profile compared to standard high-energy CW laser for the treatment of both retinal diseases and glaucoma.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products consist of laser consoles, delivery devices and consumable probes.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laser consoles consist of the following product lines: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Glaucoma</w:t>
      </w:r>
      <w:r>
        <w:rPr>
          <w:color w:val="000000"/>
        </w:rPr>
        <w:t xml:space="preserve"> – </w:t>
      </w:r>
      <w:r>
        <w:rPr>
          <w:rFonts w:ascii="Times New Roman" w:hAnsi="Times New Roman"/>
          <w:color w:val="000000"/>
          <w:sz w:val="20"/>
        </w:rPr>
        <w:t>Our primary glaucoma console line is the Cyclo G6</w:t>
      </w:r>
      <w:r>
        <w:rPr>
          <w:rFonts w:ascii="Times New Roman" w:hAnsi="Times New Roman"/>
          <w:color w:val="000000"/>
          <w:sz w:val="13"/>
        </w:rPr>
        <w:t>®</w:t>
      </w:r>
      <w:r>
        <w:rPr>
          <w:color w:val="000000"/>
        </w:rPr>
        <w:t xml:space="preserve"> </w:t>
      </w:r>
      <w:r>
        <w:rPr>
          <w:rFonts w:ascii="Times New Roman" w:hAnsi="Times New Roman"/>
          <w:color w:val="000000"/>
          <w:sz w:val="20"/>
        </w:rPr>
        <w:t>laser system with MicroPulse technology. In addition, our medical retina consoles have features supporting glaucoma laser treatments.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Medical Retina</w:t>
      </w:r>
      <w:r>
        <w:rPr>
          <w:color w:val="000000"/>
        </w:rPr>
        <w:t xml:space="preserve"> – </w:t>
      </w:r>
      <w:r>
        <w:rPr>
          <w:rFonts w:ascii="Times New Roman" w:hAnsi="Times New Roman"/>
          <w:color w:val="000000"/>
          <w:sz w:val="20"/>
        </w:rPr>
        <w:t>Our medical-retina product line includes our portable IQ 532</w:t>
      </w:r>
      <w:r>
        <w:rPr>
          <w:rFonts w:ascii="Times New Roman" w:hAnsi="Times New Roman"/>
          <w:color w:val="000000"/>
          <w:sz w:val="13"/>
        </w:rPr>
        <w:t>®</w:t>
      </w:r>
      <w:r>
        <w:rPr>
          <w:color w:val="000000"/>
        </w:rPr>
        <w:t xml:space="preserve"> </w:t>
      </w:r>
      <w:r>
        <w:rPr>
          <w:rFonts w:ascii="Times New Roman" w:hAnsi="Times New Roman"/>
          <w:color w:val="000000"/>
          <w:sz w:val="20"/>
        </w:rPr>
        <w:t>and IQ 577</w:t>
      </w:r>
      <w:r>
        <w:rPr>
          <w:rFonts w:ascii="Times New Roman" w:hAnsi="Times New Roman"/>
          <w:color w:val="000000"/>
          <w:sz w:val="13"/>
        </w:rPr>
        <w:t>®</w:t>
      </w:r>
      <w:r>
        <w:rPr>
          <w:color w:val="000000"/>
        </w:rPr>
        <w:t xml:space="preserve"> </w:t>
      </w:r>
      <w:r>
        <w:rPr>
          <w:rFonts w:ascii="Times New Roman" w:hAnsi="Times New Roman"/>
          <w:color w:val="000000"/>
          <w:sz w:val="20"/>
        </w:rPr>
        <w:t>laser systems with MicroPulse technology; and the Pattern Scanning Laser (“PASCAL”) System, an integrated workstation with Endpoint Management technology and MicroPulse technology. These systems are ideal for multispecialty practices because these lasers also can be used to treat glaucoma, i.e., single-spot laser trabeculoplasty using MicroPulse technology, iridotomy, and iridectomy using the IQ lasers; and pattern scanning laser trabeculoplasty (“PSLT”) using the PASCAL laser system.</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Surgical Retina</w:t>
      </w:r>
      <w:r>
        <w:rPr>
          <w:color w:val="000000"/>
        </w:rPr>
        <w:t xml:space="preserve"> – </w:t>
      </w:r>
      <w:r>
        <w:rPr>
          <w:rFonts w:ascii="Times New Roman" w:hAnsi="Times New Roman"/>
          <w:color w:val="000000"/>
          <w:sz w:val="20"/>
        </w:rPr>
        <w:t>Our surgical-retina product line includes our OcuLight</w:t>
      </w:r>
      <w:r>
        <w:rPr>
          <w:rFonts w:ascii="Times New Roman" w:hAnsi="Times New Roman"/>
          <w:color w:val="000000"/>
          <w:sz w:val="13"/>
        </w:rPr>
        <w:t>®</w:t>
      </w:r>
      <w:r>
        <w:rPr>
          <w:color w:val="000000"/>
        </w:rPr>
        <w:t xml:space="preserve"> </w:t>
      </w:r>
      <w:r>
        <w:rPr>
          <w:rFonts w:ascii="Times New Roman" w:hAnsi="Times New Roman"/>
          <w:color w:val="000000"/>
          <w:sz w:val="20"/>
        </w:rPr>
        <w:t>TX and OcuLight</w:t>
      </w:r>
      <w:r>
        <w:rPr>
          <w:rFonts w:ascii="Times New Roman" w:hAnsi="Times New Roman"/>
          <w:color w:val="000000"/>
          <w:sz w:val="13"/>
        </w:rPr>
        <w:t>®</w:t>
      </w:r>
      <w:r>
        <w:rPr>
          <w:color w:val="000000"/>
        </w:rPr>
        <w:t xml:space="preserve"> </w:t>
      </w:r>
      <w:r>
        <w:rPr>
          <w:rFonts w:ascii="Times New Roman" w:hAnsi="Times New Roman"/>
          <w:color w:val="000000"/>
          <w:sz w:val="20"/>
        </w:rPr>
        <w:t>SLx (with MicroPulse technology) laser photocoagulation systems. These systems are often used in vitrectomy procedures, which are used to treat proliferative diabetic retinopathy, macular holes, retinal tears and detachments.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generates recurring revenues through sales of consumable products, predominantly single-use laser probe devices and other instrumentation, as well as repair, service and extended service contracts for our laser systems.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laser probes consist of the following product lines: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Glaucoma</w:t>
      </w:r>
      <w:r>
        <w:rPr>
          <w:color w:val="000000"/>
        </w:rPr>
        <w:t xml:space="preserve"> – </w:t>
      </w:r>
      <w:r>
        <w:rPr>
          <w:rFonts w:ascii="Times New Roman" w:hAnsi="Times New Roman"/>
          <w:color w:val="000000"/>
          <w:sz w:val="20"/>
        </w:rPr>
        <w:t>Probes used in our glaucoma product line include our patented single-use delivery devices - MicroPulse P3</w:t>
      </w:r>
      <w:r>
        <w:rPr>
          <w:rFonts w:ascii="Times New Roman" w:hAnsi="Times New Roman"/>
          <w:color w:val="000000"/>
          <w:sz w:val="13"/>
        </w:rPr>
        <w:t>®</w:t>
      </w:r>
      <w:r>
        <w:rPr>
          <w:rFonts w:ascii="Times New Roman" w:hAnsi="Times New Roman"/>
          <w:color w:val="000000"/>
          <w:sz w:val="20"/>
        </w:rPr>
        <w:t>, G-Probe</w:t>
      </w:r>
      <w:r>
        <w:rPr>
          <w:rFonts w:ascii="Times New Roman" w:hAnsi="Times New Roman"/>
          <w:color w:val="000000"/>
          <w:sz w:val="13"/>
        </w:rPr>
        <w:t>®</w:t>
      </w:r>
      <w:r>
        <w:rPr>
          <w:rFonts w:ascii="Times New Roman" w:hAnsi="Times New Roman"/>
          <w:color w:val="000000"/>
          <w:sz w:val="20"/>
        </w:rPr>
        <w:t>, and G-Probe Illuminate</w:t>
      </w:r>
      <w:r>
        <w:rPr>
          <w:rFonts w:ascii="Times New Roman" w:hAnsi="Times New Roman"/>
          <w:color w:val="000000"/>
          <w:sz w:val="13"/>
        </w:rPr>
        <w:t>®</w:t>
      </w:r>
      <w:r>
        <w:rPr>
          <w:rFonts w:ascii="Times New Roman" w:hAnsi="Times New Roman"/>
          <w:color w:val="000000"/>
          <w:sz w:val="20"/>
        </w:rPr>
        <w: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Surgical Retina</w:t>
      </w:r>
      <w:r>
        <w:rPr>
          <w:color w:val="000000"/>
        </w:rPr>
        <w:t xml:space="preserve"> – </w:t>
      </w:r>
      <w:r>
        <w:rPr>
          <w:rFonts w:ascii="Times New Roman" w:hAnsi="Times New Roman"/>
          <w:color w:val="000000"/>
          <w:sz w:val="20"/>
        </w:rPr>
        <w:t>Probes used in our surgical-retina product line include our family of single-use EndoProbe</w:t>
      </w:r>
      <w:r>
        <w:rPr>
          <w:rFonts w:ascii="Times New Roman" w:hAnsi="Times New Roman"/>
          <w:color w:val="000000"/>
          <w:sz w:val="13"/>
        </w:rPr>
        <w:t>®</w:t>
      </w:r>
      <w:r>
        <w:rPr>
          <w:color w:val="000000"/>
        </w:rPr>
        <w:t xml:space="preserve"> </w:t>
      </w:r>
      <w:r>
        <w:rPr>
          <w:rFonts w:ascii="Times New Roman" w:hAnsi="Times New Roman"/>
          <w:color w:val="000000"/>
          <w:sz w:val="20"/>
        </w:rPr>
        <w:t>handpieces.</w:t>
      </w:r>
    </w:p>
    <w:p>
      <w:pPr>
        <w:pStyle w:val="TextBody"/>
        <w:bidi w:val="0"/>
        <w:spacing w:before="120" w:after="283"/>
        <w:jc w:val="left"/>
        <w:rPr>
          <w:rFonts w:ascii="Times New Roman" w:hAnsi="Times New Roman"/>
          <w:sz w:val="20"/>
        </w:rPr>
      </w:pPr>
      <w:r>
        <w:rPr>
          <w:rFonts w:ascii="Times New Roman" w:hAnsi="Times New Roman"/>
          <w:color w:val="000000"/>
          <w:sz w:val="20"/>
        </w:rPr>
        <w:t>Ophthalmologists typically use our laser systems in hospital operating rooms and ambulatory surgical centers, as well as their offices and clinics. In operating rooms and ambulatory surgical centers, ophthalmologists use our laser systems with either an indirect laser ophthalmoscope or a single-use consumable probe, including MicroPulse P3</w:t>
      </w:r>
      <w:r>
        <w:rPr>
          <w:rFonts w:ascii="Times New Roman" w:hAnsi="Times New Roman"/>
          <w:color w:val="000000"/>
          <w:sz w:val="13"/>
        </w:rPr>
        <w:t>®</w:t>
      </w:r>
      <w:r>
        <w:rPr>
          <w:rFonts w:ascii="Times New Roman" w:hAnsi="Times New Roman"/>
          <w:color w:val="000000"/>
          <w:sz w:val="20"/>
        </w:rPr>
        <w:t>, G-Probe</w:t>
      </w:r>
      <w:r>
        <w:rPr>
          <w:rFonts w:ascii="Times New Roman" w:hAnsi="Times New Roman"/>
          <w:color w:val="000000"/>
          <w:sz w:val="13"/>
        </w:rPr>
        <w:t>®</w:t>
      </w:r>
      <w:r>
        <w:rPr>
          <w:rFonts w:ascii="Times New Roman" w:hAnsi="Times New Roman"/>
          <w:color w:val="000000"/>
          <w:sz w:val="20"/>
        </w:rPr>
        <w:t xml:space="preserve"> and G-Probe Illuminate</w:t>
      </w:r>
      <w:r>
        <w:rPr>
          <w:rFonts w:ascii="Times New Roman" w:hAnsi="Times New Roman"/>
          <w:color w:val="000000"/>
          <w:sz w:val="13"/>
        </w:rPr>
        <w:t>®</w:t>
      </w:r>
      <w:r>
        <w:rPr>
          <w:rFonts w:ascii="Times New Roman" w:hAnsi="Times New Roman"/>
          <w:color w:val="000000"/>
          <w:sz w:val="20"/>
        </w:rPr>
        <w:t xml:space="preserve"> delivery devices, and EndoProbe handpieces. In the offices and clinics, ophthalmologists use our laser systems with either an indirect laser ophthalmoscope or a slit-lamp adapter.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2023 and 2022, our products were sold in the United States and Germany predominantly through a direct sales force and internationally (aside from Germany) primarily through independent distributors. Total revenues in 2023 and 2022 were $51.9 million and $57.0 million, respectively. We generated net losses of $9.6 million and $7.5 million in 2023 and 2022,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to international distributors are made on open credit terms or letters of credit and are currently denominated in U.S. dollars and accordingly, are not subject to risks associated with currency fluctuations. However, increases in the value of the U.S. dollar against any local currencies could cause our products to become relatively more expensive to customers in a particular country or region, leading to reduced revenue or profitability in that country or region. Sales to direct end users transacted through our German office are denominated in Euros and are subject to risks associated with currency fluctuations.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revenues consists primarily of our direct manufacturing costs which include the cost of components and sub-systems, assembling, packaging, shipping and testing components at our facility, direct labor and associated overhead, warranty, royalty and amortization of intangible assets and depot service costs. For certain of our products, we are responsible for the cost of the fully assembled product that is manufactured by a third-party.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and marketing expenses consist primarily of costs of personnel, sales commissions, travel expenses, advertising and promotional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costs of personnel, legal, accounting and other public company costs, insurance and other expenses not allocated to other departments.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Impact of Macroeconomic Conditions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macroeconomic conditions exhibit challenges that can affect capital equipment purchasing demand and timing, including recessionary fears, inflation concerns, heightened interest rates as a result of government actions to combat inflation, and uncertainty in the global banking and financial services market, as well as other geopolitical developments, have impacted and may continue to impact business spending and the economy as a whole. As a result, we have seen customers extend purchase decision cycles. We have also experienced some demand softness due to pricing effects from the strength of the U.S. Dollar that have impacted and may continue to impact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macroeconomic conditions on our business and operations remains uncertain, and it is not possible for us to predict the duration and extent to which they will affect our business, future results of operations,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more information on risks associated with the current macroeconomic conditions, see the sections titled “Risk Factors” in Item 1A of Part I.</w:t>
      </w:r>
    </w:p>
    <w:p>
      <w:pPr>
        <w:pStyle w:val="TextBody"/>
        <w:bidi w:val="0"/>
        <w:spacing w:before="120" w:after="283"/>
        <w:jc w:val="left"/>
        <w:rPr>
          <w:rFonts w:ascii="Times New Roman" w:hAnsi="Times New Roman"/>
          <w:sz w:val="20"/>
        </w:rPr>
      </w:pPr>
      <w:r>
        <w:rPr>
          <w:rFonts w:ascii="Times New Roman" w:hAnsi="Times New Roman"/>
          <w:b/>
          <w:color w:val="000000"/>
          <w:sz w:val="20"/>
        </w:rPr>
        <w:t>Results of Operations - 2023 and 2022</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fiscal year ends on the Saturday closest to December 31. Fiscal 2023 ended on December 30, 2023 and fiscal 2022 ended on December 31, 2022. Fiscal years 2023 and 2022 each included 52 weeks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certain operating data as a percentage of revenues for the periods indicated. </w:t>
      </w:r>
    </w:p>
    <w:tbl>
      <w:tblPr>
        <w:tblW w:w="8575" w:type="dxa"/>
        <w:jc w:val="left"/>
        <w:tblInd w:w="0" w:type="dxa"/>
        <w:tblLayout w:type="fixed"/>
        <w:tblCellMar>
          <w:top w:w="28" w:type="dxa"/>
          <w:left w:w="28" w:type="dxa"/>
          <w:bottom w:w="28" w:type="dxa"/>
          <w:right w:w="28" w:type="dxa"/>
        </w:tblCellMar>
      </w:tblPr>
      <w:tblGrid>
        <w:gridCol w:w="4576"/>
        <w:gridCol w:w="146"/>
        <w:gridCol w:w="305"/>
        <w:gridCol w:w="1195"/>
        <w:gridCol w:w="331"/>
        <w:gridCol w:w="146"/>
        <w:gridCol w:w="305"/>
        <w:gridCol w:w="1195"/>
        <w:gridCol w:w="376"/>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 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vAlign w:val="center"/>
          </w:tcPr>
          <w:p>
            <w:pPr>
              <w:pStyle w:val="TableContents"/>
              <w:bidi w:val="0"/>
              <w:spacing w:before="0" w:after="283"/>
              <w:jc w:val="righ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righ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376" w:type="dxa"/>
            <w:tcBorders/>
            <w:shd w:fill="FFFFFF" w:val="clear"/>
            <w:vAlign w:val="center"/>
          </w:tcPr>
          <w:p>
            <w:pPr>
              <w:pStyle w:val="TableContents"/>
              <w:bidi w:val="0"/>
              <w:spacing w:before="0" w:after="283"/>
              <w:jc w:val="right"/>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righ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 before provision for income taxes</w:t>
            </w:r>
          </w:p>
        </w:tc>
        <w:tc>
          <w:tcPr>
            <w:tcW w:w="146"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righ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sz w:val="20"/>
        </w:rPr>
      </w:pPr>
      <w:r>
        <w:rPr>
          <w:rFonts w:ascii="Times New Roman" w:hAnsi="Times New Roman"/>
          <w:b/>
          <w:color w:val="000000"/>
          <w:sz w:val="20"/>
        </w:rPr>
        <w:t>Comparison of 2023 and 2022</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Revenues</w:t>
      </w:r>
    </w:p>
    <w:p>
      <w:pPr>
        <w:pStyle w:val="TextBody"/>
        <w:bidi w:val="0"/>
        <w:jc w:val="left"/>
        <w:rPr/>
      </w:pPr>
      <w:r>
        <w:rPr/>
        <w:t> </w:t>
      </w:r>
    </w:p>
    <w:tbl>
      <w:tblPr>
        <w:tblW w:w="6538" w:type="dxa"/>
        <w:jc w:val="left"/>
        <w:tblInd w:w="0" w:type="dxa"/>
        <w:tblLayout w:type="fixed"/>
        <w:tblCellMar>
          <w:top w:w="28" w:type="dxa"/>
          <w:left w:w="28" w:type="dxa"/>
          <w:bottom w:w="28" w:type="dxa"/>
          <w:right w:w="28" w:type="dxa"/>
        </w:tblCellMar>
      </w:tblPr>
      <w:tblGrid>
        <w:gridCol w:w="1321"/>
        <w:gridCol w:w="146"/>
        <w:gridCol w:w="211"/>
        <w:gridCol w:w="676"/>
        <w:gridCol w:w="146"/>
        <w:gridCol w:w="146"/>
        <w:gridCol w:w="211"/>
        <w:gridCol w:w="676"/>
        <w:gridCol w:w="146"/>
        <w:gridCol w:w="146"/>
        <w:gridCol w:w="244"/>
        <w:gridCol w:w="731"/>
        <w:gridCol w:w="166"/>
        <w:gridCol w:w="146"/>
        <w:gridCol w:w="228"/>
        <w:gridCol w:w="822"/>
        <w:gridCol w:w="376"/>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Cyclo G6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Retina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total revenues decreased by $5.1 million or 9.0% from $57.0 million in 2022 to $51.9 million in 2023. The decrease was driven by an overall softer demand in our retina product line, and lower royalties due to the expiration of licensed patents.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believe that demand for our products remains strong, however the overall capital expenditure landscape within hospitals, surgical centers and physician offices may continue to be negatively impacted by persistent macroeconomic concerns.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decreased by $3.6 million or 14.0% from $25.4 million in 2022 to $21.8 million in 2023. Gross margin increased by 2.5% from 44.5% in 2022 to 42.0% in 2023. The decrease in gross margin was the result of lower overhead absorption in the current period and a more favorable product mix in the prior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margins may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R&amp;D expenses decreased by $0.3 million or 4.8% from $7.2 million in 2022 to $6.8 million in 2023. Spending on investment in PASCAL product line and on new and expanded product portfolio decreased as we completed these projects.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decreased by $1.9 million or 10.7%, from $18.2 million in 2022 to $16.2 million in 2023. The decrease was related to lower marketing and advertising costs as we recently completed the release of a new system product in the fourth quarter of fiscal 2022.</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by $1.2 million or 15.8% from $7.6 million in 2022 to $8.7 million in 2023. The increase was attributable to increases in higher personnel and other related expenses, including separation costs incurred in the second fiscal quarter of fiscal year 2023 and legal expenses for general corporate matters.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amounted to $0.5 million in 2023 and $60 thousand in 2022. Other income, net, consisted primarily of interest income or expense and foreign currency gain or loss.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recorded a provision for income taxes of $90 thousand for the year ended December 30, 2023 compared to $65 thousand for the year ended December 31, 2022. The effective tax rate for the year ended December 30, 2023 was negative 0.8% compared to an effective tax rate of negative 0.9% for the year ended December 31, 2022. Our effective tax rate increase is due mainly to the change in valuation allowance. The income tax valuation allowance was $25.4 million at the end of 2023 compared to $23.1 million at the end of 2022.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Liquidity is our ability to generate sufficient cash flows from operating activities to meet our obligations and commitments. In addition, liquidity includes the ability to obtain appropriate financing or to raise capital.</w:t>
      </w:r>
    </w:p>
    <w:p>
      <w:pPr>
        <w:pStyle w:val="TextBody"/>
        <w:bidi w:val="0"/>
        <w:spacing w:before="120" w:after="283"/>
        <w:jc w:val="left"/>
        <w:rPr>
          <w:rFonts w:ascii="Times New Roman" w:hAnsi="Times New Roman"/>
          <w:sz w:val="20"/>
        </w:rPr>
      </w:pPr>
      <w:r>
        <w:rPr>
          <w:rFonts w:ascii="Times New Roman" w:hAnsi="Times New Roman"/>
          <w:i/>
          <w:color w:val="000000"/>
          <w:sz w:val="20"/>
        </w:rPr>
        <w:t>Comparison of 2023 and 2022</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30, 2023, we had cash and cash equivalents of $7.0 million and working capital of $14.5 million compared to cash and cash equivalents of $13.9 million and working capital of $23.3 million as of December 31, 2022.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$6.7 million in 2023 compared to net cash used in operating activities of $9.5 million in 2022. The decrease in net cash used in operating activities, expressed in direct cash flow terms, was primarily due to cash provided by inventory, receivable from related party, prepaids, and other long-term assets, offset by increases in cash used in accounts payable and deferred revenue. During 2022, the company added approximately $3.5 million to inventory and prepaid materials to mitigate supply chain constraints, which were resolved in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2023, net cash used in investing activities was $109 thousand for capital expenditures. During 2022, net cash used in investing activities was $0.3 million for capital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2023, net cash used in financing activities was $5 thousand, primarily from payroll taxes related to net share settlement of equity awards partially offset by the net proceeds arising from the proceeds from stock option exercises. During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2022, net cash used in financing activities was $0.1 million, primarily from payroll taxes related to net share settlement of equity awards partially offset by the net proceeds arising from the proceeds from stock option exercises.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historically funded our operations primarily through sales of our products to customers, and through common stock and borrowing arrangements. As of December 30, 2023, our principal sources of liquidity consisted of cash and cash equivalents of $7.0 million. We have incurred net losses over the last several years, and as of December 30, 2023, have an accumulated deficit of approximately $79.0 million. We expect to continue to incur operating losses and negative cash flows from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had a Loan and Security Agreement (“Loan Agreement”) with Silicon Valley Bank providing for up to $8.0 million secured revolving loan facility which expired on December 1, 2023. We are currently in the process of negotiating the renewal and new terms for the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existing cash and cash equivalents will be sufficient to meet our anticipated cash needs over the next 12 months. Our future capital requirements will depend on many factors, including our growth rate, the timing and extent of our spending to support research and development activities, the timing and cost of establishing additional sales and marketing capabilities, the introduction of new and enhanced products and our costs to implement new manufacturing technologies. In the event that additional financing is required from outside sources, we may not be able to raise it on terms acceptable to us or at all. Any debt financing 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revenues arise from the sale of laser consoles, delivery devices, consumables, service, and support activities. We also derive revenue from royalties from third parties which are typically based on licensees’ net sales of products that utilize our technology. Our revenue is recognized in accordance with ASC 606, “Revenue from Contracts with Customers.” We recognize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the following revenue transaction types: (1) Product Sale Only, (2) Service Contracts, (3) System Repairs (outside of warranty), (4) Royalty Revenue and (5) Exclusive Distribution Rights.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Sale Only: Our products consist of laser consoles, delivery devices and consumable instrumentation, including laser probes. Our products are currently sold for use by ophthalmologists specializing in the treatment of glaucoma and retinal diseases. Inside the United States and Germany, the products are sold directly to the end users. In other countries outside of the United States and Germany, we utilize independent, third-party distributors to market and sell our products. There is no continuing obligation after shipment is made to these distributors.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revenue from product sale at a point in time subject to the allocation of transaction price to additional performance obligations, if any.</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 Contracts: We offer a standard two-year warranty on all system sales. We also offer a service contract which is sold to customers in incremental, one-year periods which begin subsequent to the expiration of the standard two-year warranty. The customer can opt to purchase the service contract at the time of the system sale or after the initial system sale.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revenue from service contracts ratably over the service period. Revenue recognition for the sale of a service contract is largely dependent on the timing of the sale as follows:</w:t>
      </w:r>
    </w:p>
    <w:p>
      <w:pPr>
        <w:pStyle w:val="TextBody"/>
        <w:bidi w:val="0"/>
        <w:spacing w:before="120" w:after="283"/>
        <w:ind w:left="99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Service Contract Sale in Conjunction with System Sale: If the customer opts to purchase a service contract at the time of the system sale, we allocate the transaction price of the distinct performance obligations in the contract by determining stand-alone selling price using historical pricing net of any variable consideration or discounts to specifically allocate to a particular performance obligation.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120" w:after="283"/>
        <w:ind w:left="993"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 Contract Sale Subsequent to System Sale: If the customer opts to purchase a service contract after the initial system sale, we determine the amount of time that has elapsed since the initial system sale. If the service contract is purchased within 60 days of the initial sale, we consider this sale to be an additional element of the original sale and allocate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60 days after the initial sale, the sale of the service contract is deemed a separate contract and is deferred at the selling price and recognized ratably over the extended warranty period as the performance obligation is satisfied.</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System Repairs (outside of warranty): Customers will occasionally request repairs from us subsequent to the expiration of the standard warranty and outside of a service contract.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 revenue from system repairs (outside of warranty) at a point in time. When the customer requests repairs from us subsequent to the expiration of the standard warranty and outside of a service contract, these repair contracts are considered separate from the initial sale, and as such, revenue is recognized as the repair services are rendered and the performance obligation satisfied.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Royalty Revenue: We have royalty agreements with four customers related to sale of our intellectual property. Under the terms of these agreements, three customers are required to remit a percentage of sales to us as the sales occur and one customer made an upfront prepayment for royalties.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arrangements with three customers are for sales-based licenses of intellectual property, for which the guidance in paragraph ASC 606-10-55-65 applies. Therefore, we recognize revenue at a point in time, only as the subsequent sale occurs. However, we note that such sales being reported by the licensee with a quarter in arrear,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 For the arrangement with one customer, we concluded that there is one combined performance obligation to be satisfied. Therefore, we recognize revenue related to this arrangement over time.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Exclusive Distribution Rights: In March 2021, we entered into a distribution agreement with Topcon, pursuant to which we granted Topcon exclusive right to distribute our retina and glaucoma products in certain geographies outside the United States. The exclusivity arrangement with Topcon obligates us to provide training, customer support and exclusive territorial rights to Topcon for certain international regions, for a period of 10 years, commencing upon regulatory approval to transfer existing (non-exclusive) distribution rights from the current distributors in those regions to Topcon. We have the right to terminate the exclusive distribution rights granted to Topcon for any of the regions at any point in time during the 10-year exclusivity term for a termination fee that is based on a multiple of 1.2 times the revenue generated by us in 2019 for the respective region. We determined that the exclusivity rights, training and customer support represents a single combined performance obligation for each region, to be recognized as exclusivity fee revenue on a straight-line basis over the 10-year period for each region, commencing on the date that regulatory approval is obtained for each region, based on the Standalone Selling Price (“SSP”) for such combined performance obligation for each region. The estimated fair value of the exclusive distribution rights for all regions combined totaled approximately $14.8 million. Of this amount, we fully constrained and returned to Topcon the arrangement fee allocated to Belarus (approximately $0.2 million recorded as customer deposit under Other current liabilities) because obtaining the necessary regulatory approvals and termination of existing distributor relationship was not feasible. During fiscal years ended 2023 and 2022, $1.5 million and $1.3 million in revenue related to the exclusive distribution rights was recorded, respectively.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Costs of Obtaining Revenue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recognized assets from certain costs incurred to obtain revenue contracts. These costs relate to sales commissions arising from the sale of our products. The costs are considered incremental and recoverable of obtaining revenue contracts with customers. These deferred costs are amortized on a straight-line basis over the estimated period of benefit, which typically ranges from 2 to 3 years. As of December 30, 2023 and December 31, 2022, we recognized deferred costs incurred to obtain revenue contracts with customers, net of accumulated amortization, of $0.2 million and $0.2 million, respectively, and included these amounts in Prepaid expenses and other current assets and Other long-term assets in our consolidated balance sheets. Amortization expense was $105 thousand and $36 thousand, respectively, for the fiscal years ended December 30, 2023 and December 31, 2022. There were no impairment expenses for both the fiscal years ended December 30, 2023 and December 31, 2022,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commissions that do not represent incremental and recoverable costs of obtaining a contract are expensed as incurred. As a practical expedient, we will not recognize such sales commission as a contract asset but rather recognize as expense when incurred if the amortization period of the asset that we would have otherwise recognized is one year or less.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Contract Fulfillment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recognized an asset from the costs incurred to fulfill a contract. These costs relate directly and must be incurred to satisfy performance obligations on certain specific contract with a customer. These costs are expected to be recovered over time and are amortized on a systematic basis that is consistent with the recognition of revenue to which it relates. As of December 30, 2023 and December 31, 2022, we recognized deferred costs incurred to fulfill a contract with a customer, net of accumulated amortization, of $0.7 million and $0.8 million, respectively, and included these amounts in Prepaid expenses and other current assets and Other long-term assets in the Company’s consolidated balance sheets. Amortization expense was $83 thousand and $62 thousand, respectively, for the fiscal years ended December 30, 2023 and December 31, 2022. There were no impairment expenses for both the fiscal years ended December 30, 2023 and December 31, 2022, respectively.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Inventories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Inventories are stated at the lower of cost or net realizable value and include on-hand inventory physically held at our facility, sales demo inventory and service loaner inventory. Cost is determined on a standard cost basis which approximates actual cost on a first-in, first-out (“FIFO”) method. Lower of cost or net realizable value is evaluated by considering obsolescence, excessive levels of inventory, deterioration and other factors. Adjustments to reduce the cost of inventory to its net realizable value, if required, are made for estimated excess, obsolete or impaired inventory and are charged to cost of revenues. Once the cost of the inventory is reduced, a new lower-cost basis for that inventory is established, and subsequent changes in facts and circumstances do not result in the restoration or increase in that newly established cost basis. Factors influencing these adjustments include changes in demand, product life cycle and development plans, component cost trends, product pricing, physical deterioration and quality issues. Revisions to these adjustments would be required if these factors differ from our estimates.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Provision for Credit Loss and Sales Returns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future sales returns related to current period product revenue. We analyze historical returns, and changes in customer demand and acceptance of our products when evaluating the adequacy of the sales returns allowance. Significant management judgment and estimates must be made and used in connection with establishing the sales returns allowance in any accounting period. Material differences may result in the amount and timing of our revenue for any period if management made different judgments or utilized different estimates. Our provision for sales returns is recorded net of the associated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Similarly, management must make estimates regarding the collectibility of accounts receivable. We are exposed to credit risk in the event of non-payment by customers to the extent of amounts recorded on the consolidated balance sheets. As sales increase the level of accounts receivable would likely also increase. In addition, in the event that customers were to delay their payments to us, the levels of accounts receivable would likely also increase. We maintain provision for credit losses for estimated losses resulting from the inability of our customers to make required payments. The provision for credit losses is based on past payment history with the customer, analysis of the customer’s current financial condition, the aging of the accounts receivable balance, customer concentration and other known factors.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Warranty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provide reserves for the estimated cost of product warranties at the time revenue is recognized based on historical experience of known product failure rates and expected material and labor costs to provide warranty services. We generally provide a two-year warranty on our products. Additionally, from time to time, specific warranty accruals may be made if unforeseen technical problems arise. Alternatively, if estimates are determined to be greater than the actual amounts necessary, we may reverse a portion of such provisions in future periods. Our warranty policy is applicable to products which are considered defective in their performance or fail to meet the product specifications. Warranty costs are reflected in the consolidated statements of operations as cost of revenues.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account for income taxes in accordance with ASC 740, “Income Taxes”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laws that will be in effect when the differences are expected to reverse. ASC 740 also requires that deferred tax assets be reduced by a valuation allowance if it is more likely than not that some or all of the deferred tax asset will not be realized. We annually evaluate the realizability of our deferred tax assets by assessing our valuation allowance and by adjusting the amount of such allowance, if necessary. The factors used to assess the likelihood of realization include our forecast of future taxable income and available tax planning strategies that could be implemented to realize the net deferred tax assets. As of December 30, 2023, based on our recent history of losses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its forecasted losses, management believes on the more likely than not basis that a full valuation allowance is required. Accordingly, as of December 30, 2023, we provided a full valuation allowance on our federal and state deferred tax assets.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for Uncertainty in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account for uncertain tax positions in accordance with ASC 740. ASC 740 seeks to reduce the diversity in practice associated with certain aspects of measurement and recognition in accounting for income taxes.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"more-likely-than-not" threshold. In accordance with our accounting policy, we recognize accrued interest and penalties related to unrecognized tax benefits as a component of income tax expense. There was no accrued interest and penalties during the year ended December 30, 2023.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for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account for stock-based compensation granted to employees and directors, including employees’ stock option awards and restricted stock units at grant date, based on the fair value of the award. Stock-based compensation is recognized as expense on a ratable basis over the requisite service period of the award.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value options using the Black-Scholes option pricing model. Time-based restricted stock units are valued at the grant date fair value of the underlying common shares. Performance-based restricted stock units without market conditions are valued at grant date fair value of the underlying common shares. Performance-based restricted stock units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determine if an arrangement is a lease at inception. Operating leases are included in Operating lease right-of-use (“ROU”) assets, net and Operating lease liabilities in our consolidated balance sheets. As of December 30, 2023, we were not a party to finance lease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available practical expedient, we account for the lease and non-lease components as a single lease component.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Foreign Currency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Assets and liabilities of foreign operations with non-U.S. Dollar functional currency are translated to U.S. Dollars using exchange rates in effect at the end of the period. Revenue and expenses are translated to U.S. Dollars using rates that approximate those in effect during the period. The resulting translation adjustments are included in our Consolidated Balance Sheets in the stockholders’ equity section as a component of accumulated other comprehensive income (loss).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Recently Adopted Accounting Standards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2016, the Financial Accounting Standards Board (“FASB”) issued Accounting Standards Update (“ASU”) No. 2016-13 “Measurement of Credit Losses on Financial Instruments,” which amended the current approach to estimate credit losses on certain financial assets, including trade and other receivables, available-for-sale securities, and other financial instruments. Generally, this amendment requires entities to establish a valuation allowance for the expected lifetime losses of these certain financial assets. In November 2019, the FASB issued ASU No. 2019-10, “Financial Instruments - Credit Losses (Topic 326), Derivatives and Hedging (Topic 815), and Leases (Topic 842),” which amended the effective date for certain qualified entities to fiscal years beginning after December 15, 2022. On January 1, 2023, the Company adopted ASU No. 2016-13, using the modified retrospective approach by applying a cumulative effect adjustment of $0.2 million to the opening balance of accumulated deficit.</w:t>
      </w:r>
    </w:p>
    <w:p>
      <w:pPr>
        <w:pStyle w:val="TextBody"/>
        <w:bidi w:val="0"/>
        <w:spacing w:before="12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 Accounting Standards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Financial Standards Accounting Board (FASB) issued Accounting Standards Update (ASU) 2023-07 "Segment Reporting (Topic 280): Improvements to Reportable Segment Disclosures" which expands annual and interim disclosure requirements for reportable segments, primarily through enhanced disclosures about significant segment expenses. ASU 2023-07 is effective for our annual periods beginning January 1, 2024, and for interim periods beginning January 1, 2025, with early adoption permitted. We are currently evaluating the potential effect that the updated standard will have on our financial statement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2023-09 "Income Taxes (Topics 740): Improvements to Income Tax Disclosures" to expand the disclosure requirements for income taxes, specifically related to the rate reconciliation and income taxes paid. ASU 2023-09 is effective for our annual periods beginning January 1, 2025, with early adoption permitted. We are currently evaluating the potential effect that the updated standard will have on our financial statement disclosures.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off-balance sheet arrangements. </w:t>
      </w:r>
    </w:p>
    <w:p>
      <w:pPr>
        <w:pStyle w:val="TextBody"/>
        <w:bidi w:val="0"/>
        <w:spacing w:before="120" w:after="283"/>
        <w:jc w:val="left"/>
        <w:rPr>
          <w:rFonts w:ascii="Times New Roman" w:hAnsi="Times New Roman"/>
          <w:b/>
          <w:color w:val="000000"/>
          <w:sz w:val="20"/>
        </w:rPr>
      </w:pPr>
      <w:bookmarkStart w:id="14" w:name="item_7a_quantitative_qualitative_disclos"/>
      <w:bookmarkEnd w:id="14"/>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“smaller reporting company,” as defined in Rule 12b-2 of the Exchange Act, we are not required to provide the information called for by this Item.</w:t>
      </w:r>
    </w:p>
    <w:p>
      <w:pPr>
        <w:pStyle w:val="TextBody"/>
        <w:bidi w:val="0"/>
        <w:spacing w:before="120" w:after="283"/>
        <w:jc w:val="left"/>
        <w:rPr>
          <w:rFonts w:ascii="Times New Roman" w:hAnsi="Times New Roman"/>
          <w:b/>
          <w:color w:val="000000"/>
          <w:sz w:val="20"/>
        </w:rPr>
      </w:pPr>
      <w:bookmarkStart w:id="15" w:name="item_8_financial_statements_supplementar"/>
      <w:bookmarkEnd w:id="15"/>
      <w:r>
        <w:rPr>
          <w:rFonts w:ascii="Times New Roman" w:hAnsi="Times New Roman"/>
          <w:b/>
          <w:color w:val="000000"/>
          <w:sz w:val="20"/>
        </w:rPr>
        <w:t>Item 8. Financial Statements and Supplementary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balance sheets as of December 30, 2023 and December 31, 2022 and the consolidated statements of operations, comprehensive loss, stockholders’ equity and cash flows for each of our fiscal years 2023 and 2022 together with the related notes and the report of our independent registered public accounting firm, are on the following pages. Additional required financial information is described in Item 15.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16" w:name="report_independent_registered_public_acc"/>
      <w:bookmarkEnd w:id="16"/>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Board of Directors and Stockholders of IRIDEX Corporation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have audited the accompanying consolidated balance sheets of IRIDEX Corporation (a Delaware corporation) and its subsidiaries (the “Company”) as of December 30, 2023 and December 31, 2022, and the related consolidated statements of operations, comprehensive loss, stockholders’ equity, and cash flows for each of the two years in the period ended December 30, 2023, and the related notes (collectively referred to as the “consolidated financial statements”). In our opinion, the consolidated financial statements present fairly, in all material respects, the financial position of the Company as of December 30, 2023 and December 31, 2022, and the results of its operations and its cash flows for each of the two years in the period ended December 30, 2023, in conformity with accounting principles generally accepted in the United States of America.</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120" w:after="120"/>
        <w:jc w:val="both"/>
        <w:rPr>
          <w:rFonts w:ascii="Times New Roman" w:hAnsi="Times New Roman"/>
          <w:sz w:val="20"/>
        </w:rPr>
      </w:pPr>
      <w:r>
        <w:rPr>
          <w:rFonts w:ascii="Times New Roman" w:hAnsi="Times New Roman"/>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r>
        <w:rPr>
          <w:rFonts w:ascii="Arial" w:hAnsi="Arial"/>
          <w:color w:val="000000"/>
          <w:sz w:val="20"/>
        </w:rPr>
        <w: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Inventory Valuation - Adjustments for Excess or Obsolete Inventories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described in Notes 2 and 5 to the consolidated financial statements, the Company has inventories with a carrying value of $9.9 million as of December 30, 2023. The Company’s inventories are stated at the lower of cost or net realizable value. Cost is determined on a standard cost basis which approximates actual cost on a first-in, first-out (“FIFO”) method. Lower of cost or net realizable value is evaluated by considering obsolescence, excessive levels of inventory, deterioration, and other factors. Adjustments to reduce the cost of inventory to its net realizable value, if required, are made for estimated excess, obsolescence or impaired inventory and are charged to cost of revenues. The Company’s inventories include demonstration units (“demos”) to facilitate the sale of products to prospective customers and loaners for existing customers to use while their product is under repair.</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principal considerations for our determination that performing procedures relating to net realizable value adjustments to inventories is a critical audit matter are the significant amount of judgment by management in developing the assumptions of the forecasted changes in demand, product life cycle and development plans, component cost trends, product pricing, physical deterioration and quality issues, which in turn led to significant auditor judgment, subjectivity, and effort in performing audit procedures and evaluating audit evidence relating to these factors. Additionally, for certain new product launches there may be limited historical data with which to evaluate forecasts.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sz w:val="20"/>
        </w:rPr>
      </w:pPr>
      <w:r>
        <w:rPr>
          <w:rFonts w:ascii="Times New Roman" w:hAnsi="Times New Roman"/>
          <w:color w:val="000000"/>
          <w:sz w:val="20"/>
        </w:rPr>
        <w:t>Addressing the matter involved performing procedures and evaluating audit evidence in connection with forming our overall opinion on the consolidated financial statements. These procedures included obtaining an understanding of the Company’s inventory reserve review process, including the assumptions and data underlying the excess and obsolete inventory valuation. The procedures also included, among others, testing management’s process for developing the estimate of the adjustments for excess or obsolete inventories, testing the completeness and accuracy of the underlying data used in the estimate, and evaluating management’s assumptions of forecasted product demand. Evaluating management’s demand forecast for reasonableness involved considering historical sales by product, comparing prior period estimates to actual results, and determining whether the demand forecast used was consistent with evidence obtained in other areas of the audi</w:t>
      </w:r>
      <w:r>
        <w:rPr>
          <w:rFonts w:ascii="Arial" w:hAnsi="Arial"/>
          <w:color w:val="000000"/>
          <w:sz w:val="20"/>
        </w:rPr>
        <w:t>t.</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/s/ BPM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2007.</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San Jose, California</w:t>
      </w:r>
    </w:p>
    <w:p>
      <w:pPr>
        <w:pStyle w:val="TextBody"/>
        <w:bidi w:val="0"/>
        <w:jc w:val="left"/>
        <w:rPr>
          <w:rFonts w:ascii="Times New Roman" w:hAnsi="Times New Roman"/>
          <w:color w:val="000000"/>
          <w:sz w:val="20"/>
        </w:rPr>
      </w:pPr>
      <w:r>
        <w:rPr>
          <w:rFonts w:ascii="Times New Roman" w:hAnsi="Times New Roman"/>
          <w:color w:val="000000"/>
          <w:sz w:val="20"/>
        </w:rPr>
        <w:t>March 29,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Iridex Corporation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17" w:name="consolidated_balance_sheets"/>
      <w:bookmarkEnd w:id="17"/>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6797"/>
        <w:gridCol w:w="146"/>
        <w:gridCol w:w="284"/>
        <w:gridCol w:w="994"/>
        <w:gridCol w:w="166"/>
        <w:gridCol w:w="146"/>
        <w:gridCol w:w="284"/>
        <w:gridCol w:w="994"/>
        <w:gridCol w:w="394"/>
      </w:tblGrid>
      <w:tr>
        <w:trPr/>
        <w:tc>
          <w:tcPr>
            <w:tcW w:w="6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67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2022</w:t>
            </w:r>
          </w:p>
        </w:tc>
        <w:tc>
          <w:tcPr>
            <w:tcW w:w="394" w:type="dxa"/>
            <w:tcBorders/>
            <w:shd w:fill="FFFFFF" w:val="clear"/>
            <w:vAlign w:val="center"/>
          </w:tcPr>
          <w:p>
            <w:pPr>
              <w:pStyle w:val="TableContents"/>
              <w:bidi w:val="0"/>
              <w:spacing w:before="0" w:after="283"/>
              <w:jc w:val="center"/>
              <w:rPr/>
            </w:pPr>
            <w:r>
              <w:rPr/>
              <w:t> </w:t>
            </w:r>
          </w:p>
        </w:tc>
      </w:tr>
      <w:tr>
        <w:trPr/>
        <w:tc>
          <w:tcPr>
            <w:tcW w:w="67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7"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27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8"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right"/>
              <w:rPr/>
            </w:pPr>
            <w:r>
              <w:rPr/>
              <w:t> </w:t>
            </w:r>
          </w:p>
        </w:tc>
      </w:tr>
      <w:tr>
        <w:trPr/>
        <w:tc>
          <w:tcPr>
            <w:tcW w:w="67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27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8"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679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13,922</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79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6,229</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79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Receivable from related party</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79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10,608</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79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35,766</w:t>
            </w:r>
          </w:p>
        </w:tc>
        <w:tc>
          <w:tcPr>
            <w:tcW w:w="394" w:type="dxa"/>
            <w:tcBorders/>
            <w:shd w:fill="FFFFFF" w:val="clear"/>
            <w:vAlign w:val="center"/>
          </w:tcPr>
          <w:p>
            <w:pPr>
              <w:pStyle w:val="TableContents"/>
              <w:bidi w:val="0"/>
              <w:spacing w:before="0" w:after="283"/>
              <w:jc w:val="left"/>
              <w:rPr/>
            </w:pPr>
            <w:r>
              <w:rPr/>
              <w:t> </w:t>
            </w:r>
          </w:p>
        </w:tc>
      </w:tr>
      <w:tr>
        <w:trPr/>
        <w:tc>
          <w:tcPr>
            <w:tcW w:w="67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394" w:type="dxa"/>
            <w:tcBorders/>
            <w:shd w:fill="CFF0FC" w:val="clear"/>
            <w:vAlign w:val="center"/>
          </w:tcPr>
          <w:p>
            <w:pPr>
              <w:pStyle w:val="TableContents"/>
              <w:bidi w:val="0"/>
              <w:spacing w:before="0" w:after="283"/>
              <w:jc w:val="left"/>
              <w:rPr/>
            </w:pPr>
            <w:r>
              <w:rPr/>
              <w:t> </w:t>
            </w:r>
          </w:p>
        </w:tc>
      </w:tr>
      <w:tr>
        <w:trPr/>
        <w:tc>
          <w:tcPr>
            <w:tcW w:w="67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394" w:type="dxa"/>
            <w:tcBorders/>
            <w:shd w:fill="FFFFFF" w:val="clear"/>
            <w:vAlign w:val="center"/>
          </w:tcPr>
          <w:p>
            <w:pPr>
              <w:pStyle w:val="TableContents"/>
              <w:bidi w:val="0"/>
              <w:spacing w:before="0" w:after="283"/>
              <w:jc w:val="left"/>
              <w:rPr/>
            </w:pPr>
            <w:r>
              <w:rPr/>
              <w:t> </w:t>
            </w:r>
          </w:p>
        </w:tc>
      </w:tr>
      <w:tr>
        <w:trPr/>
        <w:tc>
          <w:tcPr>
            <w:tcW w:w="67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394" w:type="dxa"/>
            <w:tcBorders/>
            <w:shd w:fill="CFF0FC" w:val="clear"/>
            <w:vAlign w:val="center"/>
          </w:tcPr>
          <w:p>
            <w:pPr>
              <w:pStyle w:val="TableContents"/>
              <w:bidi w:val="0"/>
              <w:spacing w:before="0" w:after="283"/>
              <w:jc w:val="left"/>
              <w:rPr/>
            </w:pPr>
            <w:r>
              <w:rPr/>
              <w:t> </w:t>
            </w:r>
          </w:p>
        </w:tc>
      </w:tr>
      <w:tr>
        <w:trPr/>
        <w:tc>
          <w:tcPr>
            <w:tcW w:w="67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394" w:type="dxa"/>
            <w:tcBorders/>
            <w:shd w:fill="FFFFFF" w:val="clear"/>
            <w:vAlign w:val="center"/>
          </w:tcPr>
          <w:p>
            <w:pPr>
              <w:pStyle w:val="TableContents"/>
              <w:bidi w:val="0"/>
              <w:spacing w:before="0" w:after="283"/>
              <w:jc w:val="left"/>
              <w:rPr/>
            </w:pPr>
            <w:r>
              <w:rPr/>
              <w:t> </w:t>
            </w:r>
          </w:p>
        </w:tc>
      </w:tr>
      <w:tr>
        <w:trPr/>
        <w:tc>
          <w:tcPr>
            <w:tcW w:w="67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42,290</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7"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27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8"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right"/>
              <w:rPr/>
            </w:pPr>
            <w:r>
              <w:rPr/>
              <w:t> </w:t>
            </w:r>
          </w:p>
        </w:tc>
      </w:tr>
      <w:tr>
        <w:trPr/>
        <w:tc>
          <w:tcPr>
            <w:tcW w:w="67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27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8"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679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79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Payable to related party</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79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79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79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79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warranty</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79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79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12,453</w:t>
            </w:r>
          </w:p>
        </w:tc>
        <w:tc>
          <w:tcPr>
            <w:tcW w:w="394" w:type="dxa"/>
            <w:tcBorders/>
            <w:shd w:fill="CFF0FC" w:val="clear"/>
            <w:vAlign w:val="center"/>
          </w:tcPr>
          <w:p>
            <w:pPr>
              <w:pStyle w:val="TableContents"/>
              <w:bidi w:val="0"/>
              <w:spacing w:before="0" w:after="283"/>
              <w:jc w:val="left"/>
              <w:rPr/>
            </w:pPr>
            <w:r>
              <w:rPr/>
              <w:t> </w:t>
            </w:r>
          </w:p>
        </w:tc>
      </w:tr>
      <w:tr>
        <w:trPr/>
        <w:tc>
          <w:tcPr>
            <w:tcW w:w="67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FFFFFF" w:val="clear"/>
            <w:vAlign w:val="center"/>
          </w:tcPr>
          <w:p>
            <w:pPr>
              <w:pStyle w:val="TableContents"/>
              <w:bidi w:val="0"/>
              <w:spacing w:before="0" w:after="283"/>
              <w:jc w:val="left"/>
              <w:rPr/>
            </w:pPr>
            <w:r>
              <w:rPr/>
              <w:t> </w:t>
            </w:r>
          </w:p>
        </w:tc>
        <w:tc>
          <w:tcPr>
            <w:tcW w:w="127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8"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679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warranty</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79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11,742</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79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79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25,059</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10)</w:t>
            </w:r>
          </w:p>
        </w:tc>
        <w:tc>
          <w:tcPr>
            <w:tcW w:w="146" w:type="dxa"/>
            <w:tcBorders/>
            <w:shd w:fill="FFFFFF" w:val="clear"/>
            <w:vAlign w:val="center"/>
          </w:tcPr>
          <w:p>
            <w:pPr>
              <w:pStyle w:val="TableContents"/>
              <w:bidi w:val="0"/>
              <w:spacing w:before="0" w:after="283"/>
              <w:jc w:val="left"/>
              <w:rPr/>
            </w:pPr>
            <w:r>
              <w:rPr/>
              <w:t> </w:t>
            </w:r>
          </w:p>
        </w:tc>
        <w:tc>
          <w:tcPr>
            <w:tcW w:w="127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8"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right"/>
              <w:rPr/>
            </w:pPr>
            <w:r>
              <w:rPr/>
              <w:t> </w:t>
            </w:r>
          </w:p>
        </w:tc>
      </w:tr>
      <w:tr>
        <w:trPr/>
        <w:tc>
          <w:tcPr>
            <w:tcW w:w="67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27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8"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right"/>
              <w:rPr/>
            </w:pPr>
            <w:r>
              <w:rPr/>
              <w:t> </w:t>
            </w:r>
          </w:p>
        </w:tc>
      </w:tr>
      <w:tr>
        <w:trPr/>
        <w:tc>
          <w:tcPr>
            <w:tcW w:w="67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$0.01 par value, 2,000,000 shares authorized, no shares issued and outstanding</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color w:val="000000"/>
              </w:rPr>
            </w:pPr>
            <w:r>
              <w:rPr>
                <w:color w:val="000000"/>
              </w:rPr>
              <w:t>—</w:t>
            </w:r>
          </w:p>
        </w:tc>
        <w:tc>
          <w:tcPr>
            <w:tcW w:w="394" w:type="dxa"/>
            <w:tcBorders/>
            <w:shd w:fill="FFFFFF" w:val="clear"/>
            <w:vAlign w:val="center"/>
          </w:tcPr>
          <w:p>
            <w:pPr>
              <w:pStyle w:val="TableContents"/>
              <w:bidi w:val="0"/>
              <w:spacing w:before="0" w:after="283"/>
              <w:jc w:val="left"/>
              <w:rPr/>
            </w:pPr>
            <w:r>
              <w:rPr/>
              <w:t> </w:t>
            </w:r>
          </w:p>
        </w:tc>
      </w:tr>
      <w:tr>
        <w:trPr/>
        <w:tc>
          <w:tcPr>
            <w:tcW w:w="67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$0.01 par value:</w:t>
            </w:r>
          </w:p>
        </w:tc>
        <w:tc>
          <w:tcPr>
            <w:tcW w:w="146" w:type="dxa"/>
            <w:tcBorders/>
            <w:shd w:fill="CFF0FC" w:val="clear"/>
            <w:vAlign w:val="center"/>
          </w:tcPr>
          <w:p>
            <w:pPr>
              <w:pStyle w:val="TableContents"/>
              <w:bidi w:val="0"/>
              <w:spacing w:before="0" w:after="283"/>
              <w:jc w:val="left"/>
              <w:rPr/>
            </w:pPr>
            <w:r>
              <w:rPr/>
              <w:t> </w:t>
            </w:r>
          </w:p>
        </w:tc>
        <w:tc>
          <w:tcPr>
            <w:tcW w:w="127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8"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679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Authorized: 30,000,000 shares;</w:t>
            </w:r>
          </w:p>
        </w:tc>
        <w:tc>
          <w:tcPr>
            <w:tcW w:w="146" w:type="dxa"/>
            <w:tcBorders/>
            <w:shd w:fill="FFFFFF" w:val="clear"/>
            <w:vAlign w:val="center"/>
          </w:tcPr>
          <w:p>
            <w:pPr>
              <w:pStyle w:val="TableContents"/>
              <w:bidi w:val="0"/>
              <w:spacing w:before="0" w:after="283"/>
              <w:jc w:val="left"/>
              <w:rPr/>
            </w:pPr>
            <w:r>
              <w:rPr/>
              <w:t> </w:t>
            </w:r>
          </w:p>
        </w:tc>
        <w:tc>
          <w:tcPr>
            <w:tcW w:w="127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8"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679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Issued and outstanding 16,252,813 and 15,989,662 shares as of December 30,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94" w:type="dxa"/>
            <w:tcBorders/>
            <w:shd w:fill="CFF0FC" w:val="clear"/>
            <w:vAlign w:val="center"/>
          </w:tcPr>
          <w:p>
            <w:pPr>
              <w:pStyle w:val="TableContents"/>
              <w:bidi w:val="0"/>
              <w:spacing w:before="0" w:after="283"/>
              <w:jc w:val="left"/>
              <w:rPr/>
            </w:pPr>
            <w:r>
              <w:rPr/>
              <w:t> </w:t>
            </w:r>
          </w:p>
        </w:tc>
      </w:tr>
      <w:tr>
        <w:trPr/>
        <w:tc>
          <w:tcPr>
            <w:tcW w:w="67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86,802</w:t>
            </w:r>
          </w:p>
        </w:tc>
        <w:tc>
          <w:tcPr>
            <w:tcW w:w="394" w:type="dxa"/>
            <w:tcBorders/>
            <w:shd w:fill="FFFFFF" w:val="clear"/>
            <w:vAlign w:val="center"/>
          </w:tcPr>
          <w:p>
            <w:pPr>
              <w:pStyle w:val="TableContents"/>
              <w:bidi w:val="0"/>
              <w:spacing w:before="0" w:after="283"/>
              <w:jc w:val="left"/>
              <w:rPr/>
            </w:pPr>
            <w:r>
              <w:rPr/>
              <w:t> </w:t>
            </w:r>
          </w:p>
        </w:tc>
      </w:tr>
      <w:tr>
        <w:trPr/>
        <w:tc>
          <w:tcPr>
            <w:tcW w:w="67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(69,716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17,231</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42,290</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Iridex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8" w:name="consolidated_statements_of_operations"/>
      <w:bookmarkEnd w:id="18"/>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left"/>
        <w:rPr/>
      </w:pPr>
      <w:r>
        <w:rPr/>
        <w:t> </w:t>
      </w:r>
    </w:p>
    <w:tbl>
      <w:tblPr>
        <w:tblW w:w="9795" w:type="dxa"/>
        <w:jc w:val="left"/>
        <w:tblInd w:w="0" w:type="dxa"/>
        <w:tblLayout w:type="fixed"/>
        <w:tblCellMar>
          <w:top w:w="28" w:type="dxa"/>
          <w:left w:w="28" w:type="dxa"/>
          <w:bottom w:w="28" w:type="dxa"/>
          <w:right w:w="28" w:type="dxa"/>
        </w:tblCellMar>
      </w:tblPr>
      <w:tblGrid>
        <w:gridCol w:w="5926"/>
        <w:gridCol w:w="146"/>
        <w:gridCol w:w="334"/>
        <w:gridCol w:w="1166"/>
        <w:gridCol w:w="166"/>
        <w:gridCol w:w="146"/>
        <w:gridCol w:w="356"/>
        <w:gridCol w:w="1144"/>
        <w:gridCol w:w="411"/>
      </w:tblGrid>
      <w:tr>
        <w:trPr/>
        <w:tc>
          <w:tcPr>
            <w:tcW w:w="5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9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2022</w:t>
            </w:r>
          </w:p>
        </w:tc>
        <w:tc>
          <w:tcPr>
            <w:tcW w:w="411" w:type="dxa"/>
            <w:tcBorders/>
            <w:shd w:fill="FFFFFF" w:val="clear"/>
            <w:vAlign w:val="center"/>
          </w:tcPr>
          <w:p>
            <w:pPr>
              <w:pStyle w:val="TableContents"/>
              <w:bidi w:val="0"/>
              <w:spacing w:before="0" w:after="283"/>
              <w:jc w:val="center"/>
              <w:rPr/>
            </w:pPr>
            <w:r>
              <w:rPr/>
              <w:t> </w:t>
            </w:r>
          </w:p>
        </w:tc>
      </w:tr>
      <w:tr>
        <w:trPr/>
        <w:tc>
          <w:tcPr>
            <w:tcW w:w="59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411" w:type="dxa"/>
            <w:tcBorders/>
            <w:shd w:fill="FFFFFF" w:val="clear"/>
            <w:vAlign w:val="center"/>
          </w:tcPr>
          <w:p>
            <w:pPr>
              <w:pStyle w:val="TableContents"/>
              <w:bidi w:val="0"/>
              <w:spacing w:before="0" w:after="283"/>
              <w:jc w:val="center"/>
              <w:rPr/>
            </w:pPr>
            <w:r>
              <w:rPr/>
              <w:t> </w:t>
            </w:r>
          </w:p>
        </w:tc>
      </w:tr>
      <w:tr>
        <w:trPr/>
        <w:tc>
          <w:tcPr>
            <w:tcW w:w="59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56,972</w:t>
            </w:r>
          </w:p>
        </w:tc>
        <w:tc>
          <w:tcPr>
            <w:tcW w:w="411" w:type="dxa"/>
            <w:tcBorders/>
            <w:shd w:fill="CFF0FC" w:val="clear"/>
            <w:vAlign w:val="center"/>
          </w:tcPr>
          <w:p>
            <w:pPr>
              <w:pStyle w:val="TableContents"/>
              <w:bidi w:val="0"/>
              <w:spacing w:before="0" w:after="283"/>
              <w:jc w:val="left"/>
              <w:rPr/>
            </w:pPr>
            <w:r>
              <w:rPr/>
              <w:t> </w:t>
            </w:r>
          </w:p>
        </w:tc>
      </w:tr>
      <w:tr>
        <w:trPr/>
        <w:tc>
          <w:tcPr>
            <w:tcW w:w="5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9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9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9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(7,542</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 before provision for income taxes</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(7,482</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9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in computing net loss per common share:</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9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Iridex Corporation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19" w:name="consolidated_statements_of_comprehensive"/>
      <w:bookmarkEnd w:id="19"/>
      <w:r>
        <w:rPr>
          <w:rFonts w:ascii="Times New Roman" w:hAnsi="Times New Roman"/>
          <w:b/>
          <w:color w:val="000000"/>
          <w:sz w:val="20"/>
        </w:rPr>
        <w:t>CONSOLIDATED STATEMENTS OF COMPREHENSIVE LOSS</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tbl>
      <w:tblPr>
        <w:tblW w:w="8965" w:type="dxa"/>
        <w:jc w:val="left"/>
        <w:tblInd w:w="0" w:type="dxa"/>
        <w:tblLayout w:type="fixed"/>
        <w:tblCellMar>
          <w:top w:w="28" w:type="dxa"/>
          <w:left w:w="28" w:type="dxa"/>
          <w:bottom w:w="28" w:type="dxa"/>
          <w:right w:w="28" w:type="dxa"/>
        </w:tblCellMar>
      </w:tblPr>
      <w:tblGrid>
        <w:gridCol w:w="5296"/>
        <w:gridCol w:w="146"/>
        <w:gridCol w:w="375"/>
        <w:gridCol w:w="1125"/>
        <w:gridCol w:w="166"/>
        <w:gridCol w:w="146"/>
        <w:gridCol w:w="375"/>
        <w:gridCol w:w="1125"/>
        <w:gridCol w:w="211"/>
      </w:tblGrid>
      <w:tr>
        <w:trPr/>
        <w:tc>
          <w:tcPr>
            <w:tcW w:w="5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2022</w:t>
            </w:r>
          </w:p>
        </w:tc>
        <w:tc>
          <w:tcPr>
            <w:tcW w:w="211" w:type="dxa"/>
            <w:tcBorders/>
            <w:shd w:fill="FFFFFF" w:val="clear"/>
            <w:vAlign w:val="center"/>
          </w:tcPr>
          <w:p>
            <w:pPr>
              <w:pStyle w:val="TableContents"/>
              <w:bidi w:val="0"/>
              <w:spacing w:before="0" w:after="283"/>
              <w:jc w:val="center"/>
              <w:rPr/>
            </w:pPr>
            <w:r>
              <w:rPr/>
              <w:t> </w:t>
            </w:r>
          </w:p>
        </w:tc>
      </w:tr>
      <w:tr>
        <w:trPr/>
        <w:tc>
          <w:tcPr>
            <w:tcW w:w="5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211" w:type="dxa"/>
            <w:tcBorders/>
            <w:shd w:fill="FFFFFF" w:val="clear"/>
            <w:vAlign w:val="center"/>
          </w:tcPr>
          <w:p>
            <w:pPr>
              <w:pStyle w:val="TableContents"/>
              <w:bidi w:val="0"/>
              <w:spacing w:before="0" w:after="283"/>
              <w:jc w:val="center"/>
              <w:rPr/>
            </w:pPr>
            <w:r>
              <w:rPr/>
              <w:t> </w:t>
            </w:r>
          </w:p>
        </w:tc>
      </w:tr>
      <w:tr>
        <w:trPr/>
        <w:tc>
          <w:tcPr>
            <w:tcW w:w="5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(7,547</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foreign currency translation adjustments, net of taxes</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Iridex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0" w:name="consolidated_statements_of_stockholders"/>
      <w:bookmarkEnd w:id="20"/>
      <w:r>
        <w:rPr>
          <w:rFonts w:ascii="Times New Roman" w:hAnsi="Times New Roman"/>
          <w:b/>
          <w:color w:val="000000"/>
          <w:sz w:val="20"/>
        </w:rPr>
        <w:t>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034"/>
        <w:gridCol w:w="146"/>
        <w:gridCol w:w="146"/>
        <w:gridCol w:w="916"/>
        <w:gridCol w:w="146"/>
        <w:gridCol w:w="146"/>
        <w:gridCol w:w="236"/>
        <w:gridCol w:w="455"/>
        <w:gridCol w:w="146"/>
        <w:gridCol w:w="146"/>
        <w:gridCol w:w="214"/>
        <w:gridCol w:w="657"/>
        <w:gridCol w:w="166"/>
        <w:gridCol w:w="146"/>
        <w:gridCol w:w="439"/>
        <w:gridCol w:w="777"/>
        <w:gridCol w:w="166"/>
        <w:gridCol w:w="146"/>
        <w:gridCol w:w="240"/>
        <w:gridCol w:w="811"/>
        <w:gridCol w:w="166"/>
        <w:gridCol w:w="146"/>
        <w:gridCol w:w="343"/>
        <w:gridCol w:w="1058"/>
        <w:gridCol w:w="213"/>
      </w:tblGrid>
      <w:tr>
        <w:trPr/>
        <w:tc>
          <w:tcPr>
            <w:tcW w:w="2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01" w:type="dxa"/>
            <w:gridSpan w:val="2"/>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r>
      <w:tr>
        <w:trPr/>
        <w:tc>
          <w:tcPr>
            <w:tcW w:w="203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January 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15,876,171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(62,169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23,299</w:t>
            </w:r>
          </w:p>
        </w:tc>
        <w:tc>
          <w:tcPr>
            <w:tcW w:w="213" w:type="dxa"/>
            <w:tcBorders/>
            <w:shd w:fill="CFF0FC" w:val="clear"/>
            <w:vAlign w:val="center"/>
          </w:tcPr>
          <w:p>
            <w:pPr>
              <w:pStyle w:val="TableContents"/>
              <w:bidi w:val="0"/>
              <w:spacing w:before="0" w:after="283"/>
              <w:jc w:val="left"/>
              <w:rPr/>
            </w:pPr>
            <w:r>
              <w:rPr/>
              <w:t> </w:t>
            </w:r>
          </w:p>
        </w:tc>
      </w:tr>
      <w:tr>
        <w:trPr/>
        <w:tc>
          <w:tcPr>
            <w:tcW w:w="203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stock option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13" w:type="dxa"/>
            <w:tcBorders/>
            <w:shd w:fill="FFFFFF" w:val="clear"/>
            <w:vAlign w:val="center"/>
          </w:tcPr>
          <w:p>
            <w:pPr>
              <w:pStyle w:val="TableContents"/>
              <w:bidi w:val="0"/>
              <w:spacing w:before="0" w:after="283"/>
              <w:jc w:val="left"/>
              <w:rPr/>
            </w:pPr>
            <w:r>
              <w:rPr/>
              <w:t> </w:t>
            </w:r>
          </w:p>
        </w:tc>
      </w:tr>
      <w:tr>
        <w:trPr/>
        <w:tc>
          <w:tcPr>
            <w:tcW w:w="203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105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1,621</w:t>
            </w:r>
          </w:p>
        </w:tc>
        <w:tc>
          <w:tcPr>
            <w:tcW w:w="213" w:type="dxa"/>
            <w:tcBorders/>
            <w:shd w:fill="CFF0FC" w:val="clear"/>
            <w:vAlign w:val="center"/>
          </w:tcPr>
          <w:p>
            <w:pPr>
              <w:pStyle w:val="TableContents"/>
              <w:bidi w:val="0"/>
              <w:spacing w:before="0" w:after="283"/>
              <w:jc w:val="left"/>
              <w:rPr/>
            </w:pPr>
            <w:r>
              <w:rPr/>
              <w:t> </w:t>
            </w:r>
          </w:p>
        </w:tc>
      </w:tr>
      <w:tr>
        <w:trPr/>
        <w:tc>
          <w:tcPr>
            <w:tcW w:w="203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 of restricted stock, net of taxes paid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21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3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105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2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3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3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15,989,662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(69,716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105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17,231</w:t>
            </w:r>
          </w:p>
        </w:tc>
        <w:tc>
          <w:tcPr>
            <w:tcW w:w="213" w:type="dxa"/>
            <w:tcBorders/>
            <w:shd w:fill="CFF0FC" w:val="clear"/>
            <w:vAlign w:val="center"/>
          </w:tcPr>
          <w:p>
            <w:pPr>
              <w:pStyle w:val="TableContents"/>
              <w:bidi w:val="0"/>
              <w:spacing w:before="0" w:after="283"/>
              <w:jc w:val="left"/>
              <w:rPr/>
            </w:pPr>
            <w:r>
              <w:rPr/>
              <w:t> </w:t>
            </w:r>
          </w:p>
        </w:tc>
      </w:tr>
      <w:tr>
        <w:trPr/>
        <w:tc>
          <w:tcPr>
            <w:tcW w:w="203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Adoption of ASU 2016-13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213" w:type="dxa"/>
            <w:tcBorders/>
            <w:shd w:fill="FFFFFF" w:val="clear"/>
            <w:vAlign w:val="center"/>
          </w:tcPr>
          <w:p>
            <w:pPr>
              <w:pStyle w:val="TableContents"/>
              <w:bidi w:val="0"/>
              <w:spacing w:before="0" w:after="283"/>
              <w:jc w:val="left"/>
              <w:rPr/>
            </w:pPr>
            <w:r>
              <w:rPr/>
              <w:t> </w:t>
            </w:r>
          </w:p>
        </w:tc>
      </w:tr>
      <w:tr>
        <w:trPr/>
        <w:tc>
          <w:tcPr>
            <w:tcW w:w="203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stock option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105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213" w:type="dxa"/>
            <w:tcBorders/>
            <w:shd w:fill="CFF0FC" w:val="clear"/>
            <w:vAlign w:val="center"/>
          </w:tcPr>
          <w:p>
            <w:pPr>
              <w:pStyle w:val="TableContents"/>
              <w:bidi w:val="0"/>
              <w:spacing w:before="0" w:after="283"/>
              <w:jc w:val="left"/>
              <w:rPr/>
            </w:pPr>
            <w:r>
              <w:rPr/>
              <w:t> </w:t>
            </w:r>
          </w:p>
        </w:tc>
      </w:tr>
      <w:tr>
        <w:trPr/>
        <w:tc>
          <w:tcPr>
            <w:tcW w:w="203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1,650</w:t>
            </w:r>
          </w:p>
        </w:tc>
        <w:tc>
          <w:tcPr>
            <w:tcW w:w="213" w:type="dxa"/>
            <w:tcBorders/>
            <w:shd w:fill="FFFFFF" w:val="clear"/>
            <w:vAlign w:val="center"/>
          </w:tcPr>
          <w:p>
            <w:pPr>
              <w:pStyle w:val="TableContents"/>
              <w:bidi w:val="0"/>
              <w:spacing w:before="0" w:after="283"/>
              <w:jc w:val="left"/>
              <w:rPr/>
            </w:pPr>
            <w:r>
              <w:rPr/>
              <w:t> </w:t>
            </w:r>
          </w:p>
        </w:tc>
      </w:tr>
      <w:tr>
        <w:trPr/>
        <w:tc>
          <w:tcPr>
            <w:tcW w:w="203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 of restricted stock, net of taxes paid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225,312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105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2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3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1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3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3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December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16,252,813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Iridex Corporation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21" w:name="consolidated_statements_of_cash_flows"/>
      <w:bookmarkEnd w:id="21"/>
      <w:r>
        <w:rPr>
          <w:rFonts w:ascii="Times New Roman" w:hAnsi="Times New Roman"/>
          <w:b/>
          <w:color w:val="000000"/>
          <w:sz w:val="20"/>
        </w:rPr>
        <w:t>CONSOLIDATED STATEMENTS OF CASH FLOWS</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10100" w:type="dxa"/>
        <w:jc w:val="left"/>
        <w:tblInd w:w="0" w:type="dxa"/>
        <w:tblLayout w:type="fixed"/>
        <w:tblCellMar>
          <w:top w:w="28" w:type="dxa"/>
          <w:left w:w="28" w:type="dxa"/>
          <w:bottom w:w="28" w:type="dxa"/>
          <w:right w:w="28" w:type="dxa"/>
        </w:tblCellMar>
      </w:tblPr>
      <w:tblGrid>
        <w:gridCol w:w="6031"/>
        <w:gridCol w:w="146"/>
        <w:gridCol w:w="356"/>
        <w:gridCol w:w="1144"/>
        <w:gridCol w:w="166"/>
        <w:gridCol w:w="146"/>
        <w:gridCol w:w="356"/>
        <w:gridCol w:w="1144"/>
        <w:gridCol w:w="6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2022</w:t>
            </w:r>
          </w:p>
        </w:tc>
        <w:tc>
          <w:tcPr>
            <w:tcW w:w="611" w:type="dxa"/>
            <w:tcBorders/>
            <w:shd w:fill="FFFFFF" w:val="clear"/>
            <w:vAlign w:val="center"/>
          </w:tcPr>
          <w:p>
            <w:pPr>
              <w:pStyle w:val="TableContents"/>
              <w:bidi w:val="0"/>
              <w:spacing w:before="0" w:after="283"/>
              <w:jc w:val="center"/>
              <w:rPr/>
            </w:pPr>
            <w:r>
              <w:rPr/>
              <w:t> </w:t>
            </w:r>
          </w:p>
        </w:tc>
      </w:tr>
      <w:tr>
        <w:trPr/>
        <w:tc>
          <w:tcPr>
            <w:tcW w:w="6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611" w:type="dxa"/>
            <w:tcBorders/>
            <w:shd w:fill="FFFFFF" w:val="clear"/>
            <w:vAlign w:val="center"/>
          </w:tcPr>
          <w:p>
            <w:pPr>
              <w:pStyle w:val="TableContents"/>
              <w:bidi w:val="0"/>
              <w:spacing w:before="0" w:after="283"/>
              <w:jc w:val="center"/>
              <w:rPr/>
            </w:pPr>
            <w:r>
              <w:rPr/>
              <w:t> </w:t>
            </w:r>
          </w:p>
        </w:tc>
      </w:tr>
      <w:tr>
        <w:trPr/>
        <w:tc>
          <w:tcPr>
            <w:tcW w:w="6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(7,547</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611" w:type="dxa"/>
            <w:tcBorders/>
            <w:shd w:fill="FFFFFF" w:val="cle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operating lease right-of-use assets</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611" w:type="dxa"/>
            <w:tcBorders/>
            <w:shd w:fill="CFF0FC" w:val="cle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611" w:type="dxa"/>
            <w:tcBorders/>
            <w:shd w:fill="FFFFFF" w:val="cle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611" w:type="dxa"/>
            <w:tcBorders/>
            <w:shd w:fill="CFF0FC" w:val="cle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Receivable from related party</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Payable to related party</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warranty</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Acquisition of property and equipment</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Proceeds for stock option exercises</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Taxes paid related to net share settlements of equity awards</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changes</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(9,930</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year</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year</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during the year for:</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611" w:type="dxa"/>
            <w:tcBorders/>
            <w:shd w:fill="FFFFFF" w:val="cle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activities:</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0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Transfer of inventory to property and equipment</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ROU assets obtained with the modification of operating lease</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Iridex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2" w:name="notes_to_consolidated_financial_statemen"/>
      <w:bookmarkEnd w:id="22"/>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Organization</w:t>
      </w:r>
    </w:p>
    <w:p>
      <w:pPr>
        <w:pStyle w:val="TextBody"/>
        <w:bidi w:val="0"/>
        <w:spacing w:before="120" w:after="283"/>
        <w:jc w:val="left"/>
        <w:rPr>
          <w:rFonts w:ascii="Times New Roman" w:hAnsi="Times New Roman"/>
          <w:sz w:val="20"/>
        </w:rPr>
      </w:pPr>
      <w:r>
        <w:rPr>
          <w:rFonts w:ascii="Times New Roman" w:hAnsi="Times New Roman"/>
          <w:i/>
          <w:color w:val="000000"/>
          <w:sz w:val="20"/>
        </w:rPr>
        <w:t>Description of Business.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IRIDEX Corporation (“Iridex,” the “Company,” “we,” “us” or “our”) is a leading worldwide provider of therapeutic based laser systems, delivery devices and consumable instrumentation used to treat sight-threatening eye diseases in ophthalmology. The Company's ophthalmology products are sold in the United States and Germany predominantly through a direct sales force and internationally (aside from Germany) primarily through independent distributors.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Financial Statement Presentation</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The consolidated financial statements include the accounts of Iridex and the Company's wholly owned subsidiary. All significant intercompany accounts and transactions have been eliminated in consolidation.</w:t>
      </w:r>
      <w:r>
        <w:rPr>
          <w:rFonts w:ascii="Times New Roman" w:hAnsi="Times New Roman"/>
          <w:color w:val="262626"/>
          <w:sz w:val="20"/>
        </w:rPr>
        <w:t xml:space="preserve"> We have reclassified certain prior period amounts to conform to current period presentation.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fiscal year ends on the Saturday closest to December 31. Fiscal 2023 ended on December 30, 2023 (“FY 2023”) and Fiscal 2022 ended on December 31, 2022 (“FY 2022”). Fiscal years 2023 and 2022 each included 52 weeks of operations. </w:t>
      </w:r>
    </w:p>
    <w:p>
      <w:pPr>
        <w:pStyle w:val="TextBody"/>
        <w:bidi w:val="0"/>
        <w:spacing w:before="120" w:after="283"/>
        <w:jc w:val="left"/>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preparation of consolidated financial statements in conformity with accounting principles generally accepted in the United States of America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Cash and Cash Equivalents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consider all highly liquid debt instruments with insignificant interest rate risk and an original maturity of three months or less when purchased to be cash equivalents. Our cash equivalents consist primarily of cash deposits in money market funds that are available for withdrawal without restriction.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Accounts Receivable and Provision for Credit Losses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trade receivables with various individual customers such as private businesses, hospitals, universities, government and non-profit entities, and distributors. The Company has determined that geography is the similar risk characteristic to pool our trade receivables balances, and accordingly, groups such balances into either the domestic pool or the international pool. The domestic pool is primarily comprised of individual customers, and the international pool is primarily comprised of distributors. The total receivables as of January 1, 2023 and January 2, 2022 were $9.8 million and $9.7 million, respectfully.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provision for credit losses represents an estimate of the lifetime expected credit losses inherent in trade receivables as of the consolidated balance sheet date. We assess the adequacy of the provision for credit losses on a quarterly basis based on historical information and current economic conditions and forecasts. Subsequent changes in the provision for credit losses are recorded in current earnings and reversal of previous losses are permitted under the current guidance.</w:t>
      </w:r>
    </w:p>
    <w:p>
      <w:pPr>
        <w:pStyle w:val="TextBody"/>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While we believe we have exercised prudent judgment and applied reasonable assumptions, there can be no assurance that in the future, changes in economic conditions or other factors would not cause changes in the financial health of our customers. If the financial health of our customers deteriorates, the timing and level of payments received could be impacted and therefore, could result in a change to our estimated losses.</w:t>
      </w:r>
    </w:p>
    <w:p>
      <w:pPr>
        <w:pStyle w:val="TextBody"/>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The following table presents the activity in the provision for credit losses for accounts receivable by pool type for the year ended December 30, 2023 (in thousands):</w:t>
      </w:r>
    </w:p>
    <w:p>
      <w:pPr>
        <w:pStyle w:val="TextBody"/>
        <w:bidi w:val="0"/>
        <w:spacing w:before="120" w:after="283"/>
        <w:ind w:left="0" w:right="0" w:firstLine="36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tbl>
      <w:tblPr>
        <w:tblW w:w="6536" w:type="dxa"/>
        <w:jc w:val="left"/>
        <w:tblInd w:w="0" w:type="dxa"/>
        <w:tblLayout w:type="fixed"/>
        <w:tblCellMar>
          <w:top w:w="28" w:type="dxa"/>
          <w:left w:w="28" w:type="dxa"/>
          <w:bottom w:w="28" w:type="dxa"/>
          <w:right w:w="28" w:type="dxa"/>
        </w:tblCellMar>
      </w:tblPr>
      <w:tblGrid>
        <w:gridCol w:w="3031"/>
        <w:gridCol w:w="146"/>
        <w:gridCol w:w="233"/>
        <w:gridCol w:w="533"/>
        <w:gridCol w:w="166"/>
        <w:gridCol w:w="146"/>
        <w:gridCol w:w="325"/>
        <w:gridCol w:w="741"/>
        <w:gridCol w:w="166"/>
        <w:gridCol w:w="146"/>
        <w:gridCol w:w="211"/>
        <w:gridCol w:w="481"/>
        <w:gridCol w:w="21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Domestic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adoption of ASU 2016-13</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period</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Sales Returns Allowance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When determining the transaction price, we estimate the variable consideration as the most likely amount to which we expect to be entitled, and we include the estimated amounts in the transaction price to the extent it is probable that a significant reversal of cumulative revenue will not occur when the uncertainty associated with the variable consideration is resolved. Material differences may result in the amount and timing of our revenue for any period if management made different judgments or utilized different estimates. Our provision for sales returns is recorded net of the associated costs. There was no provision for sales returns as of December 30, 2023 and December 31, 2022.</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Inventories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Inventories are stated at the lower of cost or net realizable value and include on-hand inventory physically held at our facility, sales demo inventory and service loaner inventory. Cost is determined on a standard cost basis which approximates actual cost on a FIFO method. Lower of cost or net realizable value is evaluated by considering obsolescence, excessive levels of inventory, deterioration and other factors. Adjustments to reduce the cost of inventory to its net realizable value, if required, are made for estimated excess, obsolescence or impaired inventory and are charged to cost of revenues. Once the cost of the inventory is reduced, a new lower-cost basis for that inventory is established, and subsequent changes in facts and circumstances do not result in the restoration or increase in that newly established cost basis. Factors influencing these adjustments include changes in demand, product life cycle and development plans, component cost trends, product pricing, physical deterioration and quality issues. Revisions to these adjustments would be required if these factors differ from our estimates.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part of our normal business, we generally utilize various finished goods inventory as either sales demos to facilitate the sale of our products to prospective customers, or as loaners that we allow our existing customers to use while we repair their products. We are amortizing these demos and loaners over an estimated useful life of four years. The amortization of the demos is charged to sales and marketing expense while the amortization on the loaners is charged to cost of revenues. The gross value of demos and loaners was $2.3 million and $1.9 million and the accumulated amortization was $1.9 million and $1.7 million as of December 30, 2023 and December 31, 2022, respectively. The net book value of demos and loaners is charged to cost of revenues if and when such demos or loaners are sold.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Property and Equipment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Property and equipment are stated at cost less accumulated depreciation and amortization. Depreciation and amortization are calculated on a straight–line basis over the estimated useful lives of the assets, which is generally three year. Leasehold improvements are amortized over the lesser of their estimated useful lives or the lease term. Repairs and maintenance costs are expensed as incurred.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determine if an arrangement is a lease at inception. Operating leases are included in Operating lease right-of-use (“ROU”) assets, net and Operating lease liabilities in our consolidated balance sheets. As of December 30, 2023, the Company was not a party to finance lease arrangements.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Operating lease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Under the available practical expedient, we account for the lease and non-lease components as a single lease component.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i/>
          <w:color w:val="000000"/>
          <w:sz w:val="20"/>
        </w:rPr>
        <w:t>Valuation of Goodwill and Intangible Assets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In addition, income tax effects from any tax 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2023 and determined that its goodwill was not impaired. As of December 30, 2023, we had not identified any factors that indicated there was an impairment of our goodwill and determined that no additional impairment analysis was then required.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Intangible assets with definite lives are amortized over the useful life of the asset. We review our amortizing intangible assets for impairment whenever events or changes in circumstances indicate that their carrying value may not be recoverable. An asset is considered impaired if its carrying amount exceeds the future non-discounted net cash flow the asset is expected to generate. If an asset is considered to be impaired, the impairment to be recognized is measured by the amount by which the carrying amount of the asset exceeds its fair value. In such circumstances, we conduct an impairment analysis in accordance with Accounting Standards Codification (“ASC”) 350, “Intangibles – Goodwill and Other” (“ASC 350”).</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revenues arise from the sale of laser consoles, delivery devices, consumables, service, and support activities. We also derive revenue from royalties from third parties which are typically based on the licensees’ net sales of products that utilize our technology. Our revenue is recognized in accordance with Accounting Standards Codification (“ASC”) Topic 606, “Revenue from Contracts with Customers.”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the following revenue transaction types: (1) Product Sale Only, (2) Service Contracts, (3) System Repairs (outside of warranty), (4) Royalty Revenue and (5) Exclusive Distribution Rights.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and Germany, the Company utilizes independent, third-party distributors to market and sell the Company’s products. There is no continuing obligation after shipment is made to these distributors. </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The Company recognizes revenue from product sale at a point in time subject to the allocation of transaction price to additional performance obligations, if any.</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 Contracts: The Company offers a standard two-year warranty on all system sales. The Company also offers a service contract which is sold to customers in incremental, one-year periods which begin subsequent to the expiration of the standard two-year warranty. The customer can opt to purchase the service contract at the time of the system sale or after the initial system sale.</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The Company recognizes revenue from service contracts ratably over the service period. Revenue recognition for the sale of a service contract is largely dependent on the timing of the sale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Service Contract Sale in Conjunction with System Sale: If the customer opts to purchase a service contract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 </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 Contract Sale Subsequent to System Sale: If the customer opts to purchase a service contract after the initial system sale, the Company determines the amount of time that has elapsed since the initial system sale. If the service contract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60 days after the initial sale, the sale of the service contract is deemed a separate contract and is deferred at the selling price and recognized ratably over the extended warranty period as the performance obligation is satisfied.</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System Repairs (outside of warranty): Customers will occasionally request repairs from the Company subsequent to the expiration of the standard warranty and outside of a service contract. </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 xml:space="preserve">The Company recognizes revenue from system repairs (outside of warranty) at a point in time. When the customer requests repairs from the Company subsequent to the expiration of the standard warranty and outside of a service contract, these repair contracts are considered separate from the initial sale, and as such, revenue is recognized as the repair services are rendered and the performance obligation satisfied.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Royalty Revenue: The Company has royalty agreements with four customers related to sale of the Company’s intellectual property. Under the terms of these agreements, two customers are to remit a percentage of sales to the Company as the sales occur and one customer made an upfront prepayment for royalties.</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The arrangements with three customers are for sales-based licenses of intellectual property, for which the guidance in paragraph ASC 606-10-55-65 applies. Therefore, the Company recognizes revenue at a point in time, only as the subsequent sale occurs. However, the Company notes that such sales being reported by the licensee with a quarter in arrears,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 For the arrangement with one customer, the Company had concluded that there is one combined performance obligation to be satisfied. Therefore, the Company recognizes revenue related to this arrangement over time.</w:t>
      </w:r>
    </w:p>
    <w:p>
      <w:pPr>
        <w:pStyle w:val="TextBody"/>
        <w:bidi w:val="0"/>
        <w:spacing w:before="120" w:after="283"/>
        <w:ind w:left="540"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Exclusive Distribution Rights: On March 2, 2021, the Company and Topcon Corporation (“Topcon”) entered into a distribution agreement (“Distribution Agreement”), pursuant to which the Company granted Topcon the exclusive right to distribute the Company’s retina and glaucoma products in certain geographies outside the United States. The exclusivity arrangement with Topcon obligates the Company to provide training, customer support, and exclusive territorial rights to Topcon for certain international regions, for a period of 10 years, commencing upon regulatory approval to transfer existing (non-exclusive) distribution rights from the current distributors in those regions to Topcon. The Company has the right to terminate the exclusive distribution rights granted to Topcon for any of the regions at any point in time during the 10-year exclusivity term for a termination fee that is based on a multiple of 1.2 times the revenue generated by the Company in 2019 for the respective region. Management has determined that the exclusivity rights, training, and customer support represents a single combined performance obligation for each region, to be recognized as exclusivity fee revenue on a straight-line basis over the 10-year period for each region, commencing on the date that regulatory approval is obtained for each region, based on the standalone selling price for such combined performance obligation for each region. The estimated fair value of the exclusive distribution rights for all regions combined totaled approximately $14.8 million. Of this amount, management has fully-constrained and returned to Topcon the arrangement fee allocated to Belarus (approximately $0.2 million) because obtaining the necessary regulatory approvals and termination of existing distributor relationship was not feasible. During fiscal years ended 2023 and 2022, $1.5 million and $1.3 million in revenue related to the exclusive distribution rights was recorded, respectively.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Costs of Obtaining Revenue Contracts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recognized assets from certain costs incurred to obtain revenue contracts. These costs relate to sales commissions arising from the sale of our products. The costs are considered incremental and recoverable of obtaining revenue contracts with customers. These deferred costs are amortized on a straight-line basis over the estimated period of benefit, which typically ranges from 2 to 3 years. As of December 30, 2023 and December 31, 2022, we recognized deferred costs incurred to obtain revenue contracts with customers, net of accumulated amortization, of $0.2 million and $0.2 million, respectively, and included these amounts in Prepaid expenses and other current assets and Other long-term assets in the Company’s consolidated balance sheets. Amortization expense was $105 thousand and $36 thousand, respectively, for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fiscal years ended December 30, 2023 and December 31, 2022. There were no impairment expenses for both the fiscal years ended December 30, 2023 and December 31, 2022, respectively.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Sales commissions that do not represent incremental and recoverable costs of obtaining a contract are expensed as incurred. As a practical expedient, the Company will not recognize such sales commission as a contract asset but rather recognize as expense when incurred if the amortization period of the asset that the Company would have otherwise recognized is one year or less.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Contract Fulfillment Costs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recognized an asset from the costs incurred to fulfill a contract. These costs relate directly and must be incurred to satisfy performance obligations on certain specific contract with a customer. These costs are expected to be recovered over time and are amortized on a systematic basis that is consistent with the recognition of revenue to which it relates. As of December 30, 2023 and December 31, 2022, we recognized deferred costs incurred to fulfill a contract with a customer, net of accumulated amortization, of $0.7 million and $0.8 million, respectively, and included these amounts in Prepaid expenses and other current assets and Other long-term assets in the Company’s consolidated balance sheets. Amortization expense was $83 thousand and $62 thousand, respectively, for the fiscal years ended December 30, 2023 and December 31, 2022. There were no impairment expenses for both the fiscal years ended December 30, 2023 and December 31, 2022, respectively.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Taxes Collected from Customers and Remitted to Governmental Authorities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Taxes collected from customers and remitted to governmental authorities are recognized on a net basis in the accompanying consolidated statements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Deferred Revenue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Deferred revenue represents contract liabilities and exclusivity fees. Revenue related to service contracts is deferred and recognized on a straight-line basis over the period of the applicable service contract. Costs associated with these service arrangements are recognized as incurred. Revenue related to exclusivity fees is deferred and recognized over the related exclusivity period.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 reconciliation of the changes in our deferred revenue balances for the years ended December 30, 2023 and December 31, 2022 are as follows (in thousands): </w:t>
      </w:r>
    </w:p>
    <w:tbl>
      <w:tblPr>
        <w:tblW w:w="4065" w:type="dxa"/>
        <w:jc w:val="left"/>
        <w:tblInd w:w="0" w:type="dxa"/>
        <w:tblLayout w:type="fixed"/>
        <w:tblCellMar>
          <w:top w:w="28" w:type="dxa"/>
          <w:left w:w="28" w:type="dxa"/>
          <w:bottom w:w="28" w:type="dxa"/>
          <w:right w:w="28" w:type="dxa"/>
        </w:tblCellMar>
      </w:tblPr>
      <w:tblGrid>
        <w:gridCol w:w="2821"/>
        <w:gridCol w:w="146"/>
        <w:gridCol w:w="211"/>
        <w:gridCol w:w="676"/>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1,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13,285</w:t>
            </w:r>
          </w:p>
        </w:tc>
        <w:tc>
          <w:tcPr>
            <w:tcW w:w="211" w:type="dxa"/>
            <w:tcBorders/>
            <w:shd w:fill="CFF0FC" w:val="clear"/>
            <w:vAlign w:val="center"/>
          </w:tcPr>
          <w:p>
            <w:pPr>
              <w:pStyle w:val="TableContents"/>
              <w:bidi w:val="0"/>
              <w:spacing w:before="0" w:after="283"/>
              <w:jc w:val="left"/>
              <w:rPr/>
            </w:pPr>
            <w:r>
              <w:rPr/>
              <w:t> </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deferral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w:t>
            </w:r>
          </w:p>
        </w:tc>
        <w:tc>
          <w:tcPr>
            <w:tcW w:w="211" w:type="dxa"/>
            <w:tcBorders/>
            <w:shd w:fill="FFFFFF" w:val="clear"/>
            <w:vAlign w:val="center"/>
          </w:tcPr>
          <w:p>
            <w:pPr>
              <w:pStyle w:val="TableContents"/>
              <w:bidi w:val="0"/>
              <w:spacing w:before="0" w:after="283"/>
              <w:jc w:val="left"/>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14,153</w:t>
            </w:r>
          </w:p>
        </w:tc>
        <w:tc>
          <w:tcPr>
            <w:tcW w:w="211" w:type="dxa"/>
            <w:tcBorders/>
            <w:shd w:fill="FFFFFF" w:val="clear"/>
            <w:vAlign w:val="center"/>
          </w:tcPr>
          <w:p>
            <w:pPr>
              <w:pStyle w:val="TableContents"/>
              <w:bidi w:val="0"/>
              <w:spacing w:before="0" w:after="283"/>
              <w:jc w:val="left"/>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deferral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211" w:type="dxa"/>
            <w:tcBorders/>
            <w:shd w:fill="CFF0FC" w:val="clear"/>
            <w:vAlign w:val="center"/>
          </w:tcPr>
          <w:p>
            <w:pPr>
              <w:pStyle w:val="TableContents"/>
              <w:bidi w:val="0"/>
              <w:spacing w:before="0" w:after="283"/>
              <w:jc w:val="left"/>
              <w:rPr/>
            </w:pPr>
            <w:r>
              <w:rPr/>
              <w:t> </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30, 2023</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12,429</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During each of the twelve months ended December 30, 2023 and December 31, 2022, approximately $2.5 million and $2.3 million were recognized pertaining to amounts deferred as of December 31, 2022 and as of January 1, 2022, respectively.</w:t>
      </w:r>
    </w:p>
    <w:p>
      <w:pPr>
        <w:pStyle w:val="TextBody"/>
        <w:bidi w:val="0"/>
        <w:spacing w:before="120" w:after="283"/>
        <w:jc w:val="left"/>
        <w:rPr>
          <w:rFonts w:ascii="Times New Roman" w:hAnsi="Times New Roman"/>
          <w:sz w:val="20"/>
        </w:rPr>
      </w:pPr>
      <w:r>
        <w:rPr>
          <w:rFonts w:ascii="Times New Roman" w:hAnsi="Times New Roman"/>
          <w:i/>
          <w:color w:val="000000"/>
          <w:sz w:val="20"/>
        </w:rPr>
        <w:t>Warranty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currently provides a two-year full warranty on its products. The associated costs of these warranties are accrued for upon shipment of the products. The Company’s warranty policy is applicable to products which are considered defective in their performance or fail to meet the product specifications. Warranty costs are reflected in the consolidated statements of operations as costs of revenues.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reconciliation of the changes in our warranty liability for the years ended December 30, 2023 and December 31, 2022 are as follows (in thousands):</w:t>
      </w:r>
    </w:p>
    <w:p>
      <w:pPr>
        <w:pStyle w:val="TextBody"/>
        <w:bidi w:val="0"/>
        <w:jc w:val="left"/>
        <w:rPr/>
      </w:pPr>
      <w:r>
        <w:rPr/>
        <w:t> </w:t>
      </w:r>
    </w:p>
    <w:tbl>
      <w:tblPr>
        <w:tblW w:w="4215" w:type="dxa"/>
        <w:jc w:val="left"/>
        <w:tblInd w:w="0" w:type="dxa"/>
        <w:tblLayout w:type="fixed"/>
        <w:tblCellMar>
          <w:top w:w="28" w:type="dxa"/>
          <w:left w:w="28" w:type="dxa"/>
          <w:bottom w:w="28" w:type="dxa"/>
          <w:right w:w="28" w:type="dxa"/>
        </w:tblCellMar>
      </w:tblPr>
      <w:tblGrid>
        <w:gridCol w:w="3166"/>
        <w:gridCol w:w="146"/>
        <w:gridCol w:w="211"/>
        <w:gridCol w:w="481"/>
        <w:gridCol w:w="21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1,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1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Accruals for product warranties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21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warranty claims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 to pre-existing warranties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21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Accruals for product warranties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1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warranty claims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 to pre-existing warranties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30, 2023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Shipping and Handling Costs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shipping and handling costs billed to customers are included in revenues and the associated expense is recorded in cost of revenues for all periods presented. Shipping and handling costs billed to customers amounted to $0.2 million and $0.3 million during fiscal years 2023 and 2022, respectively.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Research and development expenditures are charged to operations as incurred.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Advertising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Advertising and promotion costs are expensed as they are incurred; such costs were approximately $0.2 million in 2023 and $0.4 million in 2022 and are included in sales and marketing expenses in the accompanying consolidated statements of operations.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Income Taxes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accounts for income taxes in accordance with ASC 740, “Income Taxes”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laws that will be in effect when the differences are expected to reverse. ASC 740 also requires that deferred tax assets be reduced by a valuation allowance if it is more likely than not that some or all of the deferred tax asset will not be realized. We annually evaluate the realizability of our deferred tax assets by assessing our valuation allowance and by adjusting the amount of such allowance, if necessary. The factors used to assess the likelihood of realization include our forecast of future taxable income and available tax planning strategies that could be implemented to realize the net deferred tax assets. As of December 30, 2023, based on the Company's recent history of losses and its forecasted losses, management believes on the more likely than not basis that a full valuation allowance is required. Accordingly, as of December 30, 2023, the Company provided a full valuation allowance on its federal and states deferred tax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for Uncertainty in Income Taxes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accounts for uncertain tax positions in accordance with ASC 740. ASC 740 seeks to reduce the diversity in practice associated with certain aspects of measurement and recognition in accounting for income taxes.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"more-likely-than-not" threshold. In accordance with our accounting policy, we recognize accrued interest and penalties related to unrecognized tax benefits as a component of income tax expense. There were no accrued interest and penalties during the years ended December 30, 2023 and December 31, 2022.</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for Stock-Based Compensation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accounts for stock-based compensation granted to employees and directors, including employees stock option awards and restricted stock units in accordance with ASC 718, “Compensation – Stock Compensation” (“ASC 718”). Accordingly, stock-based compensation cost is measured at grant date, based on the fair value of the award. Stock-based compensation is recognized as expense on a ratable basis over the requisite service period of the award.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values options using the Black-Scholes option pricing model. Time-based restricted stock units are valued at the grant date fair value of the underlying common shares. Performance-based restricted stock units without market conditions are valued at grant date fair value of the underlying common shares. Performance-based restricted stock units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Concentration of Credit Risk and Other Risks and Uncertainties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cash and cash equivalents are deposited in demand and money market accounts. Deposits held with banks may exceed the amount of insurance provided on such deposits. Generally, these deposits may be redeemed upon demand and therefore, bear minimal risk.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markets its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 losses related to individual customers or a group of customers in any particular geographic area. For the year ended December 30, 2023, one customer, Topcon, accounted for greater than 10% of total revenues, representing 30%. For the year ended December 31, 2022, one customer, Topcon, accounted for greater than 10% of total revenues, representing 28%. For the year ended December 30, 2023, one customer, Topcon, accounted for over 10% of our receivables, representing 30%. As of December 31, 2022, one customer, Topcon, accounted for over 10% of our receivables, representing 37%.</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products require approvals from the Food and Drug Administration and international regulatory agencies prior to commercialized sales. Our future products may not receive required approvals. If we were denied such approvals, or if such approvals were delayed, it would have a material adverse impact on our business, results of operations and financial condition.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Reliance on Certain Suppliers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Certain components and services used to manufacture and develop our products are presently available from only one or a limited number of suppliers or vendors. The loss of any of these suppliers or vendors would potentially require a significant level of hardware and/or software development efforts to incorporate the products or services into our products.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Net Income (Loss) per Share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Basic net income (loss) per share is based upon the weighted average number of common shares outstanding during the period. Diluted net income per share is based upon the weighted average number of common shares outstanding and dilutive common stock equivalents outstanding during the period. Common stock equivalents consist of incremental common shares issuable upon the exercise of stock options and release (vesting) of restricted stock units and awards and are calculated under the treasury stock method. Common stock equivalent shares from unexercised stock options and unvested restricted stock units are excluded from the computation for periods in which we incur a net loss or if the exercise price of such options is greater than the average market price of our common stock for the period as their effect would be anti-dilutive. See Note 16 - Computation of Basic and Diluted Net Loss Per Common Share. </w:t>
      </w:r>
    </w:p>
    <w:p>
      <w:pPr>
        <w:pStyle w:val="TextBody"/>
        <w:bidi w:val="0"/>
        <w:spacing w:before="120" w:after="283"/>
        <w:ind w:left="0" w:right="0" w:firstLine="49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Foreign Currency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Assets and liabilities of foreign operations with non-U.S. Dollar functional currency are translated to U.S. Dollars using exchange rates in effect at the end of the period. Revenue and expenses are translated to U.S. Dollars using rates that approximate those in effect during the period. The resulting translation adjustments are included in the Company’s Consolidated Balance Sheets in the stockholders’ equity section as a component of accumulated other comprehensive income (loss).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Implementation Costs Incurred in a Cloud Computing Service Arrangement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implemented a new enterprise resource planning (“ERP”) system. The new ERP system operates in a cloud-based environment. The Company concluded that this cloud computing arrangement does not include a license, and therefore, will account for this arrangement as one that is a service contract. The Company capitalized $1.1 million in implementation costs and began utilizing the ERP system near the end of the third quarter of 2023 and is recognizing amortization of the capitalized implementation costs over five years on a straight-line basis. For the year ended December 30, 2023, approximately $0.2 million of amortization expenses were recognized. There were no amortization expenses for the year ended December 31, 2022.</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Recently Adopted Accounting Standards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June 2016, the Financial Accounting Standards Board (“FASB”) issued Accounting Standards Update (“ASU”) No. 2016-13 “Measurement of Credit Losses on Financial Instruments,” which amended the current approach to estimate credit losses on certain financial assets, including trade and other receivables, available-for-sale securities, and other financial instruments. Generally, this amendment requires entities to establish a valuation allowance for the expected lifetime losses of these certain financial assets. In November 2019, the FASB issued ASU No. 2019-10, “Financial Instruments - Credit Losses (Topic 326), Derivatives and Hedging (Topic 815), and Leases (Topic 842),” which amended the effective date for certain qualified entities to fiscal years beginning after December 15, 2022. On January 1, 2023, the Company adopted ASU No. 2016-13, using the modified retrospective approach by applying a cumulative effect adjustment of $0.2 million to the opening balance of accumulated deficit.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December 2020, the Financial Accounting Standards Board (“FASB”) issued ASU No. 2019-12, “Income Taxes (Topic 740): Simplifying the Accounting for Income Taxes.” as part of its initiative to reduce complexity in the accounting standards. The standard eliminates certain exceptions related to the approach for intraperiod tax allocation, the methodology for calculating income taxes in an interim period and the recognition of deferred tax liabilities for outside basis differences. The standard also clarifies and simplifies other aspects of the accounting for income taxes. The standard is effective for fiscal years, and interim periods within those fiscal years, beginning after December 15, 2020. The Company had adopted the pronouncement in the current year and has an immaterial impact to the financial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 Accounting Standards Not Yet Adopted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November 2023, the Financial Standards Accounting Board (FASB) issued Accounting Standards Update (ASU) 2023-07 "Segment Reporting (Topic 280): Improvements to Reportable Segment Disclosures" which expands annual and interim disclosure requirements for reportable segments, primarily through enhanced disclosures about significant segment expenses. ASU 2023-07 is effective for our annual periods beginning January 1, 2024, and for interim periods beginning January 1, 2025, with early adoption permitted. The Company is currently evaluating the potential effect that the updated standard will have on its financial statement disclosures.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December 2023, the FASB issued ASU 2023-09 "Income Taxes (Topics 740): Improvements to Income Tax Disclosures" to expand the disclosure requirements for income taxes, specifically related to the rate reconciliation and income taxes paid. ASU 2023-09 is effective for the Company's annual periods beginning January 1, 2025, with early adoption permitted. The Company is currently evaluating the potential effect that the updated standard will have on its financial statement disclosures.</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3. Related Party - Topcon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December 30, 2023, Topcon holds a 10.1% voting interest in the Company, which qualifies it to be a principal owner considered a related party, even though it currently does not have significant influence over the Company’s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Topcon resells certain of our products as our exclusive distributor in certain international regions. At the same time, the Company also purchases certain raw materials from Topcon. During fiscal year 2023, the Company’s revenues related to Topcon amounted to approximately $14.3 million, including $1.5 million recognized exclusive distribution rights revenue. During fiscal year 2022, the Company’s revenues related to Topcon amounted to approximately $15.9 million, including $1.3 million recognized exclusive distribution rights revenue. The Company’s purchases from Topcon during fiscal year 2023 and 2022 amounted to $0.3 million and $1.0 million, respectively. As of December 30, 2023, the amounts receivable from and payable to Topcon were $2.9 million and $0.2 million, respectively. As of December 31 2022, the amounts receivable from and payable to Topcon were $3.5 million and $15 thousand,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4. Fair Value Measurement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Quoted prices (unadjusted) in active markets that are accessible at the measurement date for assets or liabilities.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determining fair value, we utilize valuation techniques that maximize the use of observable inputs and minimize the use of unobservable inputs to the extent possible as well as considers counterparty credit risk in our assessment of fair value.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carrying amounts of our financial assets and liabilities, including cash and cash equivalents, accounts receivable, accounts payable, and accrued expenses as of December 30, 2023 and December 31, 2022, approximate fair value because of the short maturity of these instruments.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December 30, 2023 and December 31, 2022, financial assets and liabilities measured and recognized at fair value on a recurring basis and classified under the appropriate level of the fair value hierarchy as described above was as follows (in thousands):</w:t>
      </w:r>
    </w:p>
    <w:p>
      <w:pPr>
        <w:pStyle w:val="TextBody"/>
        <w:bidi w:val="0"/>
        <w:jc w:val="left"/>
        <w:rPr/>
      </w:pPr>
      <w:r>
        <w:rPr/>
        <w:t> </w:t>
      </w:r>
    </w:p>
    <w:tbl>
      <w:tblPr>
        <w:tblW w:w="10033" w:type="dxa"/>
        <w:jc w:val="left"/>
        <w:tblInd w:w="0" w:type="dxa"/>
        <w:tblLayout w:type="fixed"/>
        <w:tblCellMar>
          <w:top w:w="28" w:type="dxa"/>
          <w:left w:w="28" w:type="dxa"/>
          <w:bottom w:w="28" w:type="dxa"/>
          <w:right w:w="28" w:type="dxa"/>
        </w:tblCellMar>
      </w:tblPr>
      <w:tblGrid>
        <w:gridCol w:w="2001"/>
        <w:gridCol w:w="146"/>
        <w:gridCol w:w="252"/>
        <w:gridCol w:w="378"/>
        <w:gridCol w:w="146"/>
        <w:gridCol w:w="146"/>
        <w:gridCol w:w="239"/>
        <w:gridCol w:w="391"/>
        <w:gridCol w:w="146"/>
        <w:gridCol w:w="146"/>
        <w:gridCol w:w="239"/>
        <w:gridCol w:w="391"/>
        <w:gridCol w:w="146"/>
        <w:gridCol w:w="146"/>
        <w:gridCol w:w="211"/>
        <w:gridCol w:w="316"/>
        <w:gridCol w:w="146"/>
        <w:gridCol w:w="146"/>
        <w:gridCol w:w="211"/>
        <w:gridCol w:w="676"/>
        <w:gridCol w:w="146"/>
        <w:gridCol w:w="146"/>
        <w:gridCol w:w="239"/>
        <w:gridCol w:w="391"/>
        <w:gridCol w:w="146"/>
        <w:gridCol w:w="146"/>
        <w:gridCol w:w="239"/>
        <w:gridCol w:w="391"/>
        <w:gridCol w:w="146"/>
        <w:gridCol w:w="146"/>
        <w:gridCol w:w="211"/>
        <w:gridCol w:w="676"/>
        <w:gridCol w:w="391"/>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9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9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0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12,496</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 Company’s Level 1 financial assets are money market funds whose fair values are based on quoted market prices. The Company does not have any Level 2 and Level 3 financial assets or liabilities.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 Inventories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components of our inventories are as follows (in thousands): </w:t>
      </w:r>
    </w:p>
    <w:p>
      <w:pPr>
        <w:pStyle w:val="TextBody"/>
        <w:bidi w:val="0"/>
        <w:jc w:val="left"/>
        <w:rPr/>
      </w:pPr>
      <w:r>
        <w:rPr/>
        <w:t> </w:t>
      </w:r>
    </w:p>
    <w:tbl>
      <w:tblPr>
        <w:tblW w:w="5145" w:type="dxa"/>
        <w:jc w:val="left"/>
        <w:tblInd w:w="0" w:type="dxa"/>
        <w:tblLayout w:type="fixed"/>
        <w:tblCellMar>
          <w:top w:w="28" w:type="dxa"/>
          <w:left w:w="28" w:type="dxa"/>
          <w:bottom w:w="28" w:type="dxa"/>
          <w:right w:w="28" w:type="dxa"/>
        </w:tblCellMar>
      </w:tblPr>
      <w:tblGrid>
        <w:gridCol w:w="1516"/>
        <w:gridCol w:w="146"/>
        <w:gridCol w:w="403"/>
        <w:gridCol w:w="1097"/>
        <w:gridCol w:w="146"/>
        <w:gridCol w:w="146"/>
        <w:gridCol w:w="357"/>
        <w:gridCol w:w="1143"/>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2022</w:t>
            </w:r>
          </w:p>
        </w:tc>
        <w:tc>
          <w:tcPr>
            <w:tcW w:w="191" w:type="dxa"/>
            <w:tcBorders/>
            <w:shd w:fill="FFFFFF" w:val="clear"/>
            <w:vAlign w:val="center"/>
          </w:tcPr>
          <w:p>
            <w:pPr>
              <w:pStyle w:val="TableContents"/>
              <w:bidi w:val="0"/>
              <w:spacing w:before="0" w:after="283"/>
              <w:jc w:val="center"/>
              <w:rPr/>
            </w:pPr>
            <w:r>
              <w:rPr/>
              <w:t> </w:t>
            </w:r>
          </w:p>
        </w:tc>
      </w:tr>
      <w:tr>
        <w:trPr/>
        <w:tc>
          <w:tcPr>
            <w:tcW w:w="1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5,820</w:t>
            </w:r>
          </w:p>
        </w:tc>
        <w:tc>
          <w:tcPr>
            <w:tcW w:w="191" w:type="dxa"/>
            <w:tcBorders/>
            <w:shd w:fill="CFF0FC" w:val="clear"/>
            <w:vAlign w:val="center"/>
          </w:tcPr>
          <w:p>
            <w:pPr>
              <w:pStyle w:val="TableContents"/>
              <w:bidi w:val="0"/>
              <w:spacing w:before="0" w:after="283"/>
              <w:jc w:val="left"/>
              <w:rPr/>
            </w:pPr>
            <w:r>
              <w:rPr/>
              <w:t> </w:t>
            </w:r>
          </w:p>
        </w:tc>
      </w:tr>
      <w:tr>
        <w:trPr/>
        <w:tc>
          <w:tcPr>
            <w:tcW w:w="1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91" w:type="dxa"/>
            <w:tcBorders/>
            <w:shd w:fill="FFFFFF" w:val="clear"/>
            <w:vAlign w:val="center"/>
          </w:tcPr>
          <w:p>
            <w:pPr>
              <w:pStyle w:val="TableContents"/>
              <w:bidi w:val="0"/>
              <w:spacing w:before="0" w:after="283"/>
              <w:jc w:val="left"/>
              <w:rPr/>
            </w:pPr>
            <w:r>
              <w:rPr/>
              <w:t> </w:t>
            </w:r>
          </w:p>
        </w:tc>
      </w:tr>
      <w:tr>
        <w:trPr/>
        <w:tc>
          <w:tcPr>
            <w:tcW w:w="1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FFFFFF" w:val="cle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6. Property and Equipment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components of our property and equipment are as follows (in thousands): </w:t>
      </w:r>
    </w:p>
    <w:p>
      <w:pPr>
        <w:pStyle w:val="TextBody"/>
        <w:bidi w:val="0"/>
        <w:jc w:val="left"/>
        <w:rPr/>
      </w:pPr>
      <w:r>
        <w:rPr/>
        <w:t> </w:t>
      </w:r>
    </w:p>
    <w:tbl>
      <w:tblPr>
        <w:tblW w:w="7780" w:type="dxa"/>
        <w:jc w:val="left"/>
        <w:tblInd w:w="0" w:type="dxa"/>
        <w:tblLayout w:type="fixed"/>
        <w:tblCellMar>
          <w:top w:w="28" w:type="dxa"/>
          <w:left w:w="28" w:type="dxa"/>
          <w:bottom w:w="28" w:type="dxa"/>
          <w:right w:w="28" w:type="dxa"/>
        </w:tblCellMar>
      </w:tblPr>
      <w:tblGrid>
        <w:gridCol w:w="4111"/>
        <w:gridCol w:w="146"/>
        <w:gridCol w:w="334"/>
        <w:gridCol w:w="1166"/>
        <w:gridCol w:w="166"/>
        <w:gridCol w:w="146"/>
        <w:gridCol w:w="334"/>
        <w:gridCol w:w="1166"/>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2022</w:t>
            </w:r>
          </w:p>
        </w:tc>
        <w:tc>
          <w:tcPr>
            <w:tcW w:w="211" w:type="dxa"/>
            <w:tcBorders/>
            <w:shd w:fill="FFFFFF" w:val="cle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11,527</w:t>
            </w:r>
          </w:p>
        </w:tc>
        <w:tc>
          <w:tcPr>
            <w:tcW w:w="2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20"/>
        </w:rPr>
        <w:t>Depreciation expense related to property and equipment was $277</w:t>
      </w:r>
      <w:r>
        <w:rPr>
          <w:rFonts w:ascii="Times New Roman" w:hAnsi="Times New Roman"/>
          <w:color w:val="000000"/>
          <w:sz w:val="24"/>
        </w:rPr>
        <w:t xml:space="preserve"> </w:t>
      </w:r>
      <w:r>
        <w:rPr>
          <w:rFonts w:ascii="Times New Roman" w:hAnsi="Times New Roman"/>
          <w:color w:val="000000"/>
          <w:sz w:val="20"/>
        </w:rPr>
        <w:t>thousand and $257</w:t>
      </w:r>
      <w:r>
        <w:rPr>
          <w:rFonts w:ascii="Times New Roman" w:hAnsi="Times New Roman"/>
          <w:color w:val="000000"/>
          <w:sz w:val="24"/>
        </w:rPr>
        <w:t xml:space="preserve"> </w:t>
      </w:r>
      <w:r>
        <w:rPr>
          <w:rFonts w:ascii="Times New Roman" w:hAnsi="Times New Roman"/>
          <w:color w:val="000000"/>
          <w:sz w:val="20"/>
        </w:rPr>
        <w:t>thousand</w:t>
      </w:r>
      <w:r>
        <w:rPr>
          <w:rFonts w:ascii="Times New Roman" w:hAnsi="Times New Roman"/>
          <w:color w:val="000000"/>
          <w:sz w:val="24"/>
        </w:rPr>
        <w:t xml:space="preserve"> </w:t>
      </w:r>
      <w:r>
        <w:rPr>
          <w:rFonts w:ascii="Times New Roman" w:hAnsi="Times New Roman"/>
          <w:color w:val="000000"/>
          <w:sz w:val="20"/>
        </w:rPr>
        <w:t xml:space="preserve">for the fiscal years 2023 and 2022, respectively.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 Goodwill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carrying value of goodwill was $965 thousand as of both December 30, 2023 and December 31, 2022.</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 the reporting unit’s fair value; however, the loss recognized should not exceed the total amount of goodwill allocated to that reporting unit. In addition, income tax effects from any tax-deductible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2023 and determined that its goodwill was not impaired. The determination of whether any potential impairment of goodwill exists is based upon an impairment test performed in accordance with ASC 350. There was no impairment of goodwill recognized during fiscal years 2023 and 2022.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 Intangible Assets</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 components of our purchased intangible assets as of December 30, 2023 are as follows (in thousands): </w:t>
      </w:r>
    </w:p>
    <w:tbl>
      <w:tblPr>
        <w:tblW w:w="8999" w:type="dxa"/>
        <w:jc w:val="left"/>
        <w:tblInd w:w="0" w:type="dxa"/>
        <w:tblLayout w:type="fixed"/>
        <w:tblCellMar>
          <w:top w:w="28" w:type="dxa"/>
          <w:left w:w="28" w:type="dxa"/>
          <w:bottom w:w="28" w:type="dxa"/>
          <w:right w:w="28" w:type="dxa"/>
        </w:tblCellMar>
      </w:tblPr>
      <w:tblGrid>
        <w:gridCol w:w="1981"/>
        <w:gridCol w:w="146"/>
        <w:gridCol w:w="811"/>
        <w:gridCol w:w="146"/>
        <w:gridCol w:w="360"/>
        <w:gridCol w:w="721"/>
        <w:gridCol w:w="146"/>
        <w:gridCol w:w="146"/>
        <w:gridCol w:w="211"/>
        <w:gridCol w:w="571"/>
        <w:gridCol w:w="146"/>
        <w:gridCol w:w="146"/>
        <w:gridCol w:w="291"/>
        <w:gridCol w:w="790"/>
        <w:gridCol w:w="146"/>
        <w:gridCol w:w="146"/>
        <w:gridCol w:w="211"/>
        <w:gridCol w:w="571"/>
        <w:gridCol w:w="146"/>
        <w:gridCol w:w="146"/>
        <w:gridCol w:w="102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w:t>
              <w:br/>
              <w:t>Lives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2023</w:t>
              <w:br/>
              <w:t>Annual</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Lives</w:t>
              <w:br/>
              <w:t>Remaining</w:t>
            </w:r>
          </w:p>
        </w:tc>
      </w:tr>
      <w:tr>
        <w:trPr/>
        <w:tc>
          <w:tcPr>
            <w:tcW w:w="1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 Years</w:t>
            </w:r>
          </w:p>
        </w:tc>
        <w:tc>
          <w:tcPr>
            <w:tcW w:w="14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3.43 Years</w:t>
            </w:r>
          </w:p>
        </w:tc>
      </w:tr>
      <w:tr>
        <w:trPr/>
        <w:tc>
          <w:tcPr>
            <w:tcW w:w="1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c>
          <w:tcPr>
            <w:tcW w:w="14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5.13 Years</w:t>
            </w:r>
          </w:p>
        </w:tc>
      </w:tr>
      <w:tr>
        <w:trPr/>
        <w:tc>
          <w:tcPr>
            <w:tcW w:w="1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 Years</w:t>
            </w:r>
          </w:p>
        </w:tc>
        <w:tc>
          <w:tcPr>
            <w:tcW w:w="14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6.17 Years</w:t>
            </w:r>
          </w:p>
        </w:tc>
      </w:tr>
      <w:tr>
        <w:trPr/>
        <w:tc>
          <w:tcPr>
            <w:tcW w:w="1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Varies</w:t>
            </w:r>
          </w:p>
        </w:tc>
        <w:tc>
          <w:tcPr>
            <w:tcW w:w="146" w:type="dxa"/>
            <w:tcBorders/>
            <w:shd w:fill="FFFFFF" w:val="cle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Varies</w:t>
            </w:r>
          </w:p>
        </w:tc>
      </w:tr>
      <w:tr>
        <w:trPr/>
        <w:tc>
          <w:tcPr>
            <w:tcW w:w="19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 components of our purchased intangible assets as of December 31, 2022 are as follows (in thousands): </w:t>
      </w:r>
    </w:p>
    <w:p>
      <w:pPr>
        <w:pStyle w:val="TextBody"/>
        <w:bidi w:val="0"/>
        <w:jc w:val="left"/>
        <w:rPr/>
      </w:pPr>
      <w:r>
        <w:rPr/>
        <w:t> </w:t>
      </w:r>
    </w:p>
    <w:tbl>
      <w:tblPr>
        <w:tblW w:w="8999" w:type="dxa"/>
        <w:jc w:val="left"/>
        <w:tblInd w:w="0" w:type="dxa"/>
        <w:tblLayout w:type="fixed"/>
        <w:tblCellMar>
          <w:top w:w="28" w:type="dxa"/>
          <w:left w:w="28" w:type="dxa"/>
          <w:bottom w:w="28" w:type="dxa"/>
          <w:right w:w="28" w:type="dxa"/>
        </w:tblCellMar>
      </w:tblPr>
      <w:tblGrid>
        <w:gridCol w:w="1981"/>
        <w:gridCol w:w="146"/>
        <w:gridCol w:w="811"/>
        <w:gridCol w:w="146"/>
        <w:gridCol w:w="360"/>
        <w:gridCol w:w="721"/>
        <w:gridCol w:w="146"/>
        <w:gridCol w:w="146"/>
        <w:gridCol w:w="211"/>
        <w:gridCol w:w="571"/>
        <w:gridCol w:w="146"/>
        <w:gridCol w:w="146"/>
        <w:gridCol w:w="291"/>
        <w:gridCol w:w="790"/>
        <w:gridCol w:w="146"/>
        <w:gridCol w:w="146"/>
        <w:gridCol w:w="211"/>
        <w:gridCol w:w="571"/>
        <w:gridCol w:w="146"/>
        <w:gridCol w:w="146"/>
        <w:gridCol w:w="102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w:t>
              <w:br/>
              <w:t>Lives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2022</w:t>
              <w:br/>
              <w:t>Annual</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Lives</w:t>
              <w:br/>
              <w:t>Remaining</w:t>
            </w:r>
          </w:p>
        </w:tc>
      </w:tr>
      <w:tr>
        <w:trPr/>
        <w:tc>
          <w:tcPr>
            <w:tcW w:w="1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 Years</w:t>
            </w:r>
          </w:p>
        </w:tc>
        <w:tc>
          <w:tcPr>
            <w:tcW w:w="14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4.21 Years</w:t>
            </w:r>
          </w:p>
        </w:tc>
      </w:tr>
      <w:tr>
        <w:trPr/>
        <w:tc>
          <w:tcPr>
            <w:tcW w:w="1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c>
          <w:tcPr>
            <w:tcW w:w="14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6.10 Years</w:t>
            </w:r>
          </w:p>
        </w:tc>
      </w:tr>
      <w:tr>
        <w:trPr/>
        <w:tc>
          <w:tcPr>
            <w:tcW w:w="1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 Years</w:t>
            </w:r>
          </w:p>
        </w:tc>
        <w:tc>
          <w:tcPr>
            <w:tcW w:w="14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7.17 Years</w:t>
            </w:r>
          </w:p>
        </w:tc>
      </w:tr>
      <w:tr>
        <w:trPr/>
        <w:tc>
          <w:tcPr>
            <w:tcW w:w="1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Varies</w:t>
            </w:r>
          </w:p>
        </w:tc>
        <w:tc>
          <w:tcPr>
            <w:tcW w:w="146" w:type="dxa"/>
            <w:tcBorders/>
            <w:shd w:fill="FFFFFF" w:val="cle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Varies</w:t>
            </w:r>
          </w:p>
        </w:tc>
      </w:tr>
      <w:tr>
        <w:trPr/>
        <w:tc>
          <w:tcPr>
            <w:tcW w:w="19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Aggregate amortization expense for fiscal years 2023 and 2022 were $333 thousand and $228 thousand, respectively. The amortization of developed technology was charged to research and development expense and the amortization of customer relations and trade names was charged to sales and marketing expense. We started amortization of in-process R&amp;D in the fourth fiscal quarter of 2022, as it was related to the release of a new system.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Estimated future amortization expense for purchased intangible assets is as follows (in thousands): </w:t>
      </w:r>
    </w:p>
    <w:p>
      <w:pPr>
        <w:pStyle w:val="TextBody"/>
        <w:bidi w:val="0"/>
        <w:jc w:val="left"/>
        <w:rPr/>
      </w:pPr>
      <w:r>
        <w:rPr/>
        <w:t> </w:t>
      </w:r>
    </w:p>
    <w:tbl>
      <w:tblPr>
        <w:tblW w:w="2400" w:type="dxa"/>
        <w:jc w:val="left"/>
        <w:tblInd w:w="0" w:type="dxa"/>
        <w:tblLayout w:type="fixed"/>
        <w:tblCellMar>
          <w:top w:w="28" w:type="dxa"/>
          <w:left w:w="28" w:type="dxa"/>
          <w:bottom w:w="28" w:type="dxa"/>
          <w:right w:w="28" w:type="dxa"/>
        </w:tblCellMar>
      </w:tblPr>
      <w:tblGrid>
        <w:gridCol w:w="1081"/>
        <w:gridCol w:w="146"/>
        <w:gridCol w:w="211"/>
        <w:gridCol w:w="571"/>
        <w:gridCol w:w="3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3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3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b/>
          <w:color w:val="000000"/>
          <w:sz w:val="20"/>
        </w:rPr>
      </w:pPr>
      <w:r>
        <w:rPr>
          <w:rFonts w:ascii="Times New Roman" w:hAnsi="Times New Roman"/>
          <w:b/>
          <w:color w:val="000000"/>
          <w:sz w:val="20"/>
        </w:rPr>
        <w:t>9. Accrued Expenses and Other Current Liabilities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components of our accrued expenses and other current liabilities are as follows (in thousands):</w:t>
      </w:r>
    </w:p>
    <w:p>
      <w:pPr>
        <w:pStyle w:val="TextBody"/>
        <w:bidi w:val="0"/>
        <w:jc w:val="left"/>
        <w:rPr/>
      </w:pPr>
      <w:r>
        <w:rPr/>
        <w:t> </w:t>
      </w:r>
    </w:p>
    <w:tbl>
      <w:tblPr>
        <w:tblW w:w="7815" w:type="dxa"/>
        <w:jc w:val="left"/>
        <w:tblInd w:w="0" w:type="dxa"/>
        <w:tblLayout w:type="fixed"/>
        <w:tblCellMar>
          <w:top w:w="28" w:type="dxa"/>
          <w:left w:w="28" w:type="dxa"/>
          <w:bottom w:w="28" w:type="dxa"/>
          <w:right w:w="28" w:type="dxa"/>
        </w:tblCellMar>
      </w:tblPr>
      <w:tblGrid>
        <w:gridCol w:w="4186"/>
        <w:gridCol w:w="146"/>
        <w:gridCol w:w="403"/>
        <w:gridCol w:w="1097"/>
        <w:gridCol w:w="146"/>
        <w:gridCol w:w="146"/>
        <w:gridCol w:w="403"/>
        <w:gridCol w:w="1097"/>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2022</w:t>
            </w:r>
          </w:p>
        </w:tc>
        <w:tc>
          <w:tcPr>
            <w:tcW w:w="191" w:type="dxa"/>
            <w:tcBorders/>
            <w:shd w:fill="FFFFFF" w:val="cle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and professional fees</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91"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Temporary help and consulting</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91"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Royalties payable</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payable</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91"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for ERP system implementation</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2022</w:t>
            </w:r>
          </w:p>
        </w:tc>
        <w:tc>
          <w:tcPr>
            <w:tcW w:w="191" w:type="dxa"/>
            <w:tcBorders/>
            <w:shd w:fill="FFFFFF" w:val="cle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deposits</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191"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current liabilities</w:t>
            </w:r>
          </w:p>
        </w:tc>
        <w:tc>
          <w:tcPr>
            <w:tcW w:w="146" w:type="dxa"/>
            <w:tcBorders/>
            <w:shd w:fill="FFFFFF" w:val="clear"/>
            <w:vAlign w:val="center"/>
          </w:tcPr>
          <w:p>
            <w:pPr>
              <w:pStyle w:val="TableContents"/>
              <w:bidi w:val="0"/>
              <w:spacing w:before="0" w:after="283"/>
              <w:jc w:val="left"/>
              <w:rPr/>
            </w:pPr>
            <w:r>
              <w:rPr/>
              <w:t> </w:t>
            </w:r>
          </w:p>
        </w:tc>
        <w:tc>
          <w:tcPr>
            <w:tcW w:w="4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 Leases and Commitments and Contingencies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Operating Leases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lease our operating facilities in Mountain View, California, under a non-cancelable operating lease through August 31, 2026. There are no further options or rights to extend the term of this lease.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operating lease commitments consist of facility and office equipment leases. Operating lease expense for fiscal years 2023 and 2022 was approximately $1.0 million and $1.0 million, respectively. The weighted average discount rate used in calculating the present value of lease payments was 4.7%. As of December 30, 2023, the weighted average remaining lease term for our operating leases was 2.7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represents maturities of operating lease liabilities as of December 30, 2023 (in thousands):</w:t>
      </w:r>
    </w:p>
    <w:tbl>
      <w:tblPr>
        <w:tblW w:w="4843" w:type="dxa"/>
        <w:jc w:val="left"/>
        <w:tblInd w:w="0" w:type="dxa"/>
        <w:tblLayout w:type="fixed"/>
        <w:tblCellMar>
          <w:top w:w="28" w:type="dxa"/>
          <w:left w:w="28" w:type="dxa"/>
          <w:bottom w:w="28" w:type="dxa"/>
          <w:right w:w="28" w:type="dxa"/>
        </w:tblCellMar>
      </w:tblPr>
      <w:tblGrid>
        <w:gridCol w:w="3226"/>
        <w:gridCol w:w="146"/>
        <w:gridCol w:w="315"/>
        <w:gridCol w:w="945"/>
        <w:gridCol w:w="21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br/>
              <w:t>Lease Payments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211" w:type="dxa"/>
            <w:tcBorders/>
            <w:shd w:fill="CFF0FC"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211" w:type="dxa"/>
            <w:tcBorders/>
            <w:shd w:fill="FFFFFF" w:val="clear"/>
            <w:vAlign w:val="center"/>
          </w:tcPr>
          <w:p>
            <w:pPr>
              <w:pStyle w:val="TableContents"/>
              <w:bidi w:val="0"/>
              <w:spacing w:before="0" w:after="283"/>
              <w:jc w:val="left"/>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211" w:type="dxa"/>
            <w:tcBorders/>
            <w:shd w:fill="CFF0FC"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w:t>
            </w:r>
          </w:p>
        </w:tc>
        <w:tc>
          <w:tcPr>
            <w:tcW w:w="211" w:type="dxa"/>
            <w:tcBorders/>
            <w:shd w:fill="CFF0FC"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w:t>
            </w:r>
          </w:p>
        </w:tc>
        <w:tc>
          <w:tcPr>
            <w:tcW w:w="211" w:type="dxa"/>
            <w:tcBorders/>
            <w:shd w:fill="CFF0FC"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lease liabilities</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lease liabilities</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left"/>
        <w:rPr>
          <w:rFonts w:ascii="Times New Roman" w:hAnsi="Times New Roman"/>
          <w:i/>
          <w:color w:val="000000"/>
          <w:sz w:val="20"/>
        </w:rPr>
      </w:pPr>
      <w:r>
        <w:rPr>
          <w:rFonts w:ascii="Times New Roman" w:hAnsi="Times New Roman"/>
          <w:i/>
          <w:color w:val="000000"/>
          <w:sz w:val="20"/>
        </w:rPr>
        <w:t>Purchase Commitments.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purchase commitments consist primarily of non-cancellable purchase orders with vendors to manufacture certain components and ophthalmic instruments. As of December 30, 2023, our future minimum payments through fiscal year 2024 for our purchase commitments were approximately $7.2 million, with $1.8 million committed for the next 12 months.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License Agreements.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obligated to pay royalties equivalent to 1% to 5% of sales on certain products under certain license agreements with termination dates through the end of 2033. Royalty expense, charged to cost of revenues, was approximately $0.4 million and $0.4 million for fiscal years 2023 and 2022, respectively.</w:t>
      </w:r>
    </w:p>
    <w:p>
      <w:pPr>
        <w:pStyle w:val="TextBody"/>
        <w:bidi w:val="0"/>
        <w:spacing w:before="120" w:after="283"/>
        <w:jc w:val="left"/>
        <w:rPr>
          <w:rFonts w:ascii="Times New Roman" w:hAnsi="Times New Roman"/>
          <w:sz w:val="20"/>
        </w:rPr>
      </w:pPr>
      <w:r>
        <w:rPr>
          <w:rFonts w:ascii="Times New Roman" w:hAnsi="Times New Roman"/>
          <w:i/>
          <w:color w:val="000000"/>
          <w:sz w:val="20"/>
        </w:rPr>
        <w:t>Indemnification Arrangements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enter into standard indemnification arrangements in our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we could be required to make under these agreements is not determinable. We have never incurred costs to defend lawsuits or settle claims related to these indemnification agreements. As a result, we believe the estimated fair value of these agreements is minimal.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entered into indemnification agreements with our directors and officers that may require us to indemnify our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 proceeding against them as to which they could be indemnified and to make good faith determination whether or not it is practicable for us to obtain directors and officers insurance. We currently have directors and officers liability insurance.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Legal Proceedings.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From time to time, we may be involved in legal proceedings arising in the ordinary course of business. In general, management believes that ordinary course of business matters will not have a material adverse effect on our financial position or results of operations and are adequately covered by our liability insurance. However, it is possible that consolidated cash flows or results of operations could be materially affected in any particular period by the unfavorable resolution of one of more of these contingencies or because of the diversion of management’s attention and the incurrence of significant expenses.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 Stockholders’ Equity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2008 Equity Incentive Plan.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June 11, 2008, the shareholders approved the adoption of the 2008 Equity Incentive Plan, (the “Incentive Plan”). There are no material changes in the Incentive Plan from the 1998 Stock Plan (the “1998 Plan”). In 2014, 2017, 2018, 2019, 2021 and 2023, the stockholders approved an amendment to the Incentive Plan for purposes of complying with Section 162(m) of the Internal Revenue Code of 1986, as amended, to increase the share reserve under the Incentive Plan, and to make certain other amendments to the terms of the Incentive Plan. The maximum aggregate number of shares that may be awarded and sold under the Incentive Plan, as amended is 5,850,000 shares plus any shares subject to stock options or similar awards granted under the 1998 Plan that expire or otherwise terminate without having been exercised in full and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pursuant to awards granted under the 1998 Plan that are forfeited to us on or after February 23, 2008, which was the date the 1998 Plan expired.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represents the shares activity and the total number of shares available for grant under the Incentive Plan:</w:t>
      </w:r>
    </w:p>
    <w:p>
      <w:pPr>
        <w:pStyle w:val="TextBody"/>
        <w:bidi w:val="0"/>
        <w:jc w:val="left"/>
        <w:rPr/>
      </w:pPr>
      <w:r>
        <w:rPr/>
        <w:t> </w:t>
      </w:r>
    </w:p>
    <w:tbl>
      <w:tblPr>
        <w:tblW w:w="4330" w:type="dxa"/>
        <w:jc w:val="left"/>
        <w:tblInd w:w="0" w:type="dxa"/>
        <w:tblLayout w:type="fixed"/>
        <w:tblCellMar>
          <w:top w:w="28" w:type="dxa"/>
          <w:left w:w="28" w:type="dxa"/>
          <w:bottom w:w="28" w:type="dxa"/>
          <w:right w:w="28" w:type="dxa"/>
        </w:tblCellMar>
      </w:tblPr>
      <w:tblGrid>
        <w:gridCol w:w="2896"/>
        <w:gridCol w:w="146"/>
        <w:gridCol w:w="146"/>
        <w:gridCol w:w="931"/>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Available</w:t>
              <w:br/>
              <w:t>for Grant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January 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1,122,381</w:t>
            </w:r>
          </w:p>
        </w:tc>
        <w:tc>
          <w:tcPr>
            <w:tcW w:w="21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(577,613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(547,305</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cancelled or forfeited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107,575</w:t>
            </w:r>
          </w:p>
        </w:tc>
        <w:tc>
          <w:tcPr>
            <w:tcW w:w="21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cancelled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114,995</w:t>
            </w:r>
          </w:p>
        </w:tc>
        <w:tc>
          <w:tcPr>
            <w:tcW w:w="21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added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w:t>
            </w:r>
          </w:p>
        </w:tc>
        <w:tc>
          <w:tcPr>
            <w:tcW w:w="21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(808,410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(294,503</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cancelled or forfeited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245,617</w:t>
            </w:r>
          </w:p>
        </w:tc>
        <w:tc>
          <w:tcPr>
            <w:tcW w:w="21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cancelled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75,294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December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332,993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490" w:right="0" w:hanging="0"/>
        <w:jc w:val="left"/>
        <w:rPr>
          <w:rFonts w:ascii="Times New Roman" w:hAnsi="Times New Roman"/>
          <w:color w:val="000000"/>
          <w:sz w:val="20"/>
        </w:rPr>
      </w:pPr>
      <w:r>
        <w:rPr>
          <w:rFonts w:ascii="Times New Roman" w:hAnsi="Times New Roman"/>
          <w:color w:val="000000"/>
          <w:sz w:val="20"/>
        </w:rPr>
        <w:t>Restricted stock units with a per share or unit purchase price lower than 100% of the fair market value of the Company's common stock on the date of grant under the Incentive Plan, as amended, are counted against shares authorized under the plan as one and one-half shares of common stock for each share. When cancelled, these shares are added back to the Incentive Plan, as amended, as one and one-half shares.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shows stock-based compensation expenses by functional area in the consolidated statements of operations for 2023 and 2022 (in thousands):</w:t>
      </w:r>
    </w:p>
    <w:p>
      <w:pPr>
        <w:pStyle w:val="TextBody"/>
        <w:bidi w:val="0"/>
        <w:jc w:val="left"/>
        <w:rPr/>
      </w:pPr>
      <w:r>
        <w:rPr/>
        <w:t> </w:t>
      </w:r>
    </w:p>
    <w:tbl>
      <w:tblPr>
        <w:tblW w:w="7080" w:type="dxa"/>
        <w:jc w:val="left"/>
        <w:tblInd w:w="0" w:type="dxa"/>
        <w:tblLayout w:type="fixed"/>
        <w:tblCellMar>
          <w:top w:w="28" w:type="dxa"/>
          <w:left w:w="28" w:type="dxa"/>
          <w:bottom w:w="28" w:type="dxa"/>
          <w:right w:w="28" w:type="dxa"/>
        </w:tblCellMar>
      </w:tblPr>
      <w:tblGrid>
        <w:gridCol w:w="3451"/>
        <w:gridCol w:w="146"/>
        <w:gridCol w:w="404"/>
        <w:gridCol w:w="1096"/>
        <w:gridCol w:w="146"/>
        <w:gridCol w:w="146"/>
        <w:gridCol w:w="404"/>
        <w:gridCol w:w="109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2022</w:t>
            </w:r>
          </w:p>
        </w:tc>
        <w:tc>
          <w:tcPr>
            <w:tcW w:w="191" w:type="dxa"/>
            <w:tcBorders/>
            <w:shd w:fill="FFFFFF" w:val="cle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91" w:type="dxa"/>
            <w:tcBorders/>
            <w:shd w:fill="FFFFFF" w:val="cle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91" w:type="dxa"/>
            <w:tcBorders/>
            <w:shd w:fill="FFFFFF" w:val="cle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Stock-based compensation expense capitalized to inventory was immaterial for 2023 and 2022.</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December 30, 2023, there was $3.1 million of total unrecognized compensation cost related to non-vested share-based compensation arrangements under the Incentive Plan. The cost is expected to be recognized over a weighted-average period of 2.07 years.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Summary of Stock Options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information regarding activity in our stock option plans during the fiscal years ended 2023 and 2022 (in thousands except share and per share data):</w:t>
      </w:r>
    </w:p>
    <w:p>
      <w:pPr>
        <w:pStyle w:val="TextBody"/>
        <w:bidi w:val="0"/>
        <w:jc w:val="left"/>
        <w:rPr/>
      </w:pPr>
      <w:r>
        <w:rPr/>
        <w:t> </w:t>
      </w:r>
    </w:p>
    <w:tbl>
      <w:tblPr>
        <w:tblW w:w="5418" w:type="dxa"/>
        <w:jc w:val="left"/>
        <w:tblInd w:w="0" w:type="dxa"/>
        <w:tblLayout w:type="fixed"/>
        <w:tblCellMar>
          <w:top w:w="28" w:type="dxa"/>
          <w:left w:w="28" w:type="dxa"/>
          <w:bottom w:w="28" w:type="dxa"/>
          <w:right w:w="28" w:type="dxa"/>
        </w:tblCellMar>
      </w:tblPr>
      <w:tblGrid>
        <w:gridCol w:w="2896"/>
        <w:gridCol w:w="146"/>
        <w:gridCol w:w="146"/>
        <w:gridCol w:w="931"/>
        <w:gridCol w:w="166"/>
        <w:gridCol w:w="146"/>
        <w:gridCol w:w="248"/>
        <w:gridCol w:w="548"/>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Options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January 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1,772,621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5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9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577,613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5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5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9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cancelled or 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5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2,232,967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9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808,410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5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5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9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cancelled or 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5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December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2,757,921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following table summarizes information with respect to stock options outstanding and exercisable as of December 30, 2023:</w:t>
      </w:r>
    </w:p>
    <w:p>
      <w:pPr>
        <w:pStyle w:val="TextBody"/>
        <w:bidi w:val="0"/>
        <w:jc w:val="left"/>
        <w:rPr/>
      </w:pPr>
      <w:r>
        <w:rPr/>
        <w:t> </w:t>
      </w:r>
    </w:p>
    <w:tbl>
      <w:tblPr>
        <w:tblW w:w="8365" w:type="dxa"/>
        <w:jc w:val="left"/>
        <w:tblInd w:w="0" w:type="dxa"/>
        <w:tblLayout w:type="fixed"/>
        <w:tblCellMar>
          <w:top w:w="28" w:type="dxa"/>
          <w:left w:w="28" w:type="dxa"/>
          <w:bottom w:w="28" w:type="dxa"/>
          <w:right w:w="28" w:type="dxa"/>
        </w:tblCellMar>
      </w:tblPr>
      <w:tblGrid>
        <w:gridCol w:w="1906"/>
        <w:gridCol w:w="146"/>
        <w:gridCol w:w="146"/>
        <w:gridCol w:w="931"/>
        <w:gridCol w:w="146"/>
        <w:gridCol w:w="146"/>
        <w:gridCol w:w="236"/>
        <w:gridCol w:w="755"/>
        <w:gridCol w:w="146"/>
        <w:gridCol w:w="146"/>
        <w:gridCol w:w="214"/>
        <w:gridCol w:w="582"/>
        <w:gridCol w:w="146"/>
        <w:gridCol w:w="146"/>
        <w:gridCol w:w="161"/>
        <w:gridCol w:w="1032"/>
        <w:gridCol w:w="161"/>
        <w:gridCol w:w="161"/>
        <w:gridCol w:w="234"/>
        <w:gridCol w:w="633"/>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4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Vested and Exercisable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Range of Exercise Prices</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br/>
              <w:t>Exercisable</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$1.50 - $2.12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0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12,051</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91" w:type="dxa"/>
            <w:tcBorders/>
            <w:shd w:fill="CFF0FC" w:val="clear"/>
            <w:vAlign w:val="center"/>
          </w:tcPr>
          <w:p>
            <w:pPr>
              <w:pStyle w:val="TableContents"/>
              <w:bidi w:val="0"/>
              <w:spacing w:before="0" w:after="283"/>
              <w:jc w:val="left"/>
              <w:rPr/>
            </w:pPr>
            <w:r>
              <w:rPr/>
              <w:t> </w:t>
            </w:r>
          </w:p>
        </w:tc>
      </w:tr>
      <w:tr>
        <w:trPr/>
        <w:tc>
          <w:tcPr>
            <w:tcW w:w="19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$2.13 - $2.13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1,037,809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303,464</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91" w:type="dxa"/>
            <w:tcBorders/>
            <w:shd w:fill="FFFFFF" w:val="clear"/>
            <w:vAlign w:val="center"/>
          </w:tcPr>
          <w:p>
            <w:pPr>
              <w:pStyle w:val="TableContents"/>
              <w:bidi w:val="0"/>
              <w:spacing w:before="0" w:after="283"/>
              <w:jc w:val="left"/>
              <w:rPr/>
            </w:pPr>
            <w:r>
              <w:rPr/>
              <w:t> </w:t>
            </w:r>
          </w:p>
        </w:tc>
      </w:tr>
      <w:tr>
        <w:trPr/>
        <w:tc>
          <w:tcPr>
            <w:tcW w:w="19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$2.17 - $2.27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0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46,970</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91" w:type="dxa"/>
            <w:tcBorders/>
            <w:shd w:fill="CFF0FC" w:val="clear"/>
            <w:vAlign w:val="center"/>
          </w:tcPr>
          <w:p>
            <w:pPr>
              <w:pStyle w:val="TableContents"/>
              <w:bidi w:val="0"/>
              <w:spacing w:before="0" w:after="283"/>
              <w:jc w:val="left"/>
              <w:rPr/>
            </w:pPr>
            <w:r>
              <w:rPr/>
              <w:t> </w:t>
            </w:r>
          </w:p>
        </w:tc>
      </w:tr>
      <w:tr>
        <w:trPr/>
        <w:tc>
          <w:tcPr>
            <w:tcW w:w="19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$2.28 - $2.28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126,867</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91" w:type="dxa"/>
            <w:tcBorders/>
            <w:shd w:fill="FFFFFF" w:val="clear"/>
            <w:vAlign w:val="center"/>
          </w:tcPr>
          <w:p>
            <w:pPr>
              <w:pStyle w:val="TableContents"/>
              <w:bidi w:val="0"/>
              <w:spacing w:before="0" w:after="283"/>
              <w:jc w:val="left"/>
              <w:rPr/>
            </w:pPr>
            <w:r>
              <w:rPr/>
              <w:t> </w:t>
            </w:r>
          </w:p>
        </w:tc>
      </w:tr>
      <w:tr>
        <w:trPr/>
        <w:tc>
          <w:tcPr>
            <w:tcW w:w="19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$2.30 - $4.86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0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119,233</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91" w:type="dxa"/>
            <w:tcBorders/>
            <w:shd w:fill="CFF0FC" w:val="clear"/>
            <w:vAlign w:val="center"/>
          </w:tcPr>
          <w:p>
            <w:pPr>
              <w:pStyle w:val="TableContents"/>
              <w:bidi w:val="0"/>
              <w:spacing w:before="0" w:after="283"/>
              <w:jc w:val="left"/>
              <w:rPr/>
            </w:pPr>
            <w:r>
              <w:rPr/>
              <w:t> </w:t>
            </w:r>
          </w:p>
        </w:tc>
      </w:tr>
      <w:tr>
        <w:trPr/>
        <w:tc>
          <w:tcPr>
            <w:tcW w:w="19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$4.92 - $4.92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91" w:type="dxa"/>
            <w:tcBorders/>
            <w:shd w:fill="FFFFFF" w:val="clear"/>
            <w:vAlign w:val="center"/>
          </w:tcPr>
          <w:p>
            <w:pPr>
              <w:pStyle w:val="TableContents"/>
              <w:bidi w:val="0"/>
              <w:spacing w:before="0" w:after="283"/>
              <w:jc w:val="left"/>
              <w:rPr/>
            </w:pPr>
            <w:r>
              <w:rPr/>
              <w:t> </w:t>
            </w:r>
          </w:p>
        </w:tc>
      </w:tr>
      <w:tr>
        <w:trPr/>
        <w:tc>
          <w:tcPr>
            <w:tcW w:w="19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$4.98 - $6.58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0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284,274</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91" w:type="dxa"/>
            <w:tcBorders/>
            <w:shd w:fill="CFF0FC" w:val="clear"/>
            <w:vAlign w:val="center"/>
          </w:tcPr>
          <w:p>
            <w:pPr>
              <w:pStyle w:val="TableContents"/>
              <w:bidi w:val="0"/>
              <w:spacing w:before="0" w:after="283"/>
              <w:jc w:val="left"/>
              <w:rPr/>
            </w:pPr>
            <w:r>
              <w:rPr/>
              <w:t> </w:t>
            </w:r>
          </w:p>
        </w:tc>
      </w:tr>
      <w:tr>
        <w:trPr/>
        <w:tc>
          <w:tcPr>
            <w:tcW w:w="19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$6.76 - $9.54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41,159</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91" w:type="dxa"/>
            <w:tcBorders/>
            <w:shd w:fill="FFFFFF" w:val="clear"/>
            <w:vAlign w:val="center"/>
          </w:tcPr>
          <w:p>
            <w:pPr>
              <w:pStyle w:val="TableContents"/>
              <w:bidi w:val="0"/>
              <w:spacing w:before="0" w:after="283"/>
              <w:jc w:val="left"/>
              <w:rPr/>
            </w:pPr>
            <w:r>
              <w:rPr/>
              <w:t> </w:t>
            </w:r>
          </w:p>
        </w:tc>
      </w:tr>
      <w:tr>
        <w:trPr/>
        <w:tc>
          <w:tcPr>
            <w:tcW w:w="19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$11.16 - $11.16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0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191" w:type="dxa"/>
            <w:tcBorders/>
            <w:shd w:fill="CFF0FC" w:val="clear"/>
            <w:vAlign w:val="center"/>
          </w:tcPr>
          <w:p>
            <w:pPr>
              <w:pStyle w:val="TableContents"/>
              <w:bidi w:val="0"/>
              <w:spacing w:before="0" w:after="283"/>
              <w:jc w:val="left"/>
              <w:rPr/>
            </w:pPr>
            <w:r>
              <w:rPr/>
              <w:t> </w:t>
            </w:r>
          </w:p>
        </w:tc>
      </w:tr>
      <w:tr>
        <w:trPr/>
        <w:tc>
          <w:tcPr>
            <w:tcW w:w="19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$14.61 - $14.61</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191" w:type="dxa"/>
            <w:tcBorders/>
            <w:shd w:fill="FFFFFF" w:val="clear"/>
            <w:vAlign w:val="center"/>
          </w:tcPr>
          <w:p>
            <w:pPr>
              <w:pStyle w:val="TableContents"/>
              <w:bidi w:val="0"/>
              <w:spacing w:before="0" w:after="283"/>
              <w:jc w:val="left"/>
              <w:rPr/>
            </w:pPr>
            <w:r>
              <w:rPr/>
              <w:t> </w:t>
            </w:r>
          </w:p>
        </w:tc>
      </w:tr>
      <w:tr>
        <w:trPr/>
        <w:tc>
          <w:tcPr>
            <w:tcW w:w="19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$1.50 - $14.61</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2,757,921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1,257,418</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determination of the fair value of options granted is computed using the Black-Scholes option pricing model with the following weighted average assumptions:</w:t>
      </w:r>
    </w:p>
    <w:p>
      <w:pPr>
        <w:pStyle w:val="TextBody"/>
        <w:bidi w:val="0"/>
        <w:jc w:val="left"/>
        <w:rPr/>
      </w:pPr>
      <w:r>
        <w:rPr/>
        <w:t> </w:t>
      </w:r>
    </w:p>
    <w:tbl>
      <w:tblPr>
        <w:tblW w:w="5355" w:type="dxa"/>
        <w:jc w:val="left"/>
        <w:tblInd w:w="0" w:type="dxa"/>
        <w:tblLayout w:type="fixed"/>
        <w:tblCellMar>
          <w:top w:w="28" w:type="dxa"/>
          <w:left w:w="28" w:type="dxa"/>
          <w:bottom w:w="28" w:type="dxa"/>
          <w:right w:w="28" w:type="dxa"/>
        </w:tblCellMar>
      </w:tblPr>
      <w:tblGrid>
        <w:gridCol w:w="2476"/>
        <w:gridCol w:w="146"/>
        <w:gridCol w:w="222"/>
        <w:gridCol w:w="709"/>
        <w:gridCol w:w="361"/>
        <w:gridCol w:w="194"/>
        <w:gridCol w:w="222"/>
        <w:gridCol w:w="709"/>
        <w:gridCol w:w="31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Employee Stock Option Plan</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2023</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risk free interest rate</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 years</w:t>
            </w:r>
          </w:p>
        </w:tc>
        <w:tc>
          <w:tcPr>
            <w:tcW w:w="361"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 years</w:t>
            </w:r>
          </w:p>
        </w:tc>
        <w:tc>
          <w:tcPr>
            <w:tcW w:w="316" w:type="dxa"/>
            <w:tcBorders/>
            <w:shd w:fill="FFFFFF" w:val="clear"/>
            <w:vAlign w:val="center"/>
          </w:tcPr>
          <w:p>
            <w:pPr>
              <w:pStyle w:val="TableContents"/>
              <w:bidi w:val="0"/>
              <w:spacing w:before="0" w:after="283"/>
              <w:jc w:val="right"/>
              <w:rPr/>
            </w:pPr>
            <w:r>
              <w:rPr/>
              <w:t> </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color w:val="000000"/>
              </w:rPr>
            </w:pPr>
            <w:r>
              <w:rPr>
                <w:color w:val="000000"/>
              </w:rPr>
              <w:t>—</w:t>
            </w:r>
          </w:p>
        </w:tc>
        <w:tc>
          <w:tcPr>
            <w:tcW w:w="361"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color w:val="000000"/>
              </w:rPr>
            </w:pPr>
            <w:r>
              <w:rPr>
                <w:color w:val="000000"/>
              </w:rPr>
              <w:t>—</w:t>
            </w:r>
          </w:p>
        </w:tc>
        <w:tc>
          <w:tcPr>
            <w:tcW w:w="316" w:type="dxa"/>
            <w:tcBorders/>
            <w:shd w:fill="CFF0FC" w:val="cle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volatility</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3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weighted average grant date fair value of options granted as calculated using the Black-Scholes option pricing was $1.32 and $1.55 per share for the fiscal years 2023 and 2022, respectively.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Option pricing models require the input of various subjective assumptions, including the option’s expected life and the price volatility of the underlying stock. The expected stock price volatility is based on analysis of our stock price history over a period commensurate with the expected term of the options, trading volume of our stock, look-back volatilities and Company 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the contractual term, the vesting period and the expected remaining term of the outstanding options. The risk-free interest rate is based on the U.S. Treasury interest rates whose term is consistent with the expected life of the stock options. No dividend yield is included as we have not issued any dividends and does not anticipate issuing any dividends in the future.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Information regarding stock options outstanding, exercisable and expected to vest as of December 30, 2023 is summarized below: </w:t>
      </w:r>
    </w:p>
    <w:p>
      <w:pPr>
        <w:pStyle w:val="TextBody"/>
        <w:bidi w:val="0"/>
        <w:jc w:val="left"/>
        <w:rPr/>
      </w:pPr>
      <w:r>
        <w:rPr/>
        <w:t> </w:t>
      </w:r>
    </w:p>
    <w:tbl>
      <w:tblPr>
        <w:tblW w:w="8727" w:type="dxa"/>
        <w:jc w:val="left"/>
        <w:tblInd w:w="0" w:type="dxa"/>
        <w:tblLayout w:type="fixed"/>
        <w:tblCellMar>
          <w:top w:w="28" w:type="dxa"/>
          <w:left w:w="28" w:type="dxa"/>
          <w:bottom w:w="28" w:type="dxa"/>
          <w:right w:w="28" w:type="dxa"/>
        </w:tblCellMar>
      </w:tblPr>
      <w:tblGrid>
        <w:gridCol w:w="3046"/>
        <w:gridCol w:w="146"/>
        <w:gridCol w:w="146"/>
        <w:gridCol w:w="931"/>
        <w:gridCol w:w="146"/>
        <w:gridCol w:w="146"/>
        <w:gridCol w:w="453"/>
        <w:gridCol w:w="1002"/>
        <w:gridCol w:w="146"/>
        <w:gridCol w:w="146"/>
        <w:gridCol w:w="236"/>
        <w:gridCol w:w="755"/>
        <w:gridCol w:w="146"/>
        <w:gridCol w:w="146"/>
        <w:gridCol w:w="255"/>
        <w:gridCol w:w="690"/>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 xml:space="preserve">Average </w:t>
              <w:br/>
              <w:t>Remaining</w:t>
              <w:br/>
              <w:t>Contractual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shd w:fill="FFFFFF" w:val="clear"/>
            <w:vAlign w:val="center"/>
          </w:tcPr>
          <w:p>
            <w:pPr>
              <w:pStyle w:val="TableContents"/>
              <w:bidi w:val="0"/>
              <w:spacing w:before="0" w:after="283"/>
              <w:jc w:val="center"/>
              <w:rPr/>
            </w:pPr>
            <w:r>
              <w:rPr/>
              <w:t> </w:t>
            </w:r>
          </w:p>
        </w:tc>
      </w:tr>
      <w:tr>
        <w:trPr/>
        <w:tc>
          <w:tcPr>
            <w:tcW w:w="3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2,757,921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91" w:type="dxa"/>
            <w:tcBorders/>
            <w:shd w:fill="CFF0FC"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2,671,222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191"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1,257,418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aggregate intrinsic value in the table above represents the total pretax intrinsic value (the difference between our closing stock price on the last trading day of fiscal 2023 and the exercise price, multiplied by the number of in-the-money options) that would have been received by the option holders had all option holders exercised their options on December 30, 2023. This amount is subject to change due to changes to the fair market value of our common stock. The total intrinsic value of options exercised for fiscal years 2023 and 2022 were approximately $20 thousand and $23 thousand,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Restricted Stock Units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Effective for the 2018 fiscal year and thereafter, each non-employee member of the Board of Directors receives an annual equity award of either restricted stock or restricted stock units, at the election of such Board member, in each case equal to $75 thousand worth of our common stock (determined at the fair market value of the shares at the time such award is granted) under our Incentive Plan. Each equity award vests in full on the earlier of the one-year anniversary of the date of grant or the Company’s next annual meeting of stockholders, provided that the non-employee member continues to serve on the Board through such date.</w:t>
      </w:r>
    </w:p>
    <w:p>
      <w:pPr>
        <w:pStyle w:val="TextBody"/>
        <w:bidi w:val="0"/>
        <w:spacing w:before="120" w:after="283"/>
        <w:jc w:val="left"/>
        <w:rPr>
          <w:rFonts w:ascii="Times New Roman" w:hAnsi="Times New Roman"/>
          <w:sz w:val="20"/>
        </w:rPr>
      </w:pPr>
      <w:r>
        <w:rPr>
          <w:rFonts w:ascii="Times New Roman" w:hAnsi="Times New Roman"/>
          <w:b/>
          <w:color w:val="000000"/>
          <w:sz w:val="20"/>
        </w:rPr>
        <w:t>Summary of Restricted Stock Units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recognize the estimated compensation expense of restricted stock units, net of estimated forfeitures, over the vesting term. The estimated compensation expense is based on the fair value of our common stock on the date of grant.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Information regarding the restricted stock units outstanding, vested and expected to vest as of December 30, 2023 is summarized below: </w:t>
      </w:r>
    </w:p>
    <w:p>
      <w:pPr>
        <w:pStyle w:val="TextBody"/>
        <w:bidi w:val="0"/>
        <w:jc w:val="left"/>
        <w:rPr/>
      </w:pPr>
      <w:r>
        <w:rPr/>
        <w:t> </w:t>
      </w:r>
    </w:p>
    <w:tbl>
      <w:tblPr>
        <w:tblW w:w="8405" w:type="dxa"/>
        <w:jc w:val="left"/>
        <w:tblInd w:w="0" w:type="dxa"/>
        <w:tblLayout w:type="fixed"/>
        <w:tblCellMar>
          <w:top w:w="28" w:type="dxa"/>
          <w:left w:w="28" w:type="dxa"/>
          <w:bottom w:w="28" w:type="dxa"/>
          <w:right w:w="28" w:type="dxa"/>
        </w:tblCellMar>
      </w:tblPr>
      <w:tblGrid>
        <w:gridCol w:w="4156"/>
        <w:gridCol w:w="146"/>
        <w:gridCol w:w="146"/>
        <w:gridCol w:w="781"/>
        <w:gridCol w:w="146"/>
        <w:gridCol w:w="146"/>
        <w:gridCol w:w="236"/>
        <w:gridCol w:w="755"/>
        <w:gridCol w:w="146"/>
        <w:gridCol w:w="146"/>
        <w:gridCol w:w="469"/>
        <w:gridCol w:w="941"/>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191" w:type="dxa"/>
            <w:tcBorders/>
            <w:shd w:fill="CFF0FC"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vested and expected to vest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intrinsic value of the restricted stock units is calculated based on the closing price of our shares as quoted on the Nasdaq Global Market on the last trading day of the fiscal year, December 29, 2023, of $2.81.</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majority of the restricted stock units that were released in fiscal year 2023 were net-share settled such that we withheld shares with value equivalent to the employees’ minimum statutory obligation for the applicable income and other employment taxes, and remitted the cash to the appropriate taxing authorities. The total shares withheld were based on the value of the restricted stock units on their release date as determined by our closing stock price. These net-share settlements had the effect of share repurchases as they reduced and retired the number of shares that would have otherwise been issued as a result of the release and did not represent an expense to us. For the fiscal year ended December 30, 2023, 265,956 shares of restricted stock units were released with an intrinsic value of approximately $540 thousand. We withheld 40,644 shares to satisfy approximately $88 thousand of employees’ minimum tax obligation on the released restricted stock units.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Information regarding the restricted stock unit activity during the years ended December 30, 2023 and December 31, 2022 is summarized below: </w:t>
      </w:r>
    </w:p>
    <w:p>
      <w:pPr>
        <w:pStyle w:val="TextBody"/>
        <w:bidi w:val="0"/>
        <w:jc w:val="left"/>
        <w:rPr/>
      </w:pPr>
      <w:r>
        <w:rPr/>
        <w:t> </w:t>
      </w:r>
    </w:p>
    <w:tbl>
      <w:tblPr>
        <w:tblW w:w="6107" w:type="dxa"/>
        <w:jc w:val="left"/>
        <w:tblInd w:w="0" w:type="dxa"/>
        <w:tblLayout w:type="fixed"/>
        <w:tblCellMar>
          <w:top w:w="28" w:type="dxa"/>
          <w:left w:w="28" w:type="dxa"/>
          <w:bottom w:w="28" w:type="dxa"/>
          <w:right w:w="28" w:type="dxa"/>
        </w:tblCellMar>
      </w:tblPr>
      <w:tblGrid>
        <w:gridCol w:w="3166"/>
        <w:gridCol w:w="146"/>
        <w:gridCol w:w="146"/>
        <w:gridCol w:w="841"/>
        <w:gridCol w:w="166"/>
        <w:gridCol w:w="146"/>
        <w:gridCol w:w="406"/>
        <w:gridCol w:w="899"/>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released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(138,964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473,029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released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(265,956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During the year ended December 30, 2023, the Company awarded 196,335 restricted stock units at a weighted average grant date fair value of $1.91 per share. During the year ended December 31, 2022, the Company awarded 364,870 restricted stock units at a weighted average grant date fair value of $2.45 per share.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Employee Benefit Plan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a plan known as the Iridex Corporation Profit Sharing/401(k) Plan to provide retirement benefits through the deferred salary deductions for substantially all U.S. employees. Employees may contribute up to 15% of their annual compensation to the plan, limited to a maximum amount set by the Internal Revenue Service. The plan also provides for Company contributions at the discretion of the Company. In 2023, the Company made $238 thousand worth of total matching contributions. In 2022, the Company made $230 thousand worth of total matching contributions.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13. Income Taxes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Loss from operations before provision for income taxes was comprised of the following:</w:t>
      </w:r>
    </w:p>
    <w:p>
      <w:pPr>
        <w:pStyle w:val="TextBody"/>
        <w:bidi w:val="0"/>
        <w:jc w:val="left"/>
        <w:rPr/>
      </w:pPr>
      <w:r>
        <w:rPr/>
        <w:t> </w:t>
      </w:r>
    </w:p>
    <w:tbl>
      <w:tblPr>
        <w:tblW w:w="4870" w:type="dxa"/>
        <w:jc w:val="left"/>
        <w:tblInd w:w="0" w:type="dxa"/>
        <w:tblLayout w:type="fixed"/>
        <w:tblCellMar>
          <w:top w:w="28" w:type="dxa"/>
          <w:left w:w="28" w:type="dxa"/>
          <w:bottom w:w="28" w:type="dxa"/>
          <w:right w:w="28" w:type="dxa"/>
        </w:tblCellMar>
      </w:tblPr>
      <w:tblGrid>
        <w:gridCol w:w="1201"/>
        <w:gridCol w:w="146"/>
        <w:gridCol w:w="375"/>
        <w:gridCol w:w="1125"/>
        <w:gridCol w:w="166"/>
        <w:gridCol w:w="146"/>
        <w:gridCol w:w="375"/>
        <w:gridCol w:w="1125"/>
        <w:gridCol w:w="21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2022</w:t>
            </w:r>
          </w:p>
        </w:tc>
        <w:tc>
          <w:tcPr>
            <w:tcW w:w="211" w:type="dxa"/>
            <w:tcBorders/>
            <w:shd w:fill="FFFFFF" w:val="clear"/>
            <w:vAlign w:val="center"/>
          </w:tcPr>
          <w:p>
            <w:pPr>
              <w:pStyle w:val="TableContents"/>
              <w:bidi w:val="0"/>
              <w:spacing w:before="0" w:after="283"/>
              <w:jc w:val="center"/>
              <w:rPr/>
            </w:pPr>
            <w:r>
              <w:rPr/>
              <w:t> </w:t>
            </w:r>
          </w:p>
        </w:tc>
      </w:tr>
      <w:tr>
        <w:trPr/>
        <w:tc>
          <w:tcPr>
            <w:tcW w:w="1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211" w:type="dxa"/>
            <w:tcBorders/>
            <w:shd w:fill="FFFFFF" w:val="clear"/>
            <w:vAlign w:val="center"/>
          </w:tcPr>
          <w:p>
            <w:pPr>
              <w:pStyle w:val="TableContents"/>
              <w:bidi w:val="0"/>
              <w:spacing w:before="0" w:after="283"/>
              <w:jc w:val="center"/>
              <w:rPr/>
            </w:pPr>
            <w:r>
              <w:rPr/>
              <w:t> </w:t>
            </w:r>
          </w:p>
        </w:tc>
      </w:tr>
      <w:tr>
        <w:trPr/>
        <w:tc>
          <w:tcPr>
            <w:tcW w:w="1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 provision for income taxes includes: </w:t>
      </w:r>
    </w:p>
    <w:p>
      <w:pPr>
        <w:pStyle w:val="TextBody"/>
        <w:bidi w:val="0"/>
        <w:jc w:val="left"/>
        <w:rPr/>
      </w:pPr>
      <w:r>
        <w:rPr/>
        <w:t> </w:t>
      </w:r>
    </w:p>
    <w:tbl>
      <w:tblPr>
        <w:tblW w:w="6110" w:type="dxa"/>
        <w:jc w:val="left"/>
        <w:tblInd w:w="0" w:type="dxa"/>
        <w:tblLayout w:type="fixed"/>
        <w:tblCellMar>
          <w:top w:w="28" w:type="dxa"/>
          <w:left w:w="28" w:type="dxa"/>
          <w:bottom w:w="28" w:type="dxa"/>
          <w:right w:w="28" w:type="dxa"/>
        </w:tblCellMar>
      </w:tblPr>
      <w:tblGrid>
        <w:gridCol w:w="2281"/>
        <w:gridCol w:w="146"/>
        <w:gridCol w:w="567"/>
        <w:gridCol w:w="933"/>
        <w:gridCol w:w="146"/>
        <w:gridCol w:w="146"/>
        <w:gridCol w:w="567"/>
        <w:gridCol w:w="933"/>
        <w:gridCol w:w="3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2022</w:t>
            </w:r>
          </w:p>
        </w:tc>
        <w:tc>
          <w:tcPr>
            <w:tcW w:w="391" w:type="dxa"/>
            <w:tcBorders/>
            <w:shd w:fill="FFFFFF" w:val="clear"/>
            <w:vAlign w:val="center"/>
          </w:tcPr>
          <w:p>
            <w:pPr>
              <w:pStyle w:val="TableContents"/>
              <w:bidi w:val="0"/>
              <w:spacing w:before="0" w:after="283"/>
              <w:jc w:val="center"/>
              <w:rPr/>
            </w:pPr>
            <w:r>
              <w:rPr/>
              <w:t> </w:t>
            </w:r>
          </w:p>
        </w:tc>
      </w:tr>
      <w:tr>
        <w:trPr/>
        <w:tc>
          <w:tcPr>
            <w:tcW w:w="2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391" w:type="dxa"/>
            <w:tcBorders/>
            <w:shd w:fill="FFFFFF" w:val="clear"/>
            <w:vAlign w:val="center"/>
          </w:tcPr>
          <w:p>
            <w:pPr>
              <w:pStyle w:val="TableContents"/>
              <w:bidi w:val="0"/>
              <w:spacing w:before="0" w:after="283"/>
              <w:jc w:val="center"/>
              <w:rPr/>
            </w:pPr>
            <w:r>
              <w:rPr/>
              <w:t> </w:t>
            </w:r>
          </w:p>
        </w:tc>
      </w:tr>
      <w:tr>
        <w:trPr/>
        <w:tc>
          <w:tcPr>
            <w:tcW w:w="2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vAlign w:val="center"/>
          </w:tcPr>
          <w:p>
            <w:pPr>
              <w:pStyle w:val="TableContents"/>
              <w:bidi w:val="0"/>
              <w:spacing w:before="0" w:after="283"/>
              <w:jc w:val="left"/>
              <w:rPr/>
            </w:pPr>
            <w:r>
              <w:rPr/>
              <w:t> </w:t>
            </w:r>
          </w:p>
        </w:tc>
        <w:tc>
          <w:tcPr>
            <w:tcW w:w="567"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vAlign w:val="center"/>
          </w:tcPr>
          <w:p>
            <w:pPr>
              <w:pStyle w:val="TableContents"/>
              <w:bidi w:val="0"/>
              <w:spacing w:before="0" w:after="283"/>
              <w:jc w:val="left"/>
              <w:rPr/>
            </w:pPr>
            <w:r>
              <w:rPr/>
              <w:t> </w:t>
            </w:r>
          </w:p>
        </w:tc>
        <w:tc>
          <w:tcPr>
            <w:tcW w:w="567"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vAlign w:val="center"/>
          </w:tcPr>
          <w:p>
            <w:pPr>
              <w:pStyle w:val="TableContents"/>
              <w:bidi w:val="0"/>
              <w:spacing w:before="0" w:after="283"/>
              <w:jc w:val="left"/>
              <w:rPr/>
            </w:pPr>
            <w:r>
              <w:rP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vAlign w:val="center"/>
          </w:tcPr>
          <w:p>
            <w:pPr>
              <w:pStyle w:val="TableContents"/>
              <w:bidi w:val="0"/>
              <w:spacing w:before="0" w:after="283"/>
              <w:jc w:val="left"/>
              <w:rPr/>
            </w:pPr>
            <w:r>
              <w:rPr/>
              <w:t> </w:t>
            </w:r>
          </w:p>
        </w:tc>
        <w:tc>
          <w:tcPr>
            <w:tcW w:w="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Our effective tax rate differs from the statutory federal income tax rate as shown in the following schedule: </w:t>
      </w:r>
    </w:p>
    <w:p>
      <w:pPr>
        <w:pStyle w:val="TextBody"/>
        <w:bidi w:val="0"/>
        <w:jc w:val="left"/>
        <w:rPr/>
      </w:pPr>
      <w:r>
        <w:rPr/>
        <w:t> </w:t>
      </w:r>
    </w:p>
    <w:tbl>
      <w:tblPr>
        <w:tblW w:w="7405" w:type="dxa"/>
        <w:jc w:val="left"/>
        <w:tblInd w:w="0" w:type="dxa"/>
        <w:tblLayout w:type="fixed"/>
        <w:tblCellMar>
          <w:top w:w="28" w:type="dxa"/>
          <w:left w:w="28" w:type="dxa"/>
          <w:bottom w:w="28" w:type="dxa"/>
          <w:right w:w="28" w:type="dxa"/>
        </w:tblCellMar>
      </w:tblPr>
      <w:tblGrid>
        <w:gridCol w:w="3406"/>
        <w:gridCol w:w="146"/>
        <w:gridCol w:w="323"/>
        <w:gridCol w:w="1177"/>
        <w:gridCol w:w="331"/>
        <w:gridCol w:w="146"/>
        <w:gridCol w:w="323"/>
        <w:gridCol w:w="1177"/>
        <w:gridCol w:w="376"/>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2023</w:t>
            </w:r>
          </w:p>
        </w:tc>
        <w:tc>
          <w:tcPr>
            <w:tcW w:w="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2022</w:t>
            </w:r>
          </w:p>
        </w:tc>
        <w:tc>
          <w:tcPr>
            <w:tcW w:w="376" w:type="dxa"/>
            <w:tcBorders/>
            <w:shd w:fill="FFFFFF" w:val="clear"/>
            <w:vAlign w:val="center"/>
          </w:tcPr>
          <w:p>
            <w:pPr>
              <w:pStyle w:val="TableContents"/>
              <w:bidi w:val="0"/>
              <w:spacing w:before="0" w:after="283"/>
              <w:jc w:val="center"/>
              <w:rPr/>
            </w:pPr>
            <w:r>
              <w:rPr/>
              <w:t> </w:t>
            </w:r>
          </w:p>
        </w:tc>
      </w:tr>
      <w:tr>
        <w:trPr/>
        <w:tc>
          <w:tcPr>
            <w:tcW w:w="34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376" w:type="dxa"/>
            <w:tcBorders/>
            <w:shd w:fill="FFFFFF" w:val="clear"/>
            <w:vAlign w:val="center"/>
          </w:tcPr>
          <w:p>
            <w:pPr>
              <w:pStyle w:val="TableContents"/>
              <w:bidi w:val="0"/>
              <w:spacing w:before="0" w:after="283"/>
              <w:jc w:val="center"/>
              <w:rPr/>
            </w:pPr>
            <w:r>
              <w:rPr/>
              <w:t> </w:t>
            </w:r>
          </w:p>
        </w:tc>
      </w:tr>
      <w:tr>
        <w:trPr/>
        <w:tc>
          <w:tcPr>
            <w:tcW w:w="34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 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at statutory rate</w:t>
            </w:r>
          </w:p>
        </w:tc>
        <w:tc>
          <w:tcPr>
            <w:tcW w:w="146" w:type="dxa"/>
            <w:tcBorders/>
            <w:shd w:fill="CFF0FC" w:val="clear"/>
            <w:vAlign w:val="center"/>
          </w:tcPr>
          <w:p>
            <w:pPr>
              <w:pStyle w:val="TableContents"/>
              <w:bidi w:val="0"/>
              <w:spacing w:before="0" w:after="283"/>
              <w:jc w:val="right"/>
              <w:rPr/>
            </w:pPr>
            <w:r>
              <w:rPr/>
              <w:t> </w:t>
            </w:r>
          </w:p>
        </w:tc>
        <w:tc>
          <w:tcPr>
            <w:tcW w:w="323" w:type="dxa"/>
            <w:tcBorders/>
            <w:shd w:fill="CFF0FC" w:val="clear"/>
            <w:vAlign w:val="center"/>
          </w:tcPr>
          <w:p>
            <w:pPr>
              <w:pStyle w:val="TableContents"/>
              <w:bidi w:val="0"/>
              <w:spacing w:before="0" w:after="283"/>
              <w:jc w:val="left"/>
              <w:rPr/>
            </w:pPr>
            <w:r>
              <w:rPr/>
              <w:t> </w:t>
            </w:r>
          </w:p>
        </w:tc>
        <w:tc>
          <w:tcPr>
            <w:tcW w:w="11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23" w:type="dxa"/>
            <w:tcBorders/>
            <w:shd w:fill="CFF0FC" w:val="clear"/>
            <w:vAlign w:val="center"/>
          </w:tcPr>
          <w:p>
            <w:pPr>
              <w:pStyle w:val="TableContents"/>
              <w:bidi w:val="0"/>
              <w:spacing w:before="0" w:after="283"/>
              <w:jc w:val="left"/>
              <w:rPr/>
            </w:pPr>
            <w:r>
              <w:rPr/>
              <w:t> </w:t>
            </w:r>
          </w:p>
        </w:tc>
        <w:tc>
          <w:tcPr>
            <w:tcW w:w="11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benefit</w:t>
            </w:r>
          </w:p>
        </w:tc>
        <w:tc>
          <w:tcPr>
            <w:tcW w:w="146"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differences</w:t>
            </w:r>
          </w:p>
        </w:tc>
        <w:tc>
          <w:tcPr>
            <w:tcW w:w="146" w:type="dxa"/>
            <w:tcBorders/>
            <w:shd w:fill="CFF0FC" w:val="clear"/>
            <w:vAlign w:val="center"/>
          </w:tcPr>
          <w:p>
            <w:pPr>
              <w:pStyle w:val="TableContents"/>
              <w:bidi w:val="0"/>
              <w:spacing w:before="0" w:after="283"/>
              <w:jc w:val="right"/>
              <w:rPr/>
            </w:pPr>
            <w:r>
              <w:rPr/>
              <w:t> </w:t>
            </w:r>
          </w:p>
        </w:tc>
        <w:tc>
          <w:tcPr>
            <w:tcW w:w="323" w:type="dxa"/>
            <w:tcBorders/>
            <w:shd w:fill="CFF0FC" w:val="clear"/>
            <w:vAlign w:val="center"/>
          </w:tcPr>
          <w:p>
            <w:pPr>
              <w:pStyle w:val="TableContents"/>
              <w:bidi w:val="0"/>
              <w:spacing w:before="0" w:after="283"/>
              <w:jc w:val="left"/>
              <w:rPr/>
            </w:pPr>
            <w:r>
              <w:rPr/>
              <w:t> </w:t>
            </w:r>
          </w:p>
        </w:tc>
        <w:tc>
          <w:tcPr>
            <w:tcW w:w="11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23" w:type="dxa"/>
            <w:tcBorders/>
            <w:shd w:fill="CFF0FC" w:val="clear"/>
            <w:vAlign w:val="center"/>
          </w:tcPr>
          <w:p>
            <w:pPr>
              <w:pStyle w:val="TableContents"/>
              <w:bidi w:val="0"/>
              <w:spacing w:before="0" w:after="283"/>
              <w:jc w:val="left"/>
              <w:rPr/>
            </w:pPr>
            <w:r>
              <w:rPr/>
              <w:t> </w:t>
            </w:r>
          </w:p>
        </w:tc>
        <w:tc>
          <w:tcPr>
            <w:tcW w:w="11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SBC</w:t>
            </w:r>
          </w:p>
        </w:tc>
        <w:tc>
          <w:tcPr>
            <w:tcW w:w="146"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Rate change impact</w:t>
            </w:r>
          </w:p>
        </w:tc>
        <w:tc>
          <w:tcPr>
            <w:tcW w:w="146" w:type="dxa"/>
            <w:tcBorders/>
            <w:shd w:fill="CFF0FC" w:val="clear"/>
            <w:vAlign w:val="center"/>
          </w:tcPr>
          <w:p>
            <w:pPr>
              <w:pStyle w:val="TableContents"/>
              <w:bidi w:val="0"/>
              <w:spacing w:before="0" w:after="283"/>
              <w:jc w:val="right"/>
              <w:rPr/>
            </w:pPr>
            <w:r>
              <w:rPr/>
              <w:t> </w:t>
            </w:r>
          </w:p>
        </w:tc>
        <w:tc>
          <w:tcPr>
            <w:tcW w:w="323" w:type="dxa"/>
            <w:tcBorders/>
            <w:shd w:fill="CFF0FC" w:val="clear"/>
            <w:vAlign w:val="center"/>
          </w:tcPr>
          <w:p>
            <w:pPr>
              <w:pStyle w:val="TableContents"/>
              <w:bidi w:val="0"/>
              <w:spacing w:before="0" w:after="283"/>
              <w:jc w:val="left"/>
              <w:rPr/>
            </w:pPr>
            <w:r>
              <w:rPr/>
              <w:t> </w:t>
            </w:r>
          </w:p>
        </w:tc>
        <w:tc>
          <w:tcPr>
            <w:tcW w:w="11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23" w:type="dxa"/>
            <w:tcBorders/>
            <w:shd w:fill="CFF0FC" w:val="clear"/>
            <w:vAlign w:val="center"/>
          </w:tcPr>
          <w:p>
            <w:pPr>
              <w:pStyle w:val="TableContents"/>
              <w:bidi w:val="0"/>
              <w:spacing w:before="0" w:after="283"/>
              <w:jc w:val="left"/>
              <w:rPr/>
            </w:pPr>
            <w:r>
              <w:rPr/>
              <w:t> </w:t>
            </w:r>
          </w:p>
        </w:tc>
        <w:tc>
          <w:tcPr>
            <w:tcW w:w="11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vAlign w:val="center"/>
          </w:tcPr>
          <w:p>
            <w:pPr>
              <w:pStyle w:val="TableContents"/>
              <w:bidi w:val="0"/>
              <w:spacing w:before="0" w:after="283"/>
              <w:jc w:val="right"/>
              <w:rPr/>
            </w:pPr>
            <w:r>
              <w:rPr/>
              <w:t> </w:t>
            </w:r>
          </w:p>
        </w:tc>
        <w:tc>
          <w:tcPr>
            <w:tcW w:w="323" w:type="dxa"/>
            <w:tcBorders/>
            <w:shd w:fill="CFF0FC" w:val="clear"/>
            <w:vAlign w:val="center"/>
          </w:tcPr>
          <w:p>
            <w:pPr>
              <w:pStyle w:val="TableContents"/>
              <w:bidi w:val="0"/>
              <w:spacing w:before="0" w:after="283"/>
              <w:jc w:val="left"/>
              <w:rPr/>
            </w:pPr>
            <w:r>
              <w:rPr/>
              <w:t> </w:t>
            </w:r>
          </w:p>
        </w:tc>
        <w:tc>
          <w:tcPr>
            <w:tcW w:w="11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23" w:type="dxa"/>
            <w:tcBorders/>
            <w:shd w:fill="CFF0FC" w:val="clear"/>
            <w:vAlign w:val="center"/>
          </w:tcPr>
          <w:p>
            <w:pPr>
              <w:pStyle w:val="TableContents"/>
              <w:bidi w:val="0"/>
              <w:spacing w:before="0" w:after="283"/>
              <w:jc w:val="left"/>
              <w:rPr/>
            </w:pPr>
            <w:r>
              <w:rPr/>
              <w:t> </w:t>
            </w:r>
          </w:p>
        </w:tc>
        <w:tc>
          <w:tcPr>
            <w:tcW w:w="11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rate differential</w:t>
            </w:r>
          </w:p>
        </w:tc>
        <w:tc>
          <w:tcPr>
            <w:tcW w:w="146"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righ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vAlign w:val="center"/>
          </w:tcPr>
          <w:p>
            <w:pPr>
              <w:pStyle w:val="TableContents"/>
              <w:bidi w:val="0"/>
              <w:spacing w:before="0" w:after="283"/>
              <w:jc w:val="righ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 tax effect of temporary differences and carryforwards that give rise to significant portions of the net deferred tax assets are presented below (in thousands): </w:t>
      </w:r>
    </w:p>
    <w:p>
      <w:pPr>
        <w:pStyle w:val="TextBody"/>
        <w:bidi w:val="0"/>
        <w:jc w:val="left"/>
        <w:rPr/>
      </w:pPr>
      <w:r>
        <w:rPr/>
        <w:t> </w:t>
      </w:r>
    </w:p>
    <w:tbl>
      <w:tblPr>
        <w:tblW w:w="9370" w:type="dxa"/>
        <w:jc w:val="left"/>
        <w:tblInd w:w="0" w:type="dxa"/>
        <w:tblLayout w:type="fixed"/>
        <w:tblCellMar>
          <w:top w:w="28" w:type="dxa"/>
          <w:left w:w="28" w:type="dxa"/>
          <w:bottom w:w="28" w:type="dxa"/>
          <w:right w:w="28" w:type="dxa"/>
        </w:tblCellMar>
      </w:tblPr>
      <w:tblGrid>
        <w:gridCol w:w="5621"/>
        <w:gridCol w:w="146"/>
        <w:gridCol w:w="334"/>
        <w:gridCol w:w="1166"/>
        <w:gridCol w:w="166"/>
        <w:gridCol w:w="146"/>
        <w:gridCol w:w="334"/>
        <w:gridCol w:w="1166"/>
        <w:gridCol w:w="291"/>
      </w:tblGrid>
      <w:tr>
        <w:trPr/>
        <w:tc>
          <w:tcPr>
            <w:tcW w:w="5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6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2022</w:t>
            </w:r>
          </w:p>
        </w:tc>
        <w:tc>
          <w:tcPr>
            <w:tcW w:w="291" w:type="dxa"/>
            <w:tcBorders/>
            <w:shd w:fill="FFFFFF" w:val="clear"/>
            <w:vAlign w:val="center"/>
          </w:tcPr>
          <w:p>
            <w:pPr>
              <w:pStyle w:val="TableContents"/>
              <w:bidi w:val="0"/>
              <w:spacing w:before="0" w:after="283"/>
              <w:jc w:val="center"/>
              <w:rPr/>
            </w:pPr>
            <w:r>
              <w:rPr/>
              <w:t> </w:t>
            </w:r>
          </w:p>
        </w:tc>
      </w:tr>
      <w:tr>
        <w:trPr/>
        <w:tc>
          <w:tcPr>
            <w:tcW w:w="56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291" w:type="dxa"/>
            <w:tcBorders/>
            <w:shd w:fill="FFFFFF" w:val="clear"/>
            <w:vAlign w:val="center"/>
          </w:tcPr>
          <w:p>
            <w:pPr>
              <w:pStyle w:val="TableContents"/>
              <w:bidi w:val="0"/>
              <w:spacing w:before="0" w:after="283"/>
              <w:jc w:val="center"/>
              <w:rPr/>
            </w:pPr>
            <w:r>
              <w:rPr/>
              <w:t> </w:t>
            </w:r>
          </w:p>
        </w:tc>
      </w:tr>
      <w:tr>
        <w:trPr/>
        <w:tc>
          <w:tcPr>
            <w:tcW w:w="56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56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operating losses</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11,264</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6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6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Accruals and reserves</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6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6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6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6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Section 174 research and experimental expenditures capitalization</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6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 compensation</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6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tax credits</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23,158</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6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 net</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91" w:type="dxa"/>
            <w:tcBorders/>
            <w:shd w:fill="CFF0FC" w:val="clear"/>
            <w:vAlign w:val="center"/>
          </w:tcPr>
          <w:p>
            <w:pPr>
              <w:pStyle w:val="TableContents"/>
              <w:bidi w:val="0"/>
              <w:spacing w:before="0" w:after="283"/>
              <w:jc w:val="left"/>
              <w:rPr/>
            </w:pPr>
            <w:r>
              <w:rPr/>
              <w:t> </w:t>
            </w:r>
          </w:p>
        </w:tc>
      </w:tr>
      <w:tr>
        <w:trPr/>
        <w:tc>
          <w:tcPr>
            <w:tcW w:w="56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56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liabilities</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ind w:left="0" w:right="0" w:firstLine="495"/>
        <w:jc w:val="left"/>
        <w:rPr>
          <w:rFonts w:ascii="Times New Roman" w:hAnsi="Times New Roman"/>
          <w:color w:val="000000"/>
          <w:sz w:val="20"/>
        </w:rPr>
      </w:pPr>
      <w:r>
        <w:rPr>
          <w:rFonts w:ascii="Times New Roman" w:hAnsi="Times New Roman"/>
          <w:color w:val="000000"/>
          <w:sz w:val="20"/>
        </w:rPr>
        <w:t>Our accounting for deferred taxes involves the evaluation of a number of factors concerning the realizability of our deferred tax assets. Assessing the realizability of deferred tax assets is dependent upon several factors, including the likelihood and amount, if any, of future taxable income in relevant jurisdictions during the periods in which those temporary differences become deductible. Our management forecasts taxable income by considering all available positive and negative evidence including our history of operating income or losses and our financial plans and estimates which are used to manage the business. These assumptions require significant judgment about future taxable income. The amount of deferred tax assets considered realizable is subject to adjustment in future periods if estimates of future taxable income are reduced.</w:t>
      </w:r>
    </w:p>
    <w:p>
      <w:pPr>
        <w:pStyle w:val="TextBody"/>
        <w:bidi w:val="0"/>
        <w:spacing w:before="120" w:after="283"/>
        <w:ind w:left="0" w:right="0" w:firstLine="495"/>
        <w:jc w:val="left"/>
        <w:rPr>
          <w:rFonts w:ascii="Times New Roman" w:hAnsi="Times New Roman"/>
          <w:color w:val="000000"/>
          <w:sz w:val="20"/>
        </w:rPr>
      </w:pPr>
      <w:r>
        <w:rPr>
          <w:rFonts w:ascii="Times New Roman" w:hAnsi="Times New Roman"/>
          <w:color w:val="000000"/>
          <w:sz w:val="20"/>
        </w:rPr>
        <w:t>As of December 30, 2023, based on the Company's recent history of losses and its forecasted losses, management believes on the more likely than not basis that a full valuation allowance is required. Accordingly, in the fourth quarter of fiscal year 2023, the Company provided a full valuation allowance on its federal and state deferred tax assets. The Company's change in valuation allowance form prior year was $2.3 million. As of December 30, 2023, the Company had federal and state net operating loss (“NOL”) carry forwards of $53.6 million and $27.1 million, respectively. The federal NOL and the state NOL will begin to expire in 2032.</w:t>
      </w:r>
    </w:p>
    <w:p>
      <w:pPr>
        <w:pStyle w:val="TextBody"/>
        <w:bidi w:val="0"/>
        <w:spacing w:before="120" w:after="283"/>
        <w:ind w:left="0" w:right="0" w:firstLine="495"/>
        <w:jc w:val="left"/>
        <w:rPr>
          <w:rFonts w:ascii="Times New Roman" w:hAnsi="Times New Roman"/>
          <w:color w:val="000000"/>
          <w:sz w:val="20"/>
        </w:rPr>
      </w:pPr>
      <w:r>
        <w:rPr>
          <w:rFonts w:ascii="Times New Roman" w:hAnsi="Times New Roman"/>
          <w:color w:val="000000"/>
          <w:sz w:val="20"/>
        </w:rPr>
        <w:t xml:space="preserve">The Company has federal and state research credit carry forwards of approximately $2.5 million and $3.7 million, respectively. The federal research credit will begin to expire in 2024 and the state research credit can be carried forward indefinitely. In the event of a change in ownership as defined by IRC sections 382 and 383, the usage of the above mentioned NOLs and credits may be limited. </w:t>
      </w:r>
    </w:p>
    <w:p>
      <w:pPr>
        <w:pStyle w:val="TextBody"/>
        <w:bidi w:val="0"/>
        <w:spacing w:before="120" w:after="283"/>
        <w:ind w:left="0" w:right="0" w:firstLine="495"/>
        <w:jc w:val="left"/>
        <w:rPr>
          <w:rFonts w:ascii="Times New Roman" w:hAnsi="Times New Roman"/>
          <w:color w:val="000000"/>
          <w:sz w:val="20"/>
        </w:rPr>
      </w:pPr>
      <w:r>
        <w:rPr>
          <w:rFonts w:ascii="Times New Roman" w:hAnsi="Times New Roman"/>
          <w:color w:val="000000"/>
          <w:sz w:val="20"/>
        </w:rPr>
        <w:t>The Company accounts for uncertain tax positions in accordance with ASC 740, “Income Taxes.” ASC 740 seeks to reduce the diversity in practice associated with certain aspects of measurement and recognition in accounting for income taxes.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 likely than not" threshold. In accordance with our accounting policy, we recognize accrued interests and penalties related to unrecognized tax benefits as a component of income tax expense. There is no accrued interest and penalty during the year ended December 30,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 reconciliation of the beginning and ending amount of unrecognized tax benefits is as follows (in thousands): </w:t>
      </w:r>
    </w:p>
    <w:p>
      <w:pPr>
        <w:pStyle w:val="TextBody"/>
        <w:bidi w:val="0"/>
        <w:jc w:val="left"/>
        <w:rPr/>
      </w:pPr>
      <w:r>
        <w:rPr/>
        <w:t> </w:t>
      </w:r>
    </w:p>
    <w:tbl>
      <w:tblPr>
        <w:tblW w:w="8785" w:type="dxa"/>
        <w:jc w:val="left"/>
        <w:tblInd w:w="0" w:type="dxa"/>
        <w:tblLayout w:type="fixed"/>
        <w:tblCellMar>
          <w:top w:w="28" w:type="dxa"/>
          <w:left w:w="28" w:type="dxa"/>
          <w:bottom w:w="28" w:type="dxa"/>
          <w:right w:w="28" w:type="dxa"/>
        </w:tblCellMar>
      </w:tblPr>
      <w:tblGrid>
        <w:gridCol w:w="5116"/>
        <w:gridCol w:w="146"/>
        <w:gridCol w:w="404"/>
        <w:gridCol w:w="1096"/>
        <w:gridCol w:w="166"/>
        <w:gridCol w:w="146"/>
        <w:gridCol w:w="404"/>
        <w:gridCol w:w="1096"/>
        <w:gridCol w:w="211"/>
      </w:tblGrid>
      <w:tr>
        <w:trPr/>
        <w:tc>
          <w:tcPr>
            <w:tcW w:w="5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2022</w:t>
            </w:r>
          </w:p>
        </w:tc>
        <w:tc>
          <w:tcPr>
            <w:tcW w:w="211" w:type="dxa"/>
            <w:tcBorders/>
            <w:shd w:fill="FFFFFF" w:val="clear"/>
            <w:vAlign w:val="center"/>
          </w:tcPr>
          <w:p>
            <w:pPr>
              <w:pStyle w:val="TableContents"/>
              <w:bidi w:val="0"/>
              <w:spacing w:before="0" w:after="283"/>
              <w:jc w:val="center"/>
              <w:rPr/>
            </w:pPr>
            <w:r>
              <w:rPr/>
              <w:t> </w:t>
            </w:r>
          </w:p>
        </w:tc>
      </w:tr>
      <w:tr>
        <w:trPr/>
        <w:tc>
          <w:tcPr>
            <w:tcW w:w="51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211" w:type="dxa"/>
            <w:tcBorders/>
            <w:shd w:fill="FFFFFF" w:val="clear"/>
            <w:vAlign w:val="center"/>
          </w:tcPr>
          <w:p>
            <w:pPr>
              <w:pStyle w:val="TableContents"/>
              <w:bidi w:val="0"/>
              <w:spacing w:before="0" w:after="283"/>
              <w:jc w:val="center"/>
              <w:rPr/>
            </w:pPr>
            <w:r>
              <w:rPr/>
              <w:t> </w:t>
            </w:r>
          </w:p>
        </w:tc>
      </w:tr>
      <w:tr>
        <w:trPr/>
        <w:tc>
          <w:tcPr>
            <w:tcW w:w="51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year</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211" w:type="dxa"/>
            <w:tcBorders/>
            <w:shd w:fill="CFF0FC" w:val="clear"/>
            <w:vAlign w:val="center"/>
          </w:tcPr>
          <w:p>
            <w:pPr>
              <w:pStyle w:val="TableContents"/>
              <w:bidi w:val="0"/>
              <w:spacing w:before="0" w:after="283"/>
              <w:jc w:val="left"/>
              <w:rPr/>
            </w:pPr>
            <w:r>
              <w:rPr/>
              <w:t> </w:t>
            </w:r>
          </w:p>
        </w:tc>
      </w:tr>
      <w:tr>
        <w:trPr/>
        <w:tc>
          <w:tcPr>
            <w:tcW w:w="5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based upon tax positions related to the current year</w:t>
            </w:r>
          </w:p>
        </w:tc>
        <w:tc>
          <w:tcPr>
            <w:tcW w:w="146"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11" w:type="dxa"/>
            <w:tcBorders/>
            <w:shd w:fill="FFFFFF" w:val="clear"/>
            <w:vAlign w:val="center"/>
          </w:tcPr>
          <w:p>
            <w:pPr>
              <w:pStyle w:val="TableContents"/>
              <w:bidi w:val="0"/>
              <w:spacing w:before="0" w:after="283"/>
              <w:jc w:val="left"/>
              <w:rPr/>
            </w:pPr>
            <w:r>
              <w:rPr/>
              <w:t> </w:t>
            </w:r>
          </w:p>
        </w:tc>
      </w:tr>
      <w:tr>
        <w:trPr/>
        <w:tc>
          <w:tcPr>
            <w:tcW w:w="5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Reductions based upon tax positions related to the prior year</w:t>
            </w:r>
          </w:p>
        </w:tc>
        <w:tc>
          <w:tcPr>
            <w:tcW w:w="146" w:type="dxa"/>
            <w:tcBorders/>
            <w:shd w:fill="CFF0FC" w:val="cle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year</w:t>
            </w:r>
          </w:p>
        </w:tc>
        <w:tc>
          <w:tcPr>
            <w:tcW w:w="146" w:type="dxa"/>
            <w:tcBorders/>
            <w:shd w:fill="FFFFFF" w:val="cle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If the ending balance of $1.4 million of unrecognized tax benefits as of December 30, 2023 were recognized, $0 of the recognition would affect the income tax rate. The Company does not anticipate any material change in our unrecognized tax benefits over the next twelve months. The unrecognized tax benefits may change during the next year for items that arise in the ordinary course of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files U.S. federal and state returns. The tax years 2012 to 2022 remain open in several jurisdictions, none of which have individual significance.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August16, 2022, President Biden signed into law the Inflation Reduction Act, with tax provisions primarily focused on implementing a 15% minimum tax on global adjusted financial statement income and a 1% excise tax on share repurchases. The majority of the provisions of the Inflation Reduction Act of 2022 became effective beginning in 2023.</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Under US GAAP, changes in income tax rates and law are accounted for in the period of enactment. For US federal purposes, the enactment date for US GAAP is the date the President signs the bill into law.</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Management has reviewed the majority of the material provisions that would impact the Company and have determined that certain provisions in the IRA require accounting in the period of enactment but the majority of the provisions in the IRA with accounting implications will impact financial statements prospectively. We have reviewed the above provisions and based on the implication date and the application to the business, we don’t anticipate there to be any material impact of the tax law changes to the financial statements in 2023 or in the future.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14. Loan and Security Agreement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had a Loan and Security Agreement (“Loan Agreement”) with Silicon Valley Bank providing for up to $8.0 million secured revolving loan facility which expired on December 1, 2023. The Company is currently in the process of negotiating the renewal and new terms for the Loan Agreement.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December 31, 2022, there were no amounts outstanding.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15. Business Segments and Geographical Information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operate in one segment, ophthalmology. Substantially all of our long-term assets are located in the U.S. We develop, manufacture and market medical devices. Our revenues arise from the sale of consoles, delivery devices, consumables, service and support activities.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Revenue information shown by product is as follows (in thousands):</w:t>
      </w:r>
    </w:p>
    <w:p>
      <w:pPr>
        <w:pStyle w:val="TextBody"/>
        <w:bidi w:val="0"/>
        <w:ind w:left="0" w:right="0" w:firstLine="490"/>
        <w:jc w:val="left"/>
        <w:rPr/>
      </w:pPr>
      <w:r>
        <w:rPr/>
        <w:t> </w:t>
      </w:r>
    </w:p>
    <w:tbl>
      <w:tblPr>
        <w:tblW w:w="4950" w:type="dxa"/>
        <w:jc w:val="left"/>
        <w:tblInd w:w="0" w:type="dxa"/>
        <w:tblLayout w:type="fixed"/>
        <w:tblCellMar>
          <w:top w:w="28" w:type="dxa"/>
          <w:left w:w="28" w:type="dxa"/>
          <w:bottom w:w="28" w:type="dxa"/>
          <w:right w:w="28" w:type="dxa"/>
        </w:tblCellMar>
      </w:tblPr>
      <w:tblGrid>
        <w:gridCol w:w="1321"/>
        <w:gridCol w:w="146"/>
        <w:gridCol w:w="356"/>
        <w:gridCol w:w="1144"/>
        <w:gridCol w:w="146"/>
        <w:gridCol w:w="146"/>
        <w:gridCol w:w="356"/>
        <w:gridCol w:w="1144"/>
        <w:gridCol w:w="1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2022</w:t>
            </w:r>
          </w:p>
        </w:tc>
        <w:tc>
          <w:tcPr>
            <w:tcW w:w="191" w:type="dxa"/>
            <w:tcBorders/>
            <w:shd w:fill="FFFFFF" w:val="cle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91" w:type="dxa"/>
            <w:tcBorders/>
            <w:shd w:fill="FFFFFF" w:val="cle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Cyclo G6</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14,694</w:t>
            </w:r>
          </w:p>
        </w:tc>
        <w:tc>
          <w:tcPr>
            <w:tcW w:w="191" w:type="dxa"/>
            <w:tcBorders/>
            <w:shd w:fill="CFF0FC"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Retina</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31,657</w:t>
            </w:r>
          </w:p>
        </w:tc>
        <w:tc>
          <w:tcPr>
            <w:tcW w:w="191" w:type="dxa"/>
            <w:tcBorders/>
            <w:shd w:fill="FFFFFF" w:val="clear"/>
            <w:vAlign w:val="center"/>
          </w:tcPr>
          <w:p>
            <w:pPr>
              <w:pStyle w:val="TableContents"/>
              <w:bidi w:val="0"/>
              <w:spacing w:before="0" w:after="283"/>
              <w:jc w:val="left"/>
              <w:rPr/>
            </w:pPr>
            <w:r>
              <w:rPr/>
              <w:t> </w:t>
            </w:r>
          </w:p>
        </w:tc>
      </w:tr>
      <w:tr>
        <w:trPr/>
        <w:tc>
          <w:tcPr>
            <w:tcW w:w="1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Other(1)</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56,972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Includes service contract revenues of $1,534 thousand and $1,509 thousand recognized during fiscal years 2023 and 2022, respectively. Includes $1,455 thousand and $1,348 thousand recognized revenue related to the exclusive distribution rights during fiscal years 2023 and 2022. Other also includes revenues from paid service, royalty, freight and legacy G probes.</w:t>
      </w:r>
    </w:p>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Revenue information shown by geographic region is as follows (in thousands):</w:t>
      </w:r>
    </w:p>
    <w:tbl>
      <w:tblPr>
        <w:tblW w:w="6300" w:type="dxa"/>
        <w:jc w:val="left"/>
        <w:tblInd w:w="0" w:type="dxa"/>
        <w:tblLayout w:type="fixed"/>
        <w:tblCellMar>
          <w:top w:w="28" w:type="dxa"/>
          <w:left w:w="28" w:type="dxa"/>
          <w:bottom w:w="28" w:type="dxa"/>
          <w:right w:w="28" w:type="dxa"/>
        </w:tblCellMar>
      </w:tblPr>
      <w:tblGrid>
        <w:gridCol w:w="2671"/>
        <w:gridCol w:w="146"/>
        <w:gridCol w:w="356"/>
        <w:gridCol w:w="1144"/>
        <w:gridCol w:w="146"/>
        <w:gridCol w:w="146"/>
        <w:gridCol w:w="356"/>
        <w:gridCol w:w="1144"/>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2022</w:t>
            </w:r>
          </w:p>
        </w:tc>
        <w:tc>
          <w:tcPr>
            <w:tcW w:w="191" w:type="dxa"/>
            <w:tcBorders/>
            <w:shd w:fill="FFFFFF" w:val="clear"/>
            <w:vAlign w:val="center"/>
          </w:tcPr>
          <w:p>
            <w:pPr>
              <w:pStyle w:val="TableContents"/>
              <w:bidi w:val="0"/>
              <w:spacing w:before="0" w:after="283"/>
              <w:jc w:val="center"/>
              <w:rPr/>
            </w:pPr>
            <w:r>
              <w:rPr/>
              <w:t> </w:t>
            </w:r>
          </w:p>
        </w:tc>
      </w:tr>
      <w:tr>
        <w:trPr/>
        <w:tc>
          <w:tcPr>
            <w:tcW w:w="26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91" w:type="dxa"/>
            <w:tcBorders/>
            <w:shd w:fill="FFFFFF" w:val="clear"/>
            <w:vAlign w:val="center"/>
          </w:tcPr>
          <w:p>
            <w:pPr>
              <w:pStyle w:val="TableContents"/>
              <w:bidi w:val="0"/>
              <w:spacing w:before="0" w:after="283"/>
              <w:jc w:val="center"/>
              <w:rPr/>
            </w:pPr>
            <w:r>
              <w:rPr/>
              <w:t> </w:t>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29,179</w:t>
            </w:r>
          </w:p>
        </w:tc>
        <w:tc>
          <w:tcPr>
            <w:tcW w:w="191" w:type="dxa"/>
            <w:tcBorders/>
            <w:shd w:fill="CFF0FC"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13,801</w:t>
            </w:r>
          </w:p>
        </w:tc>
        <w:tc>
          <w:tcPr>
            <w:tcW w:w="191" w:type="dxa"/>
            <w:tcBorders/>
            <w:shd w:fill="FFFFFF" w:val="clear"/>
            <w:vAlign w:val="center"/>
          </w:tcPr>
          <w:p>
            <w:pPr>
              <w:pStyle w:val="TableContents"/>
              <w:bidi w:val="0"/>
              <w:spacing w:before="0" w:after="283"/>
              <w:jc w:val="left"/>
              <w:rPr/>
            </w:pPr>
            <w:r>
              <w:rPr/>
              <w:t> </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 Rim</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10,931</w:t>
            </w:r>
          </w:p>
        </w:tc>
        <w:tc>
          <w:tcPr>
            <w:tcW w:w="191" w:type="dxa"/>
            <w:tcBorders/>
            <w:shd w:fill="CFF0FC"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 excluding the U.S.</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56,972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Revenues are attributed to countries based on location of end customers.</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Other than the United States, The Netherlands accounted for more than 10% of the Company’s revenues during fiscal year 2023, representing 14.0%. The United States accounted for 50.2% of revenues in 2023. Other than the United States, The Netherlands accounted for more than 10% of the Company’s revenues during fiscal year 2022, representing 14.4%. The United States accounted for 51.2% of revenues in 2022.</w:t>
      </w:r>
    </w:p>
    <w:p>
      <w:pPr>
        <w:pStyle w:val="TextBody"/>
        <w:bidi w:val="0"/>
        <w:jc w:val="left"/>
        <w:rPr>
          <w:rFonts w:ascii="Times New Roman" w:hAnsi="Times New Roman"/>
          <w:b/>
          <w:color w:val="000000"/>
          <w:sz w:val="20"/>
        </w:rPr>
      </w:pPr>
      <w:r>
        <w:rPr>
          <w:rFonts w:ascii="Times New Roman" w:hAnsi="Times New Roman"/>
          <w:b/>
          <w:color w:val="000000"/>
          <w:sz w:val="20"/>
        </w:rPr>
        <w:t>16. Computation of Basic and Diluted Net Loss Per Common Share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 reconciliation of the numerator and denominator of basic and diluted net loss per common share is provided as follows (in thousands, except per share amounts): </w:t>
      </w:r>
    </w:p>
    <w:tbl>
      <w:tblPr>
        <w:tblW w:w="8590" w:type="dxa"/>
        <w:jc w:val="left"/>
        <w:tblInd w:w="0" w:type="dxa"/>
        <w:tblLayout w:type="fixed"/>
        <w:tblCellMar>
          <w:top w:w="28" w:type="dxa"/>
          <w:left w:w="28" w:type="dxa"/>
          <w:bottom w:w="28" w:type="dxa"/>
          <w:right w:w="28" w:type="dxa"/>
        </w:tblCellMar>
      </w:tblPr>
      <w:tblGrid>
        <w:gridCol w:w="4521"/>
        <w:gridCol w:w="146"/>
        <w:gridCol w:w="356"/>
        <w:gridCol w:w="1144"/>
        <w:gridCol w:w="166"/>
        <w:gridCol w:w="146"/>
        <w:gridCol w:w="356"/>
        <w:gridCol w:w="1144"/>
        <w:gridCol w:w="61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2022</w:t>
            </w:r>
          </w:p>
        </w:tc>
        <w:tc>
          <w:tcPr>
            <w:tcW w:w="611" w:type="dxa"/>
            <w:tcBorders/>
            <w:shd w:fill="FFFFFF" w:val="clear"/>
            <w:vAlign w:val="center"/>
          </w:tcPr>
          <w:p>
            <w:pPr>
              <w:pStyle w:val="TableContents"/>
              <w:bidi w:val="0"/>
              <w:spacing w:before="0" w:after="283"/>
              <w:jc w:val="center"/>
              <w:rPr/>
            </w:pPr>
            <w:r>
              <w:rPr/>
              <w:t> </w:t>
            </w:r>
          </w:p>
        </w:tc>
      </w:tr>
      <w:tr>
        <w:trPr/>
        <w:tc>
          <w:tcPr>
            <w:tcW w:w="4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611" w:type="dxa"/>
            <w:tcBorders/>
            <w:shd w:fill="FFFFFF" w:val="clear"/>
            <w:vAlign w:val="center"/>
          </w:tcPr>
          <w:p>
            <w:pPr>
              <w:pStyle w:val="TableContents"/>
              <w:bidi w:val="0"/>
              <w:spacing w:before="0" w:after="283"/>
              <w:jc w:val="center"/>
              <w:rPr/>
            </w:pPr>
            <w:r>
              <w:rPr/>
              <w:t> </w:t>
            </w:r>
          </w:p>
        </w:tc>
      </w:tr>
      <w:tr>
        <w:trPr/>
        <w:tc>
          <w:tcPr>
            <w:tcW w:w="4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45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5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shares of common stock (basic)</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15,938</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4521" w:type="dxa"/>
            <w:tcBorders/>
            <w:shd w:fill="CFF0FC" w:val="clear"/>
            <w:vAlign w:val="center"/>
          </w:tcPr>
          <w:p>
            <w:pPr>
              <w:pStyle w:val="TableContents"/>
              <w:bidi w:val="0"/>
              <w:spacing w:before="0" w:after="283"/>
              <w:ind w:left="400" w:right="0" w:firstLine="4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5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shares of common stock (diluted)</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15,938</w:t>
            </w:r>
          </w:p>
        </w:tc>
        <w:tc>
          <w:tcPr>
            <w:tcW w:w="611" w:type="dxa"/>
            <w:tcBorders/>
            <w:shd w:fill="FFFFFF" w:val="clear"/>
            <w:vAlign w:val="center"/>
          </w:tcPr>
          <w:p>
            <w:pPr>
              <w:pStyle w:val="TableContents"/>
              <w:bidi w:val="0"/>
              <w:spacing w:before="0" w:after="283"/>
              <w:jc w:val="left"/>
              <w:rPr/>
            </w:pPr>
            <w:r>
              <w:rPr/>
              <w:t> </w:t>
            </w:r>
          </w:p>
        </w:tc>
      </w:tr>
      <w:tr>
        <w:trPr/>
        <w:tc>
          <w:tcPr>
            <w:tcW w:w="45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 share data:</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45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Basic net loss per share</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Diluted net loss per share</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As of December 30, 2023 and December 31, 2022, stock options, restricted stock units and restricted stock awards of 2,821,990 and 1,834,930 shares, respectively, were excluded from the computation of diluted weighted average shares outstanding because to do so would have been anti-dilutive.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23" w:name="item_9"/>
      <w:bookmarkEnd w:id="23"/>
      <w:r>
        <w:rPr>
          <w:rFonts w:ascii="Times New Roman" w:hAnsi="Times New Roman"/>
          <w:b/>
          <w:color w:val="000000"/>
          <w:sz w:val="20"/>
        </w:rPr>
        <w:t>Item 9. Changes in and Disagreements with Accountants on Accounting and Financial Disclosure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jc w:val="left"/>
        <w:rPr>
          <w:rFonts w:ascii="Times New Roman" w:hAnsi="Times New Roman"/>
          <w:sz w:val="20"/>
        </w:rPr>
      </w:pPr>
      <w:bookmarkStart w:id="24" w:name="item_9a"/>
      <w:bookmarkEnd w:id="24"/>
      <w:r>
        <w:rPr>
          <w:rFonts w:ascii="Times New Roman" w:hAnsi="Times New Roman"/>
          <w:b/>
          <w:color w:val="000000"/>
          <w:sz w:val="20"/>
        </w:rPr>
        <w:t>Item 9A.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Principal Executive Officer and Principal Financial Officer, evaluated the effectiveness of our disclosure controls and procedures pursuant to Rule 13a-15 under the Exchange Act. 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management’s evaluation, our Principal Executive Officer and Principal Financial Officer concluded that, as of December 30, 2023,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Management’s Report on Internal Control over Financial Reporting.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management is responsible for establishing and maintaining adequate internal control over the Company’s financial reporting. There are inherent limitations in the effectiveness of any internal control, including the possibility of human error and the circumvention or overriding of controls. Accordingly, even any effective internal control can provide only reasonable assurance with respect to financial statement preparation. Further, because of changes in conditions, the effectiveness of any internal control may vary over time. Our management assessed the effectiveness of the company’s internal control over financial reporting as of December 30, 2023. In making this assessment, we used the criteria set forth by the Committee of Sponsoring Organizations of the Treadway Commission (COSO) in </w:t>
      </w:r>
      <w:r>
        <w:rPr>
          <w:rFonts w:ascii="Times New Roman" w:hAnsi="Times New Roman"/>
          <w:i/>
          <w:color w:val="000000"/>
          <w:sz w:val="20"/>
        </w:rPr>
        <w:t xml:space="preserve">Internal Control-Integrated Framework (2013). </w:t>
      </w:r>
      <w:r>
        <w:rPr>
          <w:rFonts w:ascii="Times New Roman" w:hAnsi="Times New Roman"/>
          <w:color w:val="000000"/>
          <w:sz w:val="20"/>
        </w:rPr>
        <w:t>Based on our assessment using those criteria, our management concluded that, as of December 30, 2023, our internal control over financial reporting is effective.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Annual Report on Form 10-K does not include an attestation report of our independent registered public accounting firm regarding internal control over financial reporting. Management’s report is not subject to attestation by our independent registered public accounting firm.</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fourth quarter of fiscal year 2023 that has materially affected, or is reasonably likely to materially affect, our internal control over financial reporting, as defined in Rule 13a-15(f) and 15(d)-15(f) under the Exchange Act.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Inherent Limitations on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including our Principal Executive Officer and Principal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persons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25" w:name="item_9b"/>
      <w:bookmarkEnd w:id="25"/>
      <w:r>
        <w:rPr>
          <w:rFonts w:ascii="Times New Roman" w:hAnsi="Times New Roman"/>
          <w:b/>
          <w:color w:val="000000"/>
          <w:sz w:val="20"/>
        </w:rPr>
        <w:t>Item 9B.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Securities Trading Plans of Directors and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December 30, 2023, the Company did not adopt or terminate, and no directors or officers, as defined in Rule 16a-1(f), adopted or terminated a “Rule 10b5-1 trading arrangement” or a “non-Rule 10b5-1 trading arrangement,” each as defined in Regulation S-K Item 408.</w:t>
      </w:r>
    </w:p>
    <w:p>
      <w:pPr>
        <w:pStyle w:val="TextBody"/>
        <w:bidi w:val="0"/>
        <w:jc w:val="left"/>
        <w:rPr/>
      </w:pPr>
      <w:r>
        <w:rPr/>
        <w:t> </w:t>
      </w:r>
    </w:p>
    <w:p>
      <w:pPr>
        <w:pStyle w:val="TextBody"/>
        <w:bidi w:val="0"/>
        <w:jc w:val="left"/>
        <w:rPr>
          <w:rFonts w:ascii="Times New Roman" w:hAnsi="Times New Roman"/>
          <w:b/>
          <w:color w:val="000000"/>
          <w:sz w:val="20"/>
        </w:rPr>
      </w:pPr>
      <w:bookmarkStart w:id="26" w:name="item_9c_disclosure_regarding_foreign_jur"/>
      <w:bookmarkEnd w:id="26"/>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27" w:name="part_iii"/>
      <w:bookmarkEnd w:id="27"/>
      <w:r>
        <w:rPr>
          <w:rFonts w:ascii="Times New Roman" w:hAnsi="Times New Roman"/>
          <w:b/>
          <w:color w:val="000000"/>
          <w:sz w:val="20"/>
        </w:rPr>
        <w:t>PART III</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information required by Part III has been omitted from this Form 10-K. This information is instead incorporated herein by reference to our definitive Proxy Statement, which we will file within 120 days after the end of our fiscal year pursuant to Regulation 14A in time for our Annual Meeting of Stockholders to be held in 2024.</w:t>
      </w:r>
    </w:p>
    <w:p>
      <w:pPr>
        <w:pStyle w:val="TextBody"/>
        <w:bidi w:val="0"/>
        <w:spacing w:before="120" w:after="283"/>
        <w:jc w:val="left"/>
        <w:rPr>
          <w:rFonts w:ascii="Times New Roman" w:hAnsi="Times New Roman"/>
          <w:sz w:val="20"/>
        </w:rPr>
      </w:pPr>
      <w:bookmarkStart w:id="28" w:name="item_10"/>
      <w:bookmarkEnd w:id="28"/>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will be contained in our definitive proxy statement to be filed with the SEC in connection with our 2024 Annual Meeting of Stockholders (the “Proxy Statement”), which is expected to be filed not later than 120 days after the end of our fiscal year ended December 30, 2023 and is incorporated in this report by reference. </w:t>
      </w:r>
    </w:p>
    <w:p>
      <w:pPr>
        <w:pStyle w:val="TextBody"/>
        <w:bidi w:val="0"/>
        <w:spacing w:before="120" w:after="283"/>
        <w:jc w:val="left"/>
        <w:rPr>
          <w:rFonts w:ascii="Times New Roman" w:hAnsi="Times New Roman"/>
          <w:sz w:val="20"/>
        </w:rPr>
      </w:pPr>
      <w:bookmarkStart w:id="29" w:name="item_11"/>
      <w:bookmarkEnd w:id="29"/>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will be set forth in the Proxy Statement and is incorporated herein by reference. </w:t>
      </w:r>
    </w:p>
    <w:p>
      <w:pPr>
        <w:pStyle w:val="TextBody"/>
        <w:bidi w:val="0"/>
        <w:spacing w:before="120" w:after="283"/>
        <w:jc w:val="left"/>
        <w:rPr>
          <w:rFonts w:ascii="Times New Roman" w:hAnsi="Times New Roman"/>
          <w:sz w:val="20"/>
        </w:rPr>
      </w:pPr>
      <w:bookmarkStart w:id="30" w:name="item_12"/>
      <w:bookmarkEnd w:id="30"/>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will be set forth in the Proxy Statement and is incorporated herein by reference. </w:t>
      </w:r>
    </w:p>
    <w:p>
      <w:pPr>
        <w:pStyle w:val="TextBody"/>
        <w:bidi w:val="0"/>
        <w:spacing w:before="120" w:after="283"/>
        <w:jc w:val="left"/>
        <w:rPr>
          <w:rFonts w:ascii="Times New Roman" w:hAnsi="Times New Roman"/>
          <w:sz w:val="20"/>
        </w:rPr>
      </w:pPr>
      <w:bookmarkStart w:id="31" w:name="item_13"/>
      <w:bookmarkEnd w:id="31"/>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will be set forth in the Proxy Statement and is incorporated herein by reference. </w:t>
      </w:r>
    </w:p>
    <w:p>
      <w:pPr>
        <w:pStyle w:val="TextBody"/>
        <w:bidi w:val="0"/>
        <w:spacing w:before="120" w:after="283"/>
        <w:jc w:val="left"/>
        <w:rPr>
          <w:rFonts w:ascii="Times New Roman" w:hAnsi="Times New Roman"/>
          <w:sz w:val="20"/>
        </w:rPr>
      </w:pPr>
      <w:bookmarkStart w:id="32" w:name="item_14"/>
      <w:bookmarkEnd w:id="32"/>
      <w:r>
        <w:rPr>
          <w:rFonts w:ascii="Times New Roman" w:hAnsi="Times New Roman"/>
          <w:b/>
          <w:color w:val="000000"/>
          <w:sz w:val="20"/>
        </w:rPr>
        <w:t>Item 14. Principal Accounting Fees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will be set forth in the Proxy Statement and is incorporated herein by reference. </w:t>
      </w:r>
    </w:p>
    <w:p>
      <w:pPr>
        <w:pStyle w:val="TextBody"/>
        <w:bidi w:val="0"/>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33" w:name="part_iv"/>
      <w:bookmarkEnd w:id="33"/>
      <w:r>
        <w:rPr>
          <w:rFonts w:ascii="Times New Roman" w:hAnsi="Times New Roman"/>
          <w:b/>
          <w:color w:val="000000"/>
          <w:sz w:val="20"/>
        </w:rPr>
        <w:t>PART IV</w:t>
      </w:r>
    </w:p>
    <w:p>
      <w:pPr>
        <w:pStyle w:val="TextBody"/>
        <w:bidi w:val="0"/>
        <w:jc w:val="left"/>
        <w:rPr/>
      </w:pPr>
      <w:r>
        <w:rPr/>
        <w:t> </w:t>
      </w:r>
    </w:p>
    <w:p>
      <w:pPr>
        <w:pStyle w:val="TextBody"/>
        <w:bidi w:val="0"/>
        <w:jc w:val="left"/>
        <w:rPr>
          <w:rFonts w:ascii="Times New Roman" w:hAnsi="Times New Roman"/>
          <w:b/>
          <w:color w:val="000000"/>
          <w:sz w:val="20"/>
        </w:rPr>
      </w:pPr>
      <w:bookmarkStart w:id="34" w:name="item_15"/>
      <w:bookmarkEnd w:id="34"/>
      <w:r>
        <w:rPr>
          <w:rFonts w:ascii="Times New Roman" w:hAnsi="Times New Roman"/>
          <w:b/>
          <w:color w:val="000000"/>
          <w:sz w:val="20"/>
        </w:rPr>
        <w:t>Item 15. Exhibits and Financial Statement Schedules</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documents are filed in Part II of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21"/>
        <w:gridCol w:w="109"/>
        <w:gridCol w:w="975"/>
      </w:tblGrid>
      <w:tr>
        <w:trPr/>
        <w:tc>
          <w:tcPr>
            <w:tcW w:w="91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5" w:type="dxa"/>
            <w:tcBorders/>
            <w:shd w:fill="FFFFFF" w:val="clear"/>
            <w:vAlign w:val="center"/>
          </w:tcPr>
          <w:p>
            <w:pPr>
              <w:pStyle w:val="TableContents"/>
              <w:bidi w:val="0"/>
              <w:spacing w:before="0" w:after="283"/>
              <w:jc w:val="left"/>
              <w:rPr>
                <w:sz w:val="4"/>
                <w:szCs w:val="4"/>
              </w:rPr>
            </w:pPr>
            <w:r>
              <w:rPr>
                <w:sz w:val="4"/>
                <w:szCs w:val="4"/>
              </w:rPr>
            </w:r>
          </w:p>
        </w:tc>
      </w:tr>
      <w:tr>
        <w:trPr/>
        <w:tc>
          <w:tcPr>
            <w:tcW w:w="912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975"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Page in</w:t>
            </w:r>
          </w:p>
          <w:p>
            <w:pPr>
              <w:pStyle w:val="TableContents"/>
              <w:bidi w:val="0"/>
              <w:jc w:val="center"/>
              <w:rPr>
                <w:rFonts w:ascii="Times New Roman" w:hAnsi="Times New Roman"/>
                <w:b/>
                <w:color w:val="000000"/>
                <w:sz w:val="16"/>
              </w:rPr>
            </w:pPr>
            <w:r>
              <w:rPr>
                <w:rFonts w:ascii="Times New Roman" w:hAnsi="Times New Roman"/>
                <w:b/>
                <w:color w:val="000000"/>
                <w:sz w:val="16"/>
              </w:rPr>
              <w:t>Form 10-K</w:t>
            </w:r>
          </w:p>
          <w:p>
            <w:pPr>
              <w:pStyle w:val="TableContents"/>
              <w:bidi w:val="0"/>
              <w:spacing w:before="0" w:after="20"/>
              <w:ind w:left="0" w:right="0" w:firstLine="240"/>
              <w:jc w:val="center"/>
              <w:rPr>
                <w:rFonts w:ascii="Times New Roman" w:hAnsi="Times New Roman"/>
                <w:b/>
                <w:color w:val="000000"/>
                <w:sz w:val="16"/>
              </w:rPr>
            </w:pPr>
            <w:r>
              <w:rPr>
                <w:rFonts w:ascii="Times New Roman" w:hAnsi="Times New Roman"/>
                <w:b/>
                <w:color w:val="000000"/>
                <w:sz w:val="16"/>
              </w:rPr>
              <w:t>Report</w:t>
            </w:r>
          </w:p>
        </w:tc>
      </w:tr>
      <w:tr>
        <w:trPr/>
        <w:tc>
          <w:tcPr>
            <w:tcW w:w="9121" w:type="dxa"/>
            <w:tcBorders/>
            <w:vAlign w:val="center"/>
          </w:tcPr>
          <w:p>
            <w:pPr>
              <w:pStyle w:val="TableContents"/>
              <w:pBdr/>
              <w:bidi w:val="0"/>
              <w:spacing w:before="0" w:after="283"/>
              <w:ind w:left="0" w:right="0" w:hanging="240"/>
              <w:jc w:val="left"/>
              <w:rPr>
                <w:rFonts w:ascii="Times New Roman" w:hAnsi="Times New Roman"/>
                <w:sz w:val="20"/>
              </w:rPr>
            </w:pPr>
            <w:r>
              <w:rPr>
                <w:rFonts w:ascii="Times New Roman" w:hAnsi="Times New Roman"/>
                <w:b/>
                <w:color w:val="000000"/>
                <w:sz w:val="20"/>
              </w:rPr>
              <w:t>1</w:t>
            </w:r>
            <w:r>
              <w:rPr>
                <w:rFonts w:ascii="Times New Roman" w:hAnsi="Times New Roman"/>
                <w:color w:val="000000"/>
                <w:sz w:val="20"/>
              </w:rPr>
              <w:t xml:space="preserve">. </w:t>
            </w:r>
            <w:r>
              <w:rPr>
                <w:rFonts w:ascii="Times New Roman" w:hAnsi="Times New Roman"/>
                <w:b/>
                <w:color w:val="000000"/>
                <w:sz w:val="20"/>
              </w:rPr>
              <w:t>Index to Financial Statements</w:t>
            </w:r>
          </w:p>
        </w:tc>
        <w:tc>
          <w:tcPr>
            <w:tcW w:w="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ind w:left="0" w:right="0" w:firstLine="245"/>
              <w:jc w:val="center"/>
              <w:rPr/>
            </w:pPr>
            <w:r>
              <w:rPr/>
              <w:t> </w:t>
            </w:r>
          </w:p>
        </w:tc>
      </w:tr>
      <w:tr>
        <w:trPr/>
        <w:tc>
          <w:tcPr>
            <w:tcW w:w="9121" w:type="dxa"/>
            <w:tcBorders/>
            <w:vAlign w:val="center"/>
          </w:tcPr>
          <w:p>
            <w:pPr>
              <w:pStyle w:val="TableContents"/>
              <w:pBdr/>
              <w:bidi w:val="0"/>
              <w:spacing w:before="0" w:after="283"/>
              <w:ind w:left="0" w:right="0" w:hanging="245"/>
              <w:jc w:val="left"/>
              <w:rPr/>
            </w:pPr>
            <w:hyperlink w:anchor="report_independent_registered_public_acc">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(PCAOB ID: 207)</w:t>
            </w:r>
          </w:p>
        </w:tc>
        <w:tc>
          <w:tcPr>
            <w:tcW w:w="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r>
      <w:tr>
        <w:trPr/>
        <w:tc>
          <w:tcPr>
            <w:tcW w:w="9121" w:type="dxa"/>
            <w:tcBorders/>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December 30, 2023 and December 31,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9121" w:type="dxa"/>
            <w:tcBorders/>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 for the years ended December 30, 2023 and December 31,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r>
      <w:tr>
        <w:trPr/>
        <w:tc>
          <w:tcPr>
            <w:tcW w:w="9121" w:type="dxa"/>
            <w:tcBorders/>
            <w:vAlign w:val="center"/>
          </w:tcPr>
          <w:p>
            <w:pPr>
              <w:pStyle w:val="TableContents"/>
              <w:bidi w:val="0"/>
              <w:spacing w:before="0" w:after="283"/>
              <w:jc w:val="left"/>
              <w:rPr/>
            </w:pPr>
            <w:hyperlink w:anchor="consolidated_statements_of_comprehensive">
              <w:r>
                <w:rPr>
                  <w:rStyle w:val="InternetLink"/>
                  <w:rFonts w:ascii="Times New Roman" w:hAnsi="Times New Roman"/>
                  <w:color w:val="0000FF"/>
                  <w:sz w:val="20"/>
                  <w:u w:val="single"/>
                </w:rPr>
                <w:t>Consolidated Statements of Comprehensive Loss for the years ended December 30, 2023 and December 31,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r>
      <w:tr>
        <w:trPr/>
        <w:tc>
          <w:tcPr>
            <w:tcW w:w="9121" w:type="dxa"/>
            <w:tcBorders/>
            <w:vAlign w:val="center"/>
          </w:tcPr>
          <w:p>
            <w:pPr>
              <w:pStyle w:val="TableContents"/>
              <w:bidi w:val="0"/>
              <w:spacing w:before="0" w:after="283"/>
              <w:jc w:val="left"/>
              <w:rPr/>
            </w:pPr>
            <w:hyperlink w:anchor="consolidated_statements_of_stockholders">
              <w:r>
                <w:rPr>
                  <w:rStyle w:val="InternetLink"/>
                  <w:rFonts w:ascii="Times New Roman" w:hAnsi="Times New Roman"/>
                  <w:color w:val="0000FF"/>
                  <w:sz w:val="20"/>
                  <w:u w:val="single"/>
                </w:rPr>
                <w:t>Consolidated Statements of Stockholders’ Equity for the years ended December 30, 2023 and December 31,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r>
      <w:tr>
        <w:trPr/>
        <w:tc>
          <w:tcPr>
            <w:tcW w:w="9121" w:type="dxa"/>
            <w:tcBorders/>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Consolidated Statements of Cash Flows for the years ended December 30, 2023 and December 31,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ind w:left="0" w:right="0" w:firstLine="245"/>
              <w:jc w:val="center"/>
              <w:rPr>
                <w:rFonts w:ascii="Times New Roman" w:hAnsi="Times New Roman"/>
                <w:color w:val="000000"/>
                <w:sz w:val="20"/>
              </w:rPr>
            </w:pPr>
            <w:r>
              <w:rPr>
                <w:rFonts w:ascii="Times New Roman" w:hAnsi="Times New Roman"/>
                <w:color w:val="000000"/>
                <w:sz w:val="20"/>
              </w:rPr>
              <w:t>54</w:t>
            </w:r>
          </w:p>
        </w:tc>
      </w:tr>
      <w:tr>
        <w:trPr/>
        <w:tc>
          <w:tcPr>
            <w:tcW w:w="9121" w:type="dxa"/>
            <w:tcBorders/>
            <w:vAlign w:val="center"/>
          </w:tcPr>
          <w:p>
            <w:pPr>
              <w:pStyle w:val="TableContents"/>
              <w:pBdr/>
              <w:bidi w:val="0"/>
              <w:spacing w:before="0" w:after="283"/>
              <w:ind w:left="0" w:right="0" w:hanging="245"/>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2</w:t>
      </w:r>
      <w:r>
        <w:rPr>
          <w:rFonts w:ascii="Times New Roman" w:hAnsi="Times New Roman"/>
          <w:color w:val="000000"/>
          <w:sz w:val="20"/>
        </w:rPr>
        <w:t xml:space="preserve">. </w:t>
      </w:r>
      <w:r>
        <w:rPr>
          <w:rFonts w:ascii="Times New Roman" w:hAnsi="Times New Roman"/>
          <w:b/>
          <w:color w:val="000000"/>
          <w:sz w:val="20"/>
        </w:rPr>
        <w:t>Financial Statement Schedule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Schedules have been omitted because they are either not required, not applicable, or the required information is included in the consolidated financial statements or notes thereto.</w:t>
      </w:r>
    </w:p>
    <w:p>
      <w:pPr>
        <w:pStyle w:val="TextBody"/>
        <w:bidi w:val="0"/>
        <w:spacing w:before="120" w:after="283"/>
        <w:jc w:val="left"/>
        <w:rPr>
          <w:rFonts w:ascii="Times New Roman" w:hAnsi="Times New Roman"/>
          <w:sz w:val="20"/>
        </w:rPr>
      </w:pPr>
      <w:r>
        <w:rPr>
          <w:rFonts w:ascii="Times New Roman" w:hAnsi="Times New Roman"/>
          <w:b/>
          <w:color w:val="000000"/>
          <w:sz w:val="20"/>
        </w:rPr>
        <w:t>3</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spacing w:before="240" w:after="283"/>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7"/>
        <w:gridCol w:w="146"/>
        <w:gridCol w:w="4549"/>
        <w:gridCol w:w="931"/>
        <w:gridCol w:w="701"/>
        <w:gridCol w:w="505"/>
        <w:gridCol w:w="1084"/>
        <w:gridCol w:w="598"/>
        <w:gridCol w:w="904"/>
      </w:tblGrid>
      <w:tr>
        <w:trPr/>
        <w:tc>
          <w:tcPr>
            <w:tcW w:w="78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54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701" w:type="dxa"/>
            <w:tcBorders/>
            <w:shd w:fill="FFFFFF" w:val="clear"/>
            <w:vAlign w:val="center"/>
          </w:tcPr>
          <w:p>
            <w:pPr>
              <w:pStyle w:val="TableContents"/>
              <w:bidi w:val="0"/>
              <w:spacing w:before="0" w:after="283"/>
              <w:jc w:val="left"/>
              <w:rPr>
                <w:sz w:val="4"/>
                <w:szCs w:val="4"/>
              </w:rPr>
            </w:pPr>
            <w:r>
              <w:rPr>
                <w:sz w:val="4"/>
                <w:szCs w:val="4"/>
              </w:rPr>
            </w:r>
          </w:p>
        </w:tc>
        <w:tc>
          <w:tcPr>
            <w:tcW w:w="505" w:type="dxa"/>
            <w:tcBorders/>
            <w:shd w:fill="FFFFFF" w:val="clear"/>
            <w:vAlign w:val="center"/>
          </w:tcPr>
          <w:p>
            <w:pPr>
              <w:pStyle w:val="TableContents"/>
              <w:bidi w:val="0"/>
              <w:spacing w:before="0" w:after="283"/>
              <w:jc w:val="left"/>
              <w:rPr>
                <w:sz w:val="4"/>
                <w:szCs w:val="4"/>
              </w:rPr>
            </w:pPr>
            <w:r>
              <w:rPr>
                <w:sz w:val="4"/>
                <w:szCs w:val="4"/>
              </w:rPr>
            </w:r>
          </w:p>
        </w:tc>
        <w:tc>
          <w:tcPr>
            <w:tcW w:w="1084" w:type="dxa"/>
            <w:tcBorders/>
            <w:shd w:fill="FFFFFF" w:val="clear"/>
            <w:vAlign w:val="center"/>
          </w:tcPr>
          <w:p>
            <w:pPr>
              <w:pStyle w:val="TableContents"/>
              <w:bidi w:val="0"/>
              <w:spacing w:before="0" w:after="283"/>
              <w:jc w:val="left"/>
              <w:rPr>
                <w:sz w:val="4"/>
                <w:szCs w:val="4"/>
              </w:rPr>
            </w:pPr>
            <w:r>
              <w:rPr>
                <w:sz w:val="4"/>
                <w:szCs w:val="4"/>
              </w:rPr>
            </w:r>
          </w:p>
        </w:tc>
        <w:tc>
          <w:tcPr>
            <w:tcW w:w="598" w:type="dxa"/>
            <w:tcBorders/>
            <w:shd w:fill="FFFFFF" w:val="clear"/>
            <w:vAlign w:val="center"/>
          </w:tcPr>
          <w:p>
            <w:pPr>
              <w:pStyle w:val="TableContents"/>
              <w:bidi w:val="0"/>
              <w:spacing w:before="0" w:after="283"/>
              <w:jc w:val="left"/>
              <w:rPr>
                <w:sz w:val="4"/>
                <w:szCs w:val="4"/>
              </w:rPr>
            </w:pPr>
            <w:r>
              <w:rPr>
                <w:sz w:val="4"/>
                <w:szCs w:val="4"/>
              </w:rPr>
            </w:r>
          </w:p>
        </w:tc>
        <w:tc>
          <w:tcPr>
            <w:tcW w:w="904" w:type="dxa"/>
            <w:tcBorders/>
            <w:shd w:fill="FFFFFF" w:val="clear"/>
          </w:tcPr>
          <w:p>
            <w:pPr>
              <w:pStyle w:val="TableContents"/>
              <w:bidi w:val="0"/>
              <w:spacing w:before="0" w:after="283"/>
              <w:jc w:val="left"/>
              <w:rPr>
                <w:sz w:val="4"/>
                <w:szCs w:val="4"/>
              </w:rPr>
            </w:pPr>
            <w:r>
              <w:rPr>
                <w:sz w:val="4"/>
                <w:szCs w:val="4"/>
              </w:rPr>
            </w:r>
          </w:p>
        </w:tc>
      </w:tr>
      <w:tr>
        <w:trPr/>
        <w:tc>
          <w:tcPr>
            <w:tcW w:w="787" w:type="dxa"/>
            <w:vMerge w:val="restart"/>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146" w:type="dxa"/>
            <w:tcBorders/>
            <w:vAlign w:val="center"/>
          </w:tcPr>
          <w:p>
            <w:pPr>
              <w:pStyle w:val="TableContents"/>
              <w:bidi w:val="0"/>
              <w:spacing w:before="0" w:after="283"/>
              <w:jc w:val="left"/>
              <w:rPr/>
            </w:pPr>
            <w:r>
              <w:rPr/>
              <w:t> </w:t>
            </w:r>
          </w:p>
        </w:tc>
        <w:tc>
          <w:tcPr>
            <w:tcW w:w="4549" w:type="dxa"/>
            <w:tcBorders/>
            <w:tcMar>
              <w:top w:w="0" w:type="dxa"/>
              <w:left w:w="0" w:type="dxa"/>
              <w:bottom w:w="0" w:type="dxa"/>
              <w:right w:w="0" w:type="dxa"/>
            </w:tcMar>
            <w:vAlign w:val="center"/>
          </w:tcPr>
          <w:p>
            <w:pPr>
              <w:pStyle w:val="TableContents"/>
              <w:bidi w:val="0"/>
              <w:spacing w:before="0" w:after="283"/>
              <w:jc w:val="left"/>
              <w:rPr/>
            </w:pPr>
            <w:r>
              <w:rPr/>
              <w:t> </w:t>
            </w:r>
          </w:p>
        </w:tc>
        <w:tc>
          <w:tcPr>
            <w:tcW w:w="3221" w:type="dxa"/>
            <w:gridSpan w:val="4"/>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59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04" w:type="dxa"/>
            <w:tcBorders/>
          </w:tcPr>
          <w:p>
            <w:pPr>
              <w:pStyle w:val="TableContents"/>
              <w:bidi w:val="0"/>
              <w:spacing w:before="0" w:after="283"/>
              <w:jc w:val="left"/>
              <w:rPr>
                <w:sz w:val="4"/>
                <w:szCs w:val="4"/>
              </w:rPr>
            </w:pPr>
            <w:r>
              <w:rPr>
                <w:sz w:val="4"/>
                <w:szCs w:val="4"/>
              </w:rPr>
            </w:r>
          </w:p>
        </w:tc>
      </w:tr>
      <w:tr>
        <w:trPr/>
        <w:tc>
          <w:tcPr>
            <w:tcW w:w="787"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4549" w:type="dxa"/>
            <w:tcBorders/>
            <w:vAlign w:val="center"/>
          </w:tcPr>
          <w:p>
            <w:pPr>
              <w:pStyle w:val="TableContents"/>
              <w:bidi w:val="0"/>
              <w:spacing w:before="0" w:after="283"/>
              <w:jc w:val="left"/>
              <w:rPr>
                <w:sz w:val="4"/>
                <w:szCs w:val="4"/>
              </w:rPr>
            </w:pPr>
            <w:r>
              <w:rPr>
                <w:sz w:val="4"/>
                <w:szCs w:val="4"/>
              </w:rPr>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7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50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08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59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90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Herewith</w:t>
            </w:r>
          </w:p>
        </w:tc>
      </w:tr>
      <w:tr>
        <w:trPr/>
        <w:tc>
          <w:tcPr>
            <w:tcW w:w="7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549"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jc w:val="left"/>
              <w:rPr/>
            </w:pPr>
            <w:r>
              <w:rPr/>
              <w:t> </w:t>
            </w:r>
          </w:p>
        </w:tc>
        <w:tc>
          <w:tcPr>
            <w:tcW w:w="1084"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904" w:type="dxa"/>
            <w:tcBorders/>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vAlign w:val="center"/>
          </w:tcPr>
          <w:p>
            <w:pPr>
              <w:pStyle w:val="TableContents"/>
              <w:bidi w:val="0"/>
              <w:spacing w:before="0" w:after="283"/>
              <w:jc w:val="left"/>
              <w:rPr>
                <w:sz w:val="4"/>
                <w:szCs w:val="4"/>
              </w:rPr>
            </w:pPr>
            <w:r>
              <w:rPr>
                <w:sz w:val="4"/>
                <w:szCs w:val="4"/>
              </w:rPr>
            </w:r>
          </w:p>
        </w:tc>
        <w:tc>
          <w:tcPr>
            <w:tcW w:w="4549" w:type="dxa"/>
            <w:tcBorders/>
            <w:vAlign w:val="center"/>
          </w:tcPr>
          <w:p>
            <w:pPr>
              <w:pStyle w:val="TableContents"/>
              <w:bidi w:val="0"/>
              <w:spacing w:before="0" w:after="283"/>
              <w:jc w:val="left"/>
              <w:rPr/>
            </w:pPr>
            <w:hyperlink w:anchor="irix-ex3_1.htm">
              <w:r>
                <w:rPr>
                  <w:rStyle w:val="InternetLink"/>
                  <w:rFonts w:ascii="Times New Roman" w:hAnsi="Times New Roman"/>
                  <w:color w:val="0000FF"/>
                  <w:sz w:val="20"/>
                  <w:u w:val="single"/>
                </w:rPr>
                <w:t>Amended and Restated Certificate of Incorporation of</w:t>
              </w:r>
            </w:hyperlink>
            <w:hyperlink w:anchor="irix-ex3_1.htm">
              <w:r>
                <w:rPr>
                  <w:rStyle w:val="InternetLink"/>
                  <w:rFonts w:ascii="Times New Roman" w:hAnsi="Times New Roman"/>
                  <w:color w:val="0000FF"/>
                  <w:sz w:val="20"/>
                </w:rPr>
                <w:t xml:space="preserve"> </w:t>
              </w:r>
            </w:hyperlink>
            <w:hyperlink w:anchor="irix-ex3_1.htm">
              <w:r>
                <w:rPr>
                  <w:rStyle w:val="InternetLink"/>
                  <w:rFonts w:ascii="Times New Roman" w:hAnsi="Times New Roman"/>
                  <w:color w:val="0000FF"/>
                  <w:sz w:val="20"/>
                  <w:u w:val="single"/>
                </w:rPr>
                <w:t>Registrant filed on February 22, 1996.</w:t>
              </w:r>
            </w:hyperlink>
            <w:hyperlink w:anchor="irix-ex3_1.htm">
              <w:r>
                <w:rPr>
                  <w:rStyle w:val="InternetLink"/>
                  <w:rFonts w:ascii="Times New Roman" w:hAnsi="Times New Roman"/>
                  <w:color w:val="0000FF"/>
                  <w:sz w:val="20"/>
                </w:rPr>
                <w:t xml:space="preserve"> </w:t>
              </w:r>
            </w:hyperlink>
          </w:p>
        </w:tc>
        <w:tc>
          <w:tcPr>
            <w:tcW w:w="931"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505"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59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904" w:type="dxa"/>
            <w:tcBorders/>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9"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505"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598" w:type="dxa"/>
            <w:tcBorders/>
            <w:vAlign w:val="center"/>
          </w:tcPr>
          <w:p>
            <w:pPr>
              <w:pStyle w:val="TableContents"/>
              <w:bidi w:val="0"/>
              <w:spacing w:before="0" w:after="283"/>
              <w:jc w:val="center"/>
              <w:rPr/>
            </w:pPr>
            <w:r>
              <w:rPr/>
              <w:t> </w:t>
            </w:r>
          </w:p>
        </w:tc>
        <w:tc>
          <w:tcPr>
            <w:tcW w:w="904" w:type="dxa"/>
            <w:tcBorders/>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vAlign w:val="center"/>
          </w:tcPr>
          <w:p>
            <w:pPr>
              <w:pStyle w:val="TableContents"/>
              <w:bidi w:val="0"/>
              <w:spacing w:before="0" w:after="283"/>
              <w:jc w:val="left"/>
              <w:rPr>
                <w:sz w:val="4"/>
                <w:szCs w:val="4"/>
              </w:rPr>
            </w:pPr>
            <w:r>
              <w:rPr>
                <w:sz w:val="4"/>
                <w:szCs w:val="4"/>
              </w:rPr>
            </w:r>
          </w:p>
        </w:tc>
        <w:tc>
          <w:tcPr>
            <w:tcW w:w="4549" w:type="dxa"/>
            <w:tcBorders/>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Bylaws of Registrant.</w:t>
              </w:r>
            </w:hyperlink>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0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08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 2019</w:t>
            </w:r>
          </w:p>
        </w:tc>
        <w:tc>
          <w:tcPr>
            <w:tcW w:w="598" w:type="dxa"/>
            <w:tcBorders/>
            <w:vAlign w:val="center"/>
          </w:tcPr>
          <w:p>
            <w:pPr>
              <w:pStyle w:val="TableContents"/>
              <w:bidi w:val="0"/>
              <w:spacing w:before="0" w:after="283"/>
              <w:jc w:val="center"/>
              <w:rPr/>
            </w:pPr>
            <w:r>
              <w:rPr/>
              <w:t> </w:t>
            </w:r>
          </w:p>
        </w:tc>
        <w:tc>
          <w:tcPr>
            <w:tcW w:w="904" w:type="dxa"/>
            <w:tcBorders/>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9"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505"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598" w:type="dxa"/>
            <w:tcBorders/>
            <w:vAlign w:val="center"/>
          </w:tcPr>
          <w:p>
            <w:pPr>
              <w:pStyle w:val="TableContents"/>
              <w:bidi w:val="0"/>
              <w:spacing w:before="0" w:after="283"/>
              <w:jc w:val="center"/>
              <w:rPr/>
            </w:pPr>
            <w:r>
              <w:rPr/>
              <w:t> </w:t>
            </w:r>
          </w:p>
        </w:tc>
        <w:tc>
          <w:tcPr>
            <w:tcW w:w="904" w:type="dxa"/>
            <w:tcBorders/>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vAlign w:val="center"/>
          </w:tcPr>
          <w:p>
            <w:pPr>
              <w:pStyle w:val="TableContents"/>
              <w:bidi w:val="0"/>
              <w:spacing w:before="0" w:after="283"/>
              <w:jc w:val="left"/>
              <w:rPr>
                <w:sz w:val="4"/>
                <w:szCs w:val="4"/>
              </w:rPr>
            </w:pPr>
            <w:r>
              <w:rPr>
                <w:sz w:val="4"/>
                <w:szCs w:val="4"/>
              </w:rPr>
            </w:r>
          </w:p>
        </w:tc>
        <w:tc>
          <w:tcPr>
            <w:tcW w:w="4549"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Investor Rights Agreement, dated as of August 31, 2007, by and among the Registrant, BlueLine Capital Partners, LP; BlueLine Capital Partners III, LP and BlueLine Capital Partners II, LP.</w:t>
              </w:r>
            </w:hyperlink>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0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08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7, 2007</w:t>
            </w:r>
          </w:p>
        </w:tc>
        <w:tc>
          <w:tcPr>
            <w:tcW w:w="598" w:type="dxa"/>
            <w:tcBorders/>
            <w:vAlign w:val="center"/>
          </w:tcPr>
          <w:p>
            <w:pPr>
              <w:pStyle w:val="TableContents"/>
              <w:bidi w:val="0"/>
              <w:spacing w:before="0" w:after="283"/>
              <w:jc w:val="center"/>
              <w:rPr/>
            </w:pPr>
            <w:r>
              <w:rPr/>
              <w:t> </w:t>
            </w:r>
          </w:p>
        </w:tc>
        <w:tc>
          <w:tcPr>
            <w:tcW w:w="904" w:type="dxa"/>
            <w:tcBorders/>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9"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505"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598" w:type="dxa"/>
            <w:tcBorders/>
            <w:vAlign w:val="center"/>
          </w:tcPr>
          <w:p>
            <w:pPr>
              <w:pStyle w:val="TableContents"/>
              <w:bidi w:val="0"/>
              <w:spacing w:before="0" w:after="283"/>
              <w:jc w:val="center"/>
              <w:rPr/>
            </w:pPr>
            <w:r>
              <w:rPr/>
              <w:t> </w:t>
            </w:r>
          </w:p>
        </w:tc>
        <w:tc>
          <w:tcPr>
            <w:tcW w:w="904" w:type="dxa"/>
            <w:tcBorders/>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46" w:type="dxa"/>
            <w:tcBorders/>
            <w:vAlign w:val="center"/>
          </w:tcPr>
          <w:p>
            <w:pPr>
              <w:pStyle w:val="TableContents"/>
              <w:bidi w:val="0"/>
              <w:spacing w:before="0" w:after="283"/>
              <w:jc w:val="left"/>
              <w:rPr/>
            </w:pPr>
            <w:r>
              <w:rPr/>
              <w:t> </w:t>
            </w:r>
          </w:p>
        </w:tc>
        <w:tc>
          <w:tcPr>
            <w:tcW w:w="4549" w:type="dxa"/>
            <w:tcBorders/>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Amendment No. 1 to Investor Rights Agreement, dated as of March 31, 2009.</w:t>
              </w:r>
            </w:hyperlink>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0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08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6, 2009</w:t>
            </w:r>
          </w:p>
        </w:tc>
        <w:tc>
          <w:tcPr>
            <w:tcW w:w="598" w:type="dxa"/>
            <w:tcBorders/>
            <w:vAlign w:val="center"/>
          </w:tcPr>
          <w:p>
            <w:pPr>
              <w:pStyle w:val="TableContents"/>
              <w:bidi w:val="0"/>
              <w:spacing w:before="0" w:after="283"/>
              <w:jc w:val="center"/>
              <w:rPr/>
            </w:pPr>
            <w:r>
              <w:rPr/>
              <w:t> </w:t>
            </w:r>
          </w:p>
        </w:tc>
        <w:tc>
          <w:tcPr>
            <w:tcW w:w="904" w:type="dxa"/>
            <w:tcBorders/>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505"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598" w:type="dxa"/>
            <w:tcBorders/>
            <w:vAlign w:val="center"/>
          </w:tcPr>
          <w:p>
            <w:pPr>
              <w:pStyle w:val="TableContents"/>
              <w:bidi w:val="0"/>
              <w:spacing w:before="0" w:after="283"/>
              <w:jc w:val="center"/>
              <w:rPr/>
            </w:pPr>
            <w:r>
              <w:rPr/>
              <w:t> </w:t>
            </w:r>
          </w:p>
        </w:tc>
        <w:tc>
          <w:tcPr>
            <w:tcW w:w="904" w:type="dxa"/>
            <w:tcBorders/>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146" w:type="dxa"/>
            <w:tcBorders/>
            <w:vAlign w:val="center"/>
          </w:tcPr>
          <w:p>
            <w:pPr>
              <w:pStyle w:val="TableContents"/>
              <w:bidi w:val="0"/>
              <w:spacing w:before="0" w:after="283"/>
              <w:jc w:val="left"/>
              <w:rPr/>
            </w:pPr>
            <w:r>
              <w:rPr/>
              <w:t> </w:t>
            </w:r>
          </w:p>
        </w:tc>
        <w:tc>
          <w:tcPr>
            <w:tcW w:w="4549" w:type="dxa"/>
            <w:tcBorders/>
            <w:vAlign w:val="center"/>
          </w:tcPr>
          <w:p>
            <w:pPr>
              <w:pStyle w:val="TableContents"/>
              <w:bidi w:val="0"/>
              <w:spacing w:before="0" w:after="283"/>
              <w:jc w:val="left"/>
              <w:rPr/>
            </w:pPr>
            <w:hyperlink r:id="rId5">
              <w:r>
                <w:rPr>
                  <w:rStyle w:val="InternetLink"/>
                  <w:rFonts w:ascii="Times New Roman" w:hAnsi="Times New Roman"/>
                  <w:color w:val="0000FF"/>
                  <w:sz w:val="20"/>
                  <w:u w:val="single"/>
                </w:rPr>
                <w:t>Description of Capital Stock.</w:t>
              </w:r>
            </w:hyperlink>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0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08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13, 2020</w:t>
            </w:r>
          </w:p>
        </w:tc>
        <w:tc>
          <w:tcPr>
            <w:tcW w:w="598" w:type="dxa"/>
            <w:tcBorders/>
            <w:vAlign w:val="center"/>
          </w:tcPr>
          <w:p>
            <w:pPr>
              <w:pStyle w:val="TableContents"/>
              <w:bidi w:val="0"/>
              <w:spacing w:before="0" w:after="283"/>
              <w:jc w:val="center"/>
              <w:rPr/>
            </w:pPr>
            <w:r>
              <w:rPr/>
              <w:t> </w:t>
            </w:r>
          </w:p>
        </w:tc>
        <w:tc>
          <w:tcPr>
            <w:tcW w:w="904" w:type="dxa"/>
            <w:tcBorders/>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9"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505"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598" w:type="dxa"/>
            <w:tcBorders/>
            <w:vAlign w:val="center"/>
          </w:tcPr>
          <w:p>
            <w:pPr>
              <w:pStyle w:val="TableContents"/>
              <w:bidi w:val="0"/>
              <w:spacing w:before="0" w:after="283"/>
              <w:jc w:val="center"/>
              <w:rPr/>
            </w:pPr>
            <w:r>
              <w:rPr/>
              <w:t> </w:t>
            </w:r>
          </w:p>
        </w:tc>
        <w:tc>
          <w:tcPr>
            <w:tcW w:w="904" w:type="dxa"/>
            <w:tcBorders/>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46" w:type="dxa"/>
            <w:tcBorders/>
            <w:vAlign w:val="center"/>
          </w:tcPr>
          <w:p>
            <w:pPr>
              <w:pStyle w:val="TableContents"/>
              <w:bidi w:val="0"/>
              <w:spacing w:before="0" w:after="283"/>
              <w:jc w:val="left"/>
              <w:rPr>
                <w:sz w:val="4"/>
                <w:szCs w:val="4"/>
              </w:rPr>
            </w:pPr>
            <w:r>
              <w:rPr>
                <w:sz w:val="4"/>
                <w:szCs w:val="4"/>
              </w:rPr>
            </w:r>
          </w:p>
        </w:tc>
        <w:tc>
          <w:tcPr>
            <w:tcW w:w="4549" w:type="dxa"/>
            <w:tcBorders/>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Indemnification Agreement with directors and officers.</w:t>
              </w:r>
            </w:hyperlink>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0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08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15, 2022</w:t>
            </w:r>
          </w:p>
        </w:tc>
        <w:tc>
          <w:tcPr>
            <w:tcW w:w="598" w:type="dxa"/>
            <w:tcBorders/>
            <w:vAlign w:val="center"/>
          </w:tcPr>
          <w:p>
            <w:pPr>
              <w:pStyle w:val="TableContents"/>
              <w:bidi w:val="0"/>
              <w:spacing w:before="0" w:after="283"/>
              <w:jc w:val="center"/>
              <w:rPr/>
            </w:pPr>
            <w:r>
              <w:rPr/>
              <w:t> </w:t>
            </w:r>
          </w:p>
        </w:tc>
        <w:tc>
          <w:tcPr>
            <w:tcW w:w="904" w:type="dxa"/>
            <w:tcBorders/>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9"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505"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598" w:type="dxa"/>
            <w:tcBorders/>
            <w:vAlign w:val="center"/>
          </w:tcPr>
          <w:p>
            <w:pPr>
              <w:pStyle w:val="TableContents"/>
              <w:bidi w:val="0"/>
              <w:spacing w:before="0" w:after="283"/>
              <w:jc w:val="center"/>
              <w:rPr/>
            </w:pPr>
            <w:r>
              <w:rPr/>
              <w:t> </w:t>
            </w:r>
          </w:p>
        </w:tc>
        <w:tc>
          <w:tcPr>
            <w:tcW w:w="904" w:type="dxa"/>
            <w:tcBorders/>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146" w:type="dxa"/>
            <w:tcBorders/>
            <w:vAlign w:val="center"/>
          </w:tcPr>
          <w:p>
            <w:pPr>
              <w:pStyle w:val="TableContents"/>
              <w:bidi w:val="0"/>
              <w:spacing w:before="0" w:after="283"/>
              <w:jc w:val="left"/>
              <w:rPr>
                <w:sz w:val="4"/>
                <w:szCs w:val="4"/>
              </w:rPr>
            </w:pPr>
            <w:r>
              <w:rPr>
                <w:sz w:val="4"/>
                <w:szCs w:val="4"/>
              </w:rPr>
            </w:r>
          </w:p>
        </w:tc>
        <w:tc>
          <w:tcPr>
            <w:tcW w:w="4549" w:type="dxa"/>
            <w:tcBorders/>
            <w:vAlign w:val="center"/>
          </w:tcPr>
          <w:p>
            <w:pPr>
              <w:pStyle w:val="TableContents"/>
              <w:bidi w:val="0"/>
              <w:spacing w:before="0" w:after="283"/>
              <w:jc w:val="left"/>
              <w:rPr/>
            </w:pPr>
            <w:hyperlink r:id="rId7">
              <w:r>
                <w:rPr>
                  <w:rStyle w:val="InternetLink"/>
                  <w:rFonts w:ascii="Times New Roman" w:hAnsi="Times New Roman"/>
                  <w:color w:val="0000FF"/>
                  <w:sz w:val="20"/>
                  <w:u w:val="single"/>
                </w:rPr>
                <w:t>Lease Agreement dated December 6, 1996 by and between Zappettini Investment Co. and the Registrant, as amended pursuant to Amendment No. 1 dated September 15, 2003 and Amendment No. 2 dated December 22, 2008.</w:t>
              </w:r>
            </w:hyperlink>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0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08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 2009</w:t>
            </w:r>
          </w:p>
        </w:tc>
        <w:tc>
          <w:tcPr>
            <w:tcW w:w="598" w:type="dxa"/>
            <w:tcBorders/>
            <w:vAlign w:val="center"/>
          </w:tcPr>
          <w:p>
            <w:pPr>
              <w:pStyle w:val="TableContents"/>
              <w:bidi w:val="0"/>
              <w:spacing w:before="0" w:after="283"/>
              <w:jc w:val="center"/>
              <w:rPr/>
            </w:pPr>
            <w:r>
              <w:rPr/>
              <w:t> </w:t>
            </w:r>
          </w:p>
        </w:tc>
        <w:tc>
          <w:tcPr>
            <w:tcW w:w="904" w:type="dxa"/>
            <w:tcBorders/>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9"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505"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598" w:type="dxa"/>
            <w:tcBorders/>
            <w:vAlign w:val="center"/>
          </w:tcPr>
          <w:p>
            <w:pPr>
              <w:pStyle w:val="TableContents"/>
              <w:bidi w:val="0"/>
              <w:spacing w:before="0" w:after="283"/>
              <w:jc w:val="center"/>
              <w:rPr/>
            </w:pPr>
            <w:r>
              <w:rPr/>
              <w:t> </w:t>
            </w:r>
          </w:p>
        </w:tc>
        <w:tc>
          <w:tcPr>
            <w:tcW w:w="904" w:type="dxa"/>
            <w:tcBorders/>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10.2.1</w:t>
            </w:r>
          </w:p>
        </w:tc>
        <w:tc>
          <w:tcPr>
            <w:tcW w:w="146" w:type="dxa"/>
            <w:tcBorders/>
            <w:vAlign w:val="center"/>
          </w:tcPr>
          <w:p>
            <w:pPr>
              <w:pStyle w:val="TableContents"/>
              <w:bidi w:val="0"/>
              <w:spacing w:before="0" w:after="283"/>
              <w:jc w:val="left"/>
              <w:rPr/>
            </w:pPr>
            <w:r>
              <w:rPr/>
              <w:t> </w:t>
            </w:r>
          </w:p>
        </w:tc>
        <w:tc>
          <w:tcPr>
            <w:tcW w:w="4549" w:type="dxa"/>
            <w:tcBorders/>
            <w:vAlign w:val="center"/>
          </w:tcPr>
          <w:p>
            <w:pPr>
              <w:pStyle w:val="TableContents"/>
              <w:bidi w:val="0"/>
              <w:spacing w:before="0" w:after="283"/>
              <w:jc w:val="left"/>
              <w:rPr/>
            </w:pPr>
            <w:hyperlink r:id="rId8">
              <w:r>
                <w:rPr>
                  <w:rStyle w:val="InternetLink"/>
                  <w:rFonts w:ascii="Times New Roman" w:hAnsi="Times New Roman"/>
                  <w:color w:val="0000FF"/>
                  <w:sz w:val="20"/>
                  <w:u w:val="single"/>
                </w:rPr>
                <w:t>Third Amendment to Lease Agreement dated August 4, 2014 by and between Zappettini Investment Co. and the Registrant.</w:t>
              </w:r>
            </w:hyperlink>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0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08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3, 2014</w:t>
            </w:r>
          </w:p>
        </w:tc>
        <w:tc>
          <w:tcPr>
            <w:tcW w:w="598" w:type="dxa"/>
            <w:tcBorders/>
            <w:vAlign w:val="center"/>
          </w:tcPr>
          <w:p>
            <w:pPr>
              <w:pStyle w:val="TableContents"/>
              <w:bidi w:val="0"/>
              <w:spacing w:before="0" w:after="283"/>
              <w:jc w:val="center"/>
              <w:rPr/>
            </w:pPr>
            <w:r>
              <w:rPr/>
              <w:t> </w:t>
            </w:r>
          </w:p>
        </w:tc>
        <w:tc>
          <w:tcPr>
            <w:tcW w:w="904" w:type="dxa"/>
            <w:tcBorders/>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9"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505"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598" w:type="dxa"/>
            <w:tcBorders/>
            <w:vAlign w:val="center"/>
          </w:tcPr>
          <w:p>
            <w:pPr>
              <w:pStyle w:val="TableContents"/>
              <w:bidi w:val="0"/>
              <w:spacing w:before="0" w:after="283"/>
              <w:jc w:val="center"/>
              <w:rPr/>
            </w:pPr>
            <w:r>
              <w:rPr/>
              <w:t> </w:t>
            </w:r>
          </w:p>
        </w:tc>
        <w:tc>
          <w:tcPr>
            <w:tcW w:w="904" w:type="dxa"/>
            <w:tcBorders/>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10.2.2</w:t>
            </w:r>
          </w:p>
        </w:tc>
        <w:tc>
          <w:tcPr>
            <w:tcW w:w="146" w:type="dxa"/>
            <w:tcBorders/>
            <w:vAlign w:val="center"/>
          </w:tcPr>
          <w:p>
            <w:pPr>
              <w:pStyle w:val="TableContents"/>
              <w:bidi w:val="0"/>
              <w:spacing w:before="0" w:after="283"/>
              <w:jc w:val="left"/>
              <w:rPr/>
            </w:pPr>
            <w:r>
              <w:rPr/>
              <w:t> </w:t>
            </w:r>
          </w:p>
        </w:tc>
        <w:tc>
          <w:tcPr>
            <w:tcW w:w="4549" w:type="dxa"/>
            <w:tcBorders/>
            <w:vAlign w:val="center"/>
          </w:tcPr>
          <w:p>
            <w:pPr>
              <w:pStyle w:val="TableContents"/>
              <w:bidi w:val="0"/>
              <w:spacing w:before="0" w:after="283"/>
              <w:jc w:val="left"/>
              <w:rPr/>
            </w:pPr>
            <w:hyperlink r:id="rId9">
              <w:r>
                <w:rPr>
                  <w:rStyle w:val="InternetLink"/>
                  <w:rFonts w:ascii="Times New Roman" w:hAnsi="Times New Roman"/>
                  <w:color w:val="0000FF"/>
                  <w:sz w:val="20"/>
                  <w:u w:val="single"/>
                </w:rPr>
                <w:t>Fourth Amendment to Lease Agreement dated January 31, 2016 by and between ZIC 1212 Terra Bella LLC and the Registrant.</w:t>
              </w:r>
            </w:hyperlink>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0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08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2016</w:t>
            </w:r>
          </w:p>
        </w:tc>
        <w:tc>
          <w:tcPr>
            <w:tcW w:w="598" w:type="dxa"/>
            <w:tcBorders/>
            <w:vAlign w:val="center"/>
          </w:tcPr>
          <w:p>
            <w:pPr>
              <w:pStyle w:val="TableContents"/>
              <w:bidi w:val="0"/>
              <w:spacing w:before="0" w:after="283"/>
              <w:jc w:val="center"/>
              <w:rPr/>
            </w:pPr>
            <w:r>
              <w:rPr/>
              <w:t> </w:t>
            </w:r>
          </w:p>
        </w:tc>
        <w:tc>
          <w:tcPr>
            <w:tcW w:w="904" w:type="dxa"/>
            <w:tcBorders/>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9"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505"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598" w:type="dxa"/>
            <w:tcBorders/>
            <w:vAlign w:val="center"/>
          </w:tcPr>
          <w:p>
            <w:pPr>
              <w:pStyle w:val="TableContents"/>
              <w:bidi w:val="0"/>
              <w:spacing w:before="0" w:after="283"/>
              <w:jc w:val="center"/>
              <w:rPr/>
            </w:pPr>
            <w:r>
              <w:rPr/>
              <w:t> </w:t>
            </w:r>
          </w:p>
        </w:tc>
        <w:tc>
          <w:tcPr>
            <w:tcW w:w="904" w:type="dxa"/>
            <w:tcBorders/>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10.2.3</w:t>
            </w:r>
          </w:p>
        </w:tc>
        <w:tc>
          <w:tcPr>
            <w:tcW w:w="146" w:type="dxa"/>
            <w:tcBorders/>
            <w:vAlign w:val="center"/>
          </w:tcPr>
          <w:p>
            <w:pPr>
              <w:pStyle w:val="TableContents"/>
              <w:bidi w:val="0"/>
              <w:spacing w:before="0" w:after="283"/>
              <w:jc w:val="left"/>
              <w:rPr/>
            </w:pPr>
            <w:r>
              <w:rPr/>
              <w:t> </w:t>
            </w:r>
          </w:p>
        </w:tc>
        <w:tc>
          <w:tcPr>
            <w:tcW w:w="4549" w:type="dxa"/>
            <w:tcBorders/>
            <w:vAlign w:val="center"/>
          </w:tcPr>
          <w:p>
            <w:pPr>
              <w:pStyle w:val="TableContents"/>
              <w:bidi w:val="0"/>
              <w:spacing w:before="0" w:after="283"/>
              <w:jc w:val="left"/>
              <w:rPr/>
            </w:pPr>
            <w:hyperlink r:id="rId10">
              <w:r>
                <w:rPr>
                  <w:rStyle w:val="InternetLink"/>
                  <w:rFonts w:ascii="Times New Roman" w:hAnsi="Times New Roman"/>
                  <w:color w:val="0000FF"/>
                  <w:sz w:val="20"/>
                  <w:u w:val="single"/>
                </w:rPr>
                <w:t>Triple Net Lease dated April 26, 2017 by and between ZIC 1212 Terra Bella LLC and the Registrant.</w:t>
              </w:r>
            </w:hyperlink>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0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08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 2017</w:t>
            </w:r>
          </w:p>
        </w:tc>
        <w:tc>
          <w:tcPr>
            <w:tcW w:w="598" w:type="dxa"/>
            <w:tcBorders/>
            <w:vAlign w:val="center"/>
          </w:tcPr>
          <w:p>
            <w:pPr>
              <w:pStyle w:val="TableContents"/>
              <w:bidi w:val="0"/>
              <w:spacing w:before="0" w:after="283"/>
              <w:jc w:val="center"/>
              <w:rPr/>
            </w:pPr>
            <w:r>
              <w:rPr/>
              <w:t> </w:t>
            </w:r>
          </w:p>
        </w:tc>
        <w:tc>
          <w:tcPr>
            <w:tcW w:w="904" w:type="dxa"/>
            <w:tcBorders/>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9"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505"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598" w:type="dxa"/>
            <w:tcBorders/>
            <w:vAlign w:val="center"/>
          </w:tcPr>
          <w:p>
            <w:pPr>
              <w:pStyle w:val="TableContents"/>
              <w:bidi w:val="0"/>
              <w:spacing w:before="0" w:after="283"/>
              <w:jc w:val="center"/>
              <w:rPr/>
            </w:pPr>
            <w:r>
              <w:rPr/>
              <w:t> </w:t>
            </w:r>
          </w:p>
        </w:tc>
        <w:tc>
          <w:tcPr>
            <w:tcW w:w="904" w:type="dxa"/>
            <w:tcBorders/>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10.2.4</w:t>
            </w:r>
          </w:p>
        </w:tc>
        <w:tc>
          <w:tcPr>
            <w:tcW w:w="146" w:type="dxa"/>
            <w:tcBorders/>
            <w:vAlign w:val="center"/>
          </w:tcPr>
          <w:p>
            <w:pPr>
              <w:pStyle w:val="TableContents"/>
              <w:bidi w:val="0"/>
              <w:spacing w:before="0" w:after="283"/>
              <w:jc w:val="left"/>
              <w:rPr/>
            </w:pPr>
            <w:r>
              <w:rPr/>
              <w:t> </w:t>
            </w:r>
          </w:p>
        </w:tc>
        <w:tc>
          <w:tcPr>
            <w:tcW w:w="4549" w:type="dxa"/>
            <w:tcBorders/>
            <w:vAlign w:val="center"/>
          </w:tcPr>
          <w:p>
            <w:pPr>
              <w:pStyle w:val="TableContents"/>
              <w:bidi w:val="0"/>
              <w:spacing w:before="0" w:after="283"/>
              <w:jc w:val="left"/>
              <w:rPr/>
            </w:pPr>
            <w:hyperlink r:id="rId11">
              <w:r>
                <w:rPr>
                  <w:rStyle w:val="InternetLink"/>
                  <w:rFonts w:ascii="Times New Roman" w:hAnsi="Times New Roman"/>
                  <w:color w:val="0000FF"/>
                  <w:sz w:val="20"/>
                  <w:u w:val="single"/>
                </w:rPr>
                <w:t>First Amendment to Triple Net Lease by and between ZIC 1212 Terra Bella LLC and the Registrant, executed on April 30, 2021.</w:t>
              </w:r>
            </w:hyperlink>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0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08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12, 2021</w:t>
            </w:r>
          </w:p>
        </w:tc>
        <w:tc>
          <w:tcPr>
            <w:tcW w:w="598" w:type="dxa"/>
            <w:tcBorders/>
            <w:vAlign w:val="center"/>
          </w:tcPr>
          <w:p>
            <w:pPr>
              <w:pStyle w:val="TableContents"/>
              <w:bidi w:val="0"/>
              <w:spacing w:before="0" w:after="283"/>
              <w:jc w:val="center"/>
              <w:rPr/>
            </w:pPr>
            <w:r>
              <w:rPr/>
              <w:t> </w:t>
            </w:r>
          </w:p>
        </w:tc>
        <w:tc>
          <w:tcPr>
            <w:tcW w:w="904" w:type="dxa"/>
            <w:tcBorders/>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874"/>
        <w:gridCol w:w="146"/>
        <w:gridCol w:w="4063"/>
        <w:gridCol w:w="931"/>
        <w:gridCol w:w="814"/>
        <w:gridCol w:w="739"/>
        <w:gridCol w:w="1117"/>
        <w:gridCol w:w="607"/>
        <w:gridCol w:w="914"/>
      </w:tblGrid>
      <w:tr>
        <w:trPr/>
        <w:tc>
          <w:tcPr>
            <w:tcW w:w="87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3"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814" w:type="dxa"/>
            <w:tcBorders/>
            <w:shd w:fill="FFFFFF" w:val="clear"/>
            <w:vAlign w:val="center"/>
          </w:tcPr>
          <w:p>
            <w:pPr>
              <w:pStyle w:val="TableContents"/>
              <w:bidi w:val="0"/>
              <w:spacing w:before="0" w:after="283"/>
              <w:jc w:val="left"/>
              <w:rPr>
                <w:sz w:val="4"/>
                <w:szCs w:val="4"/>
              </w:rPr>
            </w:pPr>
            <w:r>
              <w:rPr>
                <w:sz w:val="4"/>
                <w:szCs w:val="4"/>
              </w:rPr>
            </w:r>
          </w:p>
        </w:tc>
        <w:tc>
          <w:tcPr>
            <w:tcW w:w="739" w:type="dxa"/>
            <w:tcBorders/>
            <w:shd w:fill="FFFFFF" w:val="clear"/>
            <w:vAlign w:val="center"/>
          </w:tcPr>
          <w:p>
            <w:pPr>
              <w:pStyle w:val="TableContents"/>
              <w:bidi w:val="0"/>
              <w:spacing w:before="0" w:after="283"/>
              <w:jc w:val="left"/>
              <w:rPr>
                <w:sz w:val="4"/>
                <w:szCs w:val="4"/>
              </w:rPr>
            </w:pPr>
            <w:r>
              <w:rPr>
                <w:sz w:val="4"/>
                <w:szCs w:val="4"/>
              </w:rPr>
            </w:r>
          </w:p>
        </w:tc>
        <w:tc>
          <w:tcPr>
            <w:tcW w:w="1117" w:type="dxa"/>
            <w:tcBorders/>
            <w:shd w:fill="FFFFFF" w:val="clear"/>
            <w:vAlign w:val="center"/>
          </w:tcPr>
          <w:p>
            <w:pPr>
              <w:pStyle w:val="TableContents"/>
              <w:bidi w:val="0"/>
              <w:spacing w:before="0" w:after="283"/>
              <w:jc w:val="left"/>
              <w:rPr>
                <w:sz w:val="4"/>
                <w:szCs w:val="4"/>
              </w:rPr>
            </w:pPr>
            <w:r>
              <w:rPr>
                <w:sz w:val="4"/>
                <w:szCs w:val="4"/>
              </w:rPr>
            </w:r>
          </w:p>
        </w:tc>
        <w:tc>
          <w:tcPr>
            <w:tcW w:w="607" w:type="dxa"/>
            <w:tcBorders/>
            <w:shd w:fill="FFFFFF" w:val="clear"/>
            <w:vAlign w:val="center"/>
          </w:tcPr>
          <w:p>
            <w:pPr>
              <w:pStyle w:val="TableContents"/>
              <w:bidi w:val="0"/>
              <w:spacing w:before="0" w:after="283"/>
              <w:jc w:val="left"/>
              <w:rPr>
                <w:sz w:val="4"/>
                <w:szCs w:val="4"/>
              </w:rPr>
            </w:pPr>
            <w:r>
              <w:rPr>
                <w:sz w:val="4"/>
                <w:szCs w:val="4"/>
              </w:rPr>
            </w:r>
          </w:p>
        </w:tc>
        <w:tc>
          <w:tcPr>
            <w:tcW w:w="914" w:type="dxa"/>
            <w:tcBorders/>
            <w:shd w:fill="FFFFFF" w:val="clear"/>
          </w:tcPr>
          <w:p>
            <w:pPr>
              <w:pStyle w:val="TableContents"/>
              <w:bidi w:val="0"/>
              <w:spacing w:before="0" w:after="283"/>
              <w:jc w:val="left"/>
              <w:rPr>
                <w:sz w:val="4"/>
                <w:szCs w:val="4"/>
              </w:rPr>
            </w:pPr>
            <w:r>
              <w:rPr>
                <w:sz w:val="4"/>
                <w:szCs w:val="4"/>
              </w:rPr>
            </w:r>
          </w:p>
        </w:tc>
      </w:tr>
      <w:tr>
        <w:trPr/>
        <w:tc>
          <w:tcPr>
            <w:tcW w:w="874" w:type="dxa"/>
            <w:vMerge w:val="restart"/>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146" w:type="dxa"/>
            <w:tcBorders/>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r>
              <w:rPr/>
              <w:t> </w:t>
            </w:r>
          </w:p>
        </w:tc>
        <w:tc>
          <w:tcPr>
            <w:tcW w:w="3601" w:type="dxa"/>
            <w:gridSpan w:val="4"/>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60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4063" w:type="dxa"/>
            <w:tcBorders/>
            <w:vAlign w:val="center"/>
          </w:tcPr>
          <w:p>
            <w:pPr>
              <w:pStyle w:val="TableContents"/>
              <w:bidi w:val="0"/>
              <w:spacing w:before="0" w:after="283"/>
              <w:jc w:val="left"/>
              <w:rPr>
                <w:sz w:val="4"/>
                <w:szCs w:val="4"/>
              </w:rPr>
            </w:pPr>
            <w:r>
              <w:rPr>
                <w:sz w:val="4"/>
                <w:szCs w:val="4"/>
              </w:rPr>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81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3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11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60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91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Herewith</w:t>
            </w:r>
          </w:p>
        </w:tc>
      </w:tr>
      <w:tr>
        <w:trPr/>
        <w:tc>
          <w:tcPr>
            <w:tcW w:w="87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10.2.5</w:t>
            </w:r>
          </w:p>
        </w:tc>
        <w:tc>
          <w:tcPr>
            <w:tcW w:w="146" w:type="dxa"/>
            <w:tcBorders/>
            <w:vAlign w:val="center"/>
          </w:tcPr>
          <w:p>
            <w:pPr>
              <w:pStyle w:val="TableContents"/>
              <w:bidi w:val="0"/>
              <w:spacing w:before="0" w:after="283"/>
              <w:jc w:val="center"/>
              <w:rPr/>
            </w:pPr>
            <w:r>
              <w:rPr/>
              <w:t> </w:t>
            </w:r>
          </w:p>
        </w:tc>
        <w:tc>
          <w:tcPr>
            <w:tcW w:w="4063" w:type="dxa"/>
            <w:tcBorders/>
            <w:vAlign w:val="center"/>
          </w:tcPr>
          <w:p>
            <w:pPr>
              <w:pStyle w:val="TableContents"/>
              <w:bidi w:val="0"/>
              <w:spacing w:before="0" w:after="283"/>
              <w:jc w:val="left"/>
              <w:rPr/>
            </w:pPr>
            <w:hyperlink r:id="rId12">
              <w:r>
                <w:rPr>
                  <w:rStyle w:val="InternetLink"/>
                  <w:rFonts w:ascii="Times New Roman" w:hAnsi="Times New Roman"/>
                  <w:color w:val="0000FF"/>
                  <w:sz w:val="20"/>
                  <w:u w:val="single"/>
                </w:rPr>
                <w:t>Second Amendment to Triple Net Lease by and between ZIC 1212 Terra Bella LLC and the Registrant, dated on August 29, 2022.</w:t>
              </w:r>
            </w:hyperlink>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1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20, 2023</w:t>
            </w:r>
          </w:p>
        </w:tc>
        <w:tc>
          <w:tcPr>
            <w:tcW w:w="607" w:type="dxa"/>
            <w:tcBorders/>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10.2.6</w:t>
            </w:r>
          </w:p>
        </w:tc>
        <w:tc>
          <w:tcPr>
            <w:tcW w:w="146" w:type="dxa"/>
            <w:tcBorders/>
            <w:vAlign w:val="center"/>
          </w:tcPr>
          <w:p>
            <w:pPr>
              <w:pStyle w:val="TableContents"/>
              <w:bidi w:val="0"/>
              <w:spacing w:before="0" w:after="283"/>
              <w:jc w:val="left"/>
              <w:rPr/>
            </w:pPr>
            <w:r>
              <w:rPr/>
              <w:t> </w:t>
            </w:r>
          </w:p>
        </w:tc>
        <w:tc>
          <w:tcPr>
            <w:tcW w:w="4063" w:type="dxa"/>
            <w:tcBorders/>
            <w:vAlign w:val="center"/>
          </w:tcPr>
          <w:p>
            <w:pPr>
              <w:pStyle w:val="TableContents"/>
              <w:bidi w:val="0"/>
              <w:spacing w:before="0" w:after="283"/>
              <w:jc w:val="left"/>
              <w:rPr/>
            </w:pPr>
            <w:hyperlink r:id="rId13">
              <w:r>
                <w:rPr>
                  <w:rStyle w:val="InternetLink"/>
                  <w:rFonts w:ascii="Times New Roman" w:hAnsi="Times New Roman"/>
                  <w:color w:val="0000FF"/>
                  <w:sz w:val="20"/>
                  <w:u w:val="single"/>
                </w:rPr>
                <w:t>Third Amendment to Triple Net Lease by and between ZIC 1212 Terra Bella LLC and the Registrant, dated on September 21, 2023.</w:t>
              </w:r>
            </w:hyperlink>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11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20, 2023</w:t>
            </w:r>
          </w:p>
        </w:tc>
        <w:tc>
          <w:tcPr>
            <w:tcW w:w="607" w:type="dxa"/>
            <w:tcBorders/>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w:t>
            </w:r>
          </w:p>
        </w:tc>
        <w:tc>
          <w:tcPr>
            <w:tcW w:w="146"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"https://www.sec.gov/Archives/edgar/data/1006045/000095013404006335/f98194dedef14a.htm" \l "075"</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2005 Employee Stock Purchase Plan.</w:t>
            </w:r>
            <w:r>
              <w:rPr>
                <w:rStyle w:val="InternetLink"/>
                <w:sz w:val="20"/>
                <w:u w:val="single"/>
                <w:rFonts w:ascii="Times New Roman" w:hAnsi="Times New Roman"/>
                <w:color w:val="0000FF"/>
              </w:rPr>
              <w:fldChar w:fldCharType="end"/>
            </w:r>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DEF 14A</w:t>
            </w:r>
          </w:p>
        </w:tc>
        <w:tc>
          <w:tcPr>
            <w:tcW w:w="8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vAlign w:val="center"/>
          </w:tcPr>
          <w:p>
            <w:pPr>
              <w:pStyle w:val="TableContents"/>
              <w:bidi w:val="0"/>
              <w:spacing w:before="0" w:after="283"/>
              <w:jc w:val="center"/>
              <w:rPr/>
            </w:pPr>
            <w:r>
              <w:rPr/>
              <w:t> </w:t>
            </w:r>
          </w:p>
        </w:tc>
        <w:tc>
          <w:tcPr>
            <w:tcW w:w="111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30, 2004</w:t>
            </w:r>
          </w:p>
        </w:tc>
        <w:tc>
          <w:tcPr>
            <w:tcW w:w="607" w:type="dxa"/>
            <w:tcBorders/>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3"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center"/>
              <w:rPr/>
            </w:pPr>
            <w:r>
              <w:rPr/>
              <w:t> </w:t>
            </w:r>
          </w:p>
        </w:tc>
        <w:tc>
          <w:tcPr>
            <w:tcW w:w="814" w:type="dxa"/>
            <w:tcBorders/>
            <w:vAlign w:val="center"/>
          </w:tcPr>
          <w:p>
            <w:pPr>
              <w:pStyle w:val="TableContents"/>
              <w:bidi w:val="0"/>
              <w:spacing w:before="0" w:after="283"/>
              <w:jc w:val="center"/>
              <w:rPr/>
            </w:pPr>
            <w:r>
              <w:rPr/>
              <w:t> </w:t>
            </w:r>
          </w:p>
        </w:tc>
        <w:tc>
          <w:tcPr>
            <w:tcW w:w="739" w:type="dxa"/>
            <w:tcBorders/>
            <w:vAlign w:val="center"/>
          </w:tcPr>
          <w:p>
            <w:pPr>
              <w:pStyle w:val="TableContents"/>
              <w:bidi w:val="0"/>
              <w:spacing w:before="0" w:after="283"/>
              <w:jc w:val="center"/>
              <w:rPr/>
            </w:pPr>
            <w:r>
              <w:rPr/>
              <w:t> </w:t>
            </w:r>
          </w:p>
        </w:tc>
        <w:tc>
          <w:tcPr>
            <w:tcW w:w="1117" w:type="dxa"/>
            <w:tcBorders/>
            <w:vAlign w:val="center"/>
          </w:tcPr>
          <w:p>
            <w:pPr>
              <w:pStyle w:val="TableContents"/>
              <w:bidi w:val="0"/>
              <w:spacing w:before="0" w:after="283"/>
              <w:jc w:val="center"/>
              <w:rPr/>
            </w:pPr>
            <w:r>
              <w:rPr/>
              <w:t> </w:t>
            </w:r>
          </w:p>
        </w:tc>
        <w:tc>
          <w:tcPr>
            <w:tcW w:w="607" w:type="dxa"/>
            <w:tcBorders/>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46"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pPr>
            <w:hyperlink r:id="rId14">
              <w:r>
                <w:rPr>
                  <w:rStyle w:val="InternetLink"/>
                  <w:rFonts w:ascii="Times New Roman" w:hAnsi="Times New Roman"/>
                  <w:color w:val="0000FF"/>
                  <w:sz w:val="20"/>
                  <w:u w:val="single"/>
                </w:rPr>
                <w:t>2008 Equity Incentive Plan, as amended.</w:t>
              </w:r>
            </w:hyperlink>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1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15, 2023</w:t>
            </w:r>
          </w:p>
        </w:tc>
        <w:tc>
          <w:tcPr>
            <w:tcW w:w="607" w:type="dxa"/>
            <w:tcBorders/>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3"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center"/>
              <w:rPr/>
            </w:pPr>
            <w:r>
              <w:rPr/>
              <w:t> </w:t>
            </w:r>
          </w:p>
        </w:tc>
        <w:tc>
          <w:tcPr>
            <w:tcW w:w="814" w:type="dxa"/>
            <w:tcBorders/>
            <w:vAlign w:val="center"/>
          </w:tcPr>
          <w:p>
            <w:pPr>
              <w:pStyle w:val="TableContents"/>
              <w:bidi w:val="0"/>
              <w:spacing w:before="0" w:after="283"/>
              <w:jc w:val="center"/>
              <w:rPr/>
            </w:pPr>
            <w:r>
              <w:rPr/>
              <w:t> </w:t>
            </w:r>
          </w:p>
        </w:tc>
        <w:tc>
          <w:tcPr>
            <w:tcW w:w="739" w:type="dxa"/>
            <w:tcBorders/>
            <w:vAlign w:val="center"/>
          </w:tcPr>
          <w:p>
            <w:pPr>
              <w:pStyle w:val="TableContents"/>
              <w:bidi w:val="0"/>
              <w:spacing w:before="0" w:after="283"/>
              <w:jc w:val="center"/>
              <w:rPr/>
            </w:pPr>
            <w:r>
              <w:rPr/>
              <w:t> </w:t>
            </w:r>
          </w:p>
        </w:tc>
        <w:tc>
          <w:tcPr>
            <w:tcW w:w="1117" w:type="dxa"/>
            <w:tcBorders/>
            <w:vAlign w:val="center"/>
          </w:tcPr>
          <w:p>
            <w:pPr>
              <w:pStyle w:val="TableContents"/>
              <w:bidi w:val="0"/>
              <w:spacing w:before="0" w:after="283"/>
              <w:jc w:val="center"/>
              <w:rPr/>
            </w:pPr>
            <w:r>
              <w:rPr/>
              <w:t> </w:t>
            </w:r>
          </w:p>
        </w:tc>
        <w:tc>
          <w:tcPr>
            <w:tcW w:w="607" w:type="dxa"/>
            <w:tcBorders/>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10.5*</w:t>
            </w:r>
          </w:p>
        </w:tc>
        <w:tc>
          <w:tcPr>
            <w:tcW w:w="146"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2008 Equity Incentive Plan Option Agreement.</w:t>
              </w:r>
            </w:hyperlink>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8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333-155598</w:t>
            </w:r>
          </w:p>
        </w:tc>
        <w:tc>
          <w:tcPr>
            <w:tcW w:w="73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11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21, 2008</w:t>
            </w:r>
          </w:p>
        </w:tc>
        <w:tc>
          <w:tcPr>
            <w:tcW w:w="607" w:type="dxa"/>
            <w:tcBorders/>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3"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center"/>
              <w:rPr/>
            </w:pPr>
            <w:r>
              <w:rPr/>
              <w:t> </w:t>
            </w:r>
          </w:p>
        </w:tc>
        <w:tc>
          <w:tcPr>
            <w:tcW w:w="814" w:type="dxa"/>
            <w:tcBorders/>
            <w:vAlign w:val="center"/>
          </w:tcPr>
          <w:p>
            <w:pPr>
              <w:pStyle w:val="TableContents"/>
              <w:bidi w:val="0"/>
              <w:spacing w:before="0" w:after="283"/>
              <w:jc w:val="center"/>
              <w:rPr/>
            </w:pPr>
            <w:r>
              <w:rPr/>
              <w:t> </w:t>
            </w:r>
          </w:p>
        </w:tc>
        <w:tc>
          <w:tcPr>
            <w:tcW w:w="739" w:type="dxa"/>
            <w:tcBorders/>
            <w:vAlign w:val="center"/>
          </w:tcPr>
          <w:p>
            <w:pPr>
              <w:pStyle w:val="TableContents"/>
              <w:bidi w:val="0"/>
              <w:spacing w:before="0" w:after="283"/>
              <w:jc w:val="center"/>
              <w:rPr/>
            </w:pPr>
            <w:r>
              <w:rPr/>
              <w:t> </w:t>
            </w:r>
          </w:p>
        </w:tc>
        <w:tc>
          <w:tcPr>
            <w:tcW w:w="1117" w:type="dxa"/>
            <w:tcBorders/>
            <w:vAlign w:val="center"/>
          </w:tcPr>
          <w:p>
            <w:pPr>
              <w:pStyle w:val="TableContents"/>
              <w:bidi w:val="0"/>
              <w:spacing w:before="0" w:after="283"/>
              <w:jc w:val="center"/>
              <w:rPr/>
            </w:pPr>
            <w:r>
              <w:rPr/>
              <w:t> </w:t>
            </w:r>
          </w:p>
        </w:tc>
        <w:tc>
          <w:tcPr>
            <w:tcW w:w="607" w:type="dxa"/>
            <w:tcBorders/>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10.6*</w:t>
            </w:r>
          </w:p>
        </w:tc>
        <w:tc>
          <w:tcPr>
            <w:tcW w:w="146"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 of Stand-Alone Stock Option Agreement.</w:t>
              </w:r>
            </w:hyperlink>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 TO-I</w:t>
            </w:r>
          </w:p>
        </w:tc>
        <w:tc>
          <w:tcPr>
            <w:tcW w:w="8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005-48169</w:t>
            </w:r>
          </w:p>
        </w:tc>
        <w:tc>
          <w:tcPr>
            <w:tcW w:w="73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99.(d)(5)</w:t>
            </w:r>
          </w:p>
        </w:tc>
        <w:tc>
          <w:tcPr>
            <w:tcW w:w="111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30, 2009</w:t>
            </w:r>
          </w:p>
        </w:tc>
        <w:tc>
          <w:tcPr>
            <w:tcW w:w="607" w:type="dxa"/>
            <w:tcBorders/>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3"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center"/>
              <w:rPr/>
            </w:pPr>
            <w:r>
              <w:rPr/>
              <w:t> </w:t>
            </w:r>
          </w:p>
        </w:tc>
        <w:tc>
          <w:tcPr>
            <w:tcW w:w="814" w:type="dxa"/>
            <w:tcBorders/>
            <w:vAlign w:val="center"/>
          </w:tcPr>
          <w:p>
            <w:pPr>
              <w:pStyle w:val="TableContents"/>
              <w:bidi w:val="0"/>
              <w:spacing w:before="0" w:after="283"/>
              <w:jc w:val="center"/>
              <w:rPr/>
            </w:pPr>
            <w:r>
              <w:rPr/>
              <w:t> </w:t>
            </w:r>
          </w:p>
        </w:tc>
        <w:tc>
          <w:tcPr>
            <w:tcW w:w="739" w:type="dxa"/>
            <w:tcBorders/>
            <w:vAlign w:val="center"/>
          </w:tcPr>
          <w:p>
            <w:pPr>
              <w:pStyle w:val="TableContents"/>
              <w:bidi w:val="0"/>
              <w:spacing w:before="0" w:after="283"/>
              <w:jc w:val="center"/>
              <w:rPr/>
            </w:pPr>
            <w:r>
              <w:rPr/>
              <w:t> </w:t>
            </w:r>
          </w:p>
        </w:tc>
        <w:tc>
          <w:tcPr>
            <w:tcW w:w="1117" w:type="dxa"/>
            <w:tcBorders/>
            <w:vAlign w:val="center"/>
          </w:tcPr>
          <w:p>
            <w:pPr>
              <w:pStyle w:val="TableContents"/>
              <w:bidi w:val="0"/>
              <w:spacing w:before="0" w:after="283"/>
              <w:jc w:val="center"/>
              <w:rPr/>
            </w:pPr>
            <w:r>
              <w:rPr/>
              <w:t> </w:t>
            </w:r>
          </w:p>
        </w:tc>
        <w:tc>
          <w:tcPr>
            <w:tcW w:w="607" w:type="dxa"/>
            <w:tcBorders/>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10.7</w:t>
            </w:r>
          </w:p>
        </w:tc>
        <w:tc>
          <w:tcPr>
            <w:tcW w:w="146"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pPr>
            <w:hyperlink r:id="rId17">
              <w:r>
                <w:rPr>
                  <w:rStyle w:val="InternetLink"/>
                  <w:rFonts w:ascii="Times New Roman" w:hAnsi="Times New Roman"/>
                  <w:color w:val="0000FF"/>
                  <w:sz w:val="20"/>
                  <w:u w:val="single"/>
                </w:rPr>
                <w:t>Securities Purchase Agreement, dated August 31, 2007, by and among BlueLine Capital Partners, LP, BlueLine Capital Partners III, LP, BlueLine Capital Partners II, LP and the Registrant.</w:t>
              </w:r>
            </w:hyperlink>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1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7, 2007</w:t>
            </w:r>
          </w:p>
        </w:tc>
        <w:tc>
          <w:tcPr>
            <w:tcW w:w="607" w:type="dxa"/>
            <w:tcBorders/>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3"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center"/>
              <w:rPr/>
            </w:pPr>
            <w:r>
              <w:rPr/>
              <w:t> </w:t>
            </w:r>
          </w:p>
        </w:tc>
        <w:tc>
          <w:tcPr>
            <w:tcW w:w="814" w:type="dxa"/>
            <w:tcBorders/>
            <w:vAlign w:val="center"/>
          </w:tcPr>
          <w:p>
            <w:pPr>
              <w:pStyle w:val="TableContents"/>
              <w:bidi w:val="0"/>
              <w:spacing w:before="0" w:after="283"/>
              <w:jc w:val="center"/>
              <w:rPr/>
            </w:pPr>
            <w:r>
              <w:rPr/>
              <w:t> </w:t>
            </w:r>
          </w:p>
        </w:tc>
        <w:tc>
          <w:tcPr>
            <w:tcW w:w="739" w:type="dxa"/>
            <w:tcBorders/>
            <w:vAlign w:val="center"/>
          </w:tcPr>
          <w:p>
            <w:pPr>
              <w:pStyle w:val="TableContents"/>
              <w:bidi w:val="0"/>
              <w:spacing w:before="0" w:after="283"/>
              <w:jc w:val="center"/>
              <w:rPr/>
            </w:pPr>
            <w:r>
              <w:rPr/>
              <w:t> </w:t>
            </w:r>
          </w:p>
        </w:tc>
        <w:tc>
          <w:tcPr>
            <w:tcW w:w="1117" w:type="dxa"/>
            <w:tcBorders/>
            <w:vAlign w:val="center"/>
          </w:tcPr>
          <w:p>
            <w:pPr>
              <w:pStyle w:val="TableContents"/>
              <w:bidi w:val="0"/>
              <w:spacing w:before="0" w:after="283"/>
              <w:jc w:val="center"/>
              <w:rPr/>
            </w:pPr>
            <w:r>
              <w:rPr/>
              <w:t> </w:t>
            </w:r>
          </w:p>
        </w:tc>
        <w:tc>
          <w:tcPr>
            <w:tcW w:w="607" w:type="dxa"/>
            <w:tcBorders/>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10.8*</w:t>
            </w:r>
          </w:p>
        </w:tc>
        <w:tc>
          <w:tcPr>
            <w:tcW w:w="146"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2008 Equity Incentive Plan Restricted Stock Award Agreement.</w:t>
              </w:r>
            </w:hyperlink>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1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4, 2011</w:t>
            </w:r>
          </w:p>
        </w:tc>
        <w:tc>
          <w:tcPr>
            <w:tcW w:w="607" w:type="dxa"/>
            <w:tcBorders/>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3"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center"/>
              <w:rPr/>
            </w:pPr>
            <w:r>
              <w:rPr/>
              <w:t> </w:t>
            </w:r>
          </w:p>
        </w:tc>
        <w:tc>
          <w:tcPr>
            <w:tcW w:w="814" w:type="dxa"/>
            <w:tcBorders/>
            <w:vAlign w:val="center"/>
          </w:tcPr>
          <w:p>
            <w:pPr>
              <w:pStyle w:val="TableContents"/>
              <w:bidi w:val="0"/>
              <w:spacing w:before="0" w:after="283"/>
              <w:jc w:val="center"/>
              <w:rPr/>
            </w:pPr>
            <w:r>
              <w:rPr/>
              <w:t> </w:t>
            </w:r>
          </w:p>
        </w:tc>
        <w:tc>
          <w:tcPr>
            <w:tcW w:w="739" w:type="dxa"/>
            <w:tcBorders/>
            <w:vAlign w:val="center"/>
          </w:tcPr>
          <w:p>
            <w:pPr>
              <w:pStyle w:val="TableContents"/>
              <w:bidi w:val="0"/>
              <w:spacing w:before="0" w:after="283"/>
              <w:jc w:val="center"/>
              <w:rPr/>
            </w:pPr>
            <w:r>
              <w:rPr/>
              <w:t> </w:t>
            </w:r>
          </w:p>
        </w:tc>
        <w:tc>
          <w:tcPr>
            <w:tcW w:w="1117" w:type="dxa"/>
            <w:tcBorders/>
            <w:vAlign w:val="center"/>
          </w:tcPr>
          <w:p>
            <w:pPr>
              <w:pStyle w:val="TableContents"/>
              <w:bidi w:val="0"/>
              <w:spacing w:before="0" w:after="283"/>
              <w:jc w:val="center"/>
              <w:rPr/>
            </w:pPr>
            <w:r>
              <w:rPr/>
              <w:t> </w:t>
            </w:r>
          </w:p>
        </w:tc>
        <w:tc>
          <w:tcPr>
            <w:tcW w:w="607" w:type="dxa"/>
            <w:tcBorders/>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10.9*</w:t>
            </w:r>
          </w:p>
        </w:tc>
        <w:tc>
          <w:tcPr>
            <w:tcW w:w="146"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2008 Equity Incentive Plan Restricted Stock Unit Award Agreement.</w:t>
              </w:r>
            </w:hyperlink>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11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4, 2011</w:t>
            </w:r>
          </w:p>
        </w:tc>
        <w:tc>
          <w:tcPr>
            <w:tcW w:w="607" w:type="dxa"/>
            <w:tcBorders/>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3"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center"/>
              <w:rPr/>
            </w:pPr>
            <w:r>
              <w:rPr/>
              <w:t> </w:t>
            </w:r>
          </w:p>
        </w:tc>
        <w:tc>
          <w:tcPr>
            <w:tcW w:w="814" w:type="dxa"/>
            <w:tcBorders/>
            <w:vAlign w:val="center"/>
          </w:tcPr>
          <w:p>
            <w:pPr>
              <w:pStyle w:val="TableContents"/>
              <w:bidi w:val="0"/>
              <w:spacing w:before="0" w:after="283"/>
              <w:jc w:val="center"/>
              <w:rPr/>
            </w:pPr>
            <w:r>
              <w:rPr/>
              <w:t> </w:t>
            </w:r>
          </w:p>
        </w:tc>
        <w:tc>
          <w:tcPr>
            <w:tcW w:w="739" w:type="dxa"/>
            <w:tcBorders/>
            <w:vAlign w:val="center"/>
          </w:tcPr>
          <w:p>
            <w:pPr>
              <w:pStyle w:val="TableContents"/>
              <w:bidi w:val="0"/>
              <w:spacing w:before="0" w:after="283"/>
              <w:jc w:val="center"/>
              <w:rPr/>
            </w:pPr>
            <w:r>
              <w:rPr/>
              <w:t> </w:t>
            </w:r>
          </w:p>
        </w:tc>
        <w:tc>
          <w:tcPr>
            <w:tcW w:w="1117" w:type="dxa"/>
            <w:tcBorders/>
            <w:vAlign w:val="center"/>
          </w:tcPr>
          <w:p>
            <w:pPr>
              <w:pStyle w:val="TableContents"/>
              <w:bidi w:val="0"/>
              <w:spacing w:before="0" w:after="283"/>
              <w:jc w:val="center"/>
              <w:rPr/>
            </w:pPr>
            <w:r>
              <w:rPr/>
              <w:t> </w:t>
            </w:r>
          </w:p>
        </w:tc>
        <w:tc>
          <w:tcPr>
            <w:tcW w:w="607" w:type="dxa"/>
            <w:tcBorders/>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Loan and Security Agreement, dated as of November 2, 2016, between IRIDEX Corporation and Silicon Valley Bank.</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3, 2016</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First Amendment to Loan and Security Agreement between IRIDEX Corporation and Silicon Valley Bank, executed on December 3, 2019.</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10.19.1</w:t>
            </w:r>
          </w:p>
        </w:tc>
        <w:tc>
          <w:tcPr>
            <w:tcW w:w="11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13, 2020</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Second Amendment to Loan and Security Agreement between IRIDEX Corporation and Silicon Valley Bank, executed on January 8, 2020.</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10.19.2</w:t>
            </w:r>
          </w:p>
        </w:tc>
        <w:tc>
          <w:tcPr>
            <w:tcW w:w="11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13, 2020</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Third Amendment to Loan and Security Agreement between IRIDEX Corporation and Silicon Valley Bank, executed on December 31, 2020.</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10.19.3</w:t>
            </w:r>
          </w:p>
        </w:tc>
        <w:tc>
          <w:tcPr>
            <w:tcW w:w="11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23, 2021</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Fourth Amendment to Loan and Security Agreement between IRIDEX Corporation and Silicon Valley Bank, executed on March 24, 2022.</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15, 2022</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Fifth Amendment to Loan and Security Agreement between IRIDEX Corporation and Silicon Valley Bank, executed on June 15, 2022.</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15, 2022</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Offer Letter between the Company and Mr. Bruce effective as of May 20, 2019.</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8-K/A</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14, 2019</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Change in Control Severance Agreement dated as of October 25, 2019, between the Company and Mr. Bruce.</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28, 2019</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Change in Control Severance Agreement dated as of October 25, 2019, between the Company and Mr. Mercer.</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1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28, 2019</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3"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center"/>
              <w:rPr/>
            </w:pPr>
            <w:r>
              <w:rPr/>
              <w:t> </w:t>
            </w:r>
          </w:p>
        </w:tc>
        <w:tc>
          <w:tcPr>
            <w:tcW w:w="814" w:type="dxa"/>
            <w:tcBorders/>
            <w:vAlign w:val="center"/>
          </w:tcPr>
          <w:p>
            <w:pPr>
              <w:pStyle w:val="TableContents"/>
              <w:bidi w:val="0"/>
              <w:spacing w:before="0" w:after="283"/>
              <w:jc w:val="center"/>
              <w:rPr/>
            </w:pPr>
            <w:r>
              <w:rPr/>
              <w:t> </w:t>
            </w:r>
          </w:p>
        </w:tc>
        <w:tc>
          <w:tcPr>
            <w:tcW w:w="739" w:type="dxa"/>
            <w:tcBorders/>
            <w:vAlign w:val="center"/>
          </w:tcPr>
          <w:p>
            <w:pPr>
              <w:pStyle w:val="TableContents"/>
              <w:bidi w:val="0"/>
              <w:spacing w:before="0" w:after="283"/>
              <w:jc w:val="center"/>
              <w:rPr/>
            </w:pPr>
            <w:r>
              <w:rPr/>
              <w:t> </w:t>
            </w:r>
          </w:p>
        </w:tc>
        <w:tc>
          <w:tcPr>
            <w:tcW w:w="1117" w:type="dxa"/>
            <w:tcBorders/>
            <w:vAlign w:val="center"/>
          </w:tcPr>
          <w:p>
            <w:pPr>
              <w:pStyle w:val="TableContents"/>
              <w:bidi w:val="0"/>
              <w:spacing w:before="0" w:after="283"/>
              <w:jc w:val="center"/>
              <w:rPr/>
            </w:pPr>
            <w:r>
              <w:rPr/>
              <w:t> </w:t>
            </w:r>
          </w:p>
        </w:tc>
        <w:tc>
          <w:tcPr>
            <w:tcW w:w="607" w:type="dxa"/>
            <w:tcBorders/>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765"/>
        <w:gridCol w:w="146"/>
        <w:gridCol w:w="4459"/>
        <w:gridCol w:w="931"/>
        <w:gridCol w:w="724"/>
        <w:gridCol w:w="518"/>
        <w:gridCol w:w="1110"/>
        <w:gridCol w:w="623"/>
        <w:gridCol w:w="929"/>
      </w:tblGrid>
      <w:tr>
        <w:trPr/>
        <w:tc>
          <w:tcPr>
            <w:tcW w:w="76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5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724" w:type="dxa"/>
            <w:tcBorders/>
            <w:shd w:fill="FFFFFF" w:val="clear"/>
            <w:vAlign w:val="center"/>
          </w:tcPr>
          <w:p>
            <w:pPr>
              <w:pStyle w:val="TableContents"/>
              <w:bidi w:val="0"/>
              <w:spacing w:before="0" w:after="283"/>
              <w:jc w:val="left"/>
              <w:rPr>
                <w:sz w:val="4"/>
                <w:szCs w:val="4"/>
              </w:rPr>
            </w:pPr>
            <w:r>
              <w:rPr>
                <w:sz w:val="4"/>
                <w:szCs w:val="4"/>
              </w:rPr>
            </w:r>
          </w:p>
        </w:tc>
        <w:tc>
          <w:tcPr>
            <w:tcW w:w="518" w:type="dxa"/>
            <w:tcBorders/>
            <w:shd w:fill="FFFFFF" w:val="clear"/>
            <w:vAlign w:val="center"/>
          </w:tcPr>
          <w:p>
            <w:pPr>
              <w:pStyle w:val="TableContents"/>
              <w:bidi w:val="0"/>
              <w:spacing w:before="0" w:after="283"/>
              <w:jc w:val="left"/>
              <w:rPr>
                <w:sz w:val="4"/>
                <w:szCs w:val="4"/>
              </w:rPr>
            </w:pPr>
            <w:r>
              <w:rPr>
                <w:sz w:val="4"/>
                <w:szCs w:val="4"/>
              </w:rPr>
            </w:r>
          </w:p>
        </w:tc>
        <w:tc>
          <w:tcPr>
            <w:tcW w:w="1110" w:type="dxa"/>
            <w:tcBorders/>
            <w:shd w:fill="FFFFFF" w:val="clear"/>
            <w:vAlign w:val="center"/>
          </w:tcPr>
          <w:p>
            <w:pPr>
              <w:pStyle w:val="TableContents"/>
              <w:bidi w:val="0"/>
              <w:spacing w:before="0" w:after="283"/>
              <w:jc w:val="left"/>
              <w:rPr>
                <w:sz w:val="4"/>
                <w:szCs w:val="4"/>
              </w:rPr>
            </w:pPr>
            <w:r>
              <w:rPr>
                <w:sz w:val="4"/>
                <w:szCs w:val="4"/>
              </w:rPr>
            </w:r>
          </w:p>
        </w:tc>
        <w:tc>
          <w:tcPr>
            <w:tcW w:w="623" w:type="dxa"/>
            <w:tcBorders/>
            <w:shd w:fill="FFFFFF" w:val="clear"/>
            <w:vAlign w:val="center"/>
          </w:tcPr>
          <w:p>
            <w:pPr>
              <w:pStyle w:val="TableContents"/>
              <w:bidi w:val="0"/>
              <w:spacing w:before="0" w:after="283"/>
              <w:jc w:val="left"/>
              <w:rPr>
                <w:sz w:val="4"/>
                <w:szCs w:val="4"/>
              </w:rPr>
            </w:pPr>
            <w:r>
              <w:rPr>
                <w:sz w:val="4"/>
                <w:szCs w:val="4"/>
              </w:rPr>
            </w:r>
          </w:p>
        </w:tc>
        <w:tc>
          <w:tcPr>
            <w:tcW w:w="929" w:type="dxa"/>
            <w:tcBorders/>
            <w:shd w:fill="FFFFFF" w:val="clear"/>
          </w:tcPr>
          <w:p>
            <w:pPr>
              <w:pStyle w:val="TableContents"/>
              <w:bidi w:val="0"/>
              <w:spacing w:before="0" w:after="283"/>
              <w:jc w:val="left"/>
              <w:rPr>
                <w:sz w:val="4"/>
                <w:szCs w:val="4"/>
              </w:rPr>
            </w:pPr>
            <w:r>
              <w:rPr>
                <w:sz w:val="4"/>
                <w:szCs w:val="4"/>
              </w:rPr>
            </w:r>
          </w:p>
        </w:tc>
      </w:tr>
      <w:tr>
        <w:trPr/>
        <w:tc>
          <w:tcPr>
            <w:tcW w:w="765" w:type="dxa"/>
            <w:vMerge w:val="restart"/>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146" w:type="dxa"/>
            <w:tcBorders/>
            <w:vAlign w:val="center"/>
          </w:tcPr>
          <w:p>
            <w:pPr>
              <w:pStyle w:val="TableContents"/>
              <w:bidi w:val="0"/>
              <w:spacing w:before="0" w:after="283"/>
              <w:jc w:val="left"/>
              <w:rPr/>
            </w:pPr>
            <w:r>
              <w:rPr/>
              <w:t> </w:t>
            </w:r>
          </w:p>
        </w:tc>
        <w:tc>
          <w:tcPr>
            <w:tcW w:w="4459" w:type="dxa"/>
            <w:tcBorders/>
            <w:tcMar>
              <w:top w:w="0" w:type="dxa"/>
              <w:left w:w="0" w:type="dxa"/>
              <w:bottom w:w="0" w:type="dxa"/>
              <w:right w:w="0" w:type="dxa"/>
            </w:tcMar>
            <w:vAlign w:val="center"/>
          </w:tcPr>
          <w:p>
            <w:pPr>
              <w:pStyle w:val="TableContents"/>
              <w:bidi w:val="0"/>
              <w:spacing w:before="0" w:after="283"/>
              <w:jc w:val="left"/>
              <w:rPr/>
            </w:pPr>
            <w:r>
              <w:rPr/>
              <w:t> </w:t>
            </w:r>
          </w:p>
        </w:tc>
        <w:tc>
          <w:tcPr>
            <w:tcW w:w="3283" w:type="dxa"/>
            <w:gridSpan w:val="4"/>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62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29" w:type="dxa"/>
            <w:tcBorders/>
          </w:tcPr>
          <w:p>
            <w:pPr>
              <w:pStyle w:val="TableContents"/>
              <w:bidi w:val="0"/>
              <w:spacing w:before="0" w:after="283"/>
              <w:jc w:val="left"/>
              <w:rPr>
                <w:sz w:val="4"/>
                <w:szCs w:val="4"/>
              </w:rPr>
            </w:pPr>
            <w:r>
              <w:rPr>
                <w:sz w:val="4"/>
                <w:szCs w:val="4"/>
              </w:rPr>
            </w:r>
          </w:p>
        </w:tc>
      </w:tr>
      <w:tr>
        <w:trPr/>
        <w:tc>
          <w:tcPr>
            <w:tcW w:w="765"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4459" w:type="dxa"/>
            <w:tcBorders/>
            <w:vAlign w:val="center"/>
          </w:tcPr>
          <w:p>
            <w:pPr>
              <w:pStyle w:val="TableContents"/>
              <w:bidi w:val="0"/>
              <w:spacing w:before="0" w:after="283"/>
              <w:jc w:val="left"/>
              <w:rPr>
                <w:sz w:val="4"/>
                <w:szCs w:val="4"/>
              </w:rPr>
            </w:pPr>
            <w:r>
              <w:rPr>
                <w:sz w:val="4"/>
                <w:szCs w:val="4"/>
              </w:rPr>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72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51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11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62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92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Herewith</w:t>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9"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Asset Purchase Agreement dated as of March 2, 2021, among the Company, Topcon Medical Laser Systems, Inc. and Topcon America Corporation.</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8-K/A</w:t>
            </w:r>
          </w:p>
        </w:tc>
        <w:tc>
          <w:tcPr>
            <w:tcW w:w="7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18"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10.1</w:t>
            </w:r>
          </w:p>
          <w:p>
            <w:pPr>
              <w:pStyle w:val="TableContents"/>
              <w:bidi w:val="0"/>
              <w:spacing w:before="0" w:after="283"/>
              <w:jc w:val="left"/>
              <w:rPr/>
            </w:pPr>
            <w:r>
              <w:rPr/>
              <w:t> </w:t>
            </w:r>
          </w:p>
        </w:tc>
        <w:tc>
          <w:tcPr>
            <w:tcW w:w="11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2021</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9"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9"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Distribution Agreement dated as of March 2, 2021, by and between the Company and Topcon Corporation.</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8-K/A</w:t>
            </w:r>
          </w:p>
        </w:tc>
        <w:tc>
          <w:tcPr>
            <w:tcW w:w="7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1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2021</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9"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9"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Investment Agreement dated as of March 2, 2021, by and between the Company and Topcon America Corporation.</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8-K/A</w:t>
            </w:r>
          </w:p>
        </w:tc>
        <w:tc>
          <w:tcPr>
            <w:tcW w:w="7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1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2021</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9"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9"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Registration Rights Agreement dated as of March 2, 2021, by and between the Company and Topcon America Corporation.</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8-K/A</w:t>
            </w:r>
          </w:p>
        </w:tc>
        <w:tc>
          <w:tcPr>
            <w:tcW w:w="7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1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2021</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9"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tcBorders/>
            <w:tcMar>
              <w:top w:w="0" w:type="dxa"/>
              <w:left w:w="0" w:type="dxa"/>
              <w:bottom w:w="0" w:type="dxa"/>
              <w:right w:w="0" w:type="dxa"/>
            </w:tcMar>
            <w:vAlign w:val="center"/>
          </w:tcPr>
          <w:p>
            <w:pPr>
              <w:pStyle w:val="TableContents"/>
              <w:bidi w:val="0"/>
              <w:spacing w:before="0" w:after="283"/>
              <w:jc w:val="left"/>
              <w:rPr/>
            </w:pPr>
            <w:hyperlink w:anchor="irix-ex21_1.htm">
              <w:r>
                <w:rPr>
                  <w:rStyle w:val="InternetLink"/>
                  <w:rFonts w:ascii="Times New Roman" w:hAnsi="Times New Roman"/>
                  <w:color w:val="0000FF"/>
                  <w:sz w:val="20"/>
                  <w:u w:val="single"/>
                </w:rPr>
                <w:t>Subsidiaries of Registrant</w:t>
              </w:r>
            </w:hyperlink>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X</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9"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9" w:type="dxa"/>
            <w:tcBorders/>
            <w:tcMar>
              <w:top w:w="0" w:type="dxa"/>
              <w:left w:w="0" w:type="dxa"/>
              <w:bottom w:w="0" w:type="dxa"/>
              <w:right w:w="0" w:type="dxa"/>
            </w:tcMar>
            <w:vAlign w:val="center"/>
          </w:tcPr>
          <w:p>
            <w:pPr>
              <w:pStyle w:val="TableContents"/>
              <w:bidi w:val="0"/>
              <w:spacing w:before="0" w:after="283"/>
              <w:jc w:val="left"/>
              <w:rPr/>
            </w:pPr>
            <w:hyperlink w:anchor="irix-ex23_1.htm">
              <w:r>
                <w:rPr>
                  <w:rStyle w:val="InternetLink"/>
                  <w:rFonts w:ascii="Times New Roman" w:hAnsi="Times New Roman"/>
                  <w:color w:val="0000FF"/>
                  <w:sz w:val="20"/>
                  <w:u w:val="single"/>
                </w:rPr>
                <w:t>Consent of BPM LLP, Independent Registered Public Accounting Firm.</w:t>
              </w:r>
            </w:hyperlink>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X</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9"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Power of Attorney (included on signature page).</w:t>
              </w:r>
            </w:hyperlink>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X</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9"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tcBorders/>
            <w:tcMar>
              <w:top w:w="0" w:type="dxa"/>
              <w:left w:w="0" w:type="dxa"/>
              <w:bottom w:w="0" w:type="dxa"/>
              <w:right w:w="0" w:type="dxa"/>
            </w:tcMar>
            <w:vAlign w:val="center"/>
          </w:tcPr>
          <w:p>
            <w:pPr>
              <w:pStyle w:val="TableContents"/>
              <w:bidi w:val="0"/>
              <w:spacing w:before="0" w:after="283"/>
              <w:jc w:val="left"/>
              <w:rPr/>
            </w:pPr>
            <w:hyperlink w:anchor="irix-ex31_1.htm">
              <w:r>
                <w:rPr>
                  <w:rStyle w:val="InternetLink"/>
                  <w:rFonts w:ascii="Times New Roman" w:hAnsi="Times New Roman"/>
                  <w:color w:val="0000FF"/>
                  <w:sz w:val="20"/>
                  <w:u w:val="single"/>
                </w:rPr>
                <w:t>Certification of Principal Executive Officer pursuant to Section 302 of the Sarbanes-Oxley Act of 2002.</w:t>
              </w:r>
            </w:hyperlink>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X</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9"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tcBorders/>
            <w:tcMar>
              <w:top w:w="0" w:type="dxa"/>
              <w:left w:w="0" w:type="dxa"/>
              <w:bottom w:w="0" w:type="dxa"/>
              <w:right w:w="0" w:type="dxa"/>
            </w:tcMar>
            <w:vAlign w:val="center"/>
          </w:tcPr>
          <w:p>
            <w:pPr>
              <w:pStyle w:val="TableContents"/>
              <w:bidi w:val="0"/>
              <w:spacing w:before="0" w:after="283"/>
              <w:jc w:val="left"/>
              <w:rPr/>
            </w:pPr>
            <w:hyperlink w:anchor="irix-ex31_2.htm">
              <w:r>
                <w:rPr>
                  <w:rStyle w:val="InternetLink"/>
                  <w:rFonts w:ascii="Times New Roman" w:hAnsi="Times New Roman"/>
                  <w:color w:val="0000FF"/>
                  <w:sz w:val="20"/>
                  <w:u w:val="single"/>
                </w:rPr>
                <w:t>Certification of Principal Financial Officer pursuant to Section 302 of the Sarbanes-Oxley Act of 2002.</w:t>
              </w:r>
            </w:hyperlink>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X</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9"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tcBorders/>
            <w:tcMar>
              <w:top w:w="0" w:type="dxa"/>
              <w:left w:w="0" w:type="dxa"/>
              <w:bottom w:w="0" w:type="dxa"/>
              <w:right w:w="0" w:type="dxa"/>
            </w:tcMar>
            <w:vAlign w:val="center"/>
          </w:tcPr>
          <w:p>
            <w:pPr>
              <w:pStyle w:val="TableContents"/>
              <w:bidi w:val="0"/>
              <w:spacing w:before="0" w:after="283"/>
              <w:jc w:val="left"/>
              <w:rPr/>
            </w:pPr>
            <w:hyperlink w:anchor="iri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X</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9"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tcBorders/>
            <w:tcMar>
              <w:top w:w="0" w:type="dxa"/>
              <w:left w:w="0" w:type="dxa"/>
              <w:bottom w:w="0" w:type="dxa"/>
              <w:right w:w="0" w:type="dxa"/>
            </w:tcMar>
            <w:vAlign w:val="center"/>
          </w:tcPr>
          <w:p>
            <w:pPr>
              <w:pStyle w:val="TableContents"/>
              <w:bidi w:val="0"/>
              <w:spacing w:before="0" w:after="283"/>
              <w:jc w:val="left"/>
              <w:rPr/>
            </w:pPr>
            <w:hyperlink w:anchor="irix-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X</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9" w:type="dxa"/>
            <w:tcBorders/>
            <w:tcMar>
              <w:top w:w="0" w:type="dxa"/>
              <w:left w:w="0" w:type="dxa"/>
              <w:bottom w:w="0" w:type="dxa"/>
              <w:right w:w="0" w:type="dxa"/>
            </w:tcMar>
            <w:vAlign w:val="center"/>
          </w:tcPr>
          <w:p>
            <w:pPr>
              <w:pStyle w:val="TableContents"/>
              <w:bidi w:val="0"/>
              <w:spacing w:before="0" w:after="283"/>
              <w:jc w:val="left"/>
              <w:rPr/>
            </w:pPr>
            <w:hyperlink w:anchor="irix-ex97_1.htm">
              <w:r>
                <w:rPr>
                  <w:rStyle w:val="InternetLink"/>
                  <w:rFonts w:ascii="Times New Roman" w:hAnsi="Times New Roman"/>
                  <w:color w:val="0000FF"/>
                  <w:sz w:val="20"/>
                  <w:u w:val="single"/>
                </w:rPr>
                <w:t>Compensation Recovery Policy of Registrant as adopted on November 20, 2023.</w:t>
              </w:r>
            </w:hyperlink>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X</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9"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Verified Petition for Relief Pursuant to 8 Del. C. § 205 of the Registrant, filed October 2, 2023.</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1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18, 2023</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9"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9"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Order entered by the Delaware Court of Chancery on November 1, 2023.</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1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7, 2023</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9"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9"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9"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9" w:type="dxa"/>
            <w:tcBorders/>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9" w:type="dxa"/>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Indicates a management contract or compensatory plan or arrangement.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b/>
          <w:color w:val="000000"/>
          <w:sz w:val="20"/>
        </w:rPr>
        <w:t>Trademark Acknowledgments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Iridex, the Iridex logo, IRIS Medical, MicroPulse, OcuLight, EndoProbe, MicroPulse P3, G-Probe, G-Probe Illuminate, TruFocus LIO Premiere, IQ 577, IQ532, Cyclo G6, and TxCell are our registered trademarks. All other trademarks or trade names appearing in this Annual Report on Form 10-K are the property of their respective owners.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35" w:name="signatures"/>
      <w:bookmarkEnd w:id="35"/>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Section 13 or 15(d) of the Securities Exchange Act of 1934, the Registrant has duly caused this report to be signed on its behalf by the undersigned, thereunto duly authorized, in the City of Mountain View, State of California, on the 29th day of March 2024. </w:t>
      </w:r>
    </w:p>
    <w:p>
      <w:pPr>
        <w:pStyle w:val="TextBody"/>
        <w:bidi w:val="0"/>
        <w:jc w:val="left"/>
        <w:rPr/>
      </w:pPr>
      <w:r>
        <w:rPr/>
        <w:t> </w:t>
      </w:r>
    </w:p>
    <w:tbl>
      <w:tblPr>
        <w:tblW w:w="4343" w:type="dxa"/>
        <w:jc w:val="left"/>
        <w:tblInd w:w="0" w:type="dxa"/>
        <w:tblLayout w:type="fixed"/>
        <w:tblCellMar>
          <w:top w:w="28" w:type="dxa"/>
          <w:left w:w="28" w:type="dxa"/>
          <w:bottom w:w="28" w:type="dxa"/>
          <w:right w:w="28" w:type="dxa"/>
        </w:tblCellMar>
      </w:tblPr>
      <w:tblGrid>
        <w:gridCol w:w="431"/>
        <w:gridCol w:w="416"/>
        <w:gridCol w:w="3196"/>
        <w:gridCol w:w="109"/>
        <w:gridCol w:w="191"/>
      </w:tblGrid>
      <w:tr>
        <w:trPr/>
        <w:tc>
          <w:tcPr>
            <w:tcW w:w="43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IRIDEX CORPORATION</w:t>
            </w:r>
          </w:p>
        </w:tc>
        <w:tc>
          <w:tcPr>
            <w:tcW w:w="3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1" w:type="dxa"/>
            <w:tcBorders/>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I. Bruce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1" w:type="dxa"/>
            <w:tcBorders/>
            <w:tcMar>
              <w:top w:w="0" w:type="dxa"/>
              <w:left w:w="0" w:type="dxa"/>
              <w:bottom w:w="0" w:type="dxa"/>
              <w:right w:w="0" w:type="dxa"/>
            </w:tcMar>
            <w:vAlign w:val="center"/>
          </w:tcPr>
          <w:p>
            <w:pPr>
              <w:pStyle w:val="TableContents"/>
              <w:bidi w:val="0"/>
              <w:spacing w:before="0" w:after="283"/>
              <w:ind w:left="0" w:right="0" w:firstLine="270"/>
              <w:jc w:val="left"/>
              <w:rPr/>
            </w:pPr>
            <w:r>
              <w:rPr/>
              <w:t> </w:t>
            </w:r>
          </w:p>
        </w:tc>
        <w:tc>
          <w:tcPr>
            <w:tcW w:w="416" w:type="dxa"/>
            <w:tcBorders/>
            <w:tcMar>
              <w:top w:w="0" w:type="dxa"/>
              <w:left w:w="0" w:type="dxa"/>
              <w:bottom w:w="0" w:type="dxa"/>
              <w:right w:w="0" w:type="dxa"/>
            </w:tcMar>
            <w:vAlign w:val="center"/>
          </w:tcPr>
          <w:p>
            <w:pPr>
              <w:pStyle w:val="TableContents"/>
              <w:bidi w:val="0"/>
              <w:spacing w:before="0" w:after="283"/>
              <w:ind w:left="0" w:right="0" w:firstLine="270"/>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I. Bruce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1" w:type="dxa"/>
            <w:tcBorders/>
            <w:tcMar>
              <w:top w:w="0" w:type="dxa"/>
              <w:left w:w="0" w:type="dxa"/>
              <w:bottom w:w="0" w:type="dxa"/>
              <w:right w:w="0" w:type="dxa"/>
            </w:tcMar>
            <w:vAlign w:val="center"/>
          </w:tcPr>
          <w:p>
            <w:pPr>
              <w:pStyle w:val="TableContents"/>
              <w:bidi w:val="0"/>
              <w:spacing w:before="0" w:after="283"/>
              <w:ind w:left="0" w:right="0" w:firstLine="270"/>
              <w:jc w:val="left"/>
              <w:rPr/>
            </w:pPr>
            <w:r>
              <w:rPr/>
              <w:t> </w:t>
            </w:r>
          </w:p>
        </w:tc>
        <w:tc>
          <w:tcPr>
            <w:tcW w:w="416" w:type="dxa"/>
            <w:tcBorders/>
            <w:tcMar>
              <w:top w:w="0" w:type="dxa"/>
              <w:left w:w="0" w:type="dxa"/>
              <w:bottom w:w="0" w:type="dxa"/>
              <w:right w:w="0" w:type="dxa"/>
            </w:tcMar>
            <w:vAlign w:val="center"/>
          </w:tcPr>
          <w:p>
            <w:pPr>
              <w:pStyle w:val="TableContents"/>
              <w:bidi w:val="0"/>
              <w:spacing w:before="0" w:after="283"/>
              <w:ind w:left="0" w:right="0" w:firstLine="270"/>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and Chief Executive Officer</w:t>
            </w:r>
          </w:p>
        </w:tc>
        <w:tc>
          <w:tcPr>
            <w:tcW w:w="30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3803" w:type="dxa"/>
        <w:jc w:val="left"/>
        <w:tblInd w:w="0" w:type="dxa"/>
        <w:tblLayout w:type="fixed"/>
        <w:tblCellMar>
          <w:top w:w="28" w:type="dxa"/>
          <w:left w:w="28" w:type="dxa"/>
          <w:bottom w:w="28" w:type="dxa"/>
          <w:right w:w="28" w:type="dxa"/>
        </w:tblCellMar>
      </w:tblPr>
      <w:tblGrid>
        <w:gridCol w:w="431"/>
        <w:gridCol w:w="416"/>
        <w:gridCol w:w="2656"/>
        <w:gridCol w:w="109"/>
        <w:gridCol w:w="191"/>
      </w:tblGrid>
      <w:tr>
        <w:trPr/>
        <w:tc>
          <w:tcPr>
            <w:tcW w:w="43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1" w:type="dxa"/>
            <w:tcBorders/>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Fuad Ahmad</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1" w:type="dxa"/>
            <w:tcBorders/>
            <w:tcMar>
              <w:top w:w="0" w:type="dxa"/>
              <w:left w:w="0" w:type="dxa"/>
              <w:bottom w:w="0" w:type="dxa"/>
              <w:right w:w="0" w:type="dxa"/>
            </w:tcMar>
            <w:vAlign w:val="center"/>
          </w:tcPr>
          <w:p>
            <w:pPr>
              <w:pStyle w:val="TableContents"/>
              <w:bidi w:val="0"/>
              <w:spacing w:before="0" w:after="283"/>
              <w:ind w:left="0" w:right="0" w:firstLine="270"/>
              <w:jc w:val="left"/>
              <w:rPr/>
            </w:pPr>
            <w:r>
              <w:rPr/>
              <w:t> </w:t>
            </w:r>
          </w:p>
        </w:tc>
        <w:tc>
          <w:tcPr>
            <w:tcW w:w="416" w:type="dxa"/>
            <w:tcBorders/>
            <w:tcMar>
              <w:top w:w="0" w:type="dxa"/>
              <w:left w:w="0" w:type="dxa"/>
              <w:bottom w:w="0" w:type="dxa"/>
              <w:right w:w="0" w:type="dxa"/>
            </w:tcMar>
            <w:vAlign w:val="center"/>
          </w:tcPr>
          <w:p>
            <w:pPr>
              <w:pStyle w:val="TableContents"/>
              <w:bidi w:val="0"/>
              <w:spacing w:before="0" w:after="283"/>
              <w:ind w:left="0" w:right="0" w:firstLine="270"/>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Fuad Ahmad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1" w:type="dxa"/>
            <w:tcBorders/>
            <w:tcMar>
              <w:top w:w="0" w:type="dxa"/>
              <w:left w:w="0" w:type="dxa"/>
              <w:bottom w:w="0" w:type="dxa"/>
              <w:right w:w="0" w:type="dxa"/>
            </w:tcMar>
            <w:vAlign w:val="center"/>
          </w:tcPr>
          <w:p>
            <w:pPr>
              <w:pStyle w:val="TableContents"/>
              <w:bidi w:val="0"/>
              <w:spacing w:before="0" w:after="283"/>
              <w:ind w:left="0" w:right="0" w:firstLine="270"/>
              <w:jc w:val="left"/>
              <w:rPr/>
            </w:pPr>
            <w:r>
              <w:rPr/>
              <w:t> </w:t>
            </w:r>
          </w:p>
        </w:tc>
        <w:tc>
          <w:tcPr>
            <w:tcW w:w="416" w:type="dxa"/>
            <w:tcBorders/>
            <w:tcMar>
              <w:top w:w="0" w:type="dxa"/>
              <w:left w:w="0" w:type="dxa"/>
              <w:bottom w:w="0" w:type="dxa"/>
              <w:right w:w="0" w:type="dxa"/>
            </w:tcMar>
            <w:vAlign w:val="center"/>
          </w:tcPr>
          <w:p>
            <w:pPr>
              <w:pStyle w:val="TableContents"/>
              <w:bidi w:val="0"/>
              <w:spacing w:before="0" w:after="283"/>
              <w:ind w:left="0" w:right="0" w:firstLine="270"/>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Interim Chief Financial Officer</w:t>
            </w:r>
          </w:p>
        </w:tc>
        <w:tc>
          <w:tcPr>
            <w:tcW w:w="30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KNOW ALL PERSONS BY THESE PRESENTS, that each person whose signature appears below constitutes and appoints David I. Bruce and Fuad Ahmad, jointly and severally, their attorney-in-fact, each with full power of substitution, for him in any and all capacities, to sign on behalf of the undersigned any amendments to this Annual Report on Form 10-K, and to file the same, with exhibits thereto and other documents in connection therewith, with the Securities and Exchange Commission, and each of the undersigned does hereby ratifying and confirming all that each of said attorneys-in-fact, or his substitutes, may do or cause to be done by virtue hereof.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Act of 1934, this report has been signed by the following persons in the capacities and on the dates indicated. </w:t>
      </w:r>
    </w:p>
    <w:tbl>
      <w:tblPr>
        <w:tblW w:w="6880" w:type="dxa"/>
        <w:jc w:val="left"/>
        <w:tblInd w:w="0" w:type="dxa"/>
        <w:tblLayout w:type="fixed"/>
        <w:tblCellMar>
          <w:top w:w="28" w:type="dxa"/>
          <w:left w:w="28" w:type="dxa"/>
          <w:bottom w:w="28" w:type="dxa"/>
          <w:right w:w="28" w:type="dxa"/>
        </w:tblCellMar>
      </w:tblPr>
      <w:tblGrid>
        <w:gridCol w:w="1951"/>
        <w:gridCol w:w="146"/>
        <w:gridCol w:w="3196"/>
        <w:gridCol w:w="146"/>
        <w:gridCol w:w="1441"/>
      </w:tblGrid>
      <w:tr>
        <w:trPr/>
        <w:tc>
          <w:tcPr>
            <w:tcW w:w="19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1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19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9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1951"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 David I. Bruce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120" w:after="283"/>
              <w:jc w:val="left"/>
              <w:rPr>
                <w:rFonts w:ascii="Times New Roman" w:hAnsi="Times New Roman"/>
                <w:i/>
                <w:color w:val="000000"/>
                <w:sz w:val="20"/>
              </w:rPr>
            </w:pPr>
            <w:r>
              <w:rPr>
                <w:rFonts w:ascii="Times New Roman" w:hAnsi="Times New Roman"/>
                <w:i/>
                <w:color w:val="000000"/>
                <w:sz w:val="20"/>
              </w:rPr>
              <w:t>President and Chief Executive Officer</w:t>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March 29, 2024</w:t>
            </w:r>
          </w:p>
        </w:tc>
      </w:tr>
      <w:tr>
        <w:trPr/>
        <w:tc>
          <w:tcPr>
            <w:tcW w:w="19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I. Bruce)</w:t>
            </w:r>
          </w:p>
        </w:tc>
        <w:tc>
          <w:tcPr>
            <w:tcW w:w="14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r>
      <w:tr>
        <w:trPr/>
        <w:tc>
          <w:tcPr>
            <w:tcW w:w="1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r>
      <w:tr>
        <w:trPr/>
        <w:tc>
          <w:tcPr>
            <w:tcW w:w="19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Fuad Ahmad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Interim Chief Financial Officer</w:t>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29, 2024</w:t>
            </w:r>
          </w:p>
        </w:tc>
      </w:tr>
      <w:tr>
        <w:trPr/>
        <w:tc>
          <w:tcPr>
            <w:tcW w:w="19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(Fuad Ahmad)</w:t>
            </w:r>
          </w:p>
        </w:tc>
        <w:tc>
          <w:tcPr>
            <w:tcW w:w="146" w:type="dxa"/>
            <w:tcBorders/>
            <w:vAlign w:val="center"/>
          </w:tcPr>
          <w:p>
            <w:pPr>
              <w:pStyle w:val="TableContents"/>
              <w:bidi w:val="0"/>
              <w:spacing w:before="0" w:after="283"/>
              <w:jc w:val="left"/>
              <w:rPr/>
            </w:pPr>
            <w:r>
              <w:rPr/>
              <w:t> </w:t>
            </w:r>
          </w:p>
        </w:tc>
        <w:tc>
          <w:tcPr>
            <w:tcW w:w="3196" w:type="dxa"/>
            <w:tcBorders/>
            <w:vAlign w:val="center"/>
          </w:tcPr>
          <w:p>
            <w:pPr>
              <w:pStyle w:val="TableContents"/>
              <w:bidi w:val="0"/>
              <w:jc w:val="left"/>
              <w:rPr>
                <w:rFonts w:ascii="Times New Roman" w:hAnsi="Times New Roman"/>
                <w:sz w:val="20"/>
              </w:rPr>
            </w:pPr>
            <w:r>
              <w:rPr>
                <w:rFonts w:ascii="Times New Roman" w:hAnsi="Times New Roman"/>
                <w:i/>
                <w:color w:val="000000"/>
                <w:sz w:val="20"/>
              </w:rPr>
              <w:t>(Principal Financial Officer and</w:t>
            </w:r>
            <w:r>
              <w:rPr>
                <w:rFonts w:ascii="Times New Roman" w:hAnsi="Times New Roman"/>
                <w:color w:val="000000"/>
                <w:sz w:val="20"/>
              </w:rPr>
              <w:t xml:space="preserve">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Accounting Officer)</w:t>
            </w:r>
          </w:p>
        </w:tc>
        <w:tc>
          <w:tcPr>
            <w:tcW w:w="146"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r>
      <w:tr>
        <w:trPr/>
        <w:tc>
          <w:tcPr>
            <w:tcW w:w="1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r>
      <w:tr>
        <w:trPr/>
        <w:tc>
          <w:tcPr>
            <w:tcW w:w="19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Scott Shuda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Chairperson of the Board</w:t>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29, 2024</w:t>
            </w:r>
          </w:p>
        </w:tc>
      </w:tr>
      <w:tr>
        <w:trPr/>
        <w:tc>
          <w:tcPr>
            <w:tcW w:w="19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Shuda)</w:t>
            </w:r>
          </w:p>
        </w:tc>
        <w:tc>
          <w:tcPr>
            <w:tcW w:w="146" w:type="dxa"/>
            <w:tcBorders/>
            <w:vAlign w:val="center"/>
          </w:tcPr>
          <w:p>
            <w:pPr>
              <w:pStyle w:val="TableContents"/>
              <w:bidi w:val="0"/>
              <w:spacing w:before="0" w:after="283"/>
              <w:jc w:val="left"/>
              <w:rPr/>
            </w:pPr>
            <w:r>
              <w:rPr/>
              <w:t> </w:t>
            </w:r>
          </w:p>
        </w:tc>
        <w:tc>
          <w:tcPr>
            <w:tcW w:w="3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r>
      <w:tr>
        <w:trPr/>
        <w:tc>
          <w:tcPr>
            <w:tcW w:w="1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r>
      <w:tr>
        <w:trPr/>
        <w:tc>
          <w:tcPr>
            <w:tcW w:w="19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Nandini Devi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29, 2024</w:t>
            </w:r>
          </w:p>
        </w:tc>
      </w:tr>
      <w:tr>
        <w:trPr/>
        <w:tc>
          <w:tcPr>
            <w:tcW w:w="19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(Nandini Devi)</w:t>
            </w:r>
          </w:p>
        </w:tc>
        <w:tc>
          <w:tcPr>
            <w:tcW w:w="146" w:type="dxa"/>
            <w:tcBorders/>
            <w:vAlign w:val="center"/>
          </w:tcPr>
          <w:p>
            <w:pPr>
              <w:pStyle w:val="TableContents"/>
              <w:bidi w:val="0"/>
              <w:spacing w:before="0" w:after="283"/>
              <w:jc w:val="left"/>
              <w:rPr/>
            </w:pPr>
            <w:r>
              <w:rPr/>
              <w:t> </w:t>
            </w:r>
          </w:p>
        </w:tc>
        <w:tc>
          <w:tcPr>
            <w:tcW w:w="3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r>
      <w:tr>
        <w:trPr/>
        <w:tc>
          <w:tcPr>
            <w:tcW w:w="1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r>
      <w:tr>
        <w:trPr/>
        <w:tc>
          <w:tcPr>
            <w:tcW w:w="19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Robert Grove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29, 2024</w:t>
            </w:r>
          </w:p>
        </w:tc>
      </w:tr>
      <w:tr>
        <w:trPr/>
        <w:tc>
          <w:tcPr>
            <w:tcW w:w="19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Grove)</w:t>
            </w:r>
          </w:p>
        </w:tc>
        <w:tc>
          <w:tcPr>
            <w:tcW w:w="146" w:type="dxa"/>
            <w:tcBorders/>
            <w:vAlign w:val="center"/>
          </w:tcPr>
          <w:p>
            <w:pPr>
              <w:pStyle w:val="TableContents"/>
              <w:bidi w:val="0"/>
              <w:spacing w:before="0" w:after="283"/>
              <w:jc w:val="left"/>
              <w:rPr/>
            </w:pPr>
            <w:r>
              <w:rPr/>
              <w:t> </w:t>
            </w:r>
          </w:p>
        </w:tc>
        <w:tc>
          <w:tcPr>
            <w:tcW w:w="3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r>
      <w:tr>
        <w:trPr/>
        <w:tc>
          <w:tcPr>
            <w:tcW w:w="1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r>
      <w:tr>
        <w:trPr/>
        <w:tc>
          <w:tcPr>
            <w:tcW w:w="19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Beverly A. Huss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196"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Director</w:t>
            </w:r>
          </w:p>
        </w:tc>
        <w:tc>
          <w:tcPr>
            <w:tcW w:w="146"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29, 2024</w:t>
            </w:r>
          </w:p>
        </w:tc>
      </w:tr>
      <w:tr>
        <w:trPr/>
        <w:tc>
          <w:tcPr>
            <w:tcW w:w="19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(Beverly A. Huss)</w:t>
            </w:r>
          </w:p>
        </w:tc>
        <w:tc>
          <w:tcPr>
            <w:tcW w:w="146" w:type="dxa"/>
            <w:tcBorders/>
            <w:vAlign w:val="center"/>
          </w:tcPr>
          <w:p>
            <w:pPr>
              <w:pStyle w:val="TableContents"/>
              <w:bidi w:val="0"/>
              <w:spacing w:before="0" w:after="283"/>
              <w:jc w:val="left"/>
              <w:rPr/>
            </w:pPr>
            <w:r>
              <w:rPr/>
              <w:t> </w:t>
            </w:r>
          </w:p>
        </w:tc>
        <w:tc>
          <w:tcPr>
            <w:tcW w:w="3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r>
      <w:tr>
        <w:trPr/>
        <w:tc>
          <w:tcPr>
            <w:tcW w:w="1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r>
      <w:tr>
        <w:trPr/>
        <w:tc>
          <w:tcPr>
            <w:tcW w:w="19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Kenneth E. Ludlum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29, 2024</w:t>
            </w:r>
          </w:p>
        </w:tc>
      </w:tr>
      <w:tr>
        <w:trPr/>
        <w:tc>
          <w:tcPr>
            <w:tcW w:w="19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(Kenneth E. Ludlum)</w:t>
            </w:r>
          </w:p>
        </w:tc>
        <w:tc>
          <w:tcPr>
            <w:tcW w:w="146" w:type="dxa"/>
            <w:tcBorders/>
            <w:vAlign w:val="center"/>
          </w:tcPr>
          <w:p>
            <w:pPr>
              <w:pStyle w:val="TableContents"/>
              <w:bidi w:val="0"/>
              <w:spacing w:before="0" w:after="283"/>
              <w:jc w:val="left"/>
              <w:rPr/>
            </w:pPr>
            <w:r>
              <w:rPr/>
              <w:t> </w:t>
            </w:r>
          </w:p>
        </w:tc>
        <w:tc>
          <w:tcPr>
            <w:tcW w:w="3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6" w:name="irix-ex3_1.htm"/>
      <w:bookmarkStart w:id="37" w:name="ksirixex3_1"/>
      <w:bookmarkStart w:id="38" w:name="irix-ex3_1.htm"/>
      <w:bookmarkStart w:id="39" w:name="ksirixex3_1"/>
      <w:bookmarkEnd w:id="38"/>
      <w:bookmarkEnd w:id="39"/>
      <w:r>
        <w:br w:type="page"/>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3451" w:type="dxa"/>
            <w:tcBorders/>
            <w:vAlign w:val="center"/>
          </w:tcPr>
          <w:p>
            <w:pPr>
              <w:pStyle w:val="TableContents"/>
              <w:bidi w:val="0"/>
              <w:ind w:left="720" w:right="0" w:firstLine="720"/>
              <w:jc w:val="right"/>
              <w:rPr>
                <w:color w:val="000000"/>
              </w:rPr>
            </w:pPr>
            <w:r>
              <w:rPr>
                <w:color w:val="000000"/>
              </w:rPr>
              <w:t>      </w:t>
            </w:r>
            <w:r>
              <w:rPr>
                <w:rFonts w:ascii="Times New Roman" w:hAnsi="Times New Roman"/>
                <w:b/>
                <w:color w:val="000000"/>
                <w:sz w:val="20"/>
              </w:rPr>
              <w:t>EXHIBIT 3.1</w:t>
            </w:r>
          </w:p>
          <w:p>
            <w:pPr>
              <w:pStyle w:val="TableContents"/>
              <w:bidi w:val="0"/>
              <w:ind w:left="0" w:right="0" w:firstLine="720"/>
              <w:jc w:val="center"/>
              <w:rPr/>
            </w:pPr>
            <w:r>
              <w:rPr/>
              <w:t> </w:t>
            </w:r>
          </w:p>
          <w:p>
            <w:pPr>
              <w:pStyle w:val="TableContents"/>
              <w:bidi w:val="0"/>
              <w:ind w:left="0" w:right="0" w:firstLine="720"/>
              <w:jc w:val="center"/>
              <w:rPr>
                <w:rFonts w:ascii="Times New Roman" w:hAnsi="Times New Roman"/>
                <w:color w:val="000000"/>
                <w:sz w:val="16"/>
              </w:rPr>
            </w:pPr>
            <w:r>
              <w:rPr>
                <w:rFonts w:ascii="Times New Roman" w:hAnsi="Times New Roman"/>
                <w:color w:val="000000"/>
                <w:sz w:val="16"/>
              </w:rPr>
              <w:t>STATE OF DELAWARE</w:t>
            </w:r>
          </w:p>
          <w:p>
            <w:pPr>
              <w:pStyle w:val="TableContents"/>
              <w:bidi w:val="0"/>
              <w:ind w:left="0" w:right="0" w:firstLine="720"/>
              <w:jc w:val="center"/>
              <w:rPr>
                <w:rFonts w:ascii="Times New Roman" w:hAnsi="Times New Roman"/>
                <w:color w:val="000000"/>
                <w:sz w:val="18"/>
              </w:rPr>
            </w:pPr>
            <w:r>
              <w:rPr>
                <w:rFonts w:ascii="Times New Roman" w:hAnsi="Times New Roman"/>
                <w:color w:val="000000"/>
                <w:sz w:val="18"/>
              </w:rPr>
              <w:t>SECRETARY OF STATE</w:t>
            </w:r>
          </w:p>
          <w:p>
            <w:pPr>
              <w:pStyle w:val="TableContents"/>
              <w:bidi w:val="0"/>
              <w:ind w:left="0" w:right="0" w:firstLine="720"/>
              <w:jc w:val="center"/>
              <w:rPr>
                <w:rFonts w:ascii="Times New Roman" w:hAnsi="Times New Roman"/>
                <w:color w:val="000000"/>
                <w:sz w:val="18"/>
              </w:rPr>
            </w:pPr>
            <w:r>
              <w:rPr>
                <w:rFonts w:ascii="Times New Roman" w:hAnsi="Times New Roman"/>
                <w:color w:val="000000"/>
                <w:sz w:val="18"/>
              </w:rPr>
              <w:t>DIVISION OF CORPORATIONS</w:t>
            </w:r>
          </w:p>
          <w:p>
            <w:pPr>
              <w:pStyle w:val="TableContents"/>
              <w:bidi w:val="0"/>
              <w:ind w:left="0" w:right="0" w:firstLine="720"/>
              <w:jc w:val="center"/>
              <w:rPr>
                <w:rFonts w:ascii="Times New Roman" w:hAnsi="Times New Roman"/>
                <w:color w:val="000000"/>
                <w:sz w:val="20"/>
              </w:rPr>
            </w:pPr>
            <w:r>
              <w:rPr>
                <w:rFonts w:ascii="Times New Roman" w:hAnsi="Times New Roman"/>
                <w:color w:val="000000"/>
                <w:sz w:val="20"/>
              </w:rPr>
              <w:t>FILED 12: 30 PM 02/22/1996</w:t>
            </w:r>
          </w:p>
          <w:p>
            <w:pPr>
              <w:pStyle w:val="TableContents"/>
              <w:bidi w:val="0"/>
              <w:spacing w:before="0" w:after="283"/>
              <w:ind w:left="0" w:right="0" w:firstLine="720"/>
              <w:jc w:val="center"/>
              <w:rPr>
                <w:rFonts w:ascii="Times New Roman" w:hAnsi="Times New Roman"/>
                <w:color w:val="000000"/>
                <w:sz w:val="18"/>
              </w:rPr>
            </w:pPr>
            <w:r>
              <w:rPr>
                <w:rFonts w:ascii="Times New Roman" w:hAnsi="Times New Roman"/>
                <w:color w:val="000000"/>
                <w:sz w:val="18"/>
              </w:rPr>
              <w:t>960050834 - 2563599</w:t>
            </w:r>
          </w:p>
        </w:tc>
      </w:tr>
    </w:tbl>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IRIDEX CORPORATION</w:t>
      </w:r>
    </w:p>
    <w:p>
      <w:pPr>
        <w:pStyle w:val="TextBody"/>
        <w:bidi w:val="0"/>
        <w:spacing w:before="240" w:after="283"/>
        <w:ind w:left="166" w:right="0" w:hanging="0"/>
        <w:jc w:val="center"/>
        <w:rPr>
          <w:rFonts w:ascii="Times New Roman" w:hAnsi="Times New Roman"/>
          <w:b/>
          <w:color w:val="000000"/>
          <w:sz w:val="24"/>
        </w:rPr>
      </w:pPr>
      <w:r>
        <w:rPr>
          <w:rFonts w:ascii="Times New Roman" w:hAnsi="Times New Roman"/>
          <w:b/>
          <w:color w:val="000000"/>
          <w:sz w:val="24"/>
        </w:rPr>
        <w:t>AMENDED AND RESTATED</w:t>
      </w:r>
    </w:p>
    <w:p>
      <w:pPr>
        <w:pStyle w:val="TextBody"/>
        <w:bidi w:val="0"/>
        <w:spacing w:before="240" w:after="283"/>
        <w:ind w:left="137" w:right="0" w:hanging="0"/>
        <w:jc w:val="center"/>
        <w:rPr>
          <w:rFonts w:ascii="Times New Roman" w:hAnsi="Times New Roman"/>
          <w:b/>
          <w:color w:val="000000"/>
          <w:sz w:val="24"/>
        </w:rPr>
      </w:pPr>
      <w:r>
        <w:rPr>
          <w:rFonts w:ascii="Times New Roman" w:hAnsi="Times New Roman"/>
          <w:b/>
          <w:color w:val="000000"/>
          <w:sz w:val="24"/>
        </w:rPr>
        <w:t>CERTIFICATE OF INCORPORATION</w:t>
      </w:r>
    </w:p>
    <w:p>
      <w:pPr>
        <w:pStyle w:val="TextBody"/>
        <w:bidi w:val="0"/>
        <w:ind w:left="137" w:right="0" w:hanging="0"/>
        <w:jc w:val="center"/>
        <w:rPr/>
      </w:pPr>
      <w:r>
        <w:rPr/>
        <w:t> </w:t>
      </w:r>
    </w:p>
    <w:p>
      <w:pPr>
        <w:pStyle w:val="TextBody"/>
        <w:bidi w:val="0"/>
        <w:ind w:left="0" w:right="0" w:firstLine="720"/>
        <w:jc w:val="left"/>
        <w:rPr>
          <w:rFonts w:ascii="Times New Roman" w:hAnsi="Times New Roman"/>
          <w:sz w:val="20"/>
        </w:rPr>
      </w:pPr>
      <w:r>
        <w:rPr>
          <w:rFonts w:ascii="Times New Roman" w:hAnsi="Times New Roman"/>
          <w:color w:val="000000"/>
          <w:sz w:val="24"/>
        </w:rPr>
        <w:t>IRIDEX Corporation, a corporation organized and existing under the laws of the State of Delaware (the "Corporation"), hereby certifies that</w:t>
      </w:r>
      <w:r>
        <w:rPr>
          <w:rFonts w:ascii="Times New Roman" w:hAnsi="Times New Roman"/>
          <w:sz w:val="20"/>
        </w:rPr>
        <w:drawing>
          <wp:inline distT="0" distB="0" distL="0" distR="0">
            <wp:extent cx="19050" cy="66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5"/>
                    <a:stretch>
                      <a:fillRect/>
                    </a:stretch>
                  </pic:blipFill>
                  <pic:spPr bwMode="auto">
                    <a:xfrm>
                      <a:off x="0" y="0"/>
                      <a:ext cx="19050" cy="66675"/>
                    </a:xfrm>
                    <a:prstGeom prst="rect">
                      <a:avLst/>
                    </a:prstGeom>
                  </pic:spPr>
                </pic:pic>
              </a:graphicData>
            </a:graphic>
          </wp:inline>
        </w:drawing>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A. The name of this Corporation is IRIDEX Corporation, originally incorporated under the name of Trilogy Medical Systems, Inc.</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B The date of filing of this Corporation's original Certificate of Incorporation with the Secretary of State of Delaware was November 21, 1995</w:t>
      </w:r>
    </w:p>
    <w:p>
      <w:pPr>
        <w:pStyle w:val="TextBody"/>
        <w:bidi w:val="0"/>
        <w:ind w:left="0" w:right="0" w:firstLine="720"/>
        <w:jc w:val="both"/>
        <w:rPr>
          <w:rFonts w:ascii="Times New Roman" w:hAnsi="Times New Roman"/>
          <w:color w:val="000000"/>
          <w:sz w:val="24"/>
        </w:rPr>
      </w:pPr>
      <w:r>
        <w:rPr>
          <w:rFonts w:ascii="Times New Roman" w:hAnsi="Times New Roman"/>
          <w:color w:val="000000"/>
          <w:sz w:val="24"/>
        </w:rPr>
        <w:t>C Pursuant to Sections 241 and 245 of the Delaware General Corporation Law, this Amended and Restated Certificate of Incorporation restates, integrates and amends the provisions of the Corporation's Certificate of Incorporation as follows:</w:t>
      </w:r>
    </w:p>
    <w:p>
      <w:pPr>
        <w:pStyle w:val="TextBody"/>
        <w:bidi w:val="0"/>
        <w:spacing w:before="240" w:after="283"/>
        <w:ind w:left="0" w:right="0" w:firstLine="720"/>
        <w:jc w:val="both"/>
        <w:rPr>
          <w:rFonts w:ascii="Times New Roman" w:hAnsi="Times New Roman"/>
          <w:sz w:val="20"/>
        </w:rPr>
      </w:pPr>
      <w:r>
        <w:rPr>
          <w:rFonts w:ascii="Times New Roman" w:hAnsi="Times New Roman"/>
          <w:b/>
          <w:color w:val="000000"/>
          <w:sz w:val="24"/>
        </w:rPr>
        <w:t>FIRST.</w:t>
      </w:r>
      <w:r>
        <w:rPr>
          <w:rFonts w:ascii="Times New Roman" w:hAnsi="Times New Roman"/>
          <w:color w:val="000000"/>
          <w:sz w:val="20"/>
        </w:rPr>
        <w:t xml:space="preserve"> </w:t>
      </w:r>
      <w:r>
        <w:rPr>
          <w:rFonts w:ascii="Times New Roman" w:hAnsi="Times New Roman"/>
          <w:color w:val="000000"/>
          <w:sz w:val="24"/>
        </w:rPr>
        <w:t>The name of this corporation is IRIDEX Corporation.</w:t>
      </w:r>
    </w:p>
    <w:p>
      <w:pPr>
        <w:pStyle w:val="TextBody"/>
        <w:bidi w:val="0"/>
        <w:spacing w:before="240" w:after="283"/>
        <w:ind w:left="0" w:right="0" w:firstLine="720"/>
        <w:jc w:val="left"/>
        <w:rPr>
          <w:rFonts w:ascii="Times New Roman" w:hAnsi="Times New Roman"/>
          <w:sz w:val="20"/>
        </w:rPr>
      </w:pPr>
      <w:r>
        <w:rPr>
          <w:rFonts w:ascii="Times New Roman" w:hAnsi="Times New Roman"/>
          <w:b/>
          <w:color w:val="000000"/>
          <w:sz w:val="24"/>
        </w:rPr>
        <w:t>SECOND.</w:t>
      </w:r>
      <w:r>
        <w:rPr>
          <w:rFonts w:ascii="Times New Roman" w:hAnsi="Times New Roman"/>
          <w:color w:val="000000"/>
          <w:sz w:val="20"/>
        </w:rPr>
        <w:t xml:space="preserve"> </w:t>
      </w:r>
      <w:r>
        <w:rPr>
          <w:rFonts w:ascii="Times New Roman" w:hAnsi="Times New Roman"/>
          <w:color w:val="000000"/>
          <w:sz w:val="24"/>
        </w:rPr>
        <w:t>The address of the corporation's registered office in the State of Delaware is 1209 Orange Street, Wilmington, County of New Castle, Delaware 19801. The name of its registered agent at such address is The Corporation Trust Company</w:t>
      </w:r>
      <w:r>
        <w:rPr>
          <w:rFonts w:ascii="Times New Roman" w:hAnsi="Times New Roman"/>
          <w:sz w:val="20"/>
        </w:rPr>
        <w:drawing>
          <wp:inline distT="0" distB="0" distL="0" distR="0">
            <wp:extent cx="14605" cy="146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6"/>
                    <a:stretch>
                      <a:fillRect/>
                    </a:stretch>
                  </pic:blipFill>
                  <pic:spPr bwMode="auto">
                    <a:xfrm>
                      <a:off x="0" y="0"/>
                      <a:ext cx="14605" cy="14605"/>
                    </a:xfrm>
                    <a:prstGeom prst="rect">
                      <a:avLst/>
                    </a:prstGeom>
                  </pic:spPr>
                </pic:pic>
              </a:graphicData>
            </a:graphic>
          </wp:inline>
        </w:drawing>
      </w:r>
    </w:p>
    <w:p>
      <w:pPr>
        <w:pStyle w:val="TextBody"/>
        <w:bidi w:val="0"/>
        <w:spacing w:before="240" w:after="283"/>
        <w:ind w:left="0" w:right="0" w:firstLine="720"/>
        <w:jc w:val="both"/>
        <w:rPr>
          <w:rFonts w:ascii="Times New Roman" w:hAnsi="Times New Roman"/>
          <w:sz w:val="20"/>
        </w:rPr>
      </w:pPr>
      <w:r>
        <w:rPr>
          <w:rFonts w:ascii="Times New Roman" w:hAnsi="Times New Roman"/>
          <w:b/>
          <w:color w:val="000000"/>
          <w:sz w:val="24"/>
        </w:rPr>
        <w:t>THIRD.</w:t>
      </w:r>
      <w:r>
        <w:rPr>
          <w:rFonts w:ascii="Times New Roman" w:hAnsi="Times New Roman"/>
          <w:color w:val="000000"/>
          <w:sz w:val="20"/>
        </w:rPr>
        <w:t xml:space="preserve"> </w:t>
      </w:r>
      <w:r>
        <w:rPr>
          <w:rFonts w:ascii="Times New Roman" w:hAnsi="Times New Roman"/>
          <w:color w:val="000000"/>
          <w:sz w:val="24"/>
        </w:rPr>
        <w:t>The purpose of this corporation is to engage in any lawful act or activity for which corporations may be organized under the General Corporation Law of Delaware.</w:t>
      </w:r>
    </w:p>
    <w:p>
      <w:pPr>
        <w:pStyle w:val="TextBody"/>
        <w:bidi w:val="0"/>
        <w:spacing w:before="240" w:after="283"/>
        <w:ind w:left="0" w:right="0" w:firstLine="720"/>
        <w:jc w:val="both"/>
        <w:rPr>
          <w:rFonts w:ascii="Times New Roman" w:hAnsi="Times New Roman"/>
          <w:sz w:val="20"/>
        </w:rPr>
      </w:pPr>
      <w:r>
        <w:rPr>
          <w:rFonts w:ascii="Times New Roman" w:hAnsi="Times New Roman"/>
          <w:b/>
          <w:color w:val="000000"/>
          <w:sz w:val="24"/>
        </w:rPr>
        <w:t>FOURTH.</w:t>
      </w:r>
      <w:r>
        <w:rPr>
          <w:rFonts w:ascii="Times New Roman" w:hAnsi="Times New Roman"/>
          <w:color w:val="000000"/>
          <w:sz w:val="20"/>
        </w:rPr>
        <w:t xml:space="preserve"> </w:t>
      </w:r>
      <w:r>
        <w:rPr>
          <w:rFonts w:ascii="Times New Roman" w:hAnsi="Times New Roman"/>
          <w:color w:val="000000"/>
          <w:sz w:val="24"/>
        </w:rPr>
        <w:t>This corporation is authorized to issue two classes of shares to be designated respectively Preferred Stock ("Preferred") and Common Stock ("Common"). The total number of shares of Preferred this corporation shall have authority to issue shall be 2,000,000, $.01 par value, and the total number of shares of Common which this corporation shall have the authority to issue shall be 30,000,000, $.01 par value.</w:t>
      </w:r>
    </w:p>
    <w:p>
      <w:pPr>
        <w:pStyle w:val="HorizontalLine"/>
        <w:pBdr>
          <w:bottom w:val="double" w:sz="2" w:space="0" w:color="808080"/>
        </w:pBdr>
        <w:bidi w:val="0"/>
        <w:spacing w:before="0" w:after="283"/>
        <w:jc w:val="left"/>
        <w:rPr/>
      </w:pPr>
      <w:r>
        <w:rPr/>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The Preferred Stock may be issued from time to time in one or more series pursuant to a resolution or resolutions providing for such issue duly adopted by the Board of Directors (authority to do so being hereby expressly vested in the Board). The Board of Directors is further authorized to determine or alter the rights, preferences, privileges and restrictions granted to or imposed upon any wholly unissued series of Preferred Stock and, to fix the number of shares of any such series of Preferred Stock and the designation of any such series of Preferred Stock. The Board of Directors is authorized, within the limits and restrictions stated in any resolution or resolutions of the Board of Directors originally fixing the number of shares constituting any series, to increase or decrease (but not below the number of shares thereof then outstanding) the number of shares of any such series subsequent to the issue of shares of that series, to determine the designation of any series, and to fix the number of shares of any series.</w:t>
      </w:r>
    </w:p>
    <w:p>
      <w:pPr>
        <w:pStyle w:val="TextBody"/>
        <w:bidi w:val="0"/>
        <w:spacing w:before="240" w:after="283"/>
        <w:ind w:left="0" w:right="0" w:firstLine="720"/>
        <w:jc w:val="both"/>
        <w:rPr>
          <w:rFonts w:ascii="Times New Roman" w:hAnsi="Times New Roman"/>
          <w:sz w:val="20"/>
        </w:rPr>
      </w:pPr>
      <w:r>
        <w:rPr>
          <w:rFonts w:ascii="Times New Roman" w:hAnsi="Times New Roman"/>
          <w:b/>
          <w:color w:val="000000"/>
          <w:sz w:val="24"/>
        </w:rPr>
        <w:t>FIFTH.</w:t>
      </w:r>
      <w:r>
        <w:rPr>
          <w:rFonts w:ascii="Times New Roman" w:hAnsi="Times New Roman"/>
          <w:color w:val="000000"/>
          <w:sz w:val="20"/>
        </w:rPr>
        <w:t xml:space="preserve"> </w:t>
      </w:r>
      <w:r>
        <w:rPr>
          <w:rFonts w:ascii="Times New Roman" w:hAnsi="Times New Roman"/>
          <w:color w:val="000000"/>
          <w:sz w:val="24"/>
        </w:rPr>
        <w:t>The corporation is to have perpetual existence.</w:t>
      </w:r>
    </w:p>
    <w:p>
      <w:pPr>
        <w:pStyle w:val="TextBody"/>
        <w:bidi w:val="0"/>
        <w:spacing w:before="240" w:after="283"/>
        <w:ind w:left="0" w:right="0" w:firstLine="720"/>
        <w:jc w:val="both"/>
        <w:rPr>
          <w:rFonts w:ascii="Times New Roman" w:hAnsi="Times New Roman"/>
          <w:sz w:val="20"/>
        </w:rPr>
      </w:pPr>
      <w:r>
        <w:rPr>
          <w:rFonts w:ascii="Times New Roman" w:hAnsi="Times New Roman"/>
          <w:b/>
          <w:color w:val="000000"/>
          <w:sz w:val="24"/>
        </w:rPr>
        <w:t>SIXTH.</w:t>
      </w:r>
      <w:r>
        <w:rPr>
          <w:rFonts w:ascii="Times New Roman" w:hAnsi="Times New Roman"/>
          <w:color w:val="000000"/>
          <w:sz w:val="20"/>
        </w:rPr>
        <w:t xml:space="preserve"> </w:t>
      </w:r>
      <w:r>
        <w:rPr>
          <w:rFonts w:ascii="Times New Roman" w:hAnsi="Times New Roman"/>
          <w:color w:val="000000"/>
          <w:sz w:val="24"/>
        </w:rPr>
        <w:t>The Board of Directors of the corporation is expressly authorized to adopt, amend or repeal the bylaws of the corporation, but the stockholders may make additional bylaws and may alter or repeal any bylaw whether adopted by them or otherwise.</w:t>
      </w:r>
    </w:p>
    <w:p>
      <w:pPr>
        <w:pStyle w:val="TextBody"/>
        <w:bidi w:val="0"/>
        <w:spacing w:before="240" w:after="283"/>
        <w:ind w:left="0" w:right="0" w:firstLine="720"/>
        <w:jc w:val="both"/>
        <w:rPr>
          <w:rFonts w:ascii="Times New Roman" w:hAnsi="Times New Roman"/>
          <w:sz w:val="20"/>
        </w:rPr>
      </w:pPr>
      <w:r>
        <w:rPr>
          <w:rFonts w:ascii="Times New Roman" w:hAnsi="Times New Roman"/>
          <w:b/>
          <w:color w:val="000000"/>
          <w:sz w:val="24"/>
        </w:rPr>
        <w:t>SEVENTH.</w:t>
      </w:r>
      <w:r>
        <w:rPr>
          <w:rFonts w:ascii="Times New Roman" w:hAnsi="Times New Roman"/>
          <w:color w:val="000000"/>
          <w:sz w:val="20"/>
        </w:rPr>
        <w:t xml:space="preserve"> </w:t>
      </w:r>
      <w:r>
        <w:rPr>
          <w:rFonts w:ascii="Times New Roman" w:hAnsi="Times New Roman"/>
          <w:color w:val="000000"/>
          <w:sz w:val="24"/>
        </w:rPr>
        <w:t>Elections of directors need not be by written ballot except and to the extent provided in the by-laws of the corporation.</w:t>
      </w:r>
    </w:p>
    <w:p>
      <w:pPr>
        <w:pStyle w:val="TextBody"/>
        <w:bidi w:val="0"/>
        <w:spacing w:before="240" w:after="283"/>
        <w:ind w:left="0" w:right="0" w:firstLine="720"/>
        <w:jc w:val="both"/>
        <w:rPr>
          <w:rFonts w:ascii="Times New Roman" w:hAnsi="Times New Roman"/>
          <w:sz w:val="20"/>
        </w:rPr>
      </w:pPr>
      <w:r>
        <w:rPr>
          <w:rFonts w:ascii="Times New Roman" w:hAnsi="Times New Roman"/>
          <w:b/>
          <w:color w:val="000000"/>
          <w:sz w:val="24"/>
        </w:rPr>
        <w:t>EIGHTH.</w:t>
      </w:r>
      <w:r>
        <w:rPr>
          <w:rFonts w:ascii="Times New Roman" w:hAnsi="Times New Roman"/>
          <w:color w:val="000000"/>
          <w:sz w:val="20"/>
        </w:rPr>
        <w:t xml:space="preserve"> </w:t>
      </w:r>
      <w:r>
        <w:rPr>
          <w:rFonts w:ascii="Times New Roman" w:hAnsi="Times New Roman"/>
          <w:color w:val="000000"/>
          <w:sz w:val="24"/>
        </w:rPr>
        <w:t>A director of the corporation shall not be liable to the corporation or its stockholders for monetary damages for breach of fiduciary duty as a director, except to the extent such exemption from liability or limitation thereof is not permitted under the Delaware General Corporation Law as the same exists or may hereafter be amended. Any repeal or modification of this Article EIGHTH shall not adversely affect any right or protection of a director of the corporation existing hereunder with respect to any act or omission occurring prior to such repeal or modification.</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IN WITNESS WHEREOF, IRIDEX Corporation has caused this Amended and Restated Certificate of Incorporation to be signed by Theodore A. Boutacoff, its President, and attested by Judith M. O'Brien, its Secretary, this </w:t>
      </w:r>
      <w:r>
        <w:rPr>
          <w:rFonts w:ascii="Times New Roman" w:hAnsi="Times New Roman"/>
          <w:color w:val="000000"/>
          <w:sz w:val="24"/>
          <w:u w:val="single"/>
        </w:rPr>
        <w:t>22</w:t>
      </w:r>
      <w:r>
        <w:rPr>
          <w:rFonts w:ascii="Times New Roman" w:hAnsi="Times New Roman"/>
          <w:color w:val="000000"/>
          <w:sz w:val="16"/>
          <w:u w:val="single"/>
        </w:rPr>
        <w:t>nd</w:t>
      </w:r>
      <w:r>
        <w:rPr>
          <w:rFonts w:ascii="Times New Roman" w:hAnsi="Times New Roman"/>
          <w:color w:val="000000"/>
          <w:sz w:val="20"/>
        </w:rPr>
        <w:t xml:space="preserve"> </w:t>
      </w:r>
      <w:r>
        <w:rPr>
          <w:rFonts w:ascii="Times New Roman" w:hAnsi="Times New Roman"/>
          <w:color w:val="000000"/>
          <w:sz w:val="24"/>
        </w:rPr>
        <w:t xml:space="preserve">day of </w:t>
      </w:r>
      <w:r>
        <w:rPr>
          <w:rFonts w:ascii="Times New Roman" w:hAnsi="Times New Roman"/>
          <w:color w:val="000000"/>
          <w:sz w:val="24"/>
          <w:u w:val="single"/>
        </w:rPr>
        <w:t>February</w:t>
      </w:r>
      <w:r>
        <w:rPr>
          <w:rFonts w:ascii="Times New Roman" w:hAnsi="Times New Roman"/>
          <w:color w:val="000000"/>
          <w:sz w:val="20"/>
        </w:rPr>
        <w:t xml:space="preserve"> </w:t>
      </w:r>
      <w:r>
        <w:rPr>
          <w:rFonts w:ascii="Times New Roman" w:hAnsi="Times New Roman"/>
          <w:color w:val="000000"/>
          <w:sz w:val="24"/>
        </w:rPr>
        <w:t>1996.</w:t>
      </w:r>
    </w:p>
    <w:p>
      <w:pPr>
        <w:pStyle w:val="TextBody"/>
        <w:bidi w:val="0"/>
        <w:jc w:val="left"/>
        <w:rPr/>
      </w:pPr>
      <w:r>
        <w:rPr/>
        <w:t> </w:t>
      </w:r>
    </w:p>
    <w:p>
      <w:pPr>
        <w:pStyle w:val="TextBody"/>
        <w:bidi w:val="0"/>
        <w:jc w:val="left"/>
        <w:rPr/>
      </w:pPr>
      <w:r>
        <w:rPr/>
        <w:t> </w:t>
      </w:r>
    </w:p>
    <w:tbl>
      <w:tblPr>
        <w:tblW w:w="3376" w:type="dxa"/>
        <w:jc w:val="left"/>
        <w:tblInd w:w="0" w:type="dxa"/>
        <w:tblLayout w:type="fixed"/>
        <w:tblCellMar>
          <w:top w:w="28" w:type="dxa"/>
          <w:left w:w="28" w:type="dxa"/>
          <w:bottom w:w="28" w:type="dxa"/>
          <w:right w:w="28" w:type="dxa"/>
        </w:tblCellMar>
      </w:tblPr>
      <w:tblGrid>
        <w:gridCol w:w="3376"/>
      </w:tblGrid>
      <w:tr>
        <w:trPr/>
        <w:tc>
          <w:tcPr>
            <w:tcW w:w="3376" w:type="dxa"/>
            <w:tcBorders/>
            <w:vAlign w:val="center"/>
          </w:tcPr>
          <w:p>
            <w:pPr>
              <w:pStyle w:val="TableContents"/>
              <w:bidi w:val="0"/>
              <w:spacing w:before="0" w:after="283"/>
              <w:jc w:val="left"/>
              <w:rPr>
                <w:sz w:val="4"/>
                <w:szCs w:val="4"/>
              </w:rPr>
            </w:pPr>
            <w:r>
              <w:rPr>
                <w:sz w:val="4"/>
                <w:szCs w:val="4"/>
              </w:rPr>
            </w:r>
          </w:p>
        </w:tc>
      </w:tr>
      <w:tr>
        <w:trPr/>
        <w:tc>
          <w:tcPr>
            <w:tcW w:w="3376" w:type="dxa"/>
            <w:tcBorders/>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IRIDEX CORPORATION</w:t>
            </w:r>
          </w:p>
        </w:tc>
      </w:tr>
      <w:tr>
        <w:trPr/>
        <w:tc>
          <w:tcPr>
            <w:tcW w:w="3376" w:type="dxa"/>
            <w:tcBorders/>
            <w:vAlign w:val="center"/>
          </w:tcPr>
          <w:p>
            <w:pPr>
              <w:pStyle w:val="TableContents"/>
              <w:bidi w:val="0"/>
              <w:spacing w:before="0" w:after="283"/>
              <w:jc w:val="left"/>
              <w:rPr/>
            </w:pPr>
            <w:r>
              <w:rPr/>
              <w:t> </w:t>
            </w:r>
          </w:p>
        </w:tc>
      </w:tr>
      <w:tr>
        <w:trPr/>
        <w:tc>
          <w:tcPr>
            <w:tcW w:w="33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Theodore A. Boutacoff</w:t>
            </w:r>
          </w:p>
        </w:tc>
      </w:tr>
      <w:tr>
        <w:trPr/>
        <w:tc>
          <w:tcPr>
            <w:tcW w:w="3376" w:type="dxa"/>
            <w:tcBorders/>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Theodore A. Boutacoff, President</w:t>
            </w:r>
          </w:p>
        </w:tc>
      </w:tr>
    </w:tbl>
    <w:p>
      <w:pPr>
        <w:pStyle w:val="TextBody"/>
        <w:bidi w:val="0"/>
        <w:spacing w:before="240" w:after="283"/>
        <w:ind w:left="0" w:right="0" w:firstLine="720"/>
        <w:jc w:val="left"/>
        <w:rPr/>
      </w:pPr>
      <w:r>
        <w:rPr/>
        <w:t> </w:t>
      </w:r>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283"/>
              <w:jc w:val="left"/>
              <w:rPr>
                <w:sz w:val="4"/>
                <w:szCs w:val="4"/>
              </w:rPr>
            </w:pPr>
            <w:r>
              <w:rPr>
                <w:sz w:val="4"/>
                <w:szCs w:val="4"/>
              </w:rPr>
            </w:r>
          </w:p>
        </w:tc>
      </w:tr>
      <w:tr>
        <w:trPr/>
        <w:tc>
          <w:tcPr>
            <w:tcW w:w="2881" w:type="dxa"/>
            <w:tcBorders/>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Attested:</w:t>
            </w:r>
          </w:p>
        </w:tc>
      </w:tr>
      <w:tr>
        <w:trPr/>
        <w:tc>
          <w:tcPr>
            <w:tcW w:w="2881" w:type="dxa"/>
            <w:tcBorders/>
            <w:vAlign w:val="center"/>
          </w:tcPr>
          <w:p>
            <w:pPr>
              <w:pStyle w:val="TableContents"/>
              <w:bidi w:val="0"/>
              <w:spacing w:before="0" w:after="283"/>
              <w:jc w:val="left"/>
              <w:rPr/>
            </w:pPr>
            <w:r>
              <w:rPr/>
              <w:t> </w:t>
            </w:r>
          </w:p>
        </w:tc>
      </w:tr>
      <w:tr>
        <w:trPr/>
        <w:tc>
          <w:tcPr>
            <w:tcW w:w="28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Judith M. O'Brien</w:t>
            </w:r>
          </w:p>
        </w:tc>
      </w:tr>
      <w:tr>
        <w:trPr/>
        <w:tc>
          <w:tcPr>
            <w:tcW w:w="2881" w:type="dxa"/>
            <w:tcBorders/>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Judith M. O'Brien,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0" w:name="irix-ex21_1.htm"/>
      <w:bookmarkStart w:id="41" w:name="ksirixex21_1"/>
      <w:bookmarkEnd w:id="40"/>
      <w:bookmarkEnd w:id="4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21.1</w:t>
      </w:r>
    </w:p>
    <w:p>
      <w:pPr>
        <w:pStyle w:val="TextBody"/>
        <w:bidi w:val="0"/>
        <w:jc w:val="center"/>
        <w:rPr>
          <w:rFonts w:ascii="Times New Roman" w:hAnsi="Times New Roman"/>
          <w:b/>
          <w:color w:val="000000"/>
          <w:sz w:val="26"/>
        </w:rPr>
      </w:pPr>
      <w:r>
        <w:rPr>
          <w:rFonts w:ascii="Times New Roman" w:hAnsi="Times New Roman"/>
          <w:b/>
          <w:color w:val="000000"/>
          <w:sz w:val="26"/>
        </w:rPr>
        <w:t>Subsidiaries of IRIDEX Corporation</w:t>
      </w:r>
    </w:p>
    <w:p>
      <w:pPr>
        <w:pStyle w:val="TextBody"/>
        <w:bidi w:val="0"/>
        <w:jc w:val="center"/>
        <w:rPr>
          <w:rFonts w:ascii="Times New Roman" w:hAnsi="Times New Roman"/>
          <w:color w:val="000000"/>
          <w:sz w:val="20"/>
        </w:rPr>
      </w:pPr>
      <w:r>
        <w:rPr>
          <w:rFonts w:ascii="Times New Roman" w:hAnsi="Times New Roman"/>
          <w:color w:val="000000"/>
          <w:sz w:val="20"/>
        </w:rPr>
        <w:t>(as of December 30, 2023)</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u w:val="single"/>
        </w:rPr>
        <w:t>NAME OF SUBSIDIARY</w:t>
      </w:r>
      <w:r>
        <w:rPr>
          <w:rFonts w:ascii="Times New Roman" w:hAnsi="Times New Roman"/>
          <w:color w:val="000000"/>
          <w:sz w:val="20"/>
        </w:rPr>
        <w:t xml:space="preserve"> </w:t>
      </w:r>
      <w:r>
        <w:rPr>
          <w:rFonts w:ascii="Times New Roman" w:hAnsi="Times New Roman"/>
          <w:b/>
          <w:color w:val="000000"/>
          <w:sz w:val="20"/>
          <w:u w:val="single"/>
        </w:rPr>
        <w:t>COUNTRY OF 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IRIDEX Europe GmbH Germany</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2" w:name="irix-ex23_1.htm"/>
      <w:bookmarkStart w:id="43" w:name="ksirixex23_1"/>
      <w:bookmarkEnd w:id="42"/>
      <w:bookmarkEnd w:id="43"/>
      <w:r>
        <w:rPr>
          <w:rFonts w:ascii="Times New Roman" w:hAnsi="Times New Roman"/>
          <w:b/>
          <w:color w:val="000000"/>
          <w:sz w:val="20"/>
        </w:rPr>
        <w:t>EXHIBIT 23.1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both"/>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We hereby consent to the incorporation by reference in the Registration Statements on Form S-3 (333-257807, 333-213094) and Form S-8 (333-272983, 333-257808, 333-233628, 333-226358, 333-219448, 333-197934, 333-183513, 333-161630, 333-155598, 333-147866, 333-135822, 333-127716, 333-117885, 333-107700, 333-97541, 333-67480, 333-45736, 333-86091, 333-57573, 333-32161) of our report dated March 29, 2024 relating to the consolidated financial statements of IRIDEX Corporation as of December 30, 2023, which appears in this Annual Report on Form 10-K.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BPM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San Jose, California</w:t>
      </w:r>
    </w:p>
    <w:p>
      <w:pPr>
        <w:pStyle w:val="TextBody"/>
        <w:bidi w:val="0"/>
        <w:jc w:val="left"/>
        <w:rPr>
          <w:rFonts w:ascii="Times New Roman" w:hAnsi="Times New Roman"/>
          <w:color w:val="000000"/>
          <w:sz w:val="20"/>
        </w:rPr>
      </w:pPr>
      <w:r>
        <w:rPr>
          <w:rFonts w:ascii="Times New Roman" w:hAnsi="Times New Roman"/>
          <w:color w:val="000000"/>
          <w:sz w:val="20"/>
        </w:rPr>
        <w:t>March 29, 2024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4" w:name="irix-ex31_1.htm"/>
      <w:bookmarkStart w:id="45" w:name="ksirixex31_1"/>
      <w:bookmarkEnd w:id="44"/>
      <w:bookmarkEnd w:id="45"/>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13(a) or 15 (d)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David I. Bruce, certify that: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annual report on Form 10-K of IRIDEX Corporation;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March 29, 2024</w:t>
      </w:r>
    </w:p>
    <w:p>
      <w:pPr>
        <w:pStyle w:val="TextBody"/>
        <w:bidi w:val="0"/>
        <w:jc w:val="left"/>
        <w:rPr/>
      </w:pPr>
      <w:r>
        <w:rPr/>
        <w:t> </w:t>
      </w:r>
    </w:p>
    <w:tbl>
      <w:tblPr>
        <w:tblW w:w="3866" w:type="dxa"/>
        <w:jc w:val="left"/>
        <w:tblInd w:w="0" w:type="dxa"/>
        <w:tblLayout w:type="fixed"/>
        <w:tblCellMar>
          <w:top w:w="28" w:type="dxa"/>
          <w:left w:w="28" w:type="dxa"/>
          <w:bottom w:w="28" w:type="dxa"/>
          <w:right w:w="28" w:type="dxa"/>
        </w:tblCellMar>
      </w:tblPr>
      <w:tblGrid>
        <w:gridCol w:w="161"/>
        <w:gridCol w:w="727"/>
        <w:gridCol w:w="2978"/>
      </w:tblGrid>
      <w:tr>
        <w:trPr/>
        <w:tc>
          <w:tcPr>
            <w:tcW w:w="16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97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I. BRUCE</w:t>
            </w:r>
          </w:p>
        </w:tc>
      </w:tr>
      <w:tr>
        <w:trPr/>
        <w:tc>
          <w:tcPr>
            <w:tcW w:w="161" w:type="dxa"/>
            <w:tcBorders/>
            <w:vAlign w:val="center"/>
          </w:tcPr>
          <w:p>
            <w:pPr>
              <w:pStyle w:val="TableContents"/>
              <w:bidi w:val="0"/>
              <w:spacing w:before="0" w:after="283"/>
              <w:jc w:val="left"/>
              <w:rPr/>
            </w:pPr>
            <w:r>
              <w:rPr/>
              <w:t> </w:t>
            </w:r>
          </w:p>
        </w:tc>
        <w:tc>
          <w:tcPr>
            <w:tcW w:w="3705"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David I. Bruce</w:t>
            </w:r>
          </w:p>
        </w:tc>
      </w:tr>
      <w:tr>
        <w:trPr/>
        <w:tc>
          <w:tcPr>
            <w:tcW w:w="161" w:type="dxa"/>
            <w:tcBorders/>
            <w:vAlign w:val="center"/>
          </w:tcPr>
          <w:p>
            <w:pPr>
              <w:pStyle w:val="TableContents"/>
              <w:bidi w:val="0"/>
              <w:spacing w:before="0" w:after="283"/>
              <w:jc w:val="left"/>
              <w:rPr/>
            </w:pPr>
            <w:r>
              <w:rPr/>
              <w:t> </w:t>
            </w:r>
          </w:p>
        </w:tc>
        <w:tc>
          <w:tcPr>
            <w:tcW w:w="3705"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President and Chief Executive Officer</w:t>
            </w:r>
          </w:p>
        </w:tc>
      </w:tr>
      <w:tr>
        <w:trPr/>
        <w:tc>
          <w:tcPr>
            <w:tcW w:w="161" w:type="dxa"/>
            <w:tcBorders/>
            <w:vAlign w:val="center"/>
          </w:tcPr>
          <w:p>
            <w:pPr>
              <w:pStyle w:val="TableContents"/>
              <w:bidi w:val="0"/>
              <w:spacing w:before="0" w:after="283"/>
              <w:jc w:val="left"/>
              <w:rPr/>
            </w:pPr>
            <w:r>
              <w:rPr/>
              <w:t> </w:t>
            </w:r>
          </w:p>
        </w:tc>
        <w:tc>
          <w:tcPr>
            <w:tcW w:w="3705"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6" w:name="irix-ex31_2.htm"/>
      <w:bookmarkStart w:id="47" w:name="ksirixex31_2"/>
      <w:bookmarkEnd w:id="46"/>
      <w:bookmarkEnd w:id="47"/>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13(a) or 15 (d)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Fuad Ahmad, certify that: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annual report on Form 10-K of IRIDEX Corporation;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March 29, 2024</w:t>
      </w:r>
    </w:p>
    <w:p>
      <w:pPr>
        <w:pStyle w:val="TextBody"/>
        <w:bidi w:val="0"/>
        <w:jc w:val="left"/>
        <w:rPr/>
      </w:pPr>
      <w:r>
        <w:rPr/>
        <w:t> </w:t>
      </w:r>
    </w:p>
    <w:tbl>
      <w:tblPr>
        <w:tblW w:w="3296" w:type="dxa"/>
        <w:jc w:val="left"/>
        <w:tblInd w:w="0" w:type="dxa"/>
        <w:tblLayout w:type="fixed"/>
        <w:tblCellMar>
          <w:top w:w="28" w:type="dxa"/>
          <w:left w:w="28" w:type="dxa"/>
          <w:bottom w:w="28" w:type="dxa"/>
          <w:right w:w="28" w:type="dxa"/>
        </w:tblCellMar>
      </w:tblPr>
      <w:tblGrid>
        <w:gridCol w:w="161"/>
        <w:gridCol w:w="668"/>
        <w:gridCol w:w="2467"/>
      </w:tblGrid>
      <w:tr>
        <w:trPr/>
        <w:tc>
          <w:tcPr>
            <w:tcW w:w="1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46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FUAD AHMAD</w:t>
            </w:r>
          </w:p>
        </w:tc>
      </w:tr>
      <w:tr>
        <w:trPr/>
        <w:tc>
          <w:tcPr>
            <w:tcW w:w="161" w:type="dxa"/>
            <w:tcBorders/>
            <w:vAlign w:val="center"/>
          </w:tcPr>
          <w:p>
            <w:pPr>
              <w:pStyle w:val="TableContents"/>
              <w:bidi w:val="0"/>
              <w:spacing w:before="0" w:after="283"/>
              <w:jc w:val="left"/>
              <w:rPr/>
            </w:pPr>
            <w:r>
              <w:rPr/>
              <w:t> </w:t>
            </w:r>
          </w:p>
        </w:tc>
        <w:tc>
          <w:tcPr>
            <w:tcW w:w="3135"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Fuad Ahmad</w:t>
            </w:r>
          </w:p>
        </w:tc>
      </w:tr>
      <w:tr>
        <w:trPr/>
        <w:tc>
          <w:tcPr>
            <w:tcW w:w="161" w:type="dxa"/>
            <w:tcBorders/>
            <w:vAlign w:val="center"/>
          </w:tcPr>
          <w:p>
            <w:pPr>
              <w:pStyle w:val="TableContents"/>
              <w:bidi w:val="0"/>
              <w:spacing w:before="0" w:after="283"/>
              <w:jc w:val="left"/>
              <w:rPr/>
            </w:pPr>
            <w:r>
              <w:rPr/>
              <w:t> </w:t>
            </w:r>
          </w:p>
        </w:tc>
        <w:tc>
          <w:tcPr>
            <w:tcW w:w="3135"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Interim Chief Financial Officer</w:t>
            </w:r>
          </w:p>
        </w:tc>
      </w:tr>
      <w:tr>
        <w:trPr/>
        <w:tc>
          <w:tcPr>
            <w:tcW w:w="161" w:type="dxa"/>
            <w:tcBorders/>
            <w:vAlign w:val="center"/>
          </w:tcPr>
          <w:p>
            <w:pPr>
              <w:pStyle w:val="TableContents"/>
              <w:bidi w:val="0"/>
              <w:spacing w:before="0" w:after="283"/>
              <w:jc w:val="left"/>
              <w:rPr/>
            </w:pPr>
            <w:r>
              <w:rPr/>
              <w:t> </w:t>
            </w:r>
          </w:p>
        </w:tc>
        <w:tc>
          <w:tcPr>
            <w:tcW w:w="3135"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8" w:name="irix-ex32_1.htm"/>
      <w:bookmarkStart w:id="49" w:name="ksirixex32_1"/>
      <w:bookmarkEnd w:id="48"/>
      <w:bookmarkEnd w:id="49"/>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 David I. Bruce, pursuant to 18 U.S.C. Section 1350, as adopted pursuant to Section 906 of the Sarbanes-Oxley Act of 2002, certify that the Annual Report of IRIDEX Corporation on Form 10-K for the fiscal year ended December 30, 2023 (i) fully complies with the requirements of Section 13(a) or 15(d) of the Securities Exchange Act of 1934 and (ii) that information contained in such Annual Report on Form 10-K fairly presents, in all material respects, the financial condition and results of operations of IRIDEX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March 29, 2024</w:t>
      </w:r>
    </w:p>
    <w:p>
      <w:pPr>
        <w:pStyle w:val="TextBody"/>
        <w:bidi w:val="0"/>
        <w:jc w:val="left"/>
        <w:rPr/>
      </w:pPr>
      <w:r>
        <w:rPr/>
        <w:t> </w:t>
      </w:r>
    </w:p>
    <w:tbl>
      <w:tblPr>
        <w:tblW w:w="3866" w:type="dxa"/>
        <w:jc w:val="left"/>
        <w:tblInd w:w="0" w:type="dxa"/>
        <w:tblLayout w:type="fixed"/>
        <w:tblCellMar>
          <w:top w:w="28" w:type="dxa"/>
          <w:left w:w="28" w:type="dxa"/>
          <w:bottom w:w="28" w:type="dxa"/>
          <w:right w:w="28" w:type="dxa"/>
        </w:tblCellMar>
      </w:tblPr>
      <w:tblGrid>
        <w:gridCol w:w="161"/>
        <w:gridCol w:w="684"/>
        <w:gridCol w:w="221"/>
        <w:gridCol w:w="2800"/>
      </w:tblGrid>
      <w:tr>
        <w:trPr/>
        <w:tc>
          <w:tcPr>
            <w:tcW w:w="16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21" w:type="dxa"/>
            <w:tcBorders/>
            <w:vAlign w:val="center"/>
          </w:tcPr>
          <w:p>
            <w:pPr>
              <w:pStyle w:val="TableContents"/>
              <w:bidi w:val="0"/>
              <w:spacing w:before="0" w:after="283"/>
              <w:jc w:val="left"/>
              <w:rPr/>
            </w:pPr>
            <w:r>
              <w:rPr/>
              <w:t> </w:t>
            </w:r>
          </w:p>
        </w:tc>
        <w:tc>
          <w:tcPr>
            <w:tcW w:w="280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I. BRUCE</w:t>
            </w:r>
          </w:p>
        </w:tc>
      </w:tr>
      <w:tr>
        <w:trPr/>
        <w:tc>
          <w:tcPr>
            <w:tcW w:w="161" w:type="dxa"/>
            <w:tcBorders/>
            <w:vAlign w:val="center"/>
          </w:tcPr>
          <w:p>
            <w:pPr>
              <w:pStyle w:val="TableContents"/>
              <w:bidi w:val="0"/>
              <w:spacing w:before="0" w:after="283"/>
              <w:jc w:val="left"/>
              <w:rPr/>
            </w:pPr>
            <w:r>
              <w:rPr/>
              <w:t> </w:t>
            </w:r>
          </w:p>
        </w:tc>
        <w:tc>
          <w:tcPr>
            <w:tcW w:w="3705"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David I. Bruce</w:t>
            </w:r>
          </w:p>
        </w:tc>
      </w:tr>
      <w:tr>
        <w:trPr/>
        <w:tc>
          <w:tcPr>
            <w:tcW w:w="161" w:type="dxa"/>
            <w:tcBorders/>
            <w:vAlign w:val="center"/>
          </w:tcPr>
          <w:p>
            <w:pPr>
              <w:pStyle w:val="TableContents"/>
              <w:bidi w:val="0"/>
              <w:spacing w:before="0" w:after="283"/>
              <w:jc w:val="left"/>
              <w:rPr/>
            </w:pPr>
            <w:r>
              <w:rPr/>
              <w:t> </w:t>
            </w:r>
          </w:p>
        </w:tc>
        <w:tc>
          <w:tcPr>
            <w:tcW w:w="3705"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President and Chief Executive Officer</w:t>
            </w:r>
          </w:p>
        </w:tc>
      </w:tr>
      <w:tr>
        <w:trPr/>
        <w:tc>
          <w:tcPr>
            <w:tcW w:w="161" w:type="dxa"/>
            <w:tcBorders/>
            <w:vAlign w:val="center"/>
          </w:tcPr>
          <w:p>
            <w:pPr>
              <w:pStyle w:val="TableContents"/>
              <w:bidi w:val="0"/>
              <w:spacing w:before="0" w:after="283"/>
              <w:jc w:val="left"/>
              <w:rPr/>
            </w:pPr>
            <w:r>
              <w:rPr/>
              <w:t> </w:t>
            </w:r>
          </w:p>
        </w:tc>
        <w:tc>
          <w:tcPr>
            <w:tcW w:w="3705"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0" w:name="irix-ex32_2.htm"/>
      <w:bookmarkStart w:id="51" w:name="ksirixex32_2"/>
      <w:bookmarkEnd w:id="50"/>
      <w:bookmarkEnd w:id="51"/>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 Fuad Ahmad, pursuant to 18 U.S.C. Section 1350, as adopted pursuant to Section 906 of the Sarbanes-Oxley Act of 2002, certify that the Annual Report of IRIDEX Corporation on Form 10-K for the fiscal year ended December 30, 2023 (i) fully complies with the requirements of Section 13(a) or 15(d) of the Securities Exchange Act of 1934 and (ii) that information contained in such Annual Report on Form 10-K fairly presents, in all material respects, the financial condition and results of operations of IRIDEX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March 29, 2024</w:t>
      </w:r>
    </w:p>
    <w:p>
      <w:pPr>
        <w:pStyle w:val="TextBody"/>
        <w:bidi w:val="0"/>
        <w:jc w:val="left"/>
        <w:rPr/>
      </w:pPr>
      <w:r>
        <w:rPr/>
        <w:t> </w:t>
      </w:r>
    </w:p>
    <w:tbl>
      <w:tblPr>
        <w:tblW w:w="3295" w:type="dxa"/>
        <w:jc w:val="left"/>
        <w:tblInd w:w="0" w:type="dxa"/>
        <w:tblLayout w:type="fixed"/>
        <w:tblCellMar>
          <w:top w:w="28" w:type="dxa"/>
          <w:left w:w="28" w:type="dxa"/>
          <w:bottom w:w="28" w:type="dxa"/>
          <w:right w:w="28" w:type="dxa"/>
        </w:tblCellMar>
      </w:tblPr>
      <w:tblGrid>
        <w:gridCol w:w="161"/>
        <w:gridCol w:w="624"/>
        <w:gridCol w:w="202"/>
        <w:gridCol w:w="2308"/>
      </w:tblGrid>
      <w:tr>
        <w:trPr/>
        <w:tc>
          <w:tcPr>
            <w:tcW w:w="16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02" w:type="dxa"/>
            <w:tcBorders/>
            <w:vAlign w:val="center"/>
          </w:tcPr>
          <w:p>
            <w:pPr>
              <w:pStyle w:val="TableContents"/>
              <w:bidi w:val="0"/>
              <w:spacing w:before="0" w:after="283"/>
              <w:jc w:val="left"/>
              <w:rPr/>
            </w:pPr>
            <w:r>
              <w:rPr/>
              <w:t> </w:t>
            </w:r>
          </w:p>
        </w:tc>
        <w:tc>
          <w:tcPr>
            <w:tcW w:w="230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FUAD AHMAD</w:t>
            </w:r>
          </w:p>
        </w:tc>
      </w:tr>
      <w:tr>
        <w:trPr/>
        <w:tc>
          <w:tcPr>
            <w:tcW w:w="161" w:type="dxa"/>
            <w:tcBorders/>
            <w:vAlign w:val="center"/>
          </w:tcPr>
          <w:p>
            <w:pPr>
              <w:pStyle w:val="TableContents"/>
              <w:bidi w:val="0"/>
              <w:spacing w:before="0" w:after="283"/>
              <w:jc w:val="left"/>
              <w:rPr/>
            </w:pPr>
            <w:r>
              <w:rPr/>
              <w:t> </w:t>
            </w:r>
          </w:p>
        </w:tc>
        <w:tc>
          <w:tcPr>
            <w:tcW w:w="3134"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Fuad Ahmad</w:t>
            </w:r>
          </w:p>
        </w:tc>
      </w:tr>
      <w:tr>
        <w:trPr/>
        <w:tc>
          <w:tcPr>
            <w:tcW w:w="161" w:type="dxa"/>
            <w:tcBorders/>
            <w:vAlign w:val="center"/>
          </w:tcPr>
          <w:p>
            <w:pPr>
              <w:pStyle w:val="TableContents"/>
              <w:bidi w:val="0"/>
              <w:spacing w:before="0" w:after="283"/>
              <w:jc w:val="left"/>
              <w:rPr/>
            </w:pPr>
            <w:r>
              <w:rPr/>
              <w:t> </w:t>
            </w:r>
          </w:p>
        </w:tc>
        <w:tc>
          <w:tcPr>
            <w:tcW w:w="3134"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Interim Chief Financial Officer</w:t>
            </w:r>
          </w:p>
        </w:tc>
      </w:tr>
      <w:tr>
        <w:trPr/>
        <w:tc>
          <w:tcPr>
            <w:tcW w:w="161" w:type="dxa"/>
            <w:tcBorders/>
            <w:vAlign w:val="center"/>
          </w:tcPr>
          <w:p>
            <w:pPr>
              <w:pStyle w:val="TableContents"/>
              <w:bidi w:val="0"/>
              <w:spacing w:before="0" w:after="283"/>
              <w:jc w:val="left"/>
              <w:rPr/>
            </w:pPr>
            <w:r>
              <w:rPr/>
              <w:t> </w:t>
            </w:r>
          </w:p>
        </w:tc>
        <w:tc>
          <w:tcPr>
            <w:tcW w:w="3134"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2" w:name="irix-ex97_1.htm"/>
      <w:bookmarkStart w:id="53" w:name="ksirixex97_1"/>
      <w:bookmarkEnd w:id="52"/>
      <w:bookmarkEnd w:id="53"/>
      <w:r>
        <w:rPr>
          <w:rFonts w:ascii="Times New Roman" w:hAnsi="Times New Roman"/>
          <w:b/>
          <w:color w:val="000000"/>
          <w:sz w:val="20"/>
        </w:rPr>
        <w:t>EXHIBIT 97.1</w:t>
      </w:r>
      <w:r>
        <w:br w:type="page"/>
      </w:r>
    </w:p>
    <w:p>
      <w:pPr>
        <w:pStyle w:val="TextBody"/>
        <w:bidi w:val="0"/>
        <w:jc w:val="center"/>
        <w:rPr>
          <w:rFonts w:ascii="Calibri;sans-serif" w:hAnsi="Calibri;sans-serif"/>
          <w:b/>
          <w:color w:val="000000"/>
          <w:sz w:val="22"/>
        </w:rPr>
      </w:pPr>
      <w:r>
        <w:rPr>
          <w:rFonts w:ascii="Calibri;sans-serif" w:hAnsi="Calibri;sans-serif"/>
          <w:b/>
          <w:color w:val="000000"/>
          <w:sz w:val="22"/>
        </w:rPr>
        <w:t>IRIDEX CORPORATION</w:t>
      </w:r>
    </w:p>
    <w:p>
      <w:pPr>
        <w:pStyle w:val="TextBody"/>
        <w:bidi w:val="0"/>
        <w:jc w:val="center"/>
        <w:rPr/>
      </w:pPr>
      <w:r>
        <w:rPr/>
        <w:t> </w:t>
      </w:r>
    </w:p>
    <w:p>
      <w:pPr>
        <w:pStyle w:val="TextBody"/>
        <w:bidi w:val="0"/>
        <w:jc w:val="center"/>
        <w:rPr>
          <w:rFonts w:ascii="Calibri;sans-serif" w:hAnsi="Calibri;sans-serif"/>
          <w:b/>
          <w:color w:val="000000"/>
          <w:sz w:val="22"/>
        </w:rPr>
      </w:pPr>
      <w:r>
        <w:rPr>
          <w:rFonts w:ascii="Calibri;sans-serif" w:hAnsi="Calibri;sans-serif"/>
          <w:b/>
          <w:color w:val="000000"/>
          <w:sz w:val="22"/>
        </w:rPr>
        <w:t>COMPENSATION RECOVERY POLICY</w:t>
      </w:r>
    </w:p>
    <w:p>
      <w:pPr>
        <w:pStyle w:val="TextBody"/>
        <w:bidi w:val="0"/>
        <w:jc w:val="center"/>
        <w:rPr/>
      </w:pPr>
      <w:r>
        <w:rPr/>
        <w:t> </w:t>
      </w:r>
    </w:p>
    <w:p>
      <w:pPr>
        <w:pStyle w:val="TextBody"/>
        <w:bidi w:val="0"/>
        <w:jc w:val="center"/>
        <w:rPr>
          <w:rFonts w:ascii="Calibri;sans-serif" w:hAnsi="Calibri;sans-serif"/>
          <w:color w:val="000000"/>
          <w:sz w:val="22"/>
        </w:rPr>
      </w:pPr>
      <w:r>
        <w:rPr>
          <w:rFonts w:ascii="Calibri;sans-serif" w:hAnsi="Calibri;sans-serif"/>
          <w:color w:val="000000"/>
          <w:sz w:val="22"/>
        </w:rPr>
        <w:t>As adopted on November 20, 2023</w:t>
      </w:r>
    </w:p>
    <w:p>
      <w:pPr>
        <w:pStyle w:val="TextBody"/>
        <w:bidi w:val="0"/>
        <w:jc w:val="center"/>
        <w:rPr/>
      </w:pPr>
      <w:r>
        <w:rPr/>
        <w:t> </w:t>
      </w:r>
    </w:p>
    <w:p>
      <w:pPr>
        <w:pStyle w:val="TextBody"/>
        <w:bidi w:val="0"/>
        <w:ind w:left="0" w:right="0" w:firstLine="720"/>
        <w:jc w:val="both"/>
        <w:rPr>
          <w:rFonts w:ascii="Times New Roman" w:hAnsi="Times New Roman"/>
          <w:sz w:val="20"/>
        </w:rPr>
      </w:pPr>
      <w:r>
        <w:rPr>
          <w:rFonts w:ascii="Calibri;sans-serif" w:hAnsi="Calibri;sans-serif"/>
          <w:color w:val="000000"/>
          <w:sz w:val="22"/>
        </w:rPr>
        <w:t>IRIDEX Corporation (the “</w:t>
      </w:r>
      <w:r>
        <w:rPr>
          <w:rFonts w:ascii="Calibri;sans-serif" w:hAnsi="Calibri;sans-serif"/>
          <w:b/>
          <w:color w:val="000000"/>
          <w:sz w:val="22"/>
        </w:rPr>
        <w:t>Company</w:t>
      </w:r>
      <w:r>
        <w:rPr>
          <w:rFonts w:ascii="Times New Roman" w:hAnsi="Times New Roman"/>
          <w:color w:val="000000"/>
          <w:sz w:val="20"/>
        </w:rPr>
        <w:t>”</w:t>
      </w:r>
      <w:r>
        <w:rPr>
          <w:rFonts w:ascii="Calibri;sans-serif" w:hAnsi="Calibri;sans-serif"/>
          <w:color w:val="000000"/>
          <w:sz w:val="22"/>
        </w:rPr>
        <w:t>) is committed to strong corporate governance. As part of this commitment, the Company’s Nominating and Governance Committee has recommended adoption of and the Board of Directors (the “</w:t>
      </w:r>
      <w:r>
        <w:rPr>
          <w:rFonts w:ascii="Calibri;sans-serif" w:hAnsi="Calibri;sans-serif"/>
          <w:b/>
          <w:color w:val="000000"/>
          <w:sz w:val="22"/>
        </w:rPr>
        <w:t>Board</w:t>
      </w:r>
      <w:r>
        <w:rPr>
          <w:rFonts w:ascii="Times New Roman" w:hAnsi="Times New Roman"/>
          <w:color w:val="000000"/>
          <w:sz w:val="20"/>
        </w:rPr>
        <w:t>”</w:t>
      </w:r>
      <w:r>
        <w:rPr>
          <w:rFonts w:ascii="Calibri;sans-serif" w:hAnsi="Calibri;sans-serif"/>
          <w:color w:val="000000"/>
          <w:sz w:val="22"/>
        </w:rPr>
        <w:t>) has adopted this clawback policy called the Compensation Recovery Policy (the “</w:t>
      </w:r>
      <w:r>
        <w:rPr>
          <w:rFonts w:ascii="Calibri;sans-serif" w:hAnsi="Calibri;sans-serif"/>
          <w:b/>
          <w:color w:val="000000"/>
          <w:sz w:val="22"/>
        </w:rPr>
        <w:t>Policy</w:t>
      </w:r>
      <w:r>
        <w:rPr>
          <w:rFonts w:ascii="Times New Roman" w:hAnsi="Times New Roman"/>
          <w:color w:val="000000"/>
          <w:sz w:val="20"/>
        </w:rPr>
        <w:t>”</w:t>
      </w:r>
      <w:r>
        <w:rPr>
          <w:rFonts w:ascii="Calibri;sans-serif" w:hAnsi="Calibri;sans-serif"/>
          <w:color w:val="000000"/>
          <w:sz w:val="22"/>
        </w:rPr>
        <w:t>). The Policy is intended to further the Company’s pay-for-performance philosophy and to comply with applicable laws by providing rules relating to the reasonably prompt recovery of certain compensation received by Covered Executives in the event of an Accounting Restatement. The application of the Policy to Covered Executives is not discretionary, except to the limited extent provided below, and applies without regard to whether a Covered Executive was at fault. Capitalized terms used in the Policy are defined below, and the definitions have substantive impact on its application so reviewing them carefully is important to your understanding.</w:t>
      </w:r>
    </w:p>
    <w:p>
      <w:pPr>
        <w:pStyle w:val="TextBody"/>
        <w:bidi w:val="0"/>
        <w:jc w:val="left"/>
        <w:rPr/>
      </w:pPr>
      <w:r>
        <w:rPr/>
        <w:t> </w:t>
      </w:r>
    </w:p>
    <w:p>
      <w:pPr>
        <w:pStyle w:val="TextBody"/>
        <w:bidi w:val="0"/>
        <w:ind w:left="0" w:right="0" w:firstLine="720"/>
        <w:jc w:val="left"/>
        <w:rPr>
          <w:rFonts w:ascii="Times New Roman" w:hAnsi="Times New Roman"/>
          <w:sz w:val="20"/>
        </w:rPr>
      </w:pPr>
      <w:r>
        <w:rPr>
          <w:rFonts w:ascii="Calibri;sans-serif" w:hAnsi="Calibri;sans-serif"/>
          <w:color w:val="000000"/>
          <w:sz w:val="22"/>
        </w:rPr>
        <w:t>The Policy is intended to comply with, and will be interpreted in a manner consistent with, Section 10D of the Securities Exchange Act of 1934 (the “</w:t>
      </w:r>
      <w:r>
        <w:rPr>
          <w:rFonts w:ascii="Calibri;sans-serif" w:hAnsi="Calibri;sans-serif"/>
          <w:b/>
          <w:color w:val="000000"/>
          <w:sz w:val="22"/>
        </w:rPr>
        <w:t>Exchange Act</w:t>
      </w:r>
      <w:r>
        <w:rPr>
          <w:rFonts w:ascii="Times New Roman" w:hAnsi="Times New Roman"/>
          <w:color w:val="000000"/>
          <w:sz w:val="20"/>
        </w:rPr>
        <w:t>”</w:t>
      </w:r>
      <w:r>
        <w:rPr>
          <w:rFonts w:ascii="Calibri;sans-serif" w:hAnsi="Calibri;sans-serif"/>
          <w:color w:val="000000"/>
          <w:sz w:val="22"/>
        </w:rPr>
        <w:t>), with Exchange Act Rule 10D-1 and with the listing standards of the national securities exchange (the “</w:t>
      </w:r>
      <w:r>
        <w:rPr>
          <w:rFonts w:ascii="Calibri;sans-serif" w:hAnsi="Calibri;sans-serif"/>
          <w:b/>
          <w:color w:val="000000"/>
          <w:sz w:val="22"/>
        </w:rPr>
        <w:t>Exchange</w:t>
      </w:r>
      <w:r>
        <w:rPr>
          <w:rFonts w:ascii="Times New Roman" w:hAnsi="Times New Roman"/>
          <w:color w:val="000000"/>
          <w:sz w:val="20"/>
        </w:rPr>
        <w:t>”</w:t>
      </w:r>
      <w:r>
        <w:rPr>
          <w:rFonts w:ascii="Calibri;sans-serif" w:hAnsi="Calibri;sans-serif"/>
          <w:color w:val="000000"/>
          <w:sz w:val="22"/>
        </w:rPr>
        <w:t>) on which the securities of the Company are listed, including any official interpretive guidance.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Calibri;sans-serif" w:hAnsi="Calibri;sans-serif"/>
          <w:b/>
          <w:color w:val="000000"/>
          <w:sz w:val="22"/>
        </w:rPr>
      </w:pPr>
      <w:r>
        <w:rPr>
          <w:rFonts w:ascii="Calibri;sans-serif" w:hAnsi="Calibri;sans-serif"/>
          <w:b/>
          <w:color w:val="000000"/>
          <w:sz w:val="22"/>
        </w:rPr>
        <w:t>Persons Covered by the Policy</w:t>
      </w:r>
    </w:p>
    <w:p>
      <w:pPr>
        <w:pStyle w:val="TextBody"/>
        <w:bidi w:val="0"/>
        <w:jc w:val="left"/>
        <w:rPr/>
      </w:pPr>
      <w:r>
        <w:rPr/>
        <w:t> </w:t>
      </w:r>
    </w:p>
    <w:p>
      <w:pPr>
        <w:pStyle w:val="TextBody"/>
        <w:bidi w:val="0"/>
        <w:ind w:left="0" w:right="0" w:firstLine="720"/>
        <w:jc w:val="left"/>
        <w:rPr>
          <w:rFonts w:ascii="Times New Roman" w:hAnsi="Times New Roman"/>
          <w:sz w:val="20"/>
        </w:rPr>
      </w:pPr>
      <w:r>
        <w:rPr>
          <w:rFonts w:ascii="Calibri;sans-serif" w:hAnsi="Calibri;sans-serif"/>
          <w:color w:val="000000"/>
          <w:sz w:val="22"/>
        </w:rPr>
        <w:t>The Policy is binding and enforceable against all “</w:t>
      </w:r>
      <w:r>
        <w:rPr>
          <w:rFonts w:ascii="Calibri;sans-serif" w:hAnsi="Calibri;sans-serif"/>
          <w:b/>
          <w:color w:val="000000"/>
          <w:sz w:val="22"/>
        </w:rPr>
        <w:t>Covered Executives</w:t>
      </w:r>
      <w:r>
        <w:rPr>
          <w:rFonts w:ascii="Calibri;sans-serif" w:hAnsi="Calibri;sans-serif"/>
          <w:color w:val="000000"/>
          <w:sz w:val="22"/>
        </w:rPr>
        <w:t>.” A Covered Executive is each individual who is or was ever designated as an “officer” by the Board in accordance with Exchange Act Rule 16a-1(f) (a “</w:t>
      </w:r>
      <w:r>
        <w:rPr>
          <w:rFonts w:ascii="Calibri;sans-serif" w:hAnsi="Calibri;sans-serif"/>
          <w:b/>
          <w:color w:val="000000"/>
          <w:sz w:val="22"/>
        </w:rPr>
        <w:t>Section 16 Officer</w:t>
      </w:r>
      <w:r>
        <w:rPr>
          <w:rFonts w:ascii="Times New Roman" w:hAnsi="Times New Roman"/>
          <w:color w:val="000000"/>
          <w:sz w:val="20"/>
        </w:rPr>
        <w:t>”</w:t>
      </w:r>
      <w:r>
        <w:rPr>
          <w:rFonts w:ascii="Calibri;sans-serif" w:hAnsi="Calibri;sans-serif"/>
          <w:color w:val="000000"/>
          <w:sz w:val="22"/>
        </w:rPr>
        <w:t>). The Committee may (but is not obligated to) request or require a Covered Executive to sign and return to the Company an acknowledgement that such Covered Executive will be bound by the terms and comply with the Policy. The Policy is binding on each Covered Executive whether or not the Covered Executive signs and/or returns any acknowledgment.</w:t>
      </w:r>
    </w:p>
    <w:p>
      <w:pPr>
        <w:pStyle w:val="TextBody"/>
        <w:bidi w:val="0"/>
        <w:jc w:val="left"/>
        <w:rPr/>
      </w:pPr>
      <w:r>
        <w:rPr/>
        <w:t> </w:t>
      </w:r>
    </w:p>
    <w:p>
      <w:pPr>
        <w:pStyle w:val="TextBody"/>
        <w:bidi w:val="0"/>
        <w:jc w:val="left"/>
        <w:rPr>
          <w:rFonts w:ascii="Calibri;sans-serif" w:hAnsi="Calibri;sans-serif"/>
          <w:b/>
          <w:color w:val="000000"/>
          <w:sz w:val="22"/>
        </w:rPr>
      </w:pPr>
      <w:r>
        <w:rPr>
          <w:rFonts w:ascii="Calibri;sans-serif" w:hAnsi="Calibri;sans-serif"/>
          <w:b/>
          <w:color w:val="000000"/>
          <w:sz w:val="22"/>
        </w:rPr>
        <w:t>Administration of the Policy</w:t>
      </w:r>
    </w:p>
    <w:p>
      <w:pPr>
        <w:pStyle w:val="TextBody"/>
        <w:bidi w:val="0"/>
        <w:ind w:left="0" w:right="0" w:firstLine="720"/>
        <w:jc w:val="left"/>
        <w:rPr/>
      </w:pPr>
      <w:r>
        <w:rPr/>
        <w:t> </w:t>
      </w:r>
    </w:p>
    <w:p>
      <w:pPr>
        <w:pStyle w:val="TextBody"/>
        <w:bidi w:val="0"/>
        <w:ind w:left="0" w:right="0" w:firstLine="720"/>
        <w:jc w:val="left"/>
        <w:rPr>
          <w:rFonts w:ascii="Times New Roman" w:hAnsi="Times New Roman"/>
          <w:sz w:val="20"/>
        </w:rPr>
      </w:pPr>
      <w:r>
        <w:rPr>
          <w:rFonts w:ascii="Calibri;sans-serif" w:hAnsi="Calibri;sans-serif"/>
          <w:color w:val="000000"/>
          <w:sz w:val="22"/>
        </w:rPr>
        <w:t>The Compensation Committee (the “</w:t>
      </w:r>
      <w:r>
        <w:rPr>
          <w:rFonts w:ascii="Calibri;sans-serif" w:hAnsi="Calibri;sans-serif"/>
          <w:b/>
          <w:color w:val="000000"/>
          <w:sz w:val="22"/>
        </w:rPr>
        <w:t>Committee</w:t>
      </w:r>
      <w:r>
        <w:rPr>
          <w:rFonts w:ascii="Times New Roman" w:hAnsi="Times New Roman"/>
          <w:color w:val="000000"/>
          <w:sz w:val="20"/>
        </w:rPr>
        <w:t>”</w:t>
      </w:r>
      <w:r>
        <w:rPr>
          <w:rFonts w:ascii="Calibri;sans-serif" w:hAnsi="Calibri;sans-serif"/>
          <w:color w:val="000000"/>
          <w:sz w:val="22"/>
        </w:rPr>
        <w:t>) of the Board has full delegated authority to administer the Policy. The Committee is authorized to interpret and construe the Policy and to make all determinations necessary, appropriate, or advisable for the administration of the Policy. In addition, if determined in the discretion of the Board, the Policy may be administered by the independent members of the Board or another committee of the Board made up of independent members of the Board, in which case all references to the Committee will be deemed to refer to the independent members of the Board or the other Board committee. All determinations of the Committee will be final and binding and will be given the maximum deference permitted by law.</w:t>
      </w:r>
    </w:p>
    <w:p>
      <w:pPr>
        <w:pStyle w:val="TextBody"/>
        <w:bidi w:val="0"/>
        <w:jc w:val="both"/>
        <w:rPr/>
      </w:pPr>
      <w:r>
        <w:rPr/>
        <w:t> </w:t>
      </w:r>
    </w:p>
    <w:p>
      <w:pPr>
        <w:pStyle w:val="TextBody"/>
        <w:bidi w:val="0"/>
        <w:jc w:val="both"/>
        <w:rPr>
          <w:rFonts w:ascii="Calibri;sans-serif" w:hAnsi="Calibri;sans-serif"/>
          <w:b/>
          <w:color w:val="000000"/>
          <w:sz w:val="22"/>
        </w:rPr>
      </w:pPr>
      <w:r>
        <w:rPr>
          <w:rFonts w:ascii="Calibri;sans-serif" w:hAnsi="Calibri;sans-serif"/>
          <w:b/>
          <w:color w:val="000000"/>
          <w:sz w:val="22"/>
        </w:rPr>
        <w:t>Accounting Restatements Requiring Application of the Policy</w:t>
      </w:r>
    </w:p>
    <w:p>
      <w:pPr>
        <w:pStyle w:val="TextBody"/>
        <w:bidi w:val="0"/>
        <w:jc w:val="both"/>
        <w:rPr/>
      </w:pPr>
      <w:r>
        <w:rPr/>
        <w:t> </w:t>
      </w:r>
    </w:p>
    <w:p>
      <w:pPr>
        <w:pStyle w:val="TextBody"/>
        <w:bidi w:val="0"/>
        <w:ind w:left="0" w:right="0" w:firstLine="720"/>
        <w:jc w:val="both"/>
        <w:rPr>
          <w:rFonts w:ascii="Times New Roman" w:hAnsi="Times New Roman"/>
          <w:sz w:val="20"/>
        </w:rPr>
      </w:pPr>
      <w:r>
        <w:rPr>
          <w:rFonts w:ascii="Calibri;sans-serif" w:hAnsi="Calibri;sans-serif"/>
          <w:color w:val="000000"/>
          <w:sz w:val="22"/>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Calibri;sans-serif" w:hAnsi="Calibri;sans-serif"/>
          <w:b/>
          <w:color w:val="000000"/>
          <w:sz w:val="22"/>
        </w:rPr>
        <w:t>Accounting Restatement</w:t>
      </w:r>
      <w:r>
        <w:rPr>
          <w:rFonts w:ascii="Times New Roman" w:hAnsi="Times New Roman"/>
          <w:color w:val="000000"/>
          <w:sz w:val="20"/>
        </w:rPr>
        <w:t>”</w:t>
      </w:r>
      <w:r>
        <w:rPr>
          <w:rFonts w:ascii="Calibri;sans-serif" w:hAnsi="Calibri;sans-serif"/>
          <w:color w:val="000000"/>
          <w:sz w:val="22"/>
        </w:rPr>
        <w:t>), then the Committee must determine the Excess Compensation, if any, that must be recovered. The Company’s obligation to recover Excess Compensation is not dependent on if or when restated financial statements are filed.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i;sans-serif" w:hAnsi="Calibri;sans-serif"/>
          <w:b/>
          <w:color w:val="000000"/>
          <w:sz w:val="22"/>
        </w:rPr>
      </w:pPr>
      <w:r>
        <w:rPr>
          <w:rFonts w:ascii="Calibri;sans-serif" w:hAnsi="Calibri;sans-serif"/>
          <w:b/>
          <w:color w:val="000000"/>
          <w:sz w:val="22"/>
        </w:rPr>
        <w:t>Compensation Covered by the Policy</w:t>
      </w:r>
    </w:p>
    <w:p>
      <w:pPr>
        <w:pStyle w:val="TextBody"/>
        <w:bidi w:val="0"/>
        <w:jc w:val="both"/>
        <w:rPr/>
      </w:pPr>
      <w:r>
        <w:rPr/>
        <w:t> </w:t>
      </w:r>
    </w:p>
    <w:p>
      <w:pPr>
        <w:pStyle w:val="TextBody"/>
        <w:bidi w:val="0"/>
        <w:ind w:left="0" w:right="0" w:firstLine="720"/>
        <w:jc w:val="both"/>
        <w:rPr>
          <w:rFonts w:ascii="Times New Roman" w:hAnsi="Times New Roman"/>
          <w:sz w:val="20"/>
        </w:rPr>
      </w:pPr>
      <w:r>
        <w:rPr>
          <w:rFonts w:ascii="Calibri;sans-serif" w:hAnsi="Calibri;sans-serif"/>
          <w:color w:val="000000"/>
          <w:sz w:val="22"/>
        </w:rPr>
        <w:t xml:space="preserve">The Policy applies to certain </w:t>
      </w:r>
      <w:r>
        <w:rPr>
          <w:rFonts w:ascii="Calibri;sans-serif" w:hAnsi="Calibri;sans-serif"/>
          <w:b/>
          <w:color w:val="000000"/>
          <w:sz w:val="22"/>
        </w:rPr>
        <w:t>Incentive-Based Compensation</w:t>
      </w:r>
      <w:r>
        <w:rPr>
          <w:rFonts w:ascii="Times New Roman" w:hAnsi="Times New Roman"/>
          <w:color w:val="000000"/>
          <w:sz w:val="20"/>
        </w:rPr>
        <w:t xml:space="preserve"> </w:t>
      </w:r>
      <w:r>
        <w:rPr>
          <w:rFonts w:ascii="Calibri;sans-serif" w:hAnsi="Calibri;sans-serif"/>
          <w:color w:val="000000"/>
          <w:sz w:val="22"/>
        </w:rPr>
        <w:t xml:space="preserve">(certain terms used in this Section are defined below) that is </w:t>
      </w:r>
      <w:r>
        <w:rPr>
          <w:rFonts w:ascii="Calibri;sans-serif" w:hAnsi="Calibri;sans-serif"/>
          <w:b/>
          <w:color w:val="000000"/>
          <w:sz w:val="22"/>
        </w:rPr>
        <w:t xml:space="preserve">Received </w:t>
      </w:r>
      <w:r>
        <w:rPr>
          <w:rFonts w:ascii="Calibri;sans-serif" w:hAnsi="Calibri;sans-serif"/>
          <w:color w:val="000000"/>
          <w:sz w:val="22"/>
        </w:rPr>
        <w:t>on or after October 2, 2023 (the “</w:t>
      </w:r>
      <w:r>
        <w:rPr>
          <w:rFonts w:ascii="Calibri;sans-serif" w:hAnsi="Calibri;sans-serif"/>
          <w:b/>
          <w:color w:val="000000"/>
          <w:sz w:val="22"/>
        </w:rPr>
        <w:t>Effective Date</w:t>
      </w:r>
      <w:r>
        <w:rPr>
          <w:rFonts w:ascii="Times New Roman" w:hAnsi="Times New Roman"/>
          <w:color w:val="000000"/>
          <w:sz w:val="20"/>
        </w:rPr>
        <w:t>”</w:t>
      </w:r>
      <w:r>
        <w:rPr>
          <w:rFonts w:ascii="Calibri;sans-serif" w:hAnsi="Calibri;sans-serif"/>
          <w:color w:val="000000"/>
          <w:sz w:val="22"/>
        </w:rPr>
        <w:t xml:space="preserve">), during the </w:t>
      </w:r>
      <w:r>
        <w:rPr>
          <w:rFonts w:ascii="Calibri;sans-serif" w:hAnsi="Calibri;sans-serif"/>
          <w:b/>
          <w:color w:val="000000"/>
          <w:sz w:val="22"/>
        </w:rPr>
        <w:t>Covered Period</w:t>
      </w:r>
      <w:r>
        <w:rPr>
          <w:rFonts w:ascii="Times New Roman" w:hAnsi="Times New Roman"/>
          <w:color w:val="000000"/>
          <w:sz w:val="20"/>
        </w:rPr>
        <w:t xml:space="preserve"> </w:t>
      </w:r>
      <w:r>
        <w:rPr>
          <w:rFonts w:ascii="Calibri;sans-serif" w:hAnsi="Calibri;sans-serif"/>
          <w:color w:val="000000"/>
          <w:sz w:val="22"/>
        </w:rPr>
        <w:t>while the Company has a class of securities listed on a national securities exchange. Such Incentive-Based Compensation is considered “</w:t>
      </w:r>
      <w:r>
        <w:rPr>
          <w:rFonts w:ascii="Calibri;sans-serif" w:hAnsi="Calibri;sans-serif"/>
          <w:b/>
          <w:color w:val="000000"/>
          <w:sz w:val="22"/>
        </w:rPr>
        <w:t>Clawback Eligible Incentive-Based Compensation</w:t>
      </w:r>
      <w:r>
        <w:rPr>
          <w:rFonts w:ascii="Times New Roman" w:hAnsi="Times New Roman"/>
          <w:color w:val="000000"/>
          <w:sz w:val="20"/>
        </w:rPr>
        <w:t xml:space="preserve">” </w:t>
      </w:r>
      <w:r>
        <w:rPr>
          <w:rFonts w:ascii="Calibri;sans-serif" w:hAnsi="Calibri;sans-serif"/>
          <w:color w:val="000000"/>
          <w:sz w:val="22"/>
        </w:rPr>
        <w:t>if the Incentive-Based Compensation is Received by a person after such person became a Section 16 Officer and the person served as a Section 16 Officer at any time during the performance period for the Incentive-Based Compensation. “</w:t>
      </w:r>
      <w:r>
        <w:rPr>
          <w:rFonts w:ascii="Calibri;sans-serif" w:hAnsi="Calibri;sans-serif"/>
          <w:b/>
          <w:color w:val="000000"/>
          <w:sz w:val="22"/>
        </w:rPr>
        <w:t>Excess Compensation</w:t>
      </w:r>
      <w:r>
        <w:rPr>
          <w:rFonts w:ascii="Times New Roman" w:hAnsi="Times New Roman"/>
          <w:color w:val="000000"/>
          <w:sz w:val="20"/>
        </w:rPr>
        <w:t xml:space="preserve">” </w:t>
      </w:r>
      <w:r>
        <w:rPr>
          <w:rFonts w:ascii="Calibri;sans-serif" w:hAnsi="Calibri;sans-serif"/>
          <w:color w:val="000000"/>
          <w:sz w:val="22"/>
        </w:rPr>
        <w:t>means the amount of Clawback Eligible Incentive-Based Compensation that exceeds the amount of Clawback Eligible Incentive-Based Compensation that otherwise would have been Received had such Clawback Eligible Incentive-Based Compensation been determined based on the restated amounts. Excess Compensation must be computed without regard to any taxes paid and is referred to in the listings standards as “erroneously awarded compensation”.</w:t>
      </w:r>
    </w:p>
    <w:p>
      <w:pPr>
        <w:pStyle w:val="TextBody"/>
        <w:bidi w:val="0"/>
        <w:ind w:left="0" w:right="0" w:firstLine="720"/>
        <w:jc w:val="both"/>
        <w:rPr/>
      </w:pPr>
      <w:r>
        <w:rPr/>
        <w:t> </w:t>
      </w:r>
    </w:p>
    <w:p>
      <w:pPr>
        <w:pStyle w:val="TextBody"/>
        <w:bidi w:val="0"/>
        <w:ind w:left="0" w:right="0" w:firstLine="720"/>
        <w:jc w:val="both"/>
        <w:rPr>
          <w:rFonts w:ascii="Calibri;sans-serif" w:hAnsi="Calibri;sans-serif"/>
          <w:color w:val="000000"/>
          <w:sz w:val="22"/>
        </w:rPr>
      </w:pPr>
      <w:r>
        <w:rPr>
          <w:rFonts w:ascii="Calibri;sans-serif" w:hAnsi="Calibri;sans-serif"/>
          <w:color w:val="000000"/>
          <w:sz w:val="22"/>
        </w:rPr>
        <w:t>To determine the amount of Excess Compensation for Incentive-Based Compensation based on stock price or total shareholder return, where it is not subject to mathematical recalculation directly from the information in an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that documentation to the Exchange.</w:t>
      </w:r>
    </w:p>
    <w:p>
      <w:pPr>
        <w:pStyle w:val="TextBody"/>
        <w:bidi w:val="0"/>
        <w:jc w:val="both"/>
        <w:rPr/>
      </w:pPr>
      <w:r>
        <w:rPr/>
        <w:t> </w:t>
      </w:r>
    </w:p>
    <w:p>
      <w:pPr>
        <w:pStyle w:val="TextBody"/>
        <w:bidi w:val="0"/>
        <w:ind w:left="0" w:right="0" w:firstLine="720"/>
        <w:jc w:val="both"/>
        <w:rPr/>
      </w:pPr>
      <w:r>
        <w:rPr>
          <w:color w:val="000000"/>
        </w:rPr>
        <w:t>“</w:t>
      </w:r>
      <w:r>
        <w:rPr>
          <w:rFonts w:ascii="Calibri;sans-serif" w:hAnsi="Calibri;sans-serif"/>
          <w:b/>
          <w:color w:val="000000"/>
          <w:sz w:val="22"/>
        </w:rPr>
        <w:t>Incentive-Based Compensation</w:t>
      </w:r>
      <w:r>
        <w:rPr>
          <w:rFonts w:ascii="Times New Roman" w:hAnsi="Times New Roman"/>
          <w:color w:val="000000"/>
          <w:sz w:val="20"/>
        </w:rPr>
        <w:t xml:space="preserve">” </w:t>
      </w:r>
      <w:r>
        <w:rPr>
          <w:rFonts w:ascii="Calibri;sans-serif" w:hAnsi="Calibri;sans-serif"/>
          <w:color w:val="000000"/>
          <w:sz w:val="22"/>
        </w:rPr>
        <w:t>means any compensation that is granted, earned, or vested based wholly or in part upon the attainment of a Financial Reporting Measure, including any compensation awarded under the Company’s annual Short-Term Incentive Plan or the 2008 Equity Incentive Plan, as amended. For the avoidance of doubt, no compensation that is potentially subject to recovery under the Policy will be earned until the Company’s right to recover under the Policy has lapsed.</w:t>
      </w:r>
      <w:r>
        <w:rPr>
          <w:rFonts w:ascii="Times New Roman" w:hAnsi="Times New Roman"/>
          <w:color w:val="000000"/>
          <w:sz w:val="20"/>
        </w:rPr>
        <w:t xml:space="preserve"> </w:t>
      </w:r>
    </w:p>
    <w:p>
      <w:pPr>
        <w:pStyle w:val="TextBody"/>
        <w:bidi w:val="0"/>
        <w:ind w:left="0" w:right="0" w:firstLine="720"/>
        <w:jc w:val="both"/>
        <w:rPr/>
      </w:pPr>
      <w:r>
        <w:rPr/>
        <w:t> </w:t>
      </w:r>
    </w:p>
    <w:p>
      <w:pPr>
        <w:pStyle w:val="TextBody"/>
        <w:bidi w:val="0"/>
        <w:ind w:left="0" w:right="0" w:firstLine="720"/>
        <w:jc w:val="both"/>
        <w:rPr/>
      </w:pPr>
      <w:r>
        <w:rPr>
          <w:color w:val="000000"/>
        </w:rPr>
        <w:t>“</w:t>
      </w:r>
      <w:r>
        <w:rPr>
          <w:rFonts w:ascii="Calibri;sans-serif" w:hAnsi="Calibri;sans-serif"/>
          <w:b/>
          <w:color w:val="000000"/>
          <w:sz w:val="22"/>
        </w:rPr>
        <w:t>Financial Reporting Measures</w:t>
      </w:r>
      <w:r>
        <w:rPr>
          <w:rFonts w:ascii="Times New Roman" w:hAnsi="Times New Roman"/>
          <w:color w:val="000000"/>
          <w:sz w:val="20"/>
        </w:rPr>
        <w:t xml:space="preserve">” </w:t>
      </w:r>
      <w:r>
        <w:rPr>
          <w:rFonts w:ascii="Calibri;sans-serif" w:hAnsi="Calibri;sans-serif"/>
          <w:color w:val="000000"/>
          <w:sz w:val="22"/>
        </w:rPr>
        <w:t>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w:t>
      </w:r>
      <w:r>
        <w:rPr>
          <w:rFonts w:ascii="Times New Roman" w:hAnsi="Times New Roman"/>
          <w:color w:val="000000"/>
          <w:sz w:val="20"/>
        </w:rPr>
        <w:t xml:space="preserve"> </w:t>
      </w:r>
    </w:p>
    <w:p>
      <w:pPr>
        <w:pStyle w:val="TextBody"/>
        <w:bidi w:val="0"/>
        <w:ind w:left="0" w:right="0" w:firstLine="720"/>
        <w:jc w:val="both"/>
        <w:rPr/>
      </w:pPr>
      <w:r>
        <w:rPr/>
        <w:t> </w:t>
      </w:r>
    </w:p>
    <w:p>
      <w:pPr>
        <w:pStyle w:val="TextBody"/>
        <w:bidi w:val="0"/>
        <w:ind w:left="0" w:right="0" w:firstLine="720"/>
        <w:jc w:val="left"/>
        <w:rPr>
          <w:rFonts w:ascii="Times New Roman" w:hAnsi="Times New Roman"/>
          <w:sz w:val="20"/>
        </w:rPr>
      </w:pPr>
      <w:r>
        <w:rPr>
          <w:rFonts w:ascii="Calibri;sans-serif" w:hAnsi="Calibri;sans-serif"/>
          <w:color w:val="000000"/>
          <w:sz w:val="22"/>
        </w:rPr>
        <w:t>Incentive-Based Compensation is “</w:t>
      </w:r>
      <w:r>
        <w:rPr>
          <w:rFonts w:ascii="Calibri;sans-serif" w:hAnsi="Calibri;sans-serif"/>
          <w:b/>
          <w:color w:val="000000"/>
          <w:sz w:val="22"/>
        </w:rPr>
        <w:t>Received</w:t>
      </w:r>
      <w:r>
        <w:rPr>
          <w:rFonts w:ascii="Times New Roman" w:hAnsi="Times New Roman"/>
          <w:color w:val="000000"/>
          <w:sz w:val="20"/>
        </w:rPr>
        <w:t xml:space="preserve">” </w:t>
      </w:r>
      <w:r>
        <w:rPr>
          <w:rFonts w:ascii="Calibri;sans-serif" w:hAnsi="Calibri;sans-serif"/>
          <w:color w:val="000000"/>
          <w:sz w:val="22"/>
        </w:rPr>
        <w:t>under the Policy in the Company’s fiscal period during which the Financial Reporting Measure specified in the Incentive-Based Compensation award is attained, even if the payment, vesting, settlement or grant of the Incentive-Based Compensation occurs after the end of that period. For the avoidance of doubt, the Policy does not apply to Incentive-Based Compensation for which the Financial Reporting Measure is attained prior to the Effective Date.</w:t>
      </w:r>
    </w:p>
    <w:p>
      <w:pPr>
        <w:pStyle w:val="TextBody"/>
        <w:bidi w:val="0"/>
        <w:jc w:val="both"/>
        <w:rPr/>
      </w:pPr>
      <w:r>
        <w:rPr/>
        <w:t> </w:t>
      </w:r>
    </w:p>
    <w:p>
      <w:pPr>
        <w:pStyle w:val="TextBody"/>
        <w:bidi w:val="0"/>
        <w:ind w:left="0" w:right="0" w:firstLine="720"/>
        <w:jc w:val="both"/>
        <w:rPr/>
      </w:pPr>
      <w:r>
        <w:rPr>
          <w:color w:val="000000"/>
        </w:rPr>
        <w:t>“</w:t>
      </w:r>
      <w:r>
        <w:rPr>
          <w:rFonts w:ascii="Calibri;sans-serif" w:hAnsi="Calibri;sans-serif"/>
          <w:b/>
          <w:color w:val="000000"/>
          <w:sz w:val="22"/>
        </w:rPr>
        <w:t>Covered Period</w:t>
      </w:r>
      <w:r>
        <w:rPr>
          <w:rFonts w:ascii="Times New Roman" w:hAnsi="Times New Roman"/>
          <w:color w:val="000000"/>
          <w:sz w:val="20"/>
        </w:rPr>
        <w:t xml:space="preserve">” </w:t>
      </w:r>
      <w:r>
        <w:rPr>
          <w:rFonts w:ascii="Calibri;sans-serif" w:hAnsi="Calibri;sans-serif"/>
          <w:color w:val="000000"/>
          <w:sz w:val="22"/>
        </w:rPr>
        <w:t>means the three completed fiscal years immediately preceding the Accounting Restatement Determination Date. In addition, Covered Period can include certain transition periods resulting from a change in the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Calibri;sans-serif" w:hAnsi="Calibri;sans-serif"/>
          <w:color w:val="000000"/>
          <w:sz w:val="22"/>
        </w:rPr>
        <w:t>Company’s fiscal year.</w:t>
      </w:r>
      <w:r>
        <w:rPr>
          <w:rFonts w:ascii="Times New Roman" w:hAnsi="Times New Roman"/>
          <w:color w:val="000000"/>
          <w:sz w:val="20"/>
        </w:rPr>
        <w:t xml:space="preserve"> </w:t>
      </w:r>
    </w:p>
    <w:p>
      <w:pPr>
        <w:pStyle w:val="TextBody"/>
        <w:bidi w:val="0"/>
        <w:jc w:val="both"/>
        <w:rPr/>
      </w:pPr>
      <w:r>
        <w:rPr/>
        <w:t> </w:t>
      </w:r>
    </w:p>
    <w:p>
      <w:pPr>
        <w:pStyle w:val="TextBody"/>
        <w:bidi w:val="0"/>
        <w:ind w:left="0" w:right="0" w:firstLine="720"/>
        <w:jc w:val="both"/>
        <w:rPr/>
      </w:pPr>
      <w:r>
        <w:rPr>
          <w:color w:val="000000"/>
        </w:rPr>
        <w:t>“</w:t>
      </w:r>
      <w:r>
        <w:rPr>
          <w:rFonts w:ascii="Calibri;sans-serif" w:hAnsi="Calibri;sans-serif"/>
          <w:b/>
          <w:color w:val="000000"/>
          <w:sz w:val="22"/>
        </w:rPr>
        <w:t>Accounting Restatement Determination Date</w:t>
      </w:r>
      <w:r>
        <w:rPr>
          <w:rFonts w:ascii="Times New Roman" w:hAnsi="Times New Roman"/>
          <w:color w:val="000000"/>
          <w:sz w:val="20"/>
        </w:rPr>
        <w:t xml:space="preserve">” </w:t>
      </w:r>
      <w:r>
        <w:rPr>
          <w:rFonts w:ascii="Calibri;sans-serif" w:hAnsi="Calibri;sans-serif"/>
          <w:color w:val="000000"/>
          <w:sz w:val="22"/>
        </w:rPr>
        <w:t>means the earliest to occur of: (a) the date the Board, a committee of the Board, or one or more of the officers of the Company authorized to take such action if Board action is not required, concludes, or reasonably should have concluded, that the Company is required to prepare an Accounting Restatement; and (b) the date a court, regulator, or other legally authorized body directs the Company to prepare an Accounting Restatement.</w:t>
      </w:r>
    </w:p>
    <w:p>
      <w:pPr>
        <w:pStyle w:val="TextBody"/>
        <w:bidi w:val="0"/>
        <w:jc w:val="both"/>
        <w:rPr/>
      </w:pPr>
      <w:r>
        <w:rPr/>
        <w:t> </w:t>
      </w:r>
    </w:p>
    <w:p>
      <w:pPr>
        <w:pStyle w:val="TextBody"/>
        <w:bidi w:val="0"/>
        <w:jc w:val="both"/>
        <w:rPr>
          <w:rFonts w:ascii="Calibri;sans-serif" w:hAnsi="Calibri;sans-serif"/>
          <w:b/>
          <w:color w:val="000000"/>
          <w:sz w:val="22"/>
        </w:rPr>
      </w:pPr>
      <w:r>
        <w:rPr>
          <w:rFonts w:ascii="Calibri;sans-serif" w:hAnsi="Calibri;sans-serif"/>
          <w:b/>
          <w:color w:val="000000"/>
          <w:sz w:val="22"/>
        </w:rPr>
        <w:t>Repayment of Excess Compensation</w:t>
      </w:r>
    </w:p>
    <w:p>
      <w:pPr>
        <w:pStyle w:val="TextBody"/>
        <w:bidi w:val="0"/>
        <w:jc w:val="both"/>
        <w:rPr/>
      </w:pPr>
      <w:r>
        <w:rPr/>
        <w:t> </w:t>
      </w:r>
    </w:p>
    <w:p>
      <w:pPr>
        <w:pStyle w:val="TextBody"/>
        <w:bidi w:val="0"/>
        <w:ind w:left="0" w:right="0" w:firstLine="720"/>
        <w:jc w:val="both"/>
        <w:rPr>
          <w:rFonts w:ascii="Times New Roman" w:hAnsi="Times New Roman"/>
          <w:sz w:val="20"/>
        </w:rPr>
      </w:pPr>
      <w:r>
        <w:rPr>
          <w:rFonts w:ascii="Calibri;sans-serif" w:hAnsi="Calibri;sans-serif"/>
          <w:color w:val="000000"/>
          <w:sz w:val="22"/>
        </w:rPr>
        <w:t>The Company must recover Excess Compensation reasonably promptly and Covered Executives are required to repay Excess Compensation to the Company. Subject to applicable law, the Company may recover Excess Compensation by requiring the Covered Executive to repay such amount to the Company by direct payment to the Company or such</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Calibri;sans-serif" w:hAnsi="Calibri;sans-serif"/>
          <w:color w:val="000000"/>
          <w:sz w:val="22"/>
        </w:rPr>
      </w:pPr>
      <w:r>
        <w:rPr>
          <w:rFonts w:ascii="Calibri;sans-serif" w:hAnsi="Calibri;sans-serif"/>
          <w:color w:val="000000"/>
          <w:sz w:val="22"/>
        </w:rPr>
        <w:t>other means or combination of means as the Committee determines to be appropriate (these determinations do not need to be identical as to each Covered Executive). These means include (but are not limited to):</w:t>
      </w:r>
    </w:p>
    <w:p>
      <w:pPr>
        <w:pStyle w:val="TextBody"/>
        <w:bidi w:val="0"/>
        <w:spacing w:before="120" w:after="283"/>
        <w:ind w:left="489" w:right="0" w:hanging="0"/>
        <w:jc w:val="both"/>
        <w:rPr>
          <w:rFonts w:ascii="Calibri" w:hAnsi="Calibri"/>
          <w:color w:val="000000"/>
          <w:sz w:val="22"/>
        </w:rPr>
      </w:pPr>
      <w:r>
        <w:rPr>
          <w:rFonts w:ascii="Calibri" w:hAnsi="Calibri"/>
          <w:color w:val="000000"/>
          <w:sz w:val="22"/>
        </w:rPr>
        <w:t>a)</w:t>
      </w:r>
    </w:p>
    <w:p>
      <w:pPr>
        <w:pStyle w:val="TextBody"/>
        <w:bidi w:val="0"/>
        <w:spacing w:before="120" w:after="283"/>
        <w:jc w:val="both"/>
        <w:rPr>
          <w:rFonts w:ascii="Calibri;sans-serif" w:hAnsi="Calibri;sans-serif"/>
          <w:color w:val="000000"/>
          <w:sz w:val="22"/>
        </w:rPr>
      </w:pPr>
      <w:r>
        <w:rPr>
          <w:rFonts w:ascii="Calibri;sans-serif" w:hAnsi="Calibri;sans-serif"/>
          <w:color w:val="000000"/>
          <w:sz w:val="22"/>
        </w:rPr>
        <w:t xml:space="preserve">requiring reimbursement of cash Incentive-Based Compensation previously paid; </w:t>
      </w:r>
    </w:p>
    <w:p>
      <w:pPr>
        <w:pStyle w:val="TextBody"/>
        <w:bidi w:val="0"/>
        <w:spacing w:before="120" w:after="283"/>
        <w:ind w:left="489" w:right="0" w:hanging="0"/>
        <w:jc w:val="both"/>
        <w:rPr>
          <w:rFonts w:ascii="Calibri" w:hAnsi="Calibri"/>
          <w:color w:val="000000"/>
          <w:sz w:val="22"/>
        </w:rPr>
      </w:pPr>
      <w:r>
        <w:rPr>
          <w:rFonts w:ascii="Calibri" w:hAnsi="Calibri"/>
          <w:color w:val="000000"/>
          <w:sz w:val="22"/>
        </w:rPr>
        <w:t>b)</w:t>
      </w:r>
    </w:p>
    <w:p>
      <w:pPr>
        <w:pStyle w:val="TextBody"/>
        <w:bidi w:val="0"/>
        <w:spacing w:before="120" w:after="283"/>
        <w:jc w:val="both"/>
        <w:rPr>
          <w:rFonts w:ascii="Calibri;sans-serif" w:hAnsi="Calibri;sans-serif"/>
          <w:color w:val="000000"/>
          <w:sz w:val="22"/>
        </w:rPr>
      </w:pPr>
      <w:r>
        <w:rPr>
          <w:rFonts w:ascii="Calibri;sans-serif" w:hAnsi="Calibri;sans-serif"/>
          <w:color w:val="000000"/>
          <w:sz w:val="22"/>
        </w:rPr>
        <w:t xml:space="preserve">seeking recovery of any gain realized on the vesting, exercise, settlement, sale, transfer, or other disposition of any equity-based awards (including, but not limited to, time-based vesting awards), without regard to whether such awards are Incentive-Based Compensation or vest based on the achievement of performance goals; </w:t>
      </w:r>
    </w:p>
    <w:p>
      <w:pPr>
        <w:pStyle w:val="TextBody"/>
        <w:bidi w:val="0"/>
        <w:spacing w:before="120" w:after="283"/>
        <w:ind w:left="489" w:right="0" w:hanging="0"/>
        <w:jc w:val="both"/>
        <w:rPr>
          <w:rFonts w:ascii="Calibri" w:hAnsi="Calibri"/>
          <w:color w:val="000000"/>
          <w:sz w:val="22"/>
        </w:rPr>
      </w:pPr>
      <w:r>
        <w:rPr>
          <w:rFonts w:ascii="Calibri" w:hAnsi="Calibri"/>
          <w:color w:val="000000"/>
          <w:sz w:val="22"/>
        </w:rPr>
        <w:t>c)</w:t>
      </w:r>
    </w:p>
    <w:p>
      <w:pPr>
        <w:pStyle w:val="TextBody"/>
        <w:bidi w:val="0"/>
        <w:spacing w:before="120" w:after="283"/>
        <w:jc w:val="both"/>
        <w:rPr>
          <w:rFonts w:ascii="Calibri;sans-serif" w:hAnsi="Calibri;sans-serif"/>
          <w:color w:val="000000"/>
          <w:sz w:val="22"/>
        </w:rPr>
      </w:pPr>
      <w:r>
        <w:rPr>
          <w:rFonts w:ascii="Calibri;sans-serif" w:hAnsi="Calibri;sans-serif"/>
          <w:color w:val="000000"/>
          <w:sz w:val="22"/>
        </w:rPr>
        <w:t xml:space="preserve">offsetting the amount to be recovered from any unpaid or future compensation to be paid by the Company or any affiliate of the Company to the Covered Executive, including (but not limited to) payments of severance that might otherwise be due in connection with a Covered Executive’s termination of employment and without regard to whether such amounts are Incentive-Based Compensation; </w:t>
      </w:r>
    </w:p>
    <w:p>
      <w:pPr>
        <w:pStyle w:val="TextBody"/>
        <w:bidi w:val="0"/>
        <w:spacing w:before="120" w:after="283"/>
        <w:ind w:left="489" w:right="0" w:hanging="0"/>
        <w:jc w:val="both"/>
        <w:rPr>
          <w:rFonts w:ascii="Calibri" w:hAnsi="Calibri"/>
          <w:color w:val="000000"/>
          <w:sz w:val="22"/>
        </w:rPr>
      </w:pPr>
      <w:r>
        <w:rPr>
          <w:rFonts w:ascii="Calibri" w:hAnsi="Calibri"/>
          <w:color w:val="000000"/>
          <w:sz w:val="22"/>
        </w:rPr>
        <w:t>d)</w:t>
      </w:r>
    </w:p>
    <w:p>
      <w:pPr>
        <w:pStyle w:val="TextBody"/>
        <w:bidi w:val="0"/>
        <w:spacing w:before="120" w:after="283"/>
        <w:jc w:val="both"/>
        <w:rPr>
          <w:rFonts w:ascii="Calibri;sans-serif" w:hAnsi="Calibri;sans-serif"/>
          <w:color w:val="000000"/>
          <w:sz w:val="22"/>
        </w:rPr>
      </w:pPr>
      <w:r>
        <w:rPr>
          <w:rFonts w:ascii="Calibri;sans-serif" w:hAnsi="Calibri;sans-serif"/>
          <w:color w:val="000000"/>
          <w:sz w:val="22"/>
        </w:rPr>
        <w:t xml:space="preserve">cancelling outstanding vested or unvested equity awards (including, but not limited to, time-based vesting awards), without regard to whether such awards are Incentive-Based Compensation; and/or </w:t>
      </w:r>
    </w:p>
    <w:p>
      <w:pPr>
        <w:pStyle w:val="TextBody"/>
        <w:bidi w:val="0"/>
        <w:spacing w:before="120" w:after="283"/>
        <w:ind w:left="489" w:right="0" w:hanging="0"/>
        <w:jc w:val="both"/>
        <w:rPr>
          <w:rFonts w:ascii="Calibri" w:hAnsi="Calibri"/>
          <w:color w:val="000000"/>
          <w:sz w:val="22"/>
        </w:rPr>
      </w:pPr>
      <w:r>
        <w:rPr>
          <w:rFonts w:ascii="Calibri" w:hAnsi="Calibri"/>
          <w:color w:val="000000"/>
          <w:sz w:val="22"/>
        </w:rPr>
        <w:t>e)</w:t>
      </w:r>
    </w:p>
    <w:p>
      <w:pPr>
        <w:pStyle w:val="TextBody"/>
        <w:bidi w:val="0"/>
        <w:spacing w:before="120" w:after="283"/>
        <w:jc w:val="both"/>
        <w:rPr>
          <w:rFonts w:ascii="Calibri;sans-serif" w:hAnsi="Calibri;sans-serif"/>
          <w:color w:val="000000"/>
          <w:sz w:val="22"/>
        </w:rPr>
      </w:pPr>
      <w:r>
        <w:rPr>
          <w:rFonts w:ascii="Calibri;sans-serif" w:hAnsi="Calibri;sans-serif"/>
          <w:color w:val="000000"/>
          <w:sz w:val="22"/>
        </w:rPr>
        <w:t xml:space="preserve">taking any other remedial and recovery action permitted by law, as determined by the Committee. </w:t>
      </w:r>
    </w:p>
    <w:p>
      <w:pPr>
        <w:pStyle w:val="TextBody"/>
        <w:bidi w:val="0"/>
        <w:jc w:val="both"/>
        <w:rPr/>
      </w:pPr>
      <w:r>
        <w:rPr/>
        <w:t> </w:t>
      </w:r>
    </w:p>
    <w:p>
      <w:pPr>
        <w:pStyle w:val="TextBody"/>
        <w:bidi w:val="0"/>
        <w:ind w:left="0" w:right="0" w:firstLine="720"/>
        <w:jc w:val="both"/>
        <w:rPr>
          <w:rFonts w:ascii="Times New Roman" w:hAnsi="Times New Roman"/>
          <w:sz w:val="20"/>
        </w:rPr>
      </w:pPr>
      <w:r>
        <w:rPr>
          <w:rFonts w:ascii="Calibri;sans-serif" w:hAnsi="Calibri;sans-serif"/>
          <w:color w:val="000000"/>
          <w:sz w:val="22"/>
        </w:rPr>
        <w:t>The repayment of Excess Compensation must be made by a Covered Executive notwithstanding any Covered Executive’s belief (whether or not legitimate) that the Excess Compensation had been previously earned under applicable law and therefore is not subject to clawback.</w:t>
      </w:r>
      <w:r>
        <w:rPr>
          <w:rFonts w:ascii="Times New Roman" w:hAnsi="Times New Roman"/>
          <w:color w:val="000000"/>
          <w:sz w:val="20"/>
        </w:rPr>
        <w:t xml:space="preserve"> </w:t>
      </w:r>
    </w:p>
    <w:p>
      <w:pPr>
        <w:pStyle w:val="TextBody"/>
        <w:bidi w:val="0"/>
        <w:jc w:val="both"/>
        <w:rPr/>
      </w:pPr>
      <w:r>
        <w:rPr/>
        <w:t> </w:t>
      </w:r>
    </w:p>
    <w:p>
      <w:pPr>
        <w:pStyle w:val="TextBody"/>
        <w:bidi w:val="0"/>
        <w:ind w:left="0" w:right="0" w:firstLine="720"/>
        <w:jc w:val="both"/>
        <w:rPr>
          <w:rFonts w:ascii="Calibri;sans-serif" w:hAnsi="Calibri;sans-serif"/>
          <w:color w:val="000000"/>
          <w:sz w:val="22"/>
        </w:rPr>
      </w:pPr>
      <w:r>
        <w:rPr>
          <w:rFonts w:ascii="Calibri;sans-serif" w:hAnsi="Calibri;sans-serif"/>
          <w:color w:val="000000"/>
          <w:sz w:val="22"/>
        </w:rPr>
        <w:t>In addition to its rights to recovery under the Policy, the Company or any affiliate of the Company may take any legal actions it determines appropriate to enforce a Covered Executive’s obligations to the Company or to discipline a Covered Executive. Failure of a Covered Executive to comply with their obligations under the Policy may result in (without limitation) termination of that Covered Executive’s employment, institution of civil proceedings, reporting of misconduct to appropriate governmental authorities, reduction of future compensation opportunities or change in role. The decision to take any actions described in the preceding sentence will not be subject to the approval of the Committee and can be made by the Board, any committee of the Board, or any duly authorized officer of the Company or of any applicable affiliate of the Company. For avoidance of doubt, any decisions of the Company or the Covered Executive’s employer to discipline a Covered Executive or terminate the employment of a Covered Executive are independent of determinations under this Policy. For example, if a Covered Executive was involved in activities that led to an Accounting Restatement, the Company’s decision as to whether to not terminate such Covered Executive’s employment would be made under its employment arrangements with such Covered Executive and the requirement to apply this no-fault and non-discretionary clawback policy will not be determinative of whether any such termination is for cause, although failure to comply with the Policy might be something that could result in a termination for cause depending on the terms of such arrangements.</w:t>
      </w:r>
    </w:p>
    <w:p>
      <w:pPr>
        <w:pStyle w:val="TextBody"/>
        <w:bidi w:val="0"/>
        <w:jc w:val="both"/>
        <w:rPr/>
      </w:pPr>
      <w:r>
        <w:rPr/>
        <w:t> </w:t>
      </w:r>
    </w:p>
    <w:p>
      <w:pPr>
        <w:pStyle w:val="TextBody"/>
        <w:bidi w:val="0"/>
        <w:jc w:val="both"/>
        <w:rPr>
          <w:rFonts w:ascii="Calibri;sans-serif" w:hAnsi="Calibri;sans-serif"/>
          <w:b/>
          <w:color w:val="000000"/>
          <w:sz w:val="22"/>
        </w:rPr>
      </w:pPr>
      <w:r>
        <w:rPr>
          <w:rFonts w:ascii="Calibri;sans-serif" w:hAnsi="Calibri;sans-serif"/>
          <w:b/>
          <w:color w:val="000000"/>
          <w:sz w:val="22"/>
        </w:rPr>
        <w:t>Limited Exceptions to the Policy</w:t>
      </w:r>
    </w:p>
    <w:p>
      <w:pPr>
        <w:pStyle w:val="TextBody"/>
        <w:bidi w:val="0"/>
        <w:jc w:val="both"/>
        <w:rPr/>
      </w:pPr>
      <w:r>
        <w:rPr/>
        <w:t> </w:t>
      </w:r>
    </w:p>
    <w:p>
      <w:pPr>
        <w:pStyle w:val="TextBody"/>
        <w:bidi w:val="0"/>
        <w:ind w:left="0" w:right="0" w:firstLine="720"/>
        <w:jc w:val="both"/>
        <w:rPr>
          <w:rFonts w:ascii="Calibri;sans-serif" w:hAnsi="Calibri;sans-serif"/>
          <w:color w:val="000000"/>
          <w:sz w:val="22"/>
        </w:rPr>
      </w:pPr>
      <w:r>
        <w:rPr>
          <w:rFonts w:ascii="Calibri;sans-serif" w:hAnsi="Calibri;sans-serif"/>
          <w:color w:val="000000"/>
          <w:sz w:val="22"/>
        </w:rPr>
        <w:t>The Company must recover the Excess Compensation in accordance with the Policy except to the limited extent that any of the conditions set forth below is met, and the Committee determines that recovery of the Excess Compensation would be impracticable:</w:t>
      </w:r>
    </w:p>
    <w:p>
      <w:pPr>
        <w:pStyle w:val="TextBody"/>
        <w:bidi w:val="0"/>
        <w:spacing w:before="120" w:after="283"/>
        <w:ind w:left="489" w:right="0" w:hanging="0"/>
        <w:jc w:val="both"/>
        <w:rPr>
          <w:rFonts w:ascii="Calibri" w:hAnsi="Calibri"/>
          <w:color w:val="000000"/>
          <w:sz w:val="22"/>
        </w:rPr>
      </w:pPr>
      <w:r>
        <w:rPr>
          <w:rFonts w:ascii="Calibri" w:hAnsi="Calibri"/>
          <w:color w:val="000000"/>
          <w:sz w:val="22"/>
        </w:rPr>
        <w:t>a)</w:t>
      </w:r>
    </w:p>
    <w:p>
      <w:pPr>
        <w:pStyle w:val="TextBody"/>
        <w:bidi w:val="0"/>
        <w:spacing w:before="120" w:after="283"/>
        <w:jc w:val="both"/>
        <w:rPr>
          <w:rFonts w:ascii="Calibri;sans-serif" w:hAnsi="Calibri;sans-serif"/>
          <w:color w:val="000000"/>
          <w:sz w:val="22"/>
        </w:rPr>
      </w:pPr>
      <w:r>
        <w:rPr>
          <w:rFonts w:ascii="Calibri;sans-serif" w:hAnsi="Calibri;sans-serif"/>
          <w:color w:val="000000"/>
          <w:sz w:val="22"/>
        </w:rPr>
        <w:t>The direct expense paid to a third party to assist in enforcing the Policy would exceed the amount to be recovered. Before reaching this conclusion, the Company must make a reasonable attempt to recover such Excess Compensation, document such reasonable attempt(s) to recover, and provide that documentation to the Exchange; or</w:t>
      </w:r>
    </w:p>
    <w:p>
      <w:pPr>
        <w:pStyle w:val="TextBody"/>
        <w:bidi w:val="0"/>
        <w:spacing w:before="120" w:after="283"/>
        <w:ind w:left="489" w:right="0" w:hanging="0"/>
        <w:jc w:val="both"/>
        <w:rPr>
          <w:rFonts w:ascii="Calibri" w:hAnsi="Calibri"/>
          <w:color w:val="000000"/>
          <w:sz w:val="22"/>
        </w:rPr>
      </w:pPr>
      <w:r>
        <w:rPr>
          <w:rFonts w:ascii="Calibri" w:hAnsi="Calibri"/>
          <w:color w:val="000000"/>
          <w:sz w:val="22"/>
        </w:rPr>
        <w:t>b)</w:t>
      </w:r>
    </w:p>
    <w:p>
      <w:pPr>
        <w:pStyle w:val="TextBody"/>
        <w:bidi w:val="0"/>
        <w:spacing w:before="120" w:after="283"/>
        <w:jc w:val="both"/>
        <w:rPr>
          <w:rFonts w:ascii="Calibri;sans-serif" w:hAnsi="Calibri;sans-serif"/>
          <w:color w:val="000000"/>
          <w:sz w:val="22"/>
        </w:rPr>
      </w:pPr>
      <w:r>
        <w:rPr>
          <w:rFonts w:ascii="Calibri;sans-serif" w:hAnsi="Calibri;sans-serif"/>
          <w:color w:val="000000"/>
          <w:sz w:val="22"/>
        </w:rPr>
        <w:t>Recovery would likely cause an otherwise tax-qualified retirement plan, under which benefits are broadly available to employees of the Company, to fail to meet the legal requirements as such.</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Calibri;sans-serif" w:hAnsi="Calibri;sans-serif"/>
          <w:b/>
          <w:color w:val="000000"/>
          <w:sz w:val="22"/>
        </w:rPr>
      </w:pPr>
      <w:r>
        <w:rPr>
          <w:rFonts w:ascii="Calibri;sans-serif" w:hAnsi="Calibri;sans-serif"/>
          <w:b/>
          <w:color w:val="000000"/>
          <w:sz w:val="22"/>
        </w:rPr>
        <w:t>Other Important Information in the Policy</w:t>
      </w:r>
    </w:p>
    <w:p>
      <w:pPr>
        <w:pStyle w:val="TextBody"/>
        <w:bidi w:val="0"/>
        <w:jc w:val="both"/>
        <w:rPr/>
      </w:pPr>
      <w:r>
        <w:rPr/>
        <w:t> </w:t>
      </w:r>
    </w:p>
    <w:p>
      <w:pPr>
        <w:pStyle w:val="TextBody"/>
        <w:bidi w:val="0"/>
        <w:ind w:left="0" w:right="0" w:firstLine="720"/>
        <w:jc w:val="both"/>
        <w:rPr>
          <w:rFonts w:ascii="Calibri;sans-serif" w:hAnsi="Calibri;sans-serif"/>
          <w:color w:val="000000"/>
          <w:sz w:val="22"/>
        </w:rPr>
      </w:pPr>
      <w:r>
        <w:rPr>
          <w:rFonts w:ascii="Calibri;sans-serif" w:hAnsi="Calibri;sans-serif"/>
          <w:color w:val="000000"/>
          <w:sz w:val="22"/>
        </w:rPr>
        <w:t>The Policy is in addition to the requirements of Section 304 of the Sarbanes-Oxley Act of 2002 that are applicable to the Company’s Chief Executive Officer and Chief Financial Officer, as well as any other applicable laws, regulatory requirements, rules, or pursuant to the terms of any existing Company policy or agreement providing for the recovery of compensation.</w:t>
      </w:r>
    </w:p>
    <w:p>
      <w:pPr>
        <w:pStyle w:val="TextBody"/>
        <w:bidi w:val="0"/>
        <w:ind w:left="0" w:right="0" w:firstLine="720"/>
        <w:jc w:val="both"/>
        <w:rPr/>
      </w:pPr>
      <w:r>
        <w:rPr/>
        <w:t> </w:t>
      </w:r>
    </w:p>
    <w:p>
      <w:pPr>
        <w:pStyle w:val="TextBody"/>
        <w:bidi w:val="0"/>
        <w:ind w:left="0" w:right="0" w:firstLine="720"/>
        <w:jc w:val="left"/>
        <w:rPr>
          <w:rFonts w:ascii="Times New Roman" w:hAnsi="Times New Roman"/>
          <w:sz w:val="20"/>
        </w:rPr>
      </w:pPr>
      <w:r>
        <w:rPr>
          <w:rFonts w:ascii="Calibri;sans-serif" w:hAnsi="Calibri;sans-serif"/>
          <w:color w:val="000000"/>
          <w:sz w:val="22"/>
        </w:rPr>
        <w:t>Notwithstanding the terms of any of the Company’s organizational documents (including, but not limited to, the Company’s bylaws), any corporate policy or any contract (including, but not limited to, any indemnification agreement), neither the Company nor any affiliate of the Company will indemnify or provide advancement for any Covered Executive against any loss of Excess Compensation. Neither the Company nor any affiliate of the Company will pay for or reimburse insurance premiums for an insurance policy that covers potential recovery obligations. In the event that the Company is required to recover Excess Compensation pursuant to the Policy from a Covered Executive who is no longer an employee, the Company will be entitled to seek recovery in order to comply with applicable law, regardless of the terms of any release of claims or separation agreement that individual may have signed.</w:t>
      </w:r>
      <w:r>
        <w:rPr>
          <w:rFonts w:ascii="Times New Roman" w:hAnsi="Times New Roman"/>
          <w:color w:val="000000"/>
          <w:sz w:val="20"/>
        </w:rPr>
        <w:t xml:space="preserve"> </w:t>
      </w:r>
    </w:p>
    <w:p>
      <w:pPr>
        <w:pStyle w:val="TextBody"/>
        <w:bidi w:val="0"/>
        <w:jc w:val="both"/>
        <w:rPr>
          <w:rFonts w:ascii="Calibri;sans-serif" w:hAnsi="Calibri;sans-serif"/>
          <w:color w:val="000000"/>
          <w:sz w:val="22"/>
        </w:rPr>
      </w:pPr>
      <w:r>
        <w:rPr>
          <w:rFonts w:ascii="Calibri;sans-serif" w:hAnsi="Calibri;sans-serif"/>
          <w:color w:val="000000"/>
          <w:sz w:val="22"/>
        </w:rPr>
        <w:t>The Committee or Board may review and modify the Policy from time to time.</w:t>
      </w:r>
    </w:p>
    <w:p>
      <w:pPr>
        <w:pStyle w:val="TextBody"/>
        <w:bidi w:val="0"/>
        <w:jc w:val="both"/>
        <w:rPr/>
      </w:pPr>
      <w:r>
        <w:rPr/>
        <w:t> </w:t>
      </w:r>
    </w:p>
    <w:p>
      <w:pPr>
        <w:pStyle w:val="TextBody"/>
        <w:bidi w:val="0"/>
        <w:ind w:left="0" w:right="0" w:firstLine="720"/>
        <w:jc w:val="both"/>
        <w:rPr>
          <w:rFonts w:ascii="Calibri;sans-serif" w:hAnsi="Calibri;sans-serif"/>
          <w:color w:val="000000"/>
          <w:sz w:val="22"/>
        </w:rPr>
      </w:pPr>
      <w:r>
        <w:rPr>
          <w:rFonts w:ascii="Calibri;sans-serif" w:hAnsi="Calibri;sans-serif"/>
          <w:color w:val="000000"/>
          <w:sz w:val="22"/>
        </w:rPr>
        <w:t>If any provision of the Policy or the application of any such provision to any Covered Executive is adjudicated to be invalid, illegal or unenforceable in any respect, such invalidity, illegality or unenforceability will not affect any other provisions of the Policy or the application of such provision to another Covered Executive, and the invalid, illegal or unenforceable provisions will be deemed amended to the minimum extent necessary to render any such provision or application enforceable.</w:t>
      </w:r>
    </w:p>
    <w:p>
      <w:pPr>
        <w:pStyle w:val="TextBody"/>
        <w:bidi w:val="0"/>
        <w:jc w:val="both"/>
        <w:rPr/>
      </w:pPr>
      <w:r>
        <w:rPr/>
        <w:t> </w:t>
      </w:r>
    </w:p>
    <w:p>
      <w:pPr>
        <w:pStyle w:val="TextBody"/>
        <w:bidi w:val="0"/>
        <w:ind w:left="0" w:right="0" w:firstLine="720"/>
        <w:jc w:val="both"/>
        <w:rPr>
          <w:rFonts w:ascii="Times New Roman" w:hAnsi="Times New Roman"/>
          <w:sz w:val="20"/>
        </w:rPr>
      </w:pPr>
      <w:r>
        <w:rPr>
          <w:rFonts w:ascii="Calibri;sans-serif" w:hAnsi="Calibri;sans-serif"/>
          <w:color w:val="000000"/>
          <w:sz w:val="22"/>
        </w:rPr>
        <w:t>The Policy will terminate and no longer be enforceable when the Company ceases to be listed issuer within the meaning of Section 10D of the Exchange Act.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Calibri;sans-serif" w:hAnsi="Calibri;sans-serif"/>
          <w:color w:val="000000"/>
          <w:sz w:val="22"/>
        </w:rPr>
        <w:br/>
      </w:r>
      <w:r>
        <w:rPr>
          <w:rFonts w:ascii="Calibri;sans-serif" w:hAnsi="Calibri;sans-serif"/>
          <w:b/>
          <w:color w:val="000000"/>
          <w:sz w:val="22"/>
        </w:rPr>
        <w:t>ACKNOWLEDGEMENT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pPr>
      <w:r>
        <w:rPr>
          <w:rFonts w:ascii="Calibri;sans-serif" w:hAnsi="Calibri;sans-serif"/>
          <w:color w:val="000000"/>
          <w:sz w:val="22"/>
        </w:rPr>
        <w:t>I acknowledge that I have received and read the Compensation Recovery Policy (the “</w:t>
      </w:r>
      <w:r>
        <w:rPr>
          <w:rFonts w:ascii="Calibri;sans-serif" w:hAnsi="Calibri;sans-serif"/>
          <w:b/>
          <w:color w:val="000000"/>
          <w:sz w:val="22"/>
        </w:rPr>
        <w:t>Policy</w:t>
      </w:r>
      <w:r>
        <w:rPr>
          <w:color w:val="000000"/>
        </w:rPr>
        <w:t>”</w:t>
      </w:r>
      <w:r>
        <w:rPr>
          <w:rFonts w:ascii="Calibri;sans-serif" w:hAnsi="Calibri;sans-serif"/>
          <w:color w:val="000000"/>
          <w:sz w:val="22"/>
        </w:rPr>
        <w:t>) of IRIDEX Corporation (the “</w:t>
      </w:r>
      <w:r>
        <w:rPr>
          <w:rFonts w:ascii="Calibri;sans-serif" w:hAnsi="Calibri;sans-serif"/>
          <w:b/>
          <w:color w:val="000000"/>
          <w:sz w:val="22"/>
        </w:rPr>
        <w:t>Company</w:t>
      </w:r>
      <w:r>
        <w:rPr>
          <w:color w:val="000000"/>
        </w:rPr>
        <w:t>”</w:t>
      </w:r>
      <w:r>
        <w:rPr>
          <w:rFonts w:ascii="Calibri;sans-serif" w:hAnsi="Calibri;sans-serif"/>
          <w:color w:val="000000"/>
          <w:sz w:val="22"/>
        </w:rPr>
        <w: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Calibri;sans-serif" w:hAnsi="Calibri;sans-serif"/>
          <w:color w:val="000000"/>
          <w:sz w:val="22"/>
        </w:rPr>
      </w:pPr>
      <w:r>
        <w:rPr>
          <w:rFonts w:ascii="Calibri;sans-serif" w:hAnsi="Calibri;sans-serif"/>
          <w:color w:val="000000"/>
          <w:sz w:val="22"/>
        </w:rPr>
        <w:t>I understand and acknowledge that the Policy applies to me, and all of my beneficiaries, heirs, executors, administrators or other legal representatives and that the Company’s right to recovery in order to comply with applicable law will apply, regardless of the terms of any release of claims or separation agreement I have signed or will sign in the future.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Calibri;sans-serif" w:hAnsi="Calibri;sans-serif"/>
          <w:color w:val="000000"/>
          <w:sz w:val="22"/>
        </w:rPr>
      </w:pPr>
      <w:r>
        <w:rPr>
          <w:rFonts w:ascii="Calibri;sans-serif" w:hAnsi="Calibri;sans-serif"/>
          <w:color w:val="000000"/>
          <w:sz w:val="22"/>
        </w:rPr>
        <w:t>I agree to be bound by and to comply with the Policy and understand that determinations of the Committee (as such term is used in the Policy) will be final and binding and will be given the maximum deference permitted by law.</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Calibri;sans-serif" w:hAnsi="Calibri;sans-serif"/>
          <w:color w:val="000000"/>
          <w:sz w:val="22"/>
        </w:rPr>
      </w:pPr>
      <w:r>
        <w:rPr>
          <w:rFonts w:ascii="Calibri;sans-serif" w:hAnsi="Calibri;sans-serif"/>
          <w:color w:val="000000"/>
          <w:sz w:val="22"/>
        </w:rPr>
        <w:t>I understand and agree that my current indemnification rights, whether in an individual agreement or the Company’s organizational documents, exclude the right to be indemnified for amounts required to be recovered under the Policy.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Calibri;sans-serif" w:hAnsi="Calibri;sans-serif"/>
          <w:color w:val="000000"/>
          <w:sz w:val="22"/>
        </w:rPr>
      </w:pPr>
      <w:r>
        <w:rPr>
          <w:rFonts w:ascii="Calibri;sans-serif" w:hAnsi="Calibri;sans-serif"/>
          <w:color w:val="000000"/>
          <w:sz w:val="22"/>
        </w:rPr>
        <w:t>I understand that my failure to comply in all respects with the Policy is a basis for termination of my employment with the Company and any affiliate of the Company as well as any other appropriate discipline.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Calibri;sans-serif" w:hAnsi="Calibri;sans-serif"/>
          <w:color w:val="000000"/>
          <w:sz w:val="22"/>
        </w:rPr>
      </w:pPr>
      <w:r>
        <w:rPr>
          <w:rFonts w:ascii="Calibri;sans-serif" w:hAnsi="Calibri;sans-serif"/>
          <w:color w:val="000000"/>
          <w:sz w:val="22"/>
        </w:rPr>
        <w:t>I understand that neither the Policy, nor the application of the Policy to me, gives rise to a resignation for good reason (or similar concept) by me under any applicable employment agreement or arrangement.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Calibri;sans-serif" w:hAnsi="Calibri;sans-serif"/>
          <w:color w:val="000000"/>
          <w:sz w:val="22"/>
        </w:rPr>
      </w:pPr>
      <w:r>
        <w:rPr>
          <w:rFonts w:ascii="Calibri;sans-serif" w:hAnsi="Calibri;sans-serif"/>
          <w:color w:val="000000"/>
          <w:sz w:val="22"/>
        </w:rPr>
        <w:t>I acknowledge that if I have questions concerning the meaning or application of the Policy, it is my responsibility to seek guidance from the Head of Human Resources or my own personal advisers.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Calibri;sans-serif" w:hAnsi="Calibri;sans-serif"/>
          <w:color w:val="000000"/>
          <w:sz w:val="22"/>
        </w:rPr>
      </w:pPr>
      <w:r>
        <w:rPr>
          <w:rFonts w:ascii="Calibri;sans-serif" w:hAnsi="Calibri;sans-serif"/>
          <w:color w:val="000000"/>
          <w:sz w:val="22"/>
        </w:rPr>
        <w:t>I acknowledge that neither this Acknowledgement nor the Policy is meant to constitute an employment contract.</w:t>
      </w:r>
    </w:p>
    <w:p>
      <w:pPr>
        <w:pStyle w:val="TextBody"/>
        <w:bidi w:val="0"/>
        <w:jc w:val="left"/>
        <w:rPr/>
      </w:pPr>
      <w:r>
        <w:rPr/>
        <w:t> </w:t>
      </w:r>
    </w:p>
    <w:p>
      <w:pPr>
        <w:pStyle w:val="TextBody"/>
        <w:bidi w:val="0"/>
        <w:jc w:val="left"/>
        <w:rPr>
          <w:rFonts w:ascii="Calibri;sans-serif" w:hAnsi="Calibri;sans-serif"/>
          <w:color w:val="000000"/>
          <w:sz w:val="22"/>
        </w:rPr>
      </w:pPr>
      <w:r>
        <w:rPr>
          <w:rFonts w:ascii="Calibri;sans-serif" w:hAnsi="Calibri;sans-serif"/>
          <w:color w:val="000000"/>
          <w:sz w:val="22"/>
        </w:rPr>
        <w:t>Please review, sign and return this form to the Head of Human Resources.</w:t>
      </w:r>
    </w:p>
    <w:p>
      <w:pPr>
        <w:pStyle w:val="TextBody"/>
        <w:bidi w:val="0"/>
        <w:jc w:val="left"/>
        <w:rPr/>
      </w:pPr>
      <w:r>
        <w:rPr/>
        <w:t> </w:t>
      </w:r>
    </w:p>
    <w:tbl>
      <w:tblPr>
        <w:tblW w:w="1951" w:type="dxa"/>
        <w:jc w:val="left"/>
        <w:tblInd w:w="0" w:type="dxa"/>
        <w:tblLayout w:type="fixed"/>
        <w:tblCellMar>
          <w:top w:w="28" w:type="dxa"/>
          <w:left w:w="28" w:type="dxa"/>
          <w:bottom w:w="28" w:type="dxa"/>
          <w:right w:w="28" w:type="dxa"/>
        </w:tblCellMar>
      </w:tblPr>
      <w:tblGrid>
        <w:gridCol w:w="1951"/>
      </w:tblGrid>
      <w:tr>
        <w:trPr/>
        <w:tc>
          <w:tcPr>
            <w:tcW w:w="195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Calibri;sans-serif" w:hAnsi="Calibri;sans-serif"/>
                <w:b/>
                <w:color w:val="000000"/>
                <w:sz w:val="22"/>
              </w:rPr>
              <w:t>Covered Executive</w:t>
            </w:r>
          </w:p>
        </w:tc>
      </w:tr>
      <w:tr>
        <w:trPr/>
        <w:tc>
          <w:tcPr>
            <w:tcW w:w="195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sz w:val="22"/>
              </w:rPr>
            </w:pPr>
            <w:r>
              <w:rPr>
                <w:rFonts w:ascii="Calibri;sans-serif" w:hAnsi="Calibri;sans-serif"/>
                <w:color w:val="000000"/>
                <w:sz w:val="22"/>
              </w:rPr>
              <w:t>(</w:t>
            </w:r>
            <w:r>
              <w:rPr>
                <w:rFonts w:ascii="Calibri;sans-serif" w:hAnsi="Calibri;sans-serif"/>
                <w:i/>
                <w:color w:val="000000"/>
                <w:sz w:val="22"/>
              </w:rPr>
              <w:t>print name</w:t>
            </w:r>
            <w:r>
              <w:rPr>
                <w:rFonts w:ascii="Calibri;sans-serif" w:hAnsi="Calibri;sans-serif"/>
                <w:color w:val="000000"/>
                <w:sz w:val="22"/>
              </w:rPr>
              <w:t>)</w:t>
            </w:r>
          </w:p>
        </w:tc>
      </w:tr>
      <w:tr>
        <w:trPr/>
        <w:tc>
          <w:tcPr>
            <w:tcW w:w="195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sz w:val="22"/>
              </w:rPr>
            </w:pPr>
            <w:r>
              <w:rPr>
                <w:rFonts w:ascii="Calibri;sans-serif" w:hAnsi="Calibri;sans-serif"/>
                <w:color w:val="000000"/>
                <w:sz w:val="22"/>
              </w:rPr>
              <w:t>(</w:t>
            </w:r>
            <w:r>
              <w:rPr>
                <w:rFonts w:ascii="Calibri;sans-serif" w:hAnsi="Calibri;sans-serif"/>
                <w:i/>
                <w:color w:val="000000"/>
                <w:sz w:val="22"/>
              </w:rPr>
              <w:t>signature</w:t>
            </w:r>
            <w:r>
              <w:rPr>
                <w:rFonts w:ascii="Calibri;sans-serif" w:hAnsi="Calibri;sans-serif"/>
                <w:color w:val="000000"/>
                <w:sz w:val="22"/>
              </w:rPr>
              <w:t>)</w:t>
            </w:r>
          </w:p>
        </w:tc>
      </w:tr>
      <w:tr>
        <w:trPr/>
        <w:tc>
          <w:tcPr>
            <w:tcW w:w="195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Calibri;sans-serif" w:hAnsi="Calibri;sans-serif"/>
                <w:i/>
                <w:color w:val="000000"/>
                <w:sz w:val="22"/>
              </w:rPr>
            </w:pPr>
            <w:r>
              <w:rPr>
                <w:rFonts w:ascii="Calibri;sans-serif" w:hAnsi="Calibri;sans-serif"/>
                <w:i/>
                <w:color w:val="000000"/>
                <w:sz w:val="22"/>
              </w:rPr>
              <w:t>(date)</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Calibri">
    <w:altName w:val="sans-serif"/>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06045/000156459019010390/irix-ex31_7.htm" TargetMode="External"/><Relationship Id="rId3" Type="http://schemas.openxmlformats.org/officeDocument/2006/relationships/hyperlink" Target="https://www.sec.gov/Archives/edgar/data/1006045/000089161807000540/f33502exv4w2.htm" TargetMode="External"/><Relationship Id="rId4" Type="http://schemas.openxmlformats.org/officeDocument/2006/relationships/hyperlink" Target="https://www.sec.gov/Archives/edgar/data/1006045/000119312509073387/dex41.htm" TargetMode="External"/><Relationship Id="rId5" Type="http://schemas.openxmlformats.org/officeDocument/2006/relationships/hyperlink" Target="https://www.sec.gov/Archives/edgar/data/1006045/000156459020010869/irix-ex43_14.htm" TargetMode="External"/><Relationship Id="rId6" Type="http://schemas.openxmlformats.org/officeDocument/2006/relationships/hyperlink" Target="https://www.sec.gov/Archives/edgar/data/1006045/000156459022010477/irix-ex102_73.htm" TargetMode="External"/><Relationship Id="rId7" Type="http://schemas.openxmlformats.org/officeDocument/2006/relationships/hyperlink" Target="https://www.sec.gov/Archives/edgar/data/1006045/000119312509070788/dex102.htm" TargetMode="External"/><Relationship Id="rId8" Type="http://schemas.openxmlformats.org/officeDocument/2006/relationships/hyperlink" Target="https://www.sec.gov/Archives/edgar/data/1006045/000156459014004861/irix-ex101_2014092780.htm" TargetMode="External"/><Relationship Id="rId9" Type="http://schemas.openxmlformats.org/officeDocument/2006/relationships/hyperlink" Target="https://www.sec.gov/Archives/edgar/data/1006045/000156459016015763/irix-ex101_303.htm" TargetMode="External"/><Relationship Id="rId10" Type="http://schemas.openxmlformats.org/officeDocument/2006/relationships/hyperlink" Target="https://www.sec.gov/Archives/edgar/data/1006045/000156459017007969/irix-ex101_6.htm" TargetMode="External"/><Relationship Id="rId11" Type="http://schemas.openxmlformats.org/officeDocument/2006/relationships/hyperlink" Target="https://www.sec.gov/Archives/edgar/data/1006045/000156459021044004/irix-ex101_29.htm" TargetMode="External"/><Relationship Id="rId12" Type="http://schemas.openxmlformats.org/officeDocument/2006/relationships/hyperlink" Target="https://www.sec.gov/Archives/edgar/data/1006045/000095017023065162/irix-ex10_1.htm" TargetMode="External"/><Relationship Id="rId13" Type="http://schemas.openxmlformats.org/officeDocument/2006/relationships/hyperlink" Target="https://www.sec.gov/Archives/edgar/data/1006045/000095017023065162/irix-ex10_2.htm" TargetMode="External"/><Relationship Id="rId14" Type="http://schemas.openxmlformats.org/officeDocument/2006/relationships/hyperlink" Target="https://www.sec.gov/Archives/edgar/data/1006045/000095017023028282/irix-ex10_1.htm" TargetMode="External"/><Relationship Id="rId15" Type="http://schemas.openxmlformats.org/officeDocument/2006/relationships/hyperlink" Target="https://www.sec.gov/Archives/edgar/data/1006045/000119312508241322/dex991.htm" TargetMode="External"/><Relationship Id="rId16" Type="http://schemas.openxmlformats.org/officeDocument/2006/relationships/hyperlink" Target="https://www.sec.gov/Archives/edgar/data/1006045/000119312509159297/dex99d5.htm" TargetMode="External"/><Relationship Id="rId17" Type="http://schemas.openxmlformats.org/officeDocument/2006/relationships/hyperlink" Target="https://www.sec.gov/Archives/edgar/data/1006045/000089161807000540/f33502exv10w1.htm" TargetMode="External"/><Relationship Id="rId18" Type="http://schemas.openxmlformats.org/officeDocument/2006/relationships/hyperlink" Target="https://www.sec.gov/Archives/edgar/data/1006045/000119312511210538/dex101.htm" TargetMode="External"/><Relationship Id="rId19" Type="http://schemas.openxmlformats.org/officeDocument/2006/relationships/hyperlink" Target="https://www.sec.gov/Archives/edgar/data/1006045/000119312511210538/dex102.htm" TargetMode="External"/><Relationship Id="rId20" Type="http://schemas.openxmlformats.org/officeDocument/2006/relationships/hyperlink" Target="https://www.sec.gov/Archives/edgar/data/1006045/000156459016027421/irix-ex101_40.htm" TargetMode="External"/><Relationship Id="rId21" Type="http://schemas.openxmlformats.org/officeDocument/2006/relationships/hyperlink" Target="https://www.sec.gov/Archives/edgar/data/1006045/000156459020010869/irix-ex10191_57.htm" TargetMode="External"/><Relationship Id="rId22" Type="http://schemas.openxmlformats.org/officeDocument/2006/relationships/hyperlink" Target="https://www.sec.gov/Archives/edgar/data/1006045/000156459020010869/irix-ex10192_58.htm" TargetMode="External"/><Relationship Id="rId23" Type="http://schemas.openxmlformats.org/officeDocument/2006/relationships/hyperlink" Target="https://www.sec.gov/Archives/edgar/data/1006045/000156459021014859/irix-ex10193_10.htm" TargetMode="External"/><Relationship Id="rId24" Type="http://schemas.openxmlformats.org/officeDocument/2006/relationships/hyperlink" Target="https://www.sec.gov/Archives/edgar/data/1006045/000095017022017441/irix-ex10_1.htm" TargetMode="External"/><Relationship Id="rId25" Type="http://schemas.openxmlformats.org/officeDocument/2006/relationships/hyperlink" Target="https://www.sec.gov/Archives/edgar/data/1006045/000095017022017441/irix-ex10_2.htm" TargetMode="External"/><Relationship Id="rId26" Type="http://schemas.openxmlformats.org/officeDocument/2006/relationships/hyperlink" Target="https://www.sec.gov/Archives/edgar/data/1006045/000156459019022508/irix-ex101_6.htm" TargetMode="External"/><Relationship Id="rId27" Type="http://schemas.openxmlformats.org/officeDocument/2006/relationships/hyperlink" Target="https://www.sec.gov/Archives/edgar/data/1006045/000156459019038138/irix-ex101_7.htm" TargetMode="External"/><Relationship Id="rId28" Type="http://schemas.openxmlformats.org/officeDocument/2006/relationships/hyperlink" Target="https://www.sec.gov/Archives/edgar/data/1006045/000156459019038138/irix-ex102_8.htm" TargetMode="External"/><Relationship Id="rId29" Type="http://schemas.openxmlformats.org/officeDocument/2006/relationships/hyperlink" Target="https://www.sec.gov/Archives/edgar/data/1006045/000156459021010940/irix-ex101_11.htm" TargetMode="External"/><Relationship Id="rId30" Type="http://schemas.openxmlformats.org/officeDocument/2006/relationships/hyperlink" Target="https://www.sec.gov/Archives/edgar/data/1006045/000156459021010940/irix-ex102_7.htm" TargetMode="External"/><Relationship Id="rId31" Type="http://schemas.openxmlformats.org/officeDocument/2006/relationships/hyperlink" Target="https://www.sec.gov/Archives/edgar/data/1006045/000156459021010940/irix-ex103_6.htm" TargetMode="External"/><Relationship Id="rId32" Type="http://schemas.openxmlformats.org/officeDocument/2006/relationships/hyperlink" Target="https://www.sec.gov/Archives/edgar/data/1006045/000156459021010940/irix-ex104_8.htm" TargetMode="External"/><Relationship Id="rId33" Type="http://schemas.openxmlformats.org/officeDocument/2006/relationships/hyperlink" Target="https://www.sec.gov/Archives/edgar/data/1006045/000117494723001213/ex99-1.htm" TargetMode="External"/><Relationship Id="rId34" Type="http://schemas.openxmlformats.org/officeDocument/2006/relationships/hyperlink" Target="https://www.sec.gov/ix?doc=/Archives/edgar/data/0001006045/000119312523272521/d588842d8k.htm" TargetMode="External"/><Relationship Id="rId35" Type="http://schemas.openxmlformats.org/officeDocument/2006/relationships/image" Target="media/image1.jpeg"/><Relationship Id="rId36" Type="http://schemas.openxmlformats.org/officeDocument/2006/relationships/image" Target="media/image2.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51758</Words>
  <Characters>289599</Characters>
  <CharactersWithSpaces>341566</CharactersWithSpaces>
  <Paragraphs>6257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