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Shih-Yao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VISTRA CORPORATE SERVICES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WICKHAMS CAY II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ROAD 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VIRGIN ISLANDS, BRITISH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IRIDEX CORP</w:t>
              </w:r>
            </w:hyperlink>
            <w:r>
              <w:rPr/>
              <w:t xml:space="preserve"> [ </w:t>
            </w:r>
            <w:r>
              <w:rPr>
                <w:rFonts w:ascii="Times;serif" w:hAnsi="Times;serif"/>
                <w:color w:val="0000FF"/>
                <w:sz w:val="24"/>
                <w:shd w:fill="FFFFFF" w:val="clear"/>
              </w:rPr>
              <w:t>IRIX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588,345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0.986</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604,100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0.9401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604,336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0.9401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605,918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14,712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0.9401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620,630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620,731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0.9737</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624,475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625,667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0.8874</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675,667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0.88</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675,920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0.88</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676,020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678,159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685,461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1.2782</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705,461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725,461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725,561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735,561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735,983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745,983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752,103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762,103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763,599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763,714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783,714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0.8781</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808,340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809,265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809,334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0.93</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812,367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816,252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836,252</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directly by Xinpo Venture Capital Co., Ltd. ("Xinpo") and indirectly by the Reporting Person. The Reporting Person controls the entire ownership interest in Xinpo, both directly and through family members, and has a pecuniary interest in the shares held by Xinpo.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price marked with this footnote is a weighted average price for multiple open-market purchases on the stated date. The execution prices were as follows: 06/09/2025: $0.9832 to $0.9866, inclusive; 06/27/2025: $0.88 to $0.89, inclusive; 07/18/2025: $1.269236 to $1.28, inclusive; 11/14/2025: $0.87 to $0.88, inclusive. The Reporting Person undertakes to provide IRIDEX CORP, any security holder of IRIDEX CORP, or the staff of the Securities and Exchange Commission, upon request, full information regarding the number of shares purchased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reported in Column 5 reflects the shares held through Xinpo following the reported transaction. As of the date of this report, the Reporting Person beneficially owns an aggregate of 1,738,238 shares of Common Stock, consisting of 1,186,809 shares held through Xinpo and 551,429 shares held through Novel Inspiration International Co., Ltd.("Novel Inspiration"). The Reporting Person is the sole officer, director and stockholder of Novel Inspiration.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three Form 4 filings being filed solely by the Reporting Person to report previously unreported open-market purchases of the Issuer's Common Stock by Xinpo from March 25, 2025 through March 30, 2026. The transactions are divided among three Form 4 filings because SEC's EDGAR filing system permits no more than 30 entries in Table I. The Reporting Person's holdings through Novel Inspiration are disclosed in the Explanation of Responses solely to reconcile the Reporting Person's aggregate beneficial ownership and do not represent transactions reported on this Form 4. This Form 4 is being filed 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 Shih-Yao David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041" TargetMode="External"/><Relationship Id="rId5" Type="http://schemas.openxmlformats.org/officeDocument/2006/relationships/hyperlink" Target="http://www.sec.gov/cgi-bin/browse-edgar?action=getcompany&amp;CIK=00010060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1194</Words>
  <Characters>6292</Characters>
  <CharactersWithSpaces>7152</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