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28,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77-0210467</w:t>
            </w:r>
          </w:p>
        </w:tc>
      </w:tr>
      <w:tr>
        <w:trPr>
          <w:trHeight w:val="149"/>
        </w:trPr>
        <w:tc>
          <w:tcPr>
            <w:tcW w:w="434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38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3"/>
              </w:rPr>
              <w:t>incorporation or organization)</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1212 Terra Bella Avenue</w:t>
            </w:r>
          </w:p>
        </w:tc>
        <w:tc>
          <w:tcPr>
            <w:tcW w:w="3380" w:type="dxa"/>
            <w:vAlign w:val="bottom"/>
          </w:tcPr>
          <w:p>
            <w:pPr>
              <w:spacing w:after="0"/>
              <w:rPr>
                <w:sz w:val="24"/>
                <w:szCs w:val="24"/>
                <w:color w:val="auto"/>
              </w:rPr>
            </w:pPr>
          </w:p>
        </w:tc>
      </w:t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4"/>
              </w:rPr>
              <w:t>Mountain View, California</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94043-1824</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4580" w:type="dxa"/>
            <w:vAlign w:val="bottom"/>
            <w:gridSpan w:val="4"/>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28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56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Title of Class</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91"/>
              </w:rPr>
              <w:t>Trading Symbol</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280" w:type="dxa"/>
            <w:vAlign w:val="bottom"/>
          </w:tcPr>
          <w:p>
            <w:pPr>
              <w:jc w:val="center"/>
              <w:ind w:left="30"/>
              <w:spacing w:after="0"/>
              <w:rPr>
                <w:sz w:val="20"/>
                <w:szCs w:val="20"/>
                <w:color w:val="auto"/>
              </w:rPr>
            </w:pPr>
            <w:r>
              <w:rPr>
                <w:rFonts w:ascii="Arial" w:cs="Arial" w:eastAsia="Arial" w:hAnsi="Arial"/>
                <w:sz w:val="18"/>
                <w:szCs w:val="18"/>
                <w:color w:val="auto"/>
              </w:rPr>
              <w:t>IRIX</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24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240"/>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4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76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October 24, 2019 was 13,781,752.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291"/>
        </w:trPr>
        <w:tc>
          <w:tcPr>
            <w:tcW w:w="290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4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 w:type="dxa"/>
            <w:vAlign w:val="bottom"/>
          </w:tcPr>
          <w:p>
            <w:pPr>
              <w:spacing w:after="0"/>
              <w:rPr>
                <w:sz w:val="24"/>
                <w:szCs w:val="24"/>
                <w:color w:val="auto"/>
              </w:rPr>
            </w:pPr>
          </w:p>
        </w:tc>
        <w:tc>
          <w:tcPr>
            <w:tcW w:w="95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Balance Sheets as of September 28, 2019 and December 29, 2018</w:t>
              </w:r>
            </w:hyperlink>
          </w:p>
        </w:tc>
        <w:tc>
          <w:tcPr>
            <w:tcW w:w="220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80" w:type="dxa"/>
            <w:vAlign w:val="bottom"/>
            <w:tcBorders>
              <w:bottom w:val="single" w:sz="8" w:color="0000EE"/>
            </w:tcBorders>
            <w:gridSpan w:val="21"/>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Unaudited Condensed Consolidated Statements of Operations for the three and nine months ended September 28, 2019 and September</w:t>
              </w:r>
            </w:hyperlink>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29, 2018</w:t>
              </w:r>
            </w:hyperlink>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18"/>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80" w:type="dxa"/>
            <w:vAlign w:val="bottom"/>
            <w:gridSpan w:val="22"/>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 Condensed Consolidated Statements of Comprehensive Loss for the three and nine months ended September 28, 2019</w:t>
              </w:r>
            </w:hyperlink>
          </w:p>
        </w:tc>
        <w:tc>
          <w:tcPr>
            <w:tcW w:w="7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and September 29, 2018</w:t>
              </w:r>
            </w:hyperlink>
          </w:p>
        </w:tc>
        <w:tc>
          <w:tcPr>
            <w:tcW w:w="7540" w:type="dxa"/>
            <w:vAlign w:val="bottom"/>
            <w:tcBorders>
              <w:top w:val="single" w:sz="8" w:color="0000EE"/>
            </w:tcBorders>
            <w:gridSpan w:val="11"/>
          </w:tcPr>
          <w:p>
            <w:pPr>
              <w:spacing w:after="0"/>
              <w:rPr>
                <w:sz w:val="17"/>
                <w:szCs w:val="17"/>
                <w:color w:val="auto"/>
              </w:rPr>
            </w:pPr>
          </w:p>
        </w:tc>
        <w:tc>
          <w:tcPr>
            <w:tcW w:w="2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18"/>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80" w:type="dxa"/>
            <w:vAlign w:val="bottom"/>
            <w:gridSpan w:val="22"/>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Unaudited Condensed Consolidated Statements of Stockholder's Equity for the three and nine months ended September 28, 2019</w:t>
              </w:r>
            </w:hyperlink>
          </w:p>
        </w:tc>
        <w:tc>
          <w:tcPr>
            <w:tcW w:w="7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and September 29, 2018</w:t>
              </w:r>
            </w:hyperlink>
          </w:p>
        </w:tc>
        <w:tc>
          <w:tcPr>
            <w:tcW w:w="7520" w:type="dxa"/>
            <w:vAlign w:val="bottom"/>
            <w:tcBorders>
              <w:top w:val="single" w:sz="8" w:color="0000EE"/>
            </w:tcBorders>
            <w:gridSpan w:val="10"/>
          </w:tcPr>
          <w:p>
            <w:pPr>
              <w:spacing w:after="0"/>
              <w:rPr>
                <w:sz w:val="17"/>
                <w:szCs w:val="17"/>
                <w:color w:val="auto"/>
              </w:rPr>
            </w:pPr>
          </w:p>
        </w:tc>
        <w:tc>
          <w:tcPr>
            <w:tcW w:w="30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18"/>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Condensed Consolidated Statements of Cash Flows for the nine months ended September 28, 2019 and September 29,</w:t>
              </w:r>
            </w:hyperlink>
          </w:p>
        </w:tc>
        <w:tc>
          <w:tcPr>
            <w:tcW w:w="2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2018</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345"/>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478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45"/>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 w:type="dxa"/>
            <w:vAlign w:val="bottom"/>
          </w:tcPr>
          <w:p>
            <w:pPr>
              <w:spacing w:after="0"/>
              <w:rPr>
                <w:sz w:val="24"/>
                <w:szCs w:val="24"/>
                <w:color w:val="auto"/>
              </w:rPr>
            </w:pPr>
          </w:p>
        </w:tc>
        <w:tc>
          <w:tcPr>
            <w:tcW w:w="958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5"/>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12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45"/>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0" w:type="dxa"/>
            <w:vAlign w:val="bottom"/>
          </w:tcPr>
          <w:p>
            <w:pPr>
              <w:spacing w:after="0"/>
              <w:rPr>
                <w:sz w:val="24"/>
                <w:szCs w:val="24"/>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78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640" w:type="dxa"/>
            <w:vAlign w:val="bottom"/>
            <w:gridSpan w:val="2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45"/>
        </w:trPr>
        <w:tc>
          <w:tcPr>
            <w:tcW w:w="9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00" w:type="dxa"/>
            <w:vAlign w:val="bottom"/>
            <w:tcBorders>
              <w:top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180" w:type="dxa"/>
            <w:vAlign w:val="bottom"/>
            <w:tcBorders>
              <w:top w:val="single" w:sz="8" w:color="0000EE"/>
            </w:tcBorders>
          </w:tcPr>
          <w:p>
            <w:pPr>
              <w:spacing w:after="0"/>
              <w:rPr>
                <w:sz w:val="24"/>
                <w:szCs w:val="24"/>
                <w:color w:val="auto"/>
              </w:rPr>
            </w:pPr>
          </w:p>
        </w:tc>
        <w:tc>
          <w:tcPr>
            <w:tcW w:w="806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45"/>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 w:type="dxa"/>
            <w:vAlign w:val="bottom"/>
          </w:tcPr>
          <w:p>
            <w:pPr>
              <w:spacing w:after="0"/>
              <w:rPr>
                <w:sz w:val="24"/>
                <w:szCs w:val="24"/>
                <w:color w:val="auto"/>
              </w:rPr>
            </w:pPr>
          </w:p>
        </w:tc>
        <w:tc>
          <w:tcPr>
            <w:tcW w:w="958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45"/>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 w:type="dxa"/>
            <w:vAlign w:val="bottom"/>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522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45"/>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0" w:type="dxa"/>
            <w:vAlign w:val="bottom"/>
          </w:tcPr>
          <w:p>
            <w:pPr>
              <w:spacing w:after="0"/>
              <w:rPr>
                <w:sz w:val="24"/>
                <w:szCs w:val="24"/>
                <w:color w:val="auto"/>
              </w:rPr>
            </w:pPr>
          </w:p>
        </w:tc>
        <w:tc>
          <w:tcPr>
            <w:tcW w:w="958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45"/>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26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45"/>
        </w:trPr>
        <w:tc>
          <w:tcPr>
            <w:tcW w:w="9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0" w:type="dxa"/>
            <w:vAlign w:val="bottom"/>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Other Information</w:t>
              </w:r>
            </w:hyperlink>
          </w:p>
        </w:tc>
        <w:tc>
          <w:tcPr>
            <w:tcW w:w="826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45"/>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0" w:type="dxa"/>
            <w:vAlign w:val="bottom"/>
          </w:tcPr>
          <w:p>
            <w:pPr>
              <w:spacing w:after="0"/>
              <w:rPr>
                <w:sz w:val="24"/>
                <w:szCs w:val="24"/>
                <w:color w:val="auto"/>
              </w:rPr>
            </w:pPr>
          </w:p>
        </w:tc>
        <w:tc>
          <w:tcPr>
            <w:tcW w:w="958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96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1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97" w:lineRule="exact"/>
        <w:rPr>
          <w:sz w:val="20"/>
          <w:szCs w:val="20"/>
          <w:color w:val="auto"/>
        </w:rPr>
      </w:pPr>
    </w:p>
    <w:p>
      <w:pPr>
        <w:ind w:right="360" w:firstLine="518"/>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95" w:lineRule="exact"/>
        <w:rPr>
          <w:sz w:val="20"/>
          <w:szCs w:val="20"/>
          <w:color w:val="auto"/>
        </w:rPr>
      </w:pPr>
    </w:p>
    <w:p>
      <w:pPr>
        <w:jc w:val="both"/>
        <w:ind w:left="1040" w:right="340" w:hanging="519"/>
        <w:spacing w:after="0" w:line="256"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purchase of our existing products and new products;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products;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currency exchange rate and interest rate fluctuations on our results and sales;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change and innovation in the markets in which we participate and the competitive nature of those markets;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our plan to build our business;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manufacturing and reliance on third party manufacturers;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and sales strategy;</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and cash flows;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objectives for future operations;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expensing stock options and other equity awards;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9" w:lineRule="exact"/>
        <w:rPr>
          <w:rFonts w:ascii="Arial" w:cs="Arial" w:eastAsia="Arial" w:hAnsi="Arial"/>
          <w:sz w:val="18"/>
          <w:szCs w:val="18"/>
          <w:color w:val="auto"/>
        </w:rPr>
      </w:pPr>
    </w:p>
    <w:p>
      <w:pPr>
        <w:ind w:left="1040" w:right="660" w:hanging="519"/>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and regulations that currently apply or become applicable to our business both in the United States and internationally;</w:t>
      </w: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w:t>
      </w:r>
    </w:p>
    <w:p>
      <w:pPr>
        <w:spacing w:after="0" w:line="116"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4"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8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5"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As used in this Quarterly Report on Form 10-Q, the terms “Company,” “IRIDEX,” “we,” “us” and “our” refer to IRIDEX Corporation, and its consolidated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September 28, 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29, 2018 (1)</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shd w:val="clear" w:color="auto" w:fill="CFF0FC"/>
          </w:tcPr>
          <w:p>
            <w:pPr>
              <w:ind w:left="3520"/>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12,948</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4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$188 as of September 28, 2019 and $213 as of December 29, 2018</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8,784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0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LIABILITIES AND STOCKHOLDERS’ EQUITY</w:t>
            </w: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2,429</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Accrued warranty</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0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2,000,000 shares authorized, no shares</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Authorized: 30,000,000 shares;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40" w:type="dxa"/>
            <w:vAlign w:val="bottom"/>
          </w:tcPr>
          <w:p>
            <w:pPr>
              <w:ind w:left="260"/>
              <w:spacing w:after="0"/>
              <w:rPr>
                <w:sz w:val="20"/>
                <w:szCs w:val="20"/>
                <w:color w:val="auto"/>
              </w:rPr>
            </w:pPr>
            <w:r>
              <w:rPr>
                <w:rFonts w:ascii="Arial" w:cs="Arial" w:eastAsia="Arial" w:hAnsi="Arial"/>
                <w:sz w:val="18"/>
                <w:szCs w:val="18"/>
                <w:color w:val="auto"/>
              </w:rPr>
              <w:t>Issued and outstanding 13,778,872 and 13,602,052 shares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as of September 28, 2019 and December 29, 2018, respectively</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72,793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(49,054)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(41,802)</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0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62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December 29, 2018.</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2"/>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2"/>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9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4,283</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9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in computing net loss</w:t>
            </w: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common share:</w:t>
            </w: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13,768</w:t>
            </w:r>
          </w:p>
        </w:tc>
        <w:tc>
          <w:tcPr>
            <w:tcW w:w="2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11,925</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13,682</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13,768</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ind w:left="56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9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September 28,</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September 28,</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w w:val="91"/>
              </w:rPr>
              <w:t>September 29,</w:t>
            </w:r>
          </w:p>
        </w:tc>
        <w:tc>
          <w:tcPr>
            <w:tcW w:w="100" w:type="dxa"/>
            <w:vAlign w:val="bottom"/>
          </w:tcPr>
          <w:p>
            <w:pPr>
              <w:spacing w:after="0"/>
              <w:rPr>
                <w:sz w:val="11"/>
                <w:szCs w:val="11"/>
                <w:color w:val="auto"/>
              </w:rPr>
            </w:pPr>
          </w:p>
        </w:tc>
      </w:tr>
      <w:tr>
        <w:trPr>
          <w:trHeight w:val="171"/>
        </w:trPr>
        <w:tc>
          <w:tcPr>
            <w:tcW w:w="59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(9,957)</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FF0FC"/>
            </w:tcBorders>
          </w:tcPr>
          <w:p>
            <w:pPr>
              <w:spacing w:after="0"/>
              <w:rPr>
                <w:sz w:val="19"/>
                <w:szCs w:val="19"/>
                <w:color w:val="auto"/>
              </w:rPr>
            </w:pP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1"/>
              </w:rPr>
              <w:t>For the three months ended September 28, 2019</w:t>
            </w:r>
          </w:p>
        </w:tc>
        <w:tc>
          <w:tcPr>
            <w:tcW w:w="2380" w:type="dxa"/>
            <w:vAlign w:val="bottom"/>
            <w:gridSpan w:val="4"/>
            <w:vMerge w:val="restart"/>
          </w:tcPr>
          <w:p>
            <w:pPr>
              <w:jc w:val="right"/>
              <w:ind w:right="64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vMerge w:val="continue"/>
          </w:tcPr>
          <w:p>
            <w:pPr>
              <w:spacing w:after="0"/>
              <w:rPr>
                <w:sz w:val="14"/>
                <w:szCs w:val="14"/>
                <w:color w:val="auto"/>
              </w:rPr>
            </w:pPr>
          </w:p>
        </w:tc>
        <w:tc>
          <w:tcPr>
            <w:tcW w:w="238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Paid-in</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Balances, June 29, 2019</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13,746,959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(47,269)</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20"/>
                <w:szCs w:val="20"/>
                <w:color w:val="auto"/>
              </w:rPr>
            </w:pPr>
            <w:r>
              <w:rPr>
                <w:rFonts w:ascii="Arial" w:cs="Arial" w:eastAsia="Arial" w:hAnsi="Arial"/>
                <w:sz w:val="16"/>
                <w:szCs w:val="16"/>
                <w:color w:val="auto"/>
              </w:rPr>
              <w:t>Issuance of common stock under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120"/>
              <w:spacing w:after="0"/>
              <w:rPr>
                <w:sz w:val="20"/>
                <w:szCs w:val="20"/>
                <w:color w:val="auto"/>
              </w:rPr>
            </w:pPr>
            <w:r>
              <w:rPr>
                <w:rFonts w:ascii="Arial" w:cs="Arial" w:eastAsia="Arial" w:hAnsi="Arial"/>
                <w:sz w:val="16"/>
                <w:szCs w:val="16"/>
                <w:color w:val="auto"/>
              </w:rPr>
              <w:t>option plan</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Employee stock-based compensation expense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Release of restricted stock, net of taxes paid</w:t>
            </w:r>
          </w:p>
        </w:tc>
        <w:tc>
          <w:tcPr>
            <w:tcW w:w="1080" w:type="dxa"/>
            <w:vAlign w:val="bottom"/>
          </w:tcPr>
          <w:p>
            <w:pPr>
              <w:jc w:val="right"/>
              <w:spacing w:after="0"/>
              <w:rPr>
                <w:sz w:val="20"/>
                <w:szCs w:val="20"/>
                <w:color w:val="auto"/>
              </w:rPr>
            </w:pPr>
            <w:r>
              <w:rPr>
                <w:rFonts w:ascii="Arial" w:cs="Arial" w:eastAsia="Arial" w:hAnsi="Arial"/>
                <w:sz w:val="16"/>
                <w:szCs w:val="16"/>
                <w:color w:val="auto"/>
              </w:rPr>
              <w:t>31,913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(1,785)</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 September 28, 2019</w:t>
            </w: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13,778,872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72,793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(49,054)</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8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For the nine months ended September 28, 2019</w:t>
            </w:r>
          </w:p>
        </w:tc>
        <w:tc>
          <w:tcPr>
            <w:tcW w:w="2380" w:type="dxa"/>
            <w:vAlign w:val="bottom"/>
            <w:gridSpan w:val="4"/>
            <w:vMerge w:val="restart"/>
          </w:tcPr>
          <w:p>
            <w:pPr>
              <w:jc w:val="right"/>
              <w:ind w:right="64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vMerge w:val="continue"/>
          </w:tcPr>
          <w:p>
            <w:pPr>
              <w:spacing w:after="0"/>
              <w:rPr>
                <w:sz w:val="14"/>
                <w:szCs w:val="14"/>
                <w:color w:val="auto"/>
              </w:rPr>
            </w:pPr>
          </w:p>
        </w:tc>
        <w:tc>
          <w:tcPr>
            <w:tcW w:w="238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Paid-in</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Balances, December 29, 2018</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13,602,052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71,548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(41,802)</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20"/>
                <w:szCs w:val="20"/>
                <w:color w:val="auto"/>
              </w:rPr>
            </w:pPr>
            <w:r>
              <w:rPr>
                <w:rFonts w:ascii="Arial" w:cs="Arial" w:eastAsia="Arial" w:hAnsi="Arial"/>
                <w:sz w:val="16"/>
                <w:szCs w:val="16"/>
                <w:color w:val="auto"/>
              </w:rPr>
              <w:t>Issuance of common stock under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120"/>
              <w:spacing w:after="0"/>
              <w:rPr>
                <w:sz w:val="20"/>
                <w:szCs w:val="20"/>
                <w:color w:val="auto"/>
              </w:rPr>
            </w:pPr>
            <w:r>
              <w:rPr>
                <w:rFonts w:ascii="Arial" w:cs="Arial" w:eastAsia="Arial" w:hAnsi="Arial"/>
                <w:sz w:val="16"/>
                <w:szCs w:val="16"/>
                <w:color w:val="auto"/>
              </w:rPr>
              <w:t>option plan</w:t>
            </w:r>
          </w:p>
        </w:tc>
        <w:tc>
          <w:tcPr>
            <w:tcW w:w="1080" w:type="dxa"/>
            <w:vAlign w:val="bottom"/>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Employee stock-based compensation expense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Release of restricted stock, net of taxes paid</w:t>
            </w:r>
          </w:p>
        </w:tc>
        <w:tc>
          <w:tcPr>
            <w:tcW w:w="1080" w:type="dxa"/>
            <w:vAlign w:val="bottom"/>
          </w:tcPr>
          <w:p>
            <w:pPr>
              <w:jc w:val="right"/>
              <w:spacing w:after="0"/>
              <w:rPr>
                <w:sz w:val="20"/>
                <w:szCs w:val="20"/>
                <w:color w:val="auto"/>
              </w:rPr>
            </w:pPr>
            <w:r>
              <w:rPr>
                <w:rFonts w:ascii="Arial" w:cs="Arial" w:eastAsia="Arial" w:hAnsi="Arial"/>
                <w:sz w:val="16"/>
                <w:szCs w:val="16"/>
                <w:color w:val="auto"/>
              </w:rPr>
              <w:t>176,610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(7,252)</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(7,252)</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 September 28, 2019</w:t>
            </w: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13,778,872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72,793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(49,054)</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1"/>
              </w:rPr>
              <w:t>For the three months ended September 29, 2018</w:t>
            </w:r>
          </w:p>
        </w:tc>
        <w:tc>
          <w:tcPr>
            <w:tcW w:w="2380" w:type="dxa"/>
            <w:vAlign w:val="bottom"/>
            <w:gridSpan w:val="4"/>
            <w:vMerge w:val="restart"/>
          </w:tcPr>
          <w:p>
            <w:pPr>
              <w:jc w:val="right"/>
              <w:ind w:right="64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vMerge w:val="continue"/>
          </w:tcPr>
          <w:p>
            <w:pPr>
              <w:spacing w:after="0"/>
              <w:rPr>
                <w:sz w:val="14"/>
                <w:szCs w:val="14"/>
                <w:color w:val="auto"/>
              </w:rPr>
            </w:pPr>
          </w:p>
        </w:tc>
        <w:tc>
          <w:tcPr>
            <w:tcW w:w="238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Paid-in</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Balances, June 30, 2018</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11,663,838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60,138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(35,872)</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20"/>
                <w:szCs w:val="20"/>
                <w:color w:val="auto"/>
              </w:rPr>
            </w:pPr>
            <w:r>
              <w:rPr>
                <w:rFonts w:ascii="Arial" w:cs="Arial" w:eastAsia="Arial" w:hAnsi="Arial"/>
                <w:sz w:val="16"/>
                <w:szCs w:val="16"/>
                <w:color w:val="auto"/>
              </w:rPr>
              <w:t>Proceeds from issuance of common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120"/>
              <w:spacing w:after="0"/>
              <w:rPr>
                <w:sz w:val="20"/>
                <w:szCs w:val="20"/>
                <w:color w:val="auto"/>
              </w:rPr>
            </w:pPr>
            <w:r>
              <w:rPr>
                <w:rFonts w:ascii="Arial" w:cs="Arial" w:eastAsia="Arial" w:hAnsi="Arial"/>
                <w:sz w:val="16"/>
                <w:szCs w:val="16"/>
                <w:color w:val="auto"/>
              </w:rPr>
              <w:t>net of issuance costs</w:t>
            </w:r>
          </w:p>
        </w:tc>
        <w:tc>
          <w:tcPr>
            <w:tcW w:w="1080" w:type="dxa"/>
            <w:vAlign w:val="bottom"/>
          </w:tcPr>
          <w:p>
            <w:pPr>
              <w:jc w:val="right"/>
              <w:spacing w:after="0"/>
              <w:rPr>
                <w:sz w:val="20"/>
                <w:szCs w:val="20"/>
                <w:color w:val="auto"/>
              </w:rPr>
            </w:pPr>
            <w:r>
              <w:rPr>
                <w:rFonts w:ascii="Arial" w:cs="Arial" w:eastAsia="Arial" w:hAnsi="Arial"/>
                <w:sz w:val="16"/>
                <w:szCs w:val="16"/>
                <w:color w:val="auto"/>
              </w:rPr>
              <w:t>1,916,667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stock</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 plan</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Employee stock-based compensation expense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 net of taxes paid</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(3,074)</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(3,074)</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6"/>
                <w:szCs w:val="16"/>
                <w:color w:val="auto"/>
              </w:rPr>
              <w:t>Balances, September 29, 2018</w:t>
            </w: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8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13,594,799</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145</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71,283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(38,946)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32,609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8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For the nine months ended September 29, 2018</w:t>
            </w:r>
          </w:p>
        </w:tc>
        <w:tc>
          <w:tcPr>
            <w:tcW w:w="2380" w:type="dxa"/>
            <w:vAlign w:val="bottom"/>
            <w:gridSpan w:val="4"/>
            <w:vMerge w:val="restart"/>
          </w:tcPr>
          <w:p>
            <w:pPr>
              <w:jc w:val="right"/>
              <w:ind w:right="64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80" w:type="dxa"/>
            <w:vAlign w:val="bottom"/>
            <w:vMerge w:val="continue"/>
          </w:tcPr>
          <w:p>
            <w:pPr>
              <w:spacing w:after="0"/>
              <w:rPr>
                <w:sz w:val="14"/>
                <w:szCs w:val="14"/>
                <w:color w:val="auto"/>
              </w:rPr>
            </w:pPr>
          </w:p>
        </w:tc>
        <w:tc>
          <w:tcPr>
            <w:tcW w:w="238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Paid-in</w:t>
            </w: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43"/>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Balances, December 30, 2017</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11,596,274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(28,989)</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20"/>
                <w:szCs w:val="20"/>
                <w:color w:val="auto"/>
              </w:rPr>
            </w:pPr>
            <w:r>
              <w:rPr>
                <w:rFonts w:ascii="Arial" w:cs="Arial" w:eastAsia="Arial" w:hAnsi="Arial"/>
                <w:sz w:val="16"/>
                <w:szCs w:val="16"/>
                <w:color w:val="auto"/>
              </w:rPr>
              <w:t>Proceeds from issuance of common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120"/>
              <w:spacing w:after="0"/>
              <w:rPr>
                <w:sz w:val="20"/>
                <w:szCs w:val="20"/>
                <w:color w:val="auto"/>
              </w:rPr>
            </w:pPr>
            <w:r>
              <w:rPr>
                <w:rFonts w:ascii="Arial" w:cs="Arial" w:eastAsia="Arial" w:hAnsi="Arial"/>
                <w:sz w:val="16"/>
                <w:szCs w:val="16"/>
                <w:color w:val="auto"/>
              </w:rPr>
              <w:t>net of issuance costs</w:t>
            </w:r>
          </w:p>
        </w:tc>
        <w:tc>
          <w:tcPr>
            <w:tcW w:w="1080" w:type="dxa"/>
            <w:vAlign w:val="bottom"/>
          </w:tcPr>
          <w:p>
            <w:pPr>
              <w:jc w:val="right"/>
              <w:spacing w:after="0"/>
              <w:rPr>
                <w:sz w:val="20"/>
                <w:szCs w:val="20"/>
                <w:color w:val="auto"/>
              </w:rPr>
            </w:pPr>
            <w:r>
              <w:rPr>
                <w:rFonts w:ascii="Arial" w:cs="Arial" w:eastAsia="Arial" w:hAnsi="Arial"/>
                <w:sz w:val="16"/>
                <w:szCs w:val="16"/>
                <w:color w:val="auto"/>
              </w:rPr>
              <w:t>1,916,667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stock</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 plan</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23,750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Employee stock-based compensation expense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 net of taxes paid</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58,108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(9,957)</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(9,957)</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6"/>
                <w:szCs w:val="16"/>
                <w:color w:val="auto"/>
              </w:rPr>
              <w:t>Balances, September 29, 2018</w:t>
            </w: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8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13,594,799</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145</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71,283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(38,946)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32,609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78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4"/>
              </w:rPr>
              <w:t>September 28, 2019</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3"/>
              </w:rPr>
              <w:t>September 29, 2018</w:t>
            </w:r>
          </w:p>
        </w:tc>
        <w:tc>
          <w:tcPr>
            <w:tcW w:w="120" w:type="dxa"/>
            <w:vAlign w:val="bottom"/>
          </w:tcPr>
          <w:p>
            <w:pPr>
              <w:spacing w:after="0"/>
              <w:rPr>
                <w:sz w:val="13"/>
                <w:szCs w:val="13"/>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(7,252)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(9,957)</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earn-out liability</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(567)</w:t>
            </w: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Accrued warranty</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(903)</w:t>
            </w: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(303)</w:t>
            </w: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(391)</w:t>
            </w: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Payment on earn-out liability</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issuance of common stock, net of issuance costs</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10,637</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Proceeds from stock option exercises</w:t>
            </w:r>
          </w:p>
        </w:tc>
        <w:tc>
          <w:tcPr>
            <w:tcW w:w="1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w:t>
            </w:r>
          </w:p>
        </w:tc>
      </w:tr>
      <w:tr>
        <w:trPr>
          <w:trHeight w:val="22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exchange rate changes</w:t>
            </w: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21,707</w:t>
            </w:r>
          </w:p>
        </w:tc>
        <w:tc>
          <w:tcPr>
            <w:tcW w:w="120" w:type="dxa"/>
            <w:vAlign w:val="bottom"/>
            <w:shd w:val="clear" w:color="auto" w:fill="CFF0FC"/>
          </w:tcPr>
          <w:p>
            <w:pPr>
              <w:spacing w:after="0"/>
              <w:rPr>
                <w:sz w:val="19"/>
                <w:szCs w:val="19"/>
                <w:color w:val="auto"/>
              </w:rPr>
            </w:pPr>
          </w:p>
        </w:tc>
      </w:tr>
      <w:tr>
        <w:trPr>
          <w:trHeight w:val="26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12,948</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23,725</w:t>
            </w:r>
          </w:p>
        </w:tc>
        <w:tc>
          <w:tcPr>
            <w:tcW w:w="120" w:type="dxa"/>
            <w:vAlign w:val="bottom"/>
            <w:tcBorders>
              <w:bottom w:val="single" w:sz="8" w:color="CFF0FC"/>
            </w:tcBorders>
          </w:tcPr>
          <w:p>
            <w:pPr>
              <w:spacing w:after="0"/>
              <w:rPr>
                <w:sz w:val="22"/>
                <w:szCs w:val="22"/>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Cash paid during the period for 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8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29, 2018, which was filed with the Securities and Exchange Commission (“SEC”) on March 29, 2019, as amended by Form 10-K/A on April 29, 2019. The results of operations for the three and nine months ended September 28, 2019 and September 29, 2018 are not necessarily indicative of the results for the fiscal year ending December 28, 2019 or any future interim period. The three and nine months ended September 28, 2019 and September 29, 2018, each had 13 weeks and 39 weeks, respectively.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December 29, 2018, which was filed with the SEC on March 29, 2019, as amended by Form 10-K/A on April 29,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380" w:firstLine="518"/>
        <w:spacing w:after="0" w:line="297"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73"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LAP Programs, (3) Extended Warranty, (4) System Repairs (outside of warranty) and (5) Royalty Revenue.</w:t>
      </w:r>
    </w:p>
    <w:p>
      <w:pPr>
        <w:spacing w:after="0" w:line="62" w:lineRule="exact"/>
        <w:rPr>
          <w:sz w:val="20"/>
          <w:szCs w:val="20"/>
          <w:color w:val="auto"/>
        </w:rPr>
      </w:pPr>
    </w:p>
    <w:p>
      <w:pPr>
        <w:ind w:left="1040" w:right="140" w:hanging="519"/>
        <w:spacing w:after="0" w:line="25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subsequent to the shipment to the distributors.</w:t>
      </w:r>
    </w:p>
    <w:p>
      <w:pPr>
        <w:spacing w:after="0" w:line="80" w:lineRule="exact"/>
        <w:rPr>
          <w:rFonts w:ascii="Arial" w:cs="Arial" w:eastAsia="Arial" w:hAnsi="Arial"/>
          <w:sz w:val="18"/>
          <w:szCs w:val="18"/>
          <w:color w:val="auto"/>
        </w:rPr>
      </w:pPr>
    </w:p>
    <w:p>
      <w:pPr>
        <w:ind w:left="1040"/>
        <w:spacing w:after="0" w:line="259" w:lineRule="auto"/>
        <w:rPr>
          <w:rFonts w:ascii="Arial" w:cs="Arial" w:eastAsia="Arial" w:hAnsi="Arial"/>
          <w:sz w:val="18"/>
          <w:szCs w:val="18"/>
          <w:color w:val="auto"/>
        </w:rPr>
      </w:pPr>
      <w:r>
        <w:rPr>
          <w:rFonts w:ascii="Arial" w:cs="Arial" w:eastAsia="Arial" w:hAnsi="Arial"/>
          <w:sz w:val="18"/>
          <w:szCs w:val="18"/>
          <w:color w:val="auto"/>
        </w:rPr>
        <w:t>The Company recognizes revenue from product sale at a point in time. When a system or disposables are sold,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left="1040" w:right="140" w:hanging="519"/>
        <w:spacing w:after="0" w:line="293"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LAP Programs: The Company sometimes enters into Laser Advantage Program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(“G6 Laser”) and receive a discount on the program’s minimum purchase requirements. Under ASC 606, this non-cash consideration must be included in the transaction price. However, the Company has determined that there is no value associated with the old machine and the trade in is essentially offered to encourage customers to purchase more consumables under the program.</w:t>
      </w:r>
    </w:p>
    <w:p>
      <w:pPr>
        <w:spacing w:after="0" w:line="56" w:lineRule="exact"/>
        <w:rPr>
          <w:rFonts w:ascii="Arial" w:cs="Arial" w:eastAsia="Arial" w:hAnsi="Arial"/>
          <w:sz w:val="16"/>
          <w:szCs w:val="16"/>
          <w:color w:val="auto"/>
        </w:rPr>
      </w:pPr>
    </w:p>
    <w:p>
      <w:pPr>
        <w:ind w:left="1040" w:right="200"/>
        <w:spacing w:after="0" w:line="264" w:lineRule="auto"/>
        <w:rPr>
          <w:rFonts w:ascii="Arial" w:cs="Arial" w:eastAsia="Arial" w:hAnsi="Arial"/>
          <w:sz w:val="16"/>
          <w:szCs w:val="16"/>
          <w:color w:val="auto"/>
        </w:rPr>
      </w:pPr>
      <w:r>
        <w:rPr>
          <w:rFonts w:ascii="Arial" w:cs="Arial" w:eastAsia="Arial" w:hAnsi="Arial"/>
          <w:sz w:val="18"/>
          <w:szCs w:val="18"/>
          <w:color w:val="auto"/>
        </w:rPr>
        <w:t>The Company recognizes revenue from product sales under LAP programs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3" w:lineRule="exact"/>
        <w:rPr>
          <w:rFonts w:ascii="Arial" w:cs="Arial" w:eastAsia="Arial" w:hAnsi="Arial"/>
          <w:sz w:val="16"/>
          <w:szCs w:val="16"/>
          <w:color w:val="auto"/>
        </w:rPr>
      </w:pPr>
    </w:p>
    <w:p>
      <w:pPr>
        <w:ind w:left="1040" w:hanging="519"/>
        <w:spacing w:after="0" w:line="259"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Extended Warranty: The Company offers a standard two-year warranty on all system sales (five years on the laser heads for its IQ 532/577 laser consoles). The Company also offers an extended warranty which is sold to customers in incremental, one-year warranty periods which begin subsequent to the expiration of the standard two-year warranty. The customer can opt to purchase the extended warranty at the time of the system sale or after the initial system sale.</w:t>
      </w:r>
    </w:p>
    <w:p>
      <w:pPr>
        <w:spacing w:after="0" w:line="79" w:lineRule="exact"/>
        <w:rPr>
          <w:sz w:val="20"/>
          <w:szCs w:val="20"/>
          <w:color w:val="auto"/>
        </w:rPr>
      </w:pPr>
    </w:p>
    <w:p>
      <w:pPr>
        <w:ind w:left="1040" w:right="240"/>
        <w:spacing w:after="0" w:line="277" w:lineRule="auto"/>
        <w:rPr>
          <w:sz w:val="20"/>
          <w:szCs w:val="20"/>
          <w:color w:val="auto"/>
        </w:rPr>
      </w:pPr>
      <w:r>
        <w:rPr>
          <w:rFonts w:ascii="Arial" w:cs="Arial" w:eastAsia="Arial" w:hAnsi="Arial"/>
          <w:sz w:val="18"/>
          <w:szCs w:val="18"/>
          <w:color w:val="auto"/>
        </w:rPr>
        <w:t>The Company recognizes revenue from extended warranty ratably over the warranty period. Revenue recognition for the sale of an extended warranty is largely dependent on the timing of the sale as follows:</w:t>
      </w:r>
    </w:p>
    <w:p>
      <w:pPr>
        <w:spacing w:after="0" w:line="62" w:lineRule="exact"/>
        <w:rPr>
          <w:sz w:val="20"/>
          <w:szCs w:val="20"/>
          <w:color w:val="auto"/>
        </w:rPr>
      </w:pPr>
    </w:p>
    <w:p>
      <w:pPr>
        <w:ind w:left="1040" w:right="40" w:hanging="519"/>
        <w:spacing w:after="0" w:line="31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Extended Warranty Sale in Conjunction with System Sale: If the customer opts to purchase an extended warranty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38" w:lineRule="exact"/>
        <w:rPr>
          <w:rFonts w:ascii="Arial" w:cs="Arial" w:eastAsia="Arial" w:hAnsi="Arial"/>
          <w:sz w:val="16"/>
          <w:szCs w:val="16"/>
          <w:color w:val="auto"/>
        </w:rPr>
      </w:pPr>
    </w:p>
    <w:p>
      <w:pPr>
        <w:ind w:left="1040" w:right="40" w:hanging="519"/>
        <w:spacing w:after="0" w:line="272"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Extended Warranty Sale Subsequent to System Sale: If the customer opts to purchase an extended warranty after the initial system sale, the Company determines the amount of time that has elapsed since the initial system sale. If the extended warranty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extended warranty is purchased subsequent to 60 days after the initial sale, the sale of the extended warranty is deemed a separate contract and is deferred at the selling price and recognized ratably over the extended warranty period as the performance obligation is satisfied.</w:t>
      </w:r>
    </w:p>
    <w:p>
      <w:pPr>
        <w:spacing w:after="0" w:line="70" w:lineRule="exact"/>
        <w:rPr>
          <w:sz w:val="20"/>
          <w:szCs w:val="20"/>
          <w:color w:val="auto"/>
        </w:rPr>
      </w:pPr>
    </w:p>
    <w:p>
      <w:pPr>
        <w:ind w:left="1040" w:right="50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an extended warranty contract.</w:t>
      </w:r>
    </w:p>
    <w:p>
      <w:pPr>
        <w:spacing w:after="0" w:line="62" w:lineRule="exact"/>
        <w:rPr>
          <w:rFonts w:ascii="Arial" w:cs="Arial" w:eastAsia="Arial" w:hAnsi="Arial"/>
          <w:sz w:val="18"/>
          <w:szCs w:val="18"/>
          <w:color w:val="auto"/>
        </w:rPr>
      </w:pPr>
    </w:p>
    <w:p>
      <w:pPr>
        <w:ind w:left="1040" w:right="120"/>
        <w:spacing w:after="0" w:line="259" w:lineRule="auto"/>
        <w:rPr>
          <w:rFonts w:ascii="Arial" w:cs="Arial" w:eastAsia="Arial" w:hAnsi="Arial"/>
          <w:sz w:val="18"/>
          <w:szCs w:val="18"/>
          <w:color w:val="auto"/>
        </w:rPr>
      </w:pPr>
      <w:r>
        <w:rPr>
          <w:rFonts w:ascii="Arial" w:cs="Arial" w:eastAsia="Arial" w:hAnsi="Arial"/>
          <w:sz w:val="18"/>
          <w:szCs w:val="18"/>
          <w:color w:val="auto"/>
        </w:rPr>
        <w:t>The Company recognizes revenue from system repairs (outside of warranty) at a point in time. When the customer request repairs from the Company subsequent to the expiration of the standard warranty and outside of an extended warranty contracts, these repair contracts are considered separate from the initial sale, and as such, revenue is recognized as the repair services are rendered and the performance obligation satisfied.</w:t>
      </w:r>
    </w:p>
    <w:p>
      <w:pPr>
        <w:spacing w:after="0" w:line="78"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two customers related to sale of the Company’s intellectual property. Under the terms of these agreements, the customer is to remit a percentage of sales to the Company.</w:t>
      </w:r>
    </w:p>
    <w:p>
      <w:pPr>
        <w:spacing w:after="0" w:line="62" w:lineRule="exact"/>
        <w:rPr>
          <w:rFonts w:ascii="Arial" w:cs="Arial" w:eastAsia="Arial" w:hAnsi="Arial"/>
          <w:sz w:val="18"/>
          <w:szCs w:val="18"/>
          <w:color w:val="auto"/>
        </w:rPr>
      </w:pPr>
    </w:p>
    <w:p>
      <w:pPr>
        <w:ind w:left="1040" w:right="100"/>
        <w:spacing w:after="0" w:line="257" w:lineRule="auto"/>
        <w:rPr>
          <w:rFonts w:ascii="Arial" w:cs="Arial" w:eastAsia="Arial" w:hAnsi="Arial"/>
          <w:sz w:val="18"/>
          <w:szCs w:val="18"/>
          <w:color w:val="auto"/>
        </w:rPr>
      </w:pPr>
      <w:r>
        <w:rPr>
          <w:rFonts w:ascii="Arial" w:cs="Arial" w:eastAsia="Arial" w:hAnsi="Arial"/>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8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net and Operating lease liabilities in our condensed consolidated balance sheets. As of the adoption date of ASC 842 and as of September 28, 2019, the Company was not a party to finance lease arrangements.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 w:name="page11"/>
    <w:bookmarkEnd w:id="10"/>
    <w:p>
      <w:pPr>
        <w:ind w:firstLine="518"/>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3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months ended September 28, 2019, no single customer accounted for over 10% of total revenues. For the three months ended September 29, 2018, one customer accounted for more than 10% of total revenues, representing 11%. For the nine months ended September 28, 2019 and September 29, 2018, no single customer accounted for more than 10% of total revenues. As of September 28, 2019, one customer accounted for over 10% of our accounts receivable, representing 11%. As of December 29, 2018, no customer accounted for more than 10% of our accounts receivable.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Deferred revenue represents contract liabilities. Revenue related to extended service contracts is deferred and recognized on a straight-line basis over the period of the applicable service contract. Costs associated with these service arrangements are recognized as incurred.</w:t>
      </w:r>
    </w:p>
    <w:p>
      <w:pPr>
        <w:spacing w:after="0" w:line="38"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 reconciliation of the changes in the Company’s deferred revenue balance for the nine months ended September 28, 2019 and September 29, 2018 is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5"/>
          </w:tcPr>
          <w:p>
            <w:pPr>
              <w:jc w:val="right"/>
              <w:ind w:right="1313"/>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September 28, 2019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September 29, 2018</w:t>
            </w: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Additions to deferral</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(1,906)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(1,729)</w:t>
            </w: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0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Non-current portion of deferred revenue</w:t>
            </w:r>
          </w:p>
        </w:tc>
        <w:tc>
          <w:tcPr>
            <w:tcW w:w="10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FF0FC"/>
          </w:tcPr>
          <w:p>
            <w:pPr>
              <w:spacing w:after="0"/>
              <w:rPr>
                <w:sz w:val="19"/>
                <w:szCs w:val="19"/>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Current portion of deferred revenue</w:t>
            </w:r>
          </w:p>
        </w:tc>
        <w:tc>
          <w:tcPr>
            <w:tcW w:w="10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During both the nine months ended September 28, 2019 and September 29, 2018, approximately $1.2 million were recognized pertaining to amounts deferred as of December 29, 2018 and December 30,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The Company currently provides a two-year full warranty on its products. In addition, the Company offers a five-year warranty on the laser heads for its IQ 532/577 laser consoles. The associated costs of these warranties are accrued for upon shipment of the products. In March 2018, we have reversed the warranty expense associated with products shipped outside of the United States that were accrued in December 2017 as these reserves are no longer deemed required. The Company’s warranty policy is applicable to products which are considered defective in their performance or fail to meet the product specifications. Warranty costs are reflected in the statement of operations as cost of revenues.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 w:name="page12"/>
    <w:bookmarkEnd w:id="11"/>
    <w:p>
      <w:pPr>
        <w:ind w:right="440" w:firstLine="518"/>
        <w:spacing w:after="0" w:line="277" w:lineRule="auto"/>
        <w:rPr>
          <w:sz w:val="20"/>
          <w:szCs w:val="20"/>
          <w:color w:val="auto"/>
        </w:rPr>
      </w:pPr>
      <w:r>
        <w:rPr>
          <w:rFonts w:ascii="Arial" w:cs="Arial" w:eastAsia="Arial" w:hAnsi="Arial"/>
          <w:sz w:val="18"/>
          <w:szCs w:val="18"/>
          <w:color w:val="auto"/>
        </w:rPr>
        <w:t>A reconciliation of the changes in the Company’s warranty liability for the nine months ended September 28, 2019 and September 29, 2018 is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020" w:type="dxa"/>
            <w:vAlign w:val="bottom"/>
            <w:tcBorders>
              <w:bottom w:val="single" w:sz="8" w:color="auto"/>
            </w:tcBorders>
            <w:gridSpan w:val="6"/>
          </w:tcPr>
          <w:p>
            <w:pPr>
              <w:jc w:val="right"/>
              <w:ind w:right="1313"/>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September 28, 2019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September 29, 2018</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520" w:type="dxa"/>
            <w:vAlign w:val="bottom"/>
            <w:tcBorders>
              <w:top w:val="single" w:sz="8" w:color="auto"/>
            </w:tcBorders>
            <w:shd w:val="clear" w:color="auto" w:fill="CFF0FC"/>
          </w:tcPr>
          <w:p>
            <w:pPr>
              <w:jc w:val="right"/>
              <w:ind w:right="136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1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15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(232)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(756)</w:t>
            </w: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15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520" w:type="dxa"/>
            <w:vAlign w:val="bottom"/>
            <w:tcBorders>
              <w:top w:val="single" w:sz="8" w:color="auto"/>
              <w:bottom w:val="single" w:sz="8" w:color="auto"/>
            </w:tcBorders>
            <w:shd w:val="clear" w:color="auto" w:fill="CFF0FC"/>
          </w:tcPr>
          <w:p>
            <w:pPr>
              <w:jc w:val="right"/>
              <w:ind w:right="136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Certain reclassifications have been made to the prior year financial statements included in these condensed consolidated financial statements to conform to the current year presentation. The reclassifications had no impact on previously reported net loss or accumulated deficit.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which, along with amendments issued in 2018, modified lessee accounting guidance under Topic 840. This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fiscal years beginning after December 15, 2018, including interim periods within those fiscal years. Early adoption is permitted.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adopted the requirements of ASU 2016-02 on December 30, 2018, the first day of its fiscal year 2019, using the optional transition method. The Company elected not to reassess whether any expired or existing contracts are or contain leases, not to reassess the lease classification for any expired or existing leases, not to reassess initial direct costs for any existing leases and not to separate non-lease components from lease components and instead account for each separate lease component and the non-lease components associated with that lease component as a single lease component for new or modified leases. At adoption date, there was an increase in assets of $4.0 million and liabilities of $4.5 million due to the recognition of the required right-of-use asset and corresponding liability for all lease obligations that are currently classified as operating leases with the difference of $0.5 million related to existing deferred rent that reduced the ROU asset recorded. The standard did not have an impact in our condensed consolidated statements of operations.</w:t>
      </w:r>
    </w:p>
    <w:p>
      <w:pPr>
        <w:spacing w:after="0" w:line="64" w:lineRule="exact"/>
        <w:rPr>
          <w:sz w:val="20"/>
          <w:szCs w:val="20"/>
          <w:color w:val="auto"/>
        </w:rPr>
      </w:pPr>
    </w:p>
    <w:p>
      <w:pPr>
        <w:ind w:right="420" w:firstLine="518"/>
        <w:spacing w:after="0" w:line="302"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removes, modifies and adds certain disclosure requirements on fair value measurements. The new guidance is effective for fiscal years, and interim periods within those fiscal years, beginning after December 15, 2019. Early adoption is permitted. The Company early adopted this standard in fiscal year 2019 and the standard did not have a material impact on our consolidated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September 28, 2019 and December 29, 2018 are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28, 2019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29, 2018</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5,044</w:t>
            </w:r>
          </w:p>
        </w:tc>
        <w:tc>
          <w:tcPr>
            <w:tcW w:w="80" w:type="dxa"/>
            <w:vAlign w:val="bottom"/>
            <w:shd w:val="clear" w:color="auto" w:fill="CFF0FC"/>
          </w:tcPr>
          <w:p>
            <w:pPr>
              <w:spacing w:after="0"/>
              <w:rPr>
                <w:sz w:val="19"/>
                <w:szCs w:val="19"/>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goodwill was $0.5 million as of September 28, 2019 and December 29, 2018.</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2" w:name="page13"/>
    <w:bookmarkEnd w:id="12"/>
    <w:p>
      <w:pPr>
        <w:ind w:right="40"/>
        <w:spacing w:after="0" w:line="273" w:lineRule="auto"/>
        <w:rPr>
          <w:sz w:val="20"/>
          <w:szCs w:val="20"/>
          <w:color w:val="auto"/>
        </w:rPr>
      </w:pPr>
      <w:r>
        <w:rPr>
          <w:rFonts w:ascii="Arial" w:cs="Arial" w:eastAsia="Arial" w:hAnsi="Arial"/>
          <w:sz w:val="17"/>
          <w:szCs w:val="17"/>
          <w:color w:val="auto"/>
        </w:rPr>
        <w:t>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2019 and determined that its goodwill was not impaired. As of September 28, 2019, the Company had not identified any factors that indicated there was an impairment of its goodwill and determined that no additional impairment analysis was then required.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intangible asset balances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28, 2019</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29, 2018</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800" w:type="dxa"/>
            <w:vAlign w:val="bottom"/>
          </w:tcPr>
          <w:p>
            <w:pPr>
              <w:jc w:val="center"/>
              <w:ind w:left="108"/>
              <w:spacing w:after="0" w:line="13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Remaining</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Amortization</w:t>
            </w:r>
          </w:p>
        </w:tc>
        <w:tc>
          <w:tcPr>
            <w:tcW w:w="80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Amortization Life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88</w:t>
            </w: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5.50 Years</w:t>
            </w:r>
          </w:p>
        </w:tc>
        <w:tc>
          <w:tcPr>
            <w:tcW w:w="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 months ended September 28, 2019 and September 29, 2018, amortization expense totaled $12 thousand for each period.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amortization of customer relationships was charged to sales and marketing expense. Future estimated amortization expense (in thousands):</w:t>
      </w:r>
    </w:p>
    <w:p>
      <w:pPr>
        <w:spacing w:after="0" w:line="278"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2019 (three months)</w:t>
            </w:r>
          </w:p>
        </w:tc>
        <w:tc>
          <w:tcPr>
            <w:tcW w:w="920" w:type="dxa"/>
            <w:vAlign w:val="bottom"/>
            <w:gridSpan w:val="2"/>
          </w:tcPr>
          <w:p>
            <w:pPr>
              <w:jc w:val="right"/>
              <w:ind w:right="79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23"/>
        </w:trPr>
        <w:tc>
          <w:tcPr>
            <w:tcW w:w="5960" w:type="dxa"/>
            <w:vAlign w:val="bottom"/>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17" w:lineRule="exact"/>
        <w:rPr>
          <w:rFonts w:ascii="Arial" w:cs="Arial" w:eastAsia="Arial" w:hAnsi="Arial"/>
          <w:sz w:val="18"/>
          <w:szCs w:val="18"/>
          <w:color w:val="auto"/>
        </w:rPr>
      </w:pPr>
    </w:p>
    <w:p>
      <w:pPr>
        <w:ind w:left="1040" w:hanging="519"/>
        <w:spacing w:after="0" w:line="25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80"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7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62"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accounts payable, and accrued expenses as of September 28, 2019 and December 29, 2018, approximate fair value because of the short maturity of these instruments.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ind w:right="500" w:firstLine="518"/>
        <w:spacing w:after="0" w:line="277" w:lineRule="auto"/>
        <w:rPr>
          <w:sz w:val="20"/>
          <w:szCs w:val="20"/>
          <w:color w:val="auto"/>
        </w:rPr>
      </w:pPr>
      <w:r>
        <w:rPr>
          <w:rFonts w:ascii="Arial" w:cs="Arial" w:eastAsia="Arial" w:hAnsi="Arial"/>
          <w:sz w:val="18"/>
          <w:szCs w:val="18"/>
          <w:color w:val="auto"/>
        </w:rPr>
        <w:t>As of September 28, 2019 and December 29, 2018, financial assets and liabilities measured and recognized at fair value on a recurring basis and classified under the appropriate level of the fair value hierarchy as described above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As of September 28, 2019</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As of December 29, 2018</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w w:val="93"/>
              </w:rPr>
              <w:t>Fair Value Measurements</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5"/>
          </w:tcPr>
          <w:p>
            <w:pPr>
              <w:ind w:left="8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36"/>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3"/>
                <w:szCs w:val="13"/>
                <w:color w:val="auto"/>
              </w:rPr>
            </w:pPr>
          </w:p>
        </w:tc>
        <w:tc>
          <w:tcPr>
            <w:tcW w:w="7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12,167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12,167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20,708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w w:val="89"/>
              </w:rPr>
              <w:t>63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financial assets or liabilities. The fair value of the earn-out liability arising from the acquisition of RetinaLabs, Inc. is classified within Level 3 of the fair value hierarchy since it is based on significant unobservable inputs. The significant unobservable inputs include projected royalties and discount rates to present value the payments. A significant increase (decrease) in the projected royalty payments in isolation could result in a significantly higher (lower) fair value measurement and a significant increase (decrease) in the discount rate in isolation could result in a significantly lower (higher) fair value measurement. The fair value of the earn-out liability is calculated on a quarterly basis by the Company based on a collaborative effort of the Company’s operations, finance and accounting groups as additional information becomes available. Any change in the fair value adjustment is recorded in the statement of operations of that period.</w:t>
      </w:r>
    </w:p>
    <w:p>
      <w:pPr>
        <w:spacing w:after="0" w:line="84"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tables present quantitative information about the inputs and valuation methodologies used for our fair value measurements classified in Level 3 of the fair value hierarchy as of September 28, 2019 and December 29,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6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As of September 28, 2019</w:t>
            </w:r>
          </w:p>
        </w:tc>
        <w:tc>
          <w:tcPr>
            <w:tcW w:w="1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14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14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Projected royalties</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Earn-out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9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(in thousands)</w:t>
            </w: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$80</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4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10.26%</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(10.20% - 27.00%)</w:t>
            </w:r>
          </w:p>
        </w:tc>
        <w:tc>
          <w:tcPr>
            <w:tcW w:w="0" w:type="dxa"/>
            <w:vAlign w:val="bottom"/>
          </w:tcPr>
          <w:p>
            <w:pPr>
              <w:spacing w:after="0"/>
              <w:rPr>
                <w:sz w:val="1"/>
                <w:szCs w:val="1"/>
                <w:color w:val="auto"/>
              </w:rPr>
            </w:pPr>
          </w:p>
        </w:tc>
      </w:tr>
      <w:tr>
        <w:trPr>
          <w:trHeight w:val="382"/>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As of December 29, 2018</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Technique</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Input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(range)</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4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(in thousands)</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$1,245</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4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10.33%</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(10.20% - 27.00%)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 reconciliation of the changes in the Company’s earn-out liability (Level 3 liability) for the nine months ended September 28, 2019 and September 29, 2018 is as follows:</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w w:val="94"/>
              </w:rPr>
              <w:t>September 28, 2019</w:t>
            </w:r>
          </w:p>
        </w:tc>
        <w:tc>
          <w:tcPr>
            <w:tcW w:w="1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w w:val="96"/>
              </w:rPr>
              <w:t>September 29, 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beginning of the period</w:t>
            </w:r>
          </w:p>
        </w:tc>
        <w:tc>
          <w:tcPr>
            <w:tcW w:w="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Payments against earn-out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earn-out liability</w:t>
            </w:r>
          </w:p>
        </w:tc>
        <w:tc>
          <w:tcPr>
            <w:tcW w:w="6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as of the end of the period</w:t>
            </w:r>
          </w:p>
        </w:tc>
        <w:tc>
          <w:tcPr>
            <w:tcW w:w="6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earn-out liability is included in accrued expenses and other long-term liabilities in the condensed consolidated balance sheets. Any change in the fair value adjustment is recorded to other expense in the condensed consolidated statements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operating lease commitments consist primarily of our facility lease and various office and computer equipment leases. Operating lease expenses for the nine months ended September 28, 2019 and September 29, 2018 were approximately $1.0 million. The weighted average discount rate used in calculating the present value of lease payments was 5.4%. As of September 28, 2019, the weighted average remaining lease term for our operating leases was 2.5 years.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represents maturities of operating lease liabilities as of September 28, 2019 (in thousands):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75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Lease Payments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2019 (3 months)</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640" w:firstLine="518"/>
        <w:spacing w:after="0" w:line="264"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 As of September 28, 2019, our future minimum payments through fiscal year 2020 for our purchase commitments was approximately $6.2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7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88" w:lineRule="exact"/>
        <w:rPr>
          <w:sz w:val="20"/>
          <w:szCs w:val="20"/>
          <w:color w:val="auto"/>
        </w:rPr>
      </w:pPr>
    </w:p>
    <w:p>
      <w:pPr>
        <w:ind w:right="7060" w:firstLine="8"/>
        <w:spacing w:after="0" w:line="378"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Stock-Based Compensation Stock-Based Compensation</w:t>
      </w:r>
    </w:p>
    <w:p>
      <w:pPr>
        <w:ind w:firstLine="518"/>
        <w:spacing w:after="0" w:line="259" w:lineRule="auto"/>
        <w:rPr>
          <w:sz w:val="20"/>
          <w:szCs w:val="20"/>
          <w:color w:val="auto"/>
        </w:rPr>
      </w:pPr>
      <w:r>
        <w:rPr>
          <w:rFonts w:ascii="Arial" w:cs="Arial" w:eastAsia="Arial" w:hAnsi="Arial"/>
          <w:sz w:val="18"/>
          <w:szCs w:val="18"/>
          <w:color w:val="auto"/>
        </w:rPr>
        <w:t>The Company accounts for stock-based compensation granted to employees and directors, including employees stock option awards, restricted stock and restricted stock units in accordance with ASC 718</w:t>
      </w:r>
      <w:r>
        <w:rPr>
          <w:rFonts w:ascii="Arial" w:cs="Arial" w:eastAsia="Arial" w:hAnsi="Arial"/>
          <w:sz w:val="18"/>
          <w:szCs w:val="18"/>
          <w:i w:val="1"/>
          <w:iCs w:val="1"/>
          <w:color w:val="auto"/>
        </w:rPr>
        <w:t>, “Compensation – Stock Compensation”</w:t>
      </w:r>
      <w:r>
        <w:rPr>
          <w:rFonts w:ascii="Arial" w:cs="Arial" w:eastAsia="Arial" w:hAnsi="Arial"/>
          <w:sz w:val="18"/>
          <w:szCs w:val="18"/>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5" w:name="page16"/>
    <w:bookmarkEnd w:id="15"/>
    <w:p>
      <w:pPr>
        <w:ind w:right="40" w:firstLine="518"/>
        <w:spacing w:after="0" w:line="297" w:lineRule="auto"/>
        <w:rPr>
          <w:sz w:val="20"/>
          <w:szCs w:val="20"/>
          <w:color w:val="auto"/>
        </w:rPr>
      </w:pPr>
      <w:r>
        <w:rPr>
          <w:rFonts w:ascii="Arial" w:cs="Arial" w:eastAsia="Arial" w:hAnsi="Arial"/>
          <w:sz w:val="16"/>
          <w:szCs w:val="16"/>
          <w:color w:val="auto"/>
        </w:rPr>
        <w:t>The Company values options using the Black-Scholes option pricing model. Restricted stock and time-based restricted stock units are valued at the grant date fair value of the underlying common shares. Performance-based restricted stock units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terms of awards granted during the nine months ended September 28, 2019 were consistent with those described in the consolidated financial statements included in our Annual Report on Form 10-K for the year ended December 29, 2018.</w:t>
      </w:r>
    </w:p>
    <w:p>
      <w:pPr>
        <w:spacing w:after="0" w:line="62"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following table shows stock-based compensation expenses included in the condensed consolidated statements of operations for the three and nine months ended September 28, 2019 and September 29, 2018:</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Pr>
          <w:p>
            <w:pPr>
              <w:spacing w:after="0"/>
              <w:rPr>
                <w:sz w:val="11"/>
                <w:szCs w:val="11"/>
                <w:color w:val="auto"/>
              </w:rPr>
            </w:pPr>
          </w:p>
        </w:tc>
        <w:tc>
          <w:tcPr>
            <w:tcW w:w="1040" w:type="dxa"/>
            <w:vAlign w:val="bottom"/>
            <w:tcBorders>
              <w:top w:val="single" w:sz="8" w:color="auto"/>
            </w:tcBorders>
            <w:gridSpan w:val="2"/>
          </w:tcPr>
          <w:p>
            <w:pPr>
              <w:jc w:val="right"/>
              <w:ind w:right="15"/>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10"/>
              <w:spacing w:after="0" w:line="133" w:lineRule="exact"/>
              <w:rPr>
                <w:sz w:val="20"/>
                <w:szCs w:val="20"/>
                <w:color w:val="auto"/>
              </w:rPr>
            </w:pPr>
            <w:r>
              <w:rPr>
                <w:rFonts w:ascii="Arial" w:cs="Arial" w:eastAsia="Arial" w:hAnsi="Arial"/>
                <w:sz w:val="14"/>
                <w:szCs w:val="14"/>
                <w:b w:val="1"/>
                <w:bCs w:val="1"/>
                <w:color w:val="auto"/>
                <w:w w:val="98"/>
              </w:rPr>
              <w:t>September 29,</w:t>
            </w:r>
          </w:p>
        </w:tc>
        <w:tc>
          <w:tcPr>
            <w:tcW w:w="20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15"/>
              <w:spacing w:after="0" w:line="133" w:lineRule="exact"/>
              <w:rPr>
                <w:sz w:val="20"/>
                <w:szCs w:val="20"/>
                <w:color w:val="auto"/>
              </w:rPr>
            </w:pPr>
            <w:r>
              <w:rPr>
                <w:rFonts w:ascii="Arial" w:cs="Arial" w:eastAsia="Arial" w:hAnsi="Arial"/>
                <w:sz w:val="14"/>
                <w:szCs w:val="14"/>
                <w:b w:val="1"/>
                <w:bCs w:val="1"/>
                <w:color w:val="auto"/>
                <w:w w:val="98"/>
              </w:rPr>
              <w:t>September 28,</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w w:val="96"/>
              </w:rPr>
              <w:t>September 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4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387</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92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673</w:t>
            </w:r>
          </w:p>
        </w:tc>
        <w:tc>
          <w:tcPr>
            <w:tcW w:w="4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capitalized to inventory was immaterial for the nine months ended September 28, 2019 and September 29, 2018.</w:t>
      </w:r>
    </w:p>
    <w:p>
      <w:pPr>
        <w:spacing w:after="0" w:line="14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Occasionally, the Company will grant stock-based instruments to non-employees. During the nine months ended September 28, 2019 and September 29, 2018, the amount of stock-based compensation related to non-employee options was not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options information during the nine months ended September 28, 2019:</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left="264"/>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0" w:type="dxa"/>
            <w:vAlign w:val="bottom"/>
          </w:tcPr>
          <w:p>
            <w:pPr>
              <w:jc w:val="center"/>
              <w:ind w:left="244"/>
              <w:spacing w:after="0"/>
              <w:rPr>
                <w:sz w:val="20"/>
                <w:szCs w:val="20"/>
                <w:color w:val="auto"/>
              </w:rPr>
            </w:pPr>
            <w:r>
              <w:rPr>
                <w:rFonts w:ascii="Arial" w:cs="Arial" w:eastAsia="Arial" w:hAnsi="Arial"/>
                <w:sz w:val="14"/>
                <w:szCs w:val="14"/>
                <w:b w:val="1"/>
                <w:bCs w:val="1"/>
                <w:color w:val="auto"/>
                <w:w w:val="91"/>
              </w:rPr>
              <w:t>Per Share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29, 2018</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844,898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2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8.84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753,450</w:t>
            </w:r>
          </w:p>
        </w:tc>
        <w:tc>
          <w:tcPr>
            <w:tcW w:w="160" w:type="dxa"/>
            <w:vAlign w:val="bottom"/>
          </w:tcPr>
          <w:p>
            <w:pPr>
              <w:spacing w:after="0"/>
              <w:rPr>
                <w:sz w:val="19"/>
                <w:szCs w:val="19"/>
                <w:color w:val="auto"/>
              </w:rPr>
            </w:pPr>
          </w:p>
        </w:tc>
        <w:tc>
          <w:tcPr>
            <w:tcW w:w="1280" w:type="dxa"/>
            <w:vAlign w:val="bottom"/>
            <w:gridSpan w:val="2"/>
          </w:tcPr>
          <w:p>
            <w:pPr>
              <w:jc w:val="right"/>
              <w:ind w:right="102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4.86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(210)</w:t>
            </w:r>
          </w:p>
        </w:tc>
        <w:tc>
          <w:tcPr>
            <w:tcW w:w="1280" w:type="dxa"/>
            <w:vAlign w:val="bottom"/>
            <w:gridSpan w:val="2"/>
            <w:shd w:val="clear" w:color="auto" w:fill="CFF0FC"/>
          </w:tcPr>
          <w:p>
            <w:pPr>
              <w:jc w:val="right"/>
              <w:ind w:right="1024"/>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3.49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(277,243)</w:t>
            </w:r>
          </w:p>
        </w:tc>
        <w:tc>
          <w:tcPr>
            <w:tcW w:w="1280" w:type="dxa"/>
            <w:vAlign w:val="bottom"/>
            <w:gridSpan w:val="2"/>
          </w:tcPr>
          <w:p>
            <w:pPr>
              <w:jc w:val="right"/>
              <w:ind w:right="102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9.31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28, 2019</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1,320,895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gridSpan w:val="2"/>
            <w:shd w:val="clear" w:color="auto" w:fill="CFF0FC"/>
          </w:tcPr>
          <w:p>
            <w:pPr>
              <w:jc w:val="right"/>
              <w:ind w:right="102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6.47</w:t>
            </w:r>
          </w:p>
        </w:tc>
        <w:tc>
          <w:tcPr>
            <w:tcW w:w="50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FF0FC"/>
              <w:bottom w:val="single" w:sz="8" w:color="CFF0FC"/>
            </w:tcBorders>
            <w:gridSpan w:val="2"/>
            <w:shd w:val="clear" w:color="auto" w:fill="CFF0FC"/>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weighted average grant date fair value of the options granted was $1.47 and $2.47 per share for the three months ended September 28, 2019 and September 29, 2018, respectively. The weighted average grant date fair value of the options granted was $1.75 and $2.34 per share for the nine months ended September 28, 2019 and September 29, 2018, respectively.</w:t>
      </w:r>
    </w:p>
    <w:p>
      <w:pPr>
        <w:spacing w:after="0" w:line="7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uses the Black-Scholes option-pricing model to estimate fair value of stock-based awards (options) with the following weighted average assumptions: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6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5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5120" w:type="dxa"/>
            <w:vAlign w:val="bottom"/>
          </w:tcPr>
          <w:p>
            <w:pPr>
              <w:spacing w:after="0"/>
              <w:rPr>
                <w:sz w:val="11"/>
                <w:szCs w:val="11"/>
                <w:color w:val="auto"/>
              </w:rPr>
            </w:pPr>
          </w:p>
        </w:tc>
        <w:tc>
          <w:tcPr>
            <w:tcW w:w="1340" w:type="dxa"/>
            <w:vAlign w:val="bottom"/>
            <w:tcBorders>
              <w:top w:val="single" w:sz="8" w:color="auto"/>
            </w:tcBorders>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6"/>
              </w:rPr>
              <w:t>September 29,</w:t>
            </w:r>
          </w:p>
        </w:tc>
        <w:tc>
          <w:tcPr>
            <w:tcW w:w="280" w:type="dxa"/>
            <w:vAlign w:val="bottom"/>
          </w:tcPr>
          <w:p>
            <w:pPr>
              <w:spacing w:after="0"/>
              <w:rPr>
                <w:sz w:val="11"/>
                <w:szCs w:val="11"/>
                <w:color w:val="auto"/>
              </w:rPr>
            </w:pPr>
          </w:p>
        </w:tc>
        <w:tc>
          <w:tcPr>
            <w:tcW w:w="132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6"/>
              </w:rPr>
              <w:t>September 29,</w:t>
            </w:r>
          </w:p>
        </w:tc>
        <w:tc>
          <w:tcPr>
            <w:tcW w:w="180" w:type="dxa"/>
            <w:vAlign w:val="bottom"/>
          </w:tcPr>
          <w:p>
            <w:pPr>
              <w:spacing w:after="0"/>
              <w:rPr>
                <w:sz w:val="11"/>
                <w:szCs w:val="11"/>
                <w:color w:val="auto"/>
              </w:rPr>
            </w:pPr>
          </w:p>
        </w:tc>
      </w:tr>
      <w:tr>
        <w:trPr>
          <w:trHeight w:val="171"/>
        </w:trPr>
        <w:tc>
          <w:tcPr>
            <w:tcW w:w="51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Average risk free interest rate</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1.58%</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2.95%</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1.75%</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4.55 years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4.55 years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4.55 years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4.55 years</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Average volatility</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bl>
    <w:p>
      <w:pPr>
        <w:spacing w:after="0" w:line="22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Performance stock options granted with market conditions are valued using a Monte Carlo simulation model in combination with a Black-Scholes option pricing model.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6" w:name="page17"/>
    <w:bookmarkEnd w:id="16"/>
    <w:p>
      <w:pPr>
        <w:ind w:firstLine="518"/>
        <w:spacing w:after="0" w:line="291" w:lineRule="auto"/>
        <w:rPr>
          <w:sz w:val="20"/>
          <w:szCs w:val="20"/>
          <w:color w:val="auto"/>
        </w:rPr>
      </w:pPr>
      <w:r>
        <w:rPr>
          <w:rFonts w:ascii="Arial" w:cs="Arial" w:eastAsia="Arial" w:hAnsi="Arial"/>
          <w:sz w:val="16"/>
          <w:szCs w:val="16"/>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Information regarding stock options outstanding, vested, expected to vest, and exercisable as of September 28, 2019 is summarized below:</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360" w:type="dxa"/>
            <w:vAlign w:val="bottom"/>
          </w:tcPr>
          <w:p>
            <w:pPr>
              <w:jc w:val="right"/>
              <w:ind w:right="417"/>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Exercise Price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1,320,895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2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360" w:type="dxa"/>
            <w:vAlign w:val="bottom"/>
          </w:tcPr>
          <w:p>
            <w:pPr>
              <w:jc w:val="right"/>
              <w:spacing w:after="0"/>
              <w:rPr>
                <w:sz w:val="20"/>
                <w:szCs w:val="20"/>
                <w:color w:val="auto"/>
              </w:rPr>
            </w:pPr>
            <w:r>
              <w:rPr>
                <w:rFonts w:ascii="Arial" w:cs="Arial" w:eastAsia="Arial" w:hAnsi="Arial"/>
                <w:sz w:val="18"/>
                <w:szCs w:val="18"/>
                <w:color w:val="auto"/>
              </w:rPr>
              <w:t>1,161,856</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376,412</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September 28, 2019, that would have been received by option holders had all option holders exercised their stock options as of that date. This amount changes based on the fair market value of the Company’s common stock. The total intrinsic value of options exercised for the nine months ended September 28, 2019 and September 29, 2018 was approximately $0 thousand and $71 thousand, respectively.</w:t>
      </w:r>
    </w:p>
    <w:p>
      <w:pPr>
        <w:spacing w:after="0" w:line="7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As of September 28, 2019, there was $3.5 million of total unrecognized compensation cost, net of expected forfeitures, related to non-vested stock-based compensation arrangements. The cost is expected to be recognized over a weighted average period of 3.04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Restricted Stock Units and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restricted stock units (“RSUs”) activity for the nine months ended September 28, 2019 is summarized below:</w:t>
      </w:r>
    </w:p>
    <w:p>
      <w:pPr>
        <w:sectPr>
          <w:pgSz w:w="11900" w:h="16838" w:orient="portrait"/>
          <w:cols w:equalWidth="0" w:num="1">
            <w:col w:w="11360"/>
          </w:cols>
          <w:pgMar w:left="240" w:top="233" w:right="29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December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granted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15" w:lineRule="exact"/>
        <w:rPr>
          <w:sz w:val="20"/>
          <w:szCs w:val="20"/>
          <w:color w:val="auto"/>
        </w:rPr>
      </w:pPr>
    </w:p>
    <w:p>
      <w:pPr>
        <w:jc w:val="right"/>
        <w:ind w:right="2420"/>
        <w:spacing w:after="0"/>
        <w:rPr>
          <w:sz w:val="20"/>
          <w:szCs w:val="20"/>
          <w:color w:val="auto"/>
        </w:rPr>
      </w:pPr>
      <w:r>
        <w:rPr>
          <w:rFonts w:ascii="Arial" w:cs="Arial" w:eastAsia="Arial" w:hAnsi="Arial"/>
          <w:sz w:val="18"/>
          <w:szCs w:val="18"/>
          <w:color w:val="auto"/>
        </w:rPr>
        <w:t>Outstanding as of September 28,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597,121</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74,527</w:t>
      </w:r>
    </w:p>
    <w:p>
      <w:pPr>
        <w:spacing w:after="0" w:line="23" w:lineRule="exact"/>
        <w:rPr>
          <w:sz w:val="20"/>
          <w:szCs w:val="20"/>
          <w:color w:val="auto"/>
        </w:rPr>
      </w:pPr>
    </w:p>
    <w:p>
      <w:pPr>
        <w:jc w:val="right"/>
        <w:ind w:right="2240"/>
        <w:spacing w:after="0"/>
        <w:rPr>
          <w:sz w:val="20"/>
          <w:szCs w:val="20"/>
          <w:color w:val="auto"/>
        </w:rPr>
      </w:pPr>
      <w:r>
        <w:rPr>
          <w:rFonts w:ascii="Arial" w:cs="Arial" w:eastAsia="Arial" w:hAnsi="Arial"/>
          <w:sz w:val="18"/>
          <w:szCs w:val="18"/>
          <w:color w:val="auto"/>
        </w:rPr>
        <w:t>(213,498)</w:t>
      </w:r>
    </w:p>
    <w:p>
      <w:pPr>
        <w:spacing w:after="0" w:line="23" w:lineRule="exact"/>
        <w:rPr>
          <w:sz w:val="20"/>
          <w:szCs w:val="20"/>
          <w:color w:val="auto"/>
        </w:rPr>
      </w:pPr>
    </w:p>
    <w:p>
      <w:pPr>
        <w:jc w:val="right"/>
        <w:ind w:right="2240"/>
        <w:spacing w:after="0"/>
        <w:rPr>
          <w:sz w:val="20"/>
          <w:szCs w:val="20"/>
          <w:color w:val="auto"/>
        </w:rPr>
      </w:pPr>
      <w:r>
        <w:rPr>
          <w:rFonts w:ascii="Arial" w:cs="Arial" w:eastAsia="Arial" w:hAnsi="Arial"/>
          <w:sz w:val="18"/>
          <w:szCs w:val="18"/>
          <w:color w:val="auto"/>
        </w:rPr>
        <w:t>(193,231)</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264,919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31750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0" w:lineRule="exact"/>
        <w:rPr>
          <w:sz w:val="20"/>
          <w:szCs w:val="20"/>
          <w:color w:val="auto"/>
        </w:rPr>
      </w:pPr>
    </w:p>
    <w:p>
      <w:pPr>
        <w:sectPr>
          <w:pgSz w:w="11900" w:h="16838" w:orient="portrait"/>
          <w:cols w:equalWidth="0" w:num="2">
            <w:col w:w="7480" w:space="720"/>
            <w:col w:w="3160"/>
          </w:cols>
          <w:pgMar w:left="240" w:top="233" w:right="299" w:bottom="1440" w:gutter="0" w:footer="0" w:header="0"/>
          <w:type w:val="continuous"/>
        </w:sectPr>
      </w:pPr>
    </w:p>
    <w:p>
      <w:pPr>
        <w:ind w:firstLine="518"/>
        <w:spacing w:after="0" w:line="262"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$22 thousand and $14 thousand for the nine months ended September 28, 2019 and September 29, 2018, respectively.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fourth quarter of fiscal year 2018,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The Company accounts for its uncertain tax positions in accordance with ASC 740. As of December 29, 2018, the Company had $1.2 million of unrecognized tax benefits, none of the unrecognized tax benefits would result in a change in the Company’s effective tax rate if recognized in future years.</w:t>
      </w:r>
    </w:p>
    <w:p>
      <w:pPr>
        <w:spacing w:after="0" w:line="16"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6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Computation of Basic and Diluted Net Loss Per Common Share</w:t>
      </w:r>
    </w:p>
    <w:p>
      <w:pPr>
        <w:spacing w:after="0" w:line="12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restricted stock units and awards and are calculated under the treasury stock method. Common stock equivalent shares from unexercised stock options, and unvested restricted stock units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64"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For the three months ended September 28, 2019 and September 29, 2018, potential shares from stock options, RSUs and Restricted Stock Awards (“RSAs”) totaling 1,182,083 and 1,436,320 shares, respectively, were excluded from the computation of diluted weighted average shares outstanding. For the nine months ended September 28, 2019 and September 29, 2018, potential shares from stock options, RSUs and Restricted Stock Awards (“RSAs”) totaling 1,144,817 and 1,253,843 shares, respectively, were excluded from the computation of diluted weighted average shares outstanding.</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 thousands except per share data)</w:t>
            </w:r>
          </w:p>
        </w:tc>
        <w:tc>
          <w:tcPr>
            <w:tcW w:w="800" w:type="dxa"/>
            <w:vAlign w:val="bottom"/>
          </w:tcPr>
          <w:p>
            <w:pPr>
              <w:spacing w:after="0"/>
              <w:rPr>
                <w:sz w:val="11"/>
                <w:szCs w:val="11"/>
                <w:color w:val="auto"/>
              </w:rPr>
            </w:pPr>
          </w:p>
        </w:tc>
        <w:tc>
          <w:tcPr>
            <w:tcW w:w="1180" w:type="dxa"/>
            <w:vAlign w:val="bottom"/>
            <w:tcBorders>
              <w:top w:val="single" w:sz="8" w:color="auto"/>
            </w:tcBorders>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8"/>
              </w:rPr>
              <w:t>September 28,</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w w:val="96"/>
              </w:rPr>
              <w:t>September 29,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top w:val="single" w:sz="8" w:color="auto"/>
            </w:tcBorders>
            <w:gridSpan w:val="3"/>
          </w:tcPr>
          <w:p>
            <w:pPr>
              <w:jc w:val="right"/>
              <w:ind w:right="240"/>
              <w:spacing w:after="0" w:line="133" w:lineRule="exact"/>
              <w:rPr>
                <w:sz w:val="20"/>
                <w:szCs w:val="20"/>
                <w:color w:val="auto"/>
              </w:rPr>
            </w:pPr>
            <w:r>
              <w:rPr>
                <w:rFonts w:ascii="Arial" w:cs="Arial" w:eastAsia="Arial" w:hAnsi="Arial"/>
                <w:sz w:val="14"/>
                <w:szCs w:val="14"/>
                <w:b w:val="1"/>
                <w:bCs w:val="1"/>
                <w:color w:val="auto"/>
                <w:w w:val="98"/>
              </w:rPr>
              <w:t>September 28,</w:t>
            </w: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w w:val="98"/>
              </w:rPr>
              <w:t>September 29,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8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52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(1,785)</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(3,074)</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(7,252)</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(9,957)</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8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Weighted average shares of common stock (basic)</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Weighted average shares of common stock (diluted)</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520" w:type="dxa"/>
            <w:vAlign w:val="bottom"/>
          </w:tcPr>
          <w:p>
            <w:pPr>
              <w:ind w:left="500"/>
              <w:spacing w:after="0"/>
              <w:rPr>
                <w:sz w:val="20"/>
                <w:szCs w:val="20"/>
                <w:color w:val="auto"/>
              </w:rPr>
            </w:pPr>
            <w:r>
              <w:rPr>
                <w:rFonts w:ascii="Arial" w:cs="Arial" w:eastAsia="Arial" w:hAnsi="Arial"/>
                <w:sz w:val="18"/>
                <w:szCs w:val="18"/>
                <w:color w:val="auto"/>
              </w:rPr>
              <w:t>Basic net loss per share</w:t>
            </w:r>
          </w:p>
        </w:tc>
        <w:tc>
          <w:tcPr>
            <w:tcW w:w="800" w:type="dxa"/>
            <w:vAlign w:val="bottom"/>
          </w:tcPr>
          <w:p>
            <w:pPr>
              <w:spacing w:after="0"/>
              <w:rPr>
                <w:sz w:val="23"/>
                <w:szCs w:val="23"/>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(0.85)</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 net loss per share</w:t>
            </w:r>
          </w:p>
        </w:tc>
        <w:tc>
          <w:tcPr>
            <w:tcW w:w="8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Business Segments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product group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29,</w:t>
            </w:r>
          </w:p>
        </w:tc>
        <w:tc>
          <w:tcPr>
            <w:tcW w:w="320" w:type="dxa"/>
            <w:vAlign w:val="bottom"/>
          </w:tcPr>
          <w:p>
            <w:pPr>
              <w:spacing w:after="0"/>
              <w:rPr>
                <w:sz w:val="11"/>
                <w:szCs w:val="11"/>
                <w:color w:val="auto"/>
              </w:rPr>
            </w:pPr>
          </w:p>
        </w:tc>
        <w:tc>
          <w:tcPr>
            <w:tcW w:w="1260" w:type="dxa"/>
            <w:vAlign w:val="bottom"/>
            <w:tcBorders>
              <w:top w:val="single" w:sz="8" w:color="auto"/>
            </w:tcBorders>
            <w:gridSpan w:val="3"/>
          </w:tcPr>
          <w:p>
            <w:pPr>
              <w:ind w:left="80"/>
              <w:spacing w:after="0" w:line="133" w:lineRule="exact"/>
              <w:rPr>
                <w:sz w:val="20"/>
                <w:szCs w:val="20"/>
                <w:color w:val="auto"/>
              </w:rPr>
            </w:pPr>
            <w:r>
              <w:rPr>
                <w:rFonts w:ascii="Arial" w:cs="Arial" w:eastAsia="Arial" w:hAnsi="Arial"/>
                <w:sz w:val="14"/>
                <w:szCs w:val="14"/>
                <w:b w:val="1"/>
                <w:bCs w:val="1"/>
                <w:color w:val="auto"/>
              </w:rPr>
              <w:t>September 28,</w:t>
            </w:r>
          </w:p>
        </w:tc>
        <w:tc>
          <w:tcPr>
            <w:tcW w:w="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CFF0FC"/>
            </w:tcBorders>
            <w:vMerge w:val="continue"/>
          </w:tcPr>
          <w:p>
            <w:pPr>
              <w:spacing w:after="0"/>
              <w:rPr>
                <w:sz w:val="14"/>
                <w:szCs w:val="14"/>
                <w:color w:val="auto"/>
              </w:rPr>
            </w:pPr>
          </w:p>
        </w:tc>
        <w:tc>
          <w:tcPr>
            <w:tcW w:w="2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G6</w:t>
            </w:r>
          </w:p>
        </w:tc>
        <w:tc>
          <w:tcPr>
            <w:tcW w:w="2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3"/>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Retina</w:t>
            </w: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16,635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Other(1)</w:t>
            </w:r>
          </w:p>
        </w:tc>
        <w:tc>
          <w:tcPr>
            <w:tcW w:w="2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Total revenues</w:t>
            </w:r>
          </w:p>
        </w:tc>
        <w:tc>
          <w:tcPr>
            <w:tcW w:w="2100" w:type="dxa"/>
            <w:vAlign w:val="bottom"/>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10,664</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11,320</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right="660" w:firstLine="2"/>
        <w:spacing w:after="0" w:line="341" w:lineRule="auto"/>
        <w:tabs>
          <w:tab w:leader="none" w:pos="8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Incudes service contract revenues of $437 and $388 and $1,041 and $985 recognized during the three and nine months ended September 28, 2019 and September 29, 2018, respectively. Other also includes revenues from paid service, royalty, freight and legacy G probes.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28,</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29,</w:t>
            </w:r>
          </w:p>
        </w:tc>
        <w:tc>
          <w:tcPr>
            <w:tcW w:w="320" w:type="dxa"/>
            <w:vAlign w:val="bottom"/>
          </w:tcPr>
          <w:p>
            <w:pPr>
              <w:spacing w:after="0"/>
              <w:rPr>
                <w:sz w:val="11"/>
                <w:szCs w:val="11"/>
                <w:color w:val="auto"/>
              </w:rPr>
            </w:pP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28,</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60" w:type="dxa"/>
            <w:vAlign w:val="bottom"/>
            <w:tcBorders>
              <w:bottom w:val="single" w:sz="8" w:color="CFF0FC"/>
            </w:tcBorders>
            <w:vMerge w:val="continue"/>
          </w:tcPr>
          <w:p>
            <w:pPr>
              <w:spacing w:after="0"/>
              <w:rPr>
                <w:sz w:val="14"/>
                <w:szCs w:val="14"/>
                <w:color w:val="auto"/>
              </w:rPr>
            </w:pPr>
          </w:p>
        </w:tc>
        <w:tc>
          <w:tcPr>
            <w:tcW w:w="20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6,182</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Europe</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Rest of Americas</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Asia/Pacific Rim</w:t>
            </w:r>
          </w:p>
        </w:tc>
        <w:tc>
          <w:tcPr>
            <w:tcW w:w="2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0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11,320</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31,685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31,133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are attributed to countries based on location of end customers.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Other than the United States, no individual country accounted for more than 10% of the Company’s revenues during the three and nine months ended September 28, 2019 and during the nine months ended September 29, 2018. Other than the United States, China accounted for more than 10% of the Company’s revenues during the three months ended September 29, 2018, representing 11%. The United States accounted for 54.7% and 54.6% of revenues for the three months ended September 28, 2019 and September 29, 2018, respectively. International sales accounted for 45.3% and 45.4% of revenues for the three months ended September 28, 2019 and September 29, 2018, respectively. For the nine months ended September 28, 2019 and September 29, 2018, the United States accounted for 51.6% and 51.9% of revenues, respectively. For the nine months ended September 28, 2019 and September 29, 2018, international sales accounted for 48.4% and 48.1% of revenues, respectively.</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9" w:name="page20"/>
    <w:bookmarkEnd w:id="19"/>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ind w:right="40" w:firstLine="518"/>
        <w:spacing w:after="0" w:line="279" w:lineRule="auto"/>
        <w:rPr>
          <w:sz w:val="20"/>
          <w:szCs w:val="20"/>
          <w:color w:val="auto"/>
        </w:rPr>
      </w:pPr>
      <w:r>
        <w:rPr>
          <w:rFonts w:ascii="Arial" w:cs="Arial" w:eastAsia="Arial" w:hAnsi="Arial"/>
          <w:sz w:val="17"/>
          <w:szCs w:val="17"/>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117" w:lineRule="exact"/>
        <w:rPr>
          <w:rFonts w:ascii="Arial" w:cs="Arial" w:eastAsia="Arial" w:hAnsi="Arial"/>
          <w:sz w:val="18"/>
          <w:szCs w:val="18"/>
          <w:color w:val="auto"/>
        </w:rPr>
      </w:pPr>
    </w:p>
    <w:p>
      <w:pPr>
        <w:ind w:left="1040" w:right="460" w:hanging="519"/>
        <w:spacing w:after="0" w:line="282"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53" w:lineRule="exact"/>
        <w:rPr>
          <w:rFonts w:ascii="Arial" w:cs="Arial" w:eastAsia="Arial" w:hAnsi="Arial"/>
          <w:sz w:val="18"/>
          <w:szCs w:val="18"/>
          <w:color w:val="auto"/>
        </w:rPr>
      </w:pPr>
    </w:p>
    <w:p>
      <w:pPr>
        <w:ind w:left="1040" w:right="280" w:hanging="519"/>
        <w:spacing w:after="0" w:line="266"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These systems are often used in vitrectomy procedures, which are used to treat proliferative diabetic retinopathy, macular holes, retinal tears and detachments.</w:t>
      </w:r>
    </w:p>
    <w:p>
      <w:pPr>
        <w:spacing w:after="0" w:line="72"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 (“MP3”) probe and G-Probe;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w:t>
      </w:r>
    </w:p>
    <w:p>
      <w:pPr>
        <w:spacing w:after="0" w:line="73"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products are sold in the United States and Germany predominantly through a direct sales force and internationally (aside from Germany) primarily through independent distributors.</w:t>
      </w:r>
    </w:p>
    <w:p>
      <w:pPr>
        <w:spacing w:after="0" w:line="62"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will be denominated in Euros and will be subject to risks associated with the currency fluctuations.</w:t>
      </w:r>
    </w:p>
    <w:p>
      <w:pPr>
        <w:spacing w:after="0" w:line="80"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3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4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620" w:type="dxa"/>
            <w:vAlign w:val="bottom"/>
            <w:gridSpan w:val="4"/>
          </w:tcPr>
          <w:p>
            <w:pPr>
              <w:jc w:val="right"/>
              <w:ind w:right="1360"/>
              <w:spacing w:after="0"/>
              <w:rPr>
                <w:sz w:val="20"/>
                <w:szCs w:val="20"/>
                <w:color w:val="auto"/>
              </w:rPr>
            </w:pPr>
            <w:r>
              <w:rPr>
                <w:rFonts w:ascii="Arial" w:cs="Arial" w:eastAsia="Arial" w:hAnsi="Arial"/>
                <w:sz w:val="14"/>
                <w:szCs w:val="14"/>
                <w:b w:val="1"/>
                <w:bCs w:val="1"/>
                <w:color w:val="auto"/>
              </w:rPr>
              <w:t>Three Months Ended</w:t>
            </w:r>
          </w:p>
        </w:tc>
        <w:tc>
          <w:tcPr>
            <w:tcW w:w="312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3540" w:type="dxa"/>
            <w:vAlign w:val="bottom"/>
            <w:tcBorders>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w w:val="99"/>
              </w:rPr>
              <w:t>September 28, 2019</w:t>
            </w:r>
          </w:p>
        </w:tc>
        <w:tc>
          <w:tcPr>
            <w:tcW w:w="400" w:type="dxa"/>
            <w:vAlign w:val="bottom"/>
            <w:tcBorders>
              <w:top w:val="single" w:sz="8" w:color="auto"/>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w w:val="97"/>
              </w:rPr>
              <w:t>September 29, 2018</w:t>
            </w:r>
          </w:p>
        </w:tc>
        <w:tc>
          <w:tcPr>
            <w:tcW w:w="38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1"/>
              </w:rPr>
              <w:t>September 28, 2019</w:t>
            </w:r>
          </w:p>
        </w:tc>
        <w:tc>
          <w:tcPr>
            <w:tcW w:w="40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September 29, 2018</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100.0%</w:t>
            </w: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59.8%</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59.6%</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58.7%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3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vMerge w:val="continue"/>
            <w:shd w:val="clear" w:color="auto" w:fill="CFF0FC"/>
          </w:tcPr>
          <w:p>
            <w:pPr>
              <w:spacing w:after="0"/>
              <w:rPr>
                <w:sz w:val="19"/>
                <w:szCs w:val="19"/>
                <w:color w:val="auto"/>
              </w:rPr>
            </w:pP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40.2%</w:t>
            </w: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40.4%</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41.3%</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9.4%</w:t>
            </w: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10.2%</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9.1%</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Sales and marketing</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32.9%</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36.6%</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34.9%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15.2%</w:t>
            </w: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20.7%</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20.5%</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57.5%</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67.5%</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64.5%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
        </w:trPr>
        <w:tc>
          <w:tcPr>
            <w:tcW w:w="3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4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vMerge w:val="continue"/>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(17.3%)</w:t>
            </w: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(27.1%)</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(23.2%)</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provision for</w:t>
            </w:r>
          </w:p>
        </w:tc>
        <w:tc>
          <w:tcPr>
            <w:tcW w:w="14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w:t>
            </w: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(27.1%)</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(22.8%)</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vMerge w:val="continue"/>
            <w:shd w:val="clear" w:color="auto" w:fill="CFF0FC"/>
          </w:tcPr>
          <w:p>
            <w:pPr>
              <w:spacing w:after="0"/>
              <w:rPr>
                <w:sz w:val="19"/>
                <w:szCs w:val="19"/>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(16.7%)</w:t>
            </w: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(27.2%)</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(22.9%)</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three months ended September 28, 2019 and September 29,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4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37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September 28, 2019</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September 29, 2018</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 in $</w:t>
            </w:r>
          </w:p>
        </w:tc>
        <w:tc>
          <w:tcPr>
            <w:tcW w:w="2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Retina</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5,788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(884)</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10,664</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Our total revenues decreased by $0.7 million, or 5.8%, from $11.3 million to $10.7 million for the third quarter of fiscal year 2019. The decrease is primarily due to a decrease in sales of our retina products due to higher sales in China during the third quarter of fiscal year 2018, partially offset by an increase in sales of our G6 products and other revenues. Revenues from G6 products increased 3.6%, driven by an increase in both domestic and international sales. Revenues from retina products decreased 13.2%, driven by a decrease in both domestic and international sales. Other revenues, comprised of service, royalty, freight and legacy G probes, increased 7.0% due mainly to an increase in our service and royalty revenues.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Gross profit decreased by $0.3 million, or 6.4%, from $4.6 million to $4.3 million for the third quarter of fiscal 2019. Gross margin decreased by 0.2 percentage points from 40.4% to 40.2%. The decrease in gross margin was primarily attributable to a shift in geographic and product mix, partially offset by a decrease in manufacturing overhead spending.</w:t>
      </w:r>
    </w:p>
    <w:p>
      <w:pPr>
        <w:spacing w:after="0" w:line="73"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Research and development (“R&amp;D”) expenses decreased by $0.1 million, or 12.4%, from $1.1 million to $1.0 million. The decrease in spending was primarily attributable to a decrease in general engineering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Sales and marketing expenses decreased by $0.6 million, or 15.3%, from $4.1 million to $3.5 million. The decrease was primarily attributable to a decrease in salaries and related costs due to a decrease in headcount, lower commission expense and lower sales and marketing programs expenses.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General and administrative expenses decreased by $0.7 million, or 30.8%, from $2.3 million to $1.6 million. The decrease in spending was primarily attributable to decreases in legal expenses, audit expenses, consulting expenses, bonus accrual, share-based compensation expense and salaries and related costs due to a decrease in headcount.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Other income, net amounted to $75 thousand, compared to other expense, net of $8 thousand. Other income (expense), net, consisted primarily of interest income and the change in expense associated with the re-measurement of contingent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$7 thousand and $6 thousand, respectively.</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nine months ended September 28, 2019 and September 29,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220" w:type="dxa"/>
            <w:vAlign w:val="bottom"/>
          </w:tcPr>
          <w:p>
            <w:pPr>
              <w:spacing w:after="0"/>
              <w:rPr>
                <w:sz w:val="14"/>
                <w:szCs w:val="14"/>
                <w:color w:val="auto"/>
              </w:rPr>
            </w:pP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39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4"/>
              </w:rPr>
              <w:t>September 28, 2019</w:t>
            </w:r>
          </w:p>
        </w:tc>
        <w:tc>
          <w:tcPr>
            <w:tcW w:w="22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29, 2018</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G6</w:t>
            </w: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9,419</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Retina</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16,635</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17,160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(525)</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5,631</w:t>
            </w:r>
          </w:p>
        </w:tc>
        <w:tc>
          <w:tcPr>
            <w:tcW w:w="2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revenues</w:t>
            </w: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31,685</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0"/>
        </w:trPr>
        <w:tc>
          <w:tcPr>
            <w:tcW w:w="3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total revenues increased by $0.6 million, or 1.8%, from $31.1 million to $31.7 million. The increase is primarily due to an increase in sales of our G6 products and other revenues, partially offset by a decrease in sales of our retina products. Revenues from G6 products increased 8.1% driven by an increase in both domestic and international sales. Revenues from retina products decreased 3.1% driven primarily by a decrease in international sales due to higher sales in China during the third quarter of fiscal year 2018. Other revenues, comprising of service, royalty, freight and legacy G probes, increased 7.1% due mainly to an increase in our service and royalty revenues.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Gross profit increased by $0.3 million, or 2.5%, from $12.8 million to $13.1 million. Gross margin increased by 0.3 percentage points from 41.0% to 41.3%. The increase in gross margin was primarily attributable to a decrease in manufacturing overhead spending, partially offset by decreases driven by a shift in geographical mix and an increase in manufacturing overhead variances.</w:t>
      </w:r>
    </w:p>
    <w:p>
      <w:pPr>
        <w:spacing w:after="0" w:line="73"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Research and development (“R&amp;D”) expenses decreased by $0.3 million, or 8.2%, from $3.2 million to $2.9 million. The decrease in spending was primarily attributable to a decrease in general engineering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Sales and marketing expenses decreased by $1.3 million, or 10.5%, from $12.4 million to $11.1 million. The decrease was primarily attributable to a decrease in salaries and related costs due to a decrease in headcount, lower commission expense and lower sales and marketing programs expenses.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General and administrative expenses decreased by $0.7 million, or 10.0%, from $7.2 million to $6.5 million. The decrease in spending was primarily attributable to decreases in legal expenses, audit expenses, consulting expenses, bonus accrual, share-based compensation expense and salaries and related costs due to a decrease in headcount.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Other income, net amounted to $0.1 million, compared to other income, net of $16 thousand. Other income, net, consisted primarily of interest income and the change in expense associated with the re-measurement of contingent liabilities.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$22 thousand and $14 thousand,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62"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As of September 28, 2019, we had cash and cash equivalents of $12.9 million and working capital of $21.9 million compared to cash and cash equivalents of $21.2 million and working capital of $29.1 million as of December 29, 2018.</w:t>
      </w:r>
    </w:p>
    <w:p>
      <w:pPr>
        <w:spacing w:after="0" w:line="62"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Net cash used in operating activities was $7.7 million in the nine months ended September 28, 2019 compared to $8.0 million in the nine months ended September 29, 2018. The decrease in net cash used in operating activities was primarily due to higher cash collections and changes in working capital, driven by lower operating expenses, partially offset by higher vendor payments and higher bonus payouts.</w:t>
      </w:r>
    </w:p>
    <w:p>
      <w:pPr>
        <w:spacing w:after="0" w:line="73"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For the nine months ended September 28, 2019, net cash used in investing activities was $0.4 million, which consisted of $0.1 million on capital expenditures and $0.3 million for payment of the contingent earn-out liability. Net cash used in investing activities for the nine months ended September 29, 2018 was $0.7 million, which consisted of $0.4 million on capital expenditures and $0.3 million for payment of the contingent earn-out liability.</w:t>
      </w:r>
    </w:p>
    <w:p>
      <w:pPr>
        <w:spacing w:after="0" w:line="3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For the nine months ended September 28, 2019, net cash used in financing activities was $0.2 million, which consisted of payroll taxes related to net share settlement of equity awards. For the nine months ended September 29, 2018, net cash provided by financing activities was $10.6 million, which consisted of $10.6 million net proceeds arising from the issuance of common stock and $0.1 million proceeds from stock option exercises, partially offset by $0.2 million for payroll taxes related to net share settlement of equity awards.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existing cash and cash equivalents will be sufficient to meet our anticipated cash needs over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6"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The Company has adopted the requirements of Accounting Standards Update (“ASU”) 2016-02 on December 30, 2018, the first day of its fiscal year 2019, using the optional transition method. ASU 2016-02 requires lessees to, among other things, recognize most leases on the balance sheet as right-of-use asset with a corresponding lease liability. See Footnote 2 to the accompanying condensed consolidated financial statements for additional disclosure and the impact on our consolidated balance sheet as of September 28,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a “smaller reporting company,” as defined in Rule 12b-2 of the Exchange Act, we are not required to provide the information called for by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Financial Officer and our Principal Accounting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Principal Executive and Financial Officer and our Principal Accounting Officer, of the effectiveness of the design and operation of our disclosure controls and procedures as of September 28, 2019. Based on the foregoing, our Principal Executive and Financial Officer and our Principal Accounting Officer concluded that our disclosure controls and procedures were effective at the reasonable assurance level.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In addition to the other information contained in this Quarterly Report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2"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5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8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58"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57"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52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12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6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19 employees and one independent representative, respectively and our direct sales force in Germany consists of 3 employees. Our international independent distributors are managed by a team of 6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would be adversely affected.</w:t>
      </w:r>
    </w:p>
    <w:p>
      <w:pPr>
        <w:spacing w:after="0" w:line="84" w:lineRule="exact"/>
        <w:rPr>
          <w:sz w:val="20"/>
          <w:szCs w:val="20"/>
          <w:color w:val="auto"/>
        </w:rPr>
      </w:pPr>
    </w:p>
    <w:p>
      <w:pPr>
        <w:ind w:right="220" w:firstLine="518"/>
        <w:spacing w:after="0" w:line="293"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We may be unable to recruit and retain qualified personnel in in Germany as part of our direct sales team. Any loss of the members of our existing direct or indirect sales organizations, or any failure to execute on our plans to further develop our sales function, could have an adverse impact on our business, results of operations and financial condition.</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5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third quarter of fiscal year 2019, our international sales were $4.8 million, or 45.3% of total revenues. We anticipate that international sales will continue to account for a significant portion of our revenues in the foreseeable future. All of our international revenues and costs for the fiscal quarter ended September 28, 2019 have been denominated in U.S. dollars except for a sale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7"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40" w:right="440" w:hanging="519"/>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40" w:right="50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one or more of these factors stated above could have a material adverse effect on our business, financial condition or results of operations.</w:t>
      </w:r>
    </w:p>
    <w:p>
      <w:pPr>
        <w:spacing w:after="0" w:line="1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79"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w:t>
      </w:r>
    </w:p>
    <w:p>
      <w:pPr>
        <w:spacing w:after="0" w:line="80"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0"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related to international conflicts and terrorist acts may put further pressure on economic conditions in the United States and abroad.</w:t>
      </w:r>
    </w:p>
    <w:p>
      <w:pPr>
        <w:spacing w:after="0" w:line="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If economic uncertainty persisted, or if the economy entered a prolonged period of decelerating growth, our results of operations may be harmed.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right="720" w:firstLine="518"/>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6"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8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40" w:right="10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ind w:firstLine="518"/>
        <w:spacing w:after="0" w:line="255"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MP3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39" w:lineRule="exact"/>
        <w:rPr>
          <w:sz w:val="20"/>
          <w:szCs w:val="20"/>
          <w:color w:val="auto"/>
        </w:rPr>
      </w:pPr>
    </w:p>
    <w:p>
      <w:pPr>
        <w:ind w:right="220" w:firstLine="518"/>
        <w:spacing w:after="0" w:line="269" w:lineRule="auto"/>
        <w:rPr>
          <w:sz w:val="20"/>
          <w:szCs w:val="20"/>
          <w:color w:val="auto"/>
        </w:rPr>
      </w:pPr>
      <w:r>
        <w:rPr>
          <w:rFonts w:ascii="Arial" w:cs="Arial" w:eastAsia="Arial" w:hAnsi="Arial"/>
          <w:sz w:val="17"/>
          <w:szCs w:val="17"/>
          <w:color w:val="auto"/>
        </w:rPr>
        <w:t>Our principal ophthalmic laser competitors are Alcon Inc., Novartis AG, Bausch Health Companies Inc., Carl Zeiss Meditec AG, Ellex Medical Lasers, Ltd., Lumenis Ltd., Nidek Co. Ltd., Quantel Medical SA, and Topcon Corporation. We also compete with alternative glaucoma surgical device companies such as Alcon, Allergan, Glaukos, New World Medical and Ivantis, Inc. Pharmaceuticals represent alternative treatments to our laser procedures. Some of our principal pharmaceutical competitors are Alcon, Allergan, Astellas Pharma Inc., Pfizer Inc., Regeneron Pharmaceuticals, Roche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 xml:space="preserve">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eliminates the tax penalty for individuals who do not maintain sufficient health insurance coverage beginning in 2019 (the “individual mandate”). We anticipate continued Congressional interest in modifying provisions of the Affordable Care Act, particularly given the recent ruling in </w:t>
      </w:r>
      <w:r>
        <w:rPr>
          <w:rFonts w:ascii="Arial" w:cs="Arial" w:eastAsia="Arial" w:hAnsi="Arial"/>
          <w:sz w:val="17"/>
          <w:szCs w:val="17"/>
          <w:i w:val="1"/>
          <w:iCs w:val="1"/>
          <w:color w:val="auto"/>
        </w:rPr>
        <w:t>Texas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Azar </w:t>
      </w:r>
      <w:r>
        <w:rPr>
          <w:rFonts w:ascii="Arial" w:cs="Arial" w:eastAsia="Arial" w:hAnsi="Arial"/>
          <w:sz w:val="17"/>
          <w:szCs w:val="17"/>
          <w:color w:val="auto"/>
        </w:rPr>
        <w:t>to invalidate the law as unconstitutional. At this time, it remains unclear whether there will be any changes made to or any repeal of the Affordable Care</w:t>
      </w:r>
      <w:r>
        <w:rPr>
          <w:rFonts w:ascii="Arial" w:cs="Arial" w:eastAsia="Arial" w:hAnsi="Arial"/>
          <w:sz w:val="17"/>
          <w:szCs w:val="17"/>
          <w:i w:val="1"/>
          <w:iCs w:val="1"/>
          <w:color w:val="auto"/>
        </w:rPr>
        <w:t xml:space="preserve"> </w:t>
      </w:r>
      <w:r>
        <w:rPr>
          <w:rFonts w:ascii="Arial" w:cs="Arial" w:eastAsia="Arial" w:hAnsi="Arial"/>
          <w:sz w:val="17"/>
          <w:szCs w:val="17"/>
          <w:color w:val="auto"/>
        </w:rPr>
        <w:t>Act, with respect to certain of its provisions or in its entirety or related administrative policies. Various healthcare reform proposals have also emerged at the state level.</w:t>
      </w:r>
    </w:p>
    <w:p>
      <w:pPr>
        <w:spacing w:after="0" w:line="7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ongoing </w:t>
      </w:r>
      <w:r>
        <w:rPr>
          <w:rFonts w:ascii="Arial" w:cs="Arial" w:eastAsia="Arial" w:hAnsi="Arial"/>
          <w:sz w:val="18"/>
          <w:szCs w:val="18"/>
          <w:i w:val="1"/>
          <w:iCs w:val="1"/>
          <w:color w:val="auto"/>
        </w:rPr>
        <w:t>Texas v. Azar</w:t>
      </w:r>
      <w:r>
        <w:rPr>
          <w:rFonts w:ascii="Arial" w:cs="Arial" w:eastAsia="Arial" w:hAnsi="Arial"/>
          <w:sz w:val="18"/>
          <w:szCs w:val="18"/>
          <w:color w:val="auto"/>
        </w:rPr>
        <w:t xml:space="preserve"> case). Denial of coverage and reimbursement of our products, or the revocation or changes to coverage and reimbursement policies, could have a material adverse effect on our business, results of operations and financial condition.</w:t>
      </w:r>
    </w:p>
    <w:p>
      <w:pPr>
        <w:spacing w:after="0" w:line="85"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77"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w:t>
      </w:r>
    </w:p>
    <w:p>
      <w:pPr>
        <w:spacing w:after="0" w:line="5" w:lineRule="exact"/>
        <w:rPr>
          <w:sz w:val="20"/>
          <w:szCs w:val="20"/>
          <w:color w:val="auto"/>
        </w:rPr>
      </w:pPr>
    </w:p>
    <w:p>
      <w:pPr>
        <w:ind w:firstLine="8"/>
        <w:spacing w:after="0" w:line="268" w:lineRule="auto"/>
        <w:tabs>
          <w:tab w:leader="none" w:pos="185" w:val="left"/>
        </w:tabs>
        <w:numPr>
          <w:ilvl w:val="0"/>
          <w:numId w:val="19"/>
        </w:numPr>
        <w:rPr>
          <w:rFonts w:ascii="Arial" w:cs="Arial" w:eastAsia="Arial" w:hAnsi="Arial"/>
          <w:sz w:val="17"/>
          <w:szCs w:val="17"/>
          <w:color w:val="auto"/>
        </w:rPr>
      </w:pPr>
      <w:r>
        <w:rPr>
          <w:rFonts w:ascii="Arial" w:cs="Arial" w:eastAsia="Arial" w:hAnsi="Arial"/>
          <w:sz w:val="17"/>
          <w:szCs w:val="17"/>
          <w:color w:val="auto"/>
        </w:rPr>
        <w:t>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5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ind w:right="860" w:firstLine="518"/>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patent portfolio includes 23 active United States patents and 5 active foreign patents on the technologies related to our products and processes. In addition, we have 6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74"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5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0" w:name="page31"/>
    <w:bookmarkEnd w:id="30"/>
    <w:p>
      <w:pPr>
        <w:ind w:left="52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40"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58"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50"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6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Sales or issuances of a substantial amount of securities, or the perception that such sales could occur, may adversely affect prevailing market prices for our common stock. As of September 28, 2019, we had 13,778,872 shares of common stock outstanding, all of which shares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46"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As of September 28, 2019, holders of an aggregate of 999,802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may become eligible for sale in the public markets in the future, subject to certain legal and control limitations.</w:t>
      </w:r>
    </w:p>
    <w:p>
      <w:pPr>
        <w:spacing w:after="0" w:line="4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79" w:lineRule="exact"/>
        <w:rPr>
          <w:sz w:val="20"/>
          <w:szCs w:val="20"/>
          <w:color w:val="auto"/>
        </w:rPr>
      </w:pPr>
    </w:p>
    <w:p>
      <w:pPr>
        <w:ind w:right="660" w:firstLine="518"/>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46"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unavailability of shortages or limitations on the ability to obtain supplies of components and products in the quantities that we require;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catastrophic wildfires (such as the Paradise Fire of 2018), as well as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80"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2"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84"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63"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ind w:right="360" w:firstLine="518"/>
        <w:spacing w:after="0" w:line="264"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3"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6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Directives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72"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Further, in order to maintain medical device sales in Canada, we must obtain the ISO 13485:2016 certificate through the Medical Device Single Audit Program (“MDSAP”). MDSAP allows a single audit of a medical device manufacturer's Quality Management Systems which satisfies the requirements of multiple regulatory jurisdictions - Australia, Brazil, Canada, Japan and the United States. The MDSAP audit program is voluntary in all countries except Canada. MDSAP may impose a higher compliance burden than the CE Mark through more frequent and rigorous audit requirements. If we do not comply with the new MDSAP, we will not be able to sell our products in Canada after December 31, 2019.</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3" w:name="page34"/>
    <w:bookmarkEnd w:id="33"/>
    <w:p>
      <w:pPr>
        <w:ind w:right="620" w:firstLine="518"/>
        <w:spacing w:after="0" w:line="342" w:lineRule="auto"/>
        <w:rPr>
          <w:sz w:val="20"/>
          <w:szCs w:val="20"/>
          <w:color w:val="auto"/>
        </w:rPr>
      </w:pPr>
      <w:r>
        <w:rPr>
          <w:rFonts w:ascii="Arial" w:cs="Arial" w:eastAsia="Arial" w:hAnsi="Arial"/>
          <w:sz w:val="16"/>
          <w:szCs w:val="16"/>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16"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74"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jc w:val="both"/>
        <w:ind w:right="120" w:firstLine="518"/>
        <w:spacing w:after="0" w:line="302"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46"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4" w:name="page35"/>
    <w:bookmarkEnd w:id="34"/>
    <w:p>
      <w:pPr>
        <w:ind w:right="80" w:firstLine="518"/>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8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 example, on February 23, 2018, we initiated a worldwide voluntary recall of a specific laser accessory called the TruFocus LIO Premiere™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 Number Z-1075-2018. Our termination request is pending.</w:t>
      </w:r>
    </w:p>
    <w:p>
      <w:pPr>
        <w:spacing w:after="0" w:line="85"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recently obtained FDA clearance for an updated TruFocus LIO Premiere™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Significant developments resulting from recent and potential changes in United States trade policies could have a material adverse effect on us.</w:t>
      </w:r>
    </w:p>
    <w:p>
      <w:pPr>
        <w:spacing w:after="0" w:line="15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Certain of our materials may be subject to the effects of various trade agreements, treaties and tariffs. The current U.S. presidential administration has imposed tariffs on various goods from various countries, including China, Canada and the European Union (“EU”), and announced intentions to impose furthermore significant tariffs on certain United States imports. As a result, Canada, the EU, China and other countries have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59" w:lineRule="exact"/>
        <w:rPr>
          <w:sz w:val="20"/>
          <w:szCs w:val="20"/>
          <w:color w:val="auto"/>
        </w:rPr>
      </w:pPr>
    </w:p>
    <w:p>
      <w:pPr>
        <w:ind w:right="220" w:firstLine="518"/>
        <w:spacing w:after="0" w:line="290"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5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5" w:name="page36"/>
    <w:bookmarkEnd w:id="35"/>
    <w:p>
      <w:pPr>
        <w:ind w:left="52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40"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4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the Company’s net operating loss carryovers and valuation allowance, there is no impact to its consolidated financial statements as a result of the accounting for the tax effects of the Tax Act.</w:t>
      </w:r>
    </w:p>
    <w:p>
      <w:pPr>
        <w:spacing w:after="0" w:line="80"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are subject to federal, state and foreign laws governing our business practices which, if violated, could result in substantial penalties.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Additionally, challenges to or investigation into our practices could cause adverse publicity and be costly to respond to and thus could harm our business.</w:t>
      </w:r>
    </w:p>
    <w:p>
      <w:pPr>
        <w:spacing w:after="0" w:line="13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61"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6" w:name="page37"/>
    <w:bookmarkEnd w:id="36"/>
    <w:p>
      <w:pPr>
        <w:ind w:right="120" w:firstLine="518"/>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85"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38"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59"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2011/65/EU relating to Restrictions on the Use of Certain Hazardous Substances “RoHS Directive,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59" w:lineRule="exact"/>
        <w:rPr>
          <w:sz w:val="20"/>
          <w:szCs w:val="20"/>
          <w:color w:val="auto"/>
        </w:rPr>
      </w:pPr>
    </w:p>
    <w:p>
      <w:pPr>
        <w:ind w:right="480" w:firstLine="518"/>
        <w:spacing w:after="0" w:line="276"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During the fiscal quarter ended September 28, 2019, the reported high and low closing prices of our common stock were $4.43 and $1.57.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7" w:name="page38"/>
    <w:bookmarkEnd w:id="37"/>
    <w:p>
      <w:pPr>
        <w:ind w:left="52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40"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8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Ownership of our common stock is concentrated among a few investors, which may affect the ability of a third party to acquire control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as of September 28, 2019.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79"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5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84"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8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8" w:name="page39"/>
    <w:bookmarkEnd w:id="38"/>
    <w:p>
      <w:pPr>
        <w:ind w:right="40" w:firstLine="518"/>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4"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39" w:name="page40"/>
    <w:bookmarkEnd w:id="39"/>
    <w:p>
      <w:pPr>
        <w:ind w:right="5059"/>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Sales of Unregistered Securities</w:t>
      </w: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38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038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gridSpan w:val="2"/>
          </w:tcPr>
          <w:p>
            <w:pPr>
              <w:spacing w:after="0"/>
              <w:rPr>
                <w:sz w:val="20"/>
                <w:szCs w:val="20"/>
                <w:color w:val="auto"/>
              </w:rPr>
            </w:pPr>
            <w:r>
              <w:rPr>
                <w:rFonts w:ascii="Arial" w:cs="Arial" w:eastAsia="Arial" w:hAnsi="Arial"/>
                <w:sz w:val="18"/>
                <w:szCs w:val="18"/>
                <w:color w:val="auto"/>
              </w:rPr>
              <w:t>3.1 (1) (P)</w:t>
            </w:r>
          </w:p>
        </w:tc>
        <w:tc>
          <w:tcPr>
            <w:tcW w:w="10380" w:type="dxa"/>
            <w:vAlign w:val="bottom"/>
            <w:gridSpan w:val="8"/>
          </w:tcPr>
          <w:p>
            <w:pPr>
              <w:spacing w:after="0"/>
              <w:rPr>
                <w:sz w:val="20"/>
                <w:szCs w:val="20"/>
                <w:color w:val="auto"/>
              </w:rPr>
            </w:pPr>
            <w:r>
              <w:rPr>
                <w:rFonts w:ascii="Arial" w:cs="Arial" w:eastAsia="Arial" w:hAnsi="Arial"/>
                <w:sz w:val="18"/>
                <w:szCs w:val="18"/>
                <w:color w:val="auto"/>
              </w:rPr>
              <w:t>Amended and Restated Certificate of Incorporation of Registrant.</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Arial" w:cs="Arial" w:eastAsia="Arial" w:hAnsi="Arial"/>
                <w:sz w:val="18"/>
                <w:szCs w:val="18"/>
                <w:color w:val="auto"/>
              </w:rPr>
              <w:t>3.2 (2)</w:t>
            </w:r>
          </w:p>
        </w:tc>
        <w:tc>
          <w:tcPr>
            <w:tcW w:w="120" w:type="dxa"/>
            <w:vAlign w:val="bottom"/>
          </w:tcPr>
          <w:p>
            <w:pPr>
              <w:spacing w:after="0"/>
              <w:rPr>
                <w:sz w:val="24"/>
                <w:szCs w:val="24"/>
                <w:color w:val="auto"/>
              </w:rPr>
            </w:pPr>
          </w:p>
        </w:tc>
        <w:tc>
          <w:tcPr>
            <w:tcW w:w="10380" w:type="dxa"/>
            <w:vAlign w:val="bottom"/>
            <w:gridSpan w:val="8"/>
          </w:tcPr>
          <w:p>
            <w:pPr>
              <w:spacing w:after="0"/>
              <w:rPr>
                <w:rFonts w:ascii="Arial" w:cs="Arial" w:eastAsia="Arial" w:hAnsi="Arial"/>
                <w:sz w:val="18"/>
                <w:szCs w:val="18"/>
                <w:color w:val="0000EE"/>
              </w:rPr>
            </w:pPr>
            <w:hyperlink r:id="rId58">
              <w:r>
                <w:rPr>
                  <w:rFonts w:ascii="Arial" w:cs="Arial" w:eastAsia="Arial" w:hAnsi="Arial"/>
                  <w:sz w:val="18"/>
                  <w:szCs w:val="18"/>
                  <w:color w:val="0000EE"/>
                </w:rPr>
                <w:t>Amended and Restated Bylaws of Registrant.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Certification of Principal Executive and Financial Officer pursuant to Securities Exchange Act Rules 13a-14(a) and 15d-14(a).</w:t>
              </w:r>
            </w:hyperlink>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120" w:type="dxa"/>
            <w:vAlign w:val="bottom"/>
            <w:tcBorders>
              <w:top w:val="single" w:sz="8" w:color="0000EE"/>
            </w:tcBorders>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 of Principal Accounting Officer pursuant to Securities Exchange Act Rules 13a-14(a) and 15d-14(a).</w:t>
              </w:r>
            </w:hyperlink>
          </w:p>
        </w:tc>
        <w:tc>
          <w:tcPr>
            <w:tcW w:w="1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12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8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Certification of Principal Executive and Financial Officer pursuant to 18 U.S.C. Section 1350, as adopted pursuant to Section 906 of the</w:t>
              </w:r>
            </w:hyperlink>
          </w:p>
        </w:tc>
        <w:tc>
          <w:tcPr>
            <w:tcW w:w="5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gridSpan w:val="8"/>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Certification of Principal Accounting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Act of 2002.</w:t>
              </w:r>
            </w:hyperlink>
          </w:p>
        </w:tc>
        <w:tc>
          <w:tcPr>
            <w:tcW w:w="9180" w:type="dxa"/>
            <w:vAlign w:val="bottom"/>
            <w:tcBorders>
              <w:top w:val="single" w:sz="8" w:color="0000EE"/>
            </w:tcBorders>
            <w:gridSpan w:val="6"/>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-1594485</wp:posOffset>
            </wp:positionV>
            <wp:extent cx="17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-1594485</wp:posOffset>
            </wp:positionV>
            <wp:extent cx="17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9" w:lineRule="exact"/>
        <w:rPr>
          <w:sz w:val="20"/>
          <w:szCs w:val="20"/>
          <w:color w:val="auto"/>
        </w:rPr>
      </w:pPr>
    </w:p>
    <w:p>
      <w:pPr>
        <w:ind w:left="520" w:right="120" w:hanging="512"/>
        <w:spacing w:after="0" w:line="259"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79" w:lineRule="exact"/>
        <w:rPr>
          <w:sz w:val="20"/>
          <w:szCs w:val="20"/>
          <w:color w:val="auto"/>
        </w:rPr>
      </w:pPr>
    </w:p>
    <w:p>
      <w:pPr>
        <w:ind w:left="520" w:right="26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Registration Statement on Form SB-2 (No. 333-00320-LA) which was declared effective on February 15, 1996.</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April 1, 2019.</w:t>
      </w:r>
    </w:p>
    <w:p>
      <w:pPr>
        <w:spacing w:after="0" w:line="117"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Print filing.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Quarterly Report on Form 10-Q are the property of their respective owners.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IRIDEX Corporation (Registrant)</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8, 2019</w:t>
            </w:r>
          </w:p>
        </w:tc>
        <w:tc>
          <w:tcPr>
            <w:tcW w:w="7720" w:type="dxa"/>
            <w:vAlign w:val="bottom"/>
            <w:gridSpan w:val="4"/>
          </w:tcPr>
          <w:p>
            <w:pPr>
              <w:ind w:left="2860"/>
              <w:spacing w:after="0"/>
              <w:rPr>
                <w:sz w:val="20"/>
                <w:szCs w:val="20"/>
                <w:color w:val="auto"/>
              </w:rPr>
            </w:pPr>
            <w:r>
              <w:rPr>
                <w:rFonts w:ascii="Arial" w:cs="Arial" w:eastAsia="Arial" w:hAnsi="Arial"/>
                <w:sz w:val="18"/>
                <w:szCs w:val="18"/>
                <w:color w:val="auto"/>
              </w:rPr>
              <w:t>By:  /s/ DAVID I. BRUCE</w:t>
            </w:r>
          </w:p>
        </w:tc>
      </w:tr>
      <w:tr>
        <w:trPr>
          <w:trHeight w:val="27"/>
        </w:trPr>
        <w:tc>
          <w:tcPr>
            <w:tcW w:w="37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22"/>
        </w:trPr>
        <w:tc>
          <w:tcPr>
            <w:tcW w:w="37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rPr>
                <w:sz w:val="20"/>
                <w:szCs w:val="20"/>
                <w:color w:val="auto"/>
              </w:rPr>
            </w:pPr>
            <w:r>
              <w:rPr>
                <w:rFonts w:ascii="Arial" w:cs="Arial" w:eastAsia="Arial" w:hAnsi="Arial"/>
                <w:sz w:val="18"/>
                <w:szCs w:val="18"/>
                <w:color w:val="auto"/>
              </w:rPr>
              <w:t>David I. Bruce</w:t>
            </w:r>
          </w:p>
        </w:tc>
      </w:tr>
      <w:tr>
        <w:trPr>
          <w:trHeight w:val="216"/>
        </w:trPr>
        <w:tc>
          <w:tcPr>
            <w:tcW w:w="3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Executive and Financial Officer)</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8, 2019</w:t>
            </w:r>
          </w:p>
        </w:tc>
        <w:tc>
          <w:tcPr>
            <w:tcW w:w="7720" w:type="dxa"/>
            <w:vAlign w:val="bottom"/>
            <w:gridSpan w:val="4"/>
          </w:tcPr>
          <w:p>
            <w:pPr>
              <w:ind w:left="2860"/>
              <w:spacing w:after="0"/>
              <w:rPr>
                <w:sz w:val="20"/>
                <w:szCs w:val="20"/>
                <w:color w:val="auto"/>
              </w:rPr>
            </w:pPr>
            <w:r>
              <w:rPr>
                <w:rFonts w:ascii="Arial" w:cs="Arial" w:eastAsia="Arial" w:hAnsi="Arial"/>
                <w:sz w:val="18"/>
                <w:szCs w:val="18"/>
                <w:color w:val="auto"/>
              </w:rPr>
              <w:t>By:  /s/ ROMEO R. DIZON</w:t>
            </w:r>
          </w:p>
        </w:tc>
      </w:tr>
      <w:tr>
        <w:trPr>
          <w:trHeight w:val="195"/>
        </w:trPr>
        <w:tc>
          <w:tcPr>
            <w:tcW w:w="37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Romeo R. Dizon</w:t>
            </w:r>
          </w:p>
        </w:tc>
      </w:tr>
      <w:tr>
        <w:trPr>
          <w:trHeight w:val="216"/>
        </w:trPr>
        <w:tc>
          <w:tcPr>
            <w:tcW w:w="3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Vice President of Finance</w:t>
            </w:r>
          </w:p>
        </w:tc>
      </w:tr>
      <w:tr>
        <w:trPr>
          <w:trHeight w:val="230"/>
        </w:trPr>
        <w:tc>
          <w:tcPr>
            <w:tcW w:w="37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675"/>
        </w:trPr>
        <w:tc>
          <w:tcPr>
            <w:tcW w:w="3700" w:type="dxa"/>
            <w:vAlign w:val="bottom"/>
          </w:tcPr>
          <w:p>
            <w:pPr>
              <w:spacing w:after="0"/>
              <w:rPr>
                <w:sz w:val="24"/>
                <w:szCs w:val="24"/>
                <w:color w:val="auto"/>
              </w:rPr>
            </w:pPr>
          </w:p>
        </w:tc>
        <w:tc>
          <w:tcPr>
            <w:tcW w:w="3240" w:type="dxa"/>
            <w:vAlign w:val="bottom"/>
          </w:tcPr>
          <w:p>
            <w:pPr>
              <w:jc w:val="right"/>
              <w:ind w:right="105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I. Bruce, certify that:</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2019</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David I. Bruce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Executive and Financial Officer)</w:t>
            </w:r>
          </w:p>
        </w:tc>
      </w:tr>
    </w:tbl>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Romeo R. Dizon, certify that:</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2019</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ROMEO R. DIZON</w:t>
            </w: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spacing w:after="0"/>
              <w:rPr>
                <w:sz w:val="20"/>
                <w:szCs w:val="20"/>
                <w:color w:val="auto"/>
              </w:rPr>
            </w:pPr>
            <w:r>
              <w:rPr>
                <w:rFonts w:ascii="Arial" w:cs="Arial" w:eastAsia="Arial" w:hAnsi="Arial"/>
                <w:sz w:val="18"/>
                <w:szCs w:val="18"/>
                <w:color w:val="auto"/>
              </w:rPr>
              <w:t>Romeo R. Dizon</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230"/>
        </w:trPr>
        <w:tc>
          <w:tcPr>
            <w:tcW w:w="8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David I. Bruce, pursuant to 18 U.S.C. Section 1350, as adopted pursuant to Section 906 of the Sarbanes-Oxley Act of 2002, certify that the Quarterly Report of IRIDEX Corporation on Form 10-Q for the fiscal quarter ended September 28, 2019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2019</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David I. Bruce</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and Financial Officer)</w:t>
            </w:r>
          </w:p>
        </w:tc>
      </w:tr>
    </w:tbl>
    <w:p>
      <w:pPr>
        <w:sectPr>
          <w:pgSz w:w="11900" w:h="16838" w:orient="portrait"/>
          <w:cols w:equalWidth="0" w:num="1">
            <w:col w:w="11420"/>
          </w:cols>
          <w:pgMar w:left="240" w:top="35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Romeo R. Dizon, pursuant to 18 U.S.C. Section 1350, as adopted pursuant to Section 906 of the Sarbanes-Oxley Act of 2002, certify that the Quarterly Report of IRIDEX Corporation on Form 10-Q for the fiscal quarter ended September 28, 2019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2019</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ROMEO R. DIZON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Romeo R. Dizon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 of Finance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decimal"/>
      <w:start w:val="4"/>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amp;"/>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upperLetter"/>
      <w:start w:val="16"/>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58" Type="http://schemas.openxmlformats.org/officeDocument/2006/relationships/hyperlink" Target="http://www.sec.gov/Archives/edgar/data/1006045/000156459019010390/irix-ex3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2019-12-28T01:57:11Z</dcterms:created>
  <dcterms:modified xsi:type="dcterms:W3CDTF">2019-12-28T01:57:11Z</dcterms:modified>
</cp:coreProperties>
</file>