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81280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121920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440" w:right="920" w:hanging="436"/>
        <w:spacing w:after="0" w:line="245" w:lineRule="auto"/>
        <w:tabs>
          <w:tab w:leader="none" w:pos="431"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28, 2025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440" w:right="940" w:hanging="436"/>
        <w:spacing w:after="0" w:line="262" w:lineRule="auto"/>
        <w:tabs>
          <w:tab w:leader="none" w:pos="431"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2660"/>
        <w:spacing w:after="0"/>
        <w:tabs>
          <w:tab w:leader="none" w:pos="59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114300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IRIDEX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64770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4" w:lineRule="exact"/>
        <w:rPr>
          <w:sz w:val="24"/>
          <w:szCs w:val="24"/>
          <w:color w:val="auto"/>
        </w:rPr>
      </w:pPr>
    </w:p>
    <w:tbl>
      <w:tblPr>
        <w:tblLayout w:type="fixed"/>
        <w:tblInd w:w="1200" w:type="dxa"/>
        <w:tblCellMar>
          <w:top w:w="0" w:type="dxa"/>
          <w:left w:w="0" w:type="dxa"/>
          <w:bottom w:w="0" w:type="dxa"/>
          <w:right w:w="0" w:type="dxa"/>
        </w:tblCellMar>
      </w:tblPr>
      <w:tr>
        <w:trPr>
          <w:trHeight w:val="214"/>
        </w:trPr>
        <w:tc>
          <w:tcPr>
            <w:tcW w:w="3900" w:type="dxa"/>
            <w:vAlign w:val="bottom"/>
          </w:tcPr>
          <w:p>
            <w:pPr>
              <w:jc w:val="center"/>
              <w:ind w:right="14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60" w:type="dxa"/>
            <w:vAlign w:val="bottom"/>
          </w:tcPr>
          <w:p>
            <w:pPr>
              <w:jc w:val="center"/>
              <w:ind w:left="1461"/>
              <w:spacing w:after="0"/>
              <w:rPr>
                <w:sz w:val="20"/>
                <w:szCs w:val="20"/>
                <w:color w:val="auto"/>
              </w:rPr>
            </w:pPr>
            <w:r>
              <w:rPr>
                <w:rFonts w:ascii="Times New Roman" w:cs="Times New Roman" w:eastAsia="Times New Roman" w:hAnsi="Times New Roman"/>
                <w:sz w:val="18"/>
                <w:szCs w:val="18"/>
                <w:b w:val="1"/>
                <w:bCs w:val="1"/>
                <w:color w:val="auto"/>
                <w:w w:val="98"/>
              </w:rPr>
              <w:t>77-0210467</w:t>
            </w:r>
          </w:p>
        </w:tc>
      </w:tr>
      <w:tr>
        <w:trPr>
          <w:trHeight w:val="148"/>
        </w:trPr>
        <w:tc>
          <w:tcPr>
            <w:tcW w:w="3900" w:type="dxa"/>
            <w:vAlign w:val="bottom"/>
          </w:tcPr>
          <w:p>
            <w:pPr>
              <w:jc w:val="center"/>
              <w:ind w:right="14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4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46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98"/>
        </w:trPr>
        <w:tc>
          <w:tcPr>
            <w:tcW w:w="3900" w:type="dxa"/>
            <w:vAlign w:val="bottom"/>
          </w:tcPr>
          <w:p>
            <w:pPr>
              <w:jc w:val="center"/>
              <w:ind w:right="1459"/>
              <w:spacing w:after="0"/>
              <w:rPr>
                <w:sz w:val="20"/>
                <w:szCs w:val="20"/>
                <w:color w:val="auto"/>
              </w:rPr>
            </w:pPr>
            <w:r>
              <w:rPr>
                <w:rFonts w:ascii="Times New Roman" w:cs="Times New Roman" w:eastAsia="Times New Roman" w:hAnsi="Times New Roman"/>
                <w:sz w:val="18"/>
                <w:szCs w:val="18"/>
                <w:b w:val="1"/>
                <w:bCs w:val="1"/>
                <w:color w:val="auto"/>
              </w:rPr>
              <w:t>1212 Terra Bella Avenue</w:t>
            </w:r>
          </w:p>
        </w:tc>
        <w:tc>
          <w:tcPr>
            <w:tcW w:w="2960" w:type="dxa"/>
            <w:vAlign w:val="bottom"/>
          </w:tcPr>
          <w:p>
            <w:pPr>
              <w:spacing w:after="0"/>
              <w:rPr>
                <w:sz w:val="24"/>
                <w:szCs w:val="24"/>
                <w:color w:val="auto"/>
              </w:rPr>
            </w:pPr>
          </w:p>
        </w:tc>
      </w:tr>
      <w:tr>
        <w:trPr>
          <w:trHeight w:val="214"/>
        </w:trPr>
        <w:tc>
          <w:tcPr>
            <w:tcW w:w="3900" w:type="dxa"/>
            <w:vAlign w:val="bottom"/>
          </w:tcPr>
          <w:p>
            <w:pPr>
              <w:jc w:val="center"/>
              <w:ind w:right="1459"/>
              <w:spacing w:after="0"/>
              <w:rPr>
                <w:sz w:val="20"/>
                <w:szCs w:val="20"/>
                <w:color w:val="auto"/>
              </w:rPr>
            </w:pPr>
            <w:r>
              <w:rPr>
                <w:rFonts w:ascii="Times New Roman" w:cs="Times New Roman" w:eastAsia="Times New Roman" w:hAnsi="Times New Roman"/>
                <w:sz w:val="18"/>
                <w:szCs w:val="18"/>
                <w:b w:val="1"/>
                <w:bCs w:val="1"/>
                <w:color w:val="auto"/>
              </w:rPr>
              <w:t>Mountain View, California</w:t>
            </w:r>
          </w:p>
        </w:tc>
        <w:tc>
          <w:tcPr>
            <w:tcW w:w="2960" w:type="dxa"/>
            <w:vAlign w:val="bottom"/>
          </w:tcPr>
          <w:p>
            <w:pPr>
              <w:jc w:val="center"/>
              <w:ind w:left="1461"/>
              <w:spacing w:after="0"/>
              <w:rPr>
                <w:sz w:val="20"/>
                <w:szCs w:val="20"/>
                <w:color w:val="auto"/>
              </w:rPr>
            </w:pPr>
            <w:r>
              <w:rPr>
                <w:rFonts w:ascii="Times New Roman" w:cs="Times New Roman" w:eastAsia="Times New Roman" w:hAnsi="Times New Roman"/>
                <w:sz w:val="18"/>
                <w:szCs w:val="18"/>
                <w:b w:val="1"/>
                <w:bCs w:val="1"/>
                <w:color w:val="auto"/>
                <w:w w:val="98"/>
              </w:rPr>
              <w:t>94043-1824</w:t>
            </w:r>
          </w:p>
        </w:tc>
      </w:tr>
      <w:tr>
        <w:trPr>
          <w:trHeight w:val="190"/>
        </w:trPr>
        <w:tc>
          <w:tcPr>
            <w:tcW w:w="3900" w:type="dxa"/>
            <w:vAlign w:val="bottom"/>
          </w:tcPr>
          <w:p>
            <w:pPr>
              <w:jc w:val="center"/>
              <w:ind w:right="1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4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940-4700</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28"/>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79"/>
        </w:trPr>
        <w:tc>
          <w:tcPr>
            <w:tcW w:w="4240" w:type="dxa"/>
            <w:vAlign w:val="bottom"/>
            <w:gridSpan w:val="4"/>
          </w:tcPr>
          <w:p>
            <w:pPr>
              <w:jc w:val="center"/>
              <w:ind w:right="1020"/>
              <w:spacing w:after="0"/>
              <w:rPr>
                <w:sz w:val="20"/>
                <w:szCs w:val="20"/>
                <w:color w:val="auto"/>
              </w:rPr>
            </w:pPr>
            <w:r>
              <w:rPr>
                <w:rFonts w:ascii="Times New Roman" w:cs="Times New Roman" w:eastAsia="Times New Roman" w:hAnsi="Times New Roman"/>
                <w:sz w:val="18"/>
                <w:szCs w:val="18"/>
                <w:color w:val="auto"/>
              </w:rPr>
              <w:t>Title of Class</w:t>
            </w:r>
          </w:p>
        </w:tc>
        <w:tc>
          <w:tcPr>
            <w:tcW w:w="1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Trading Symbol</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28"/>
        </w:trPr>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920" w:type="dxa"/>
            <w:vAlign w:val="bottom"/>
            <w:tcBorders>
              <w:top w:val="single" w:sz="8" w:color="auto"/>
            </w:tcBorders>
            <w:gridSpan w:val="2"/>
          </w:tcPr>
          <w:p>
            <w:pPr>
              <w:spacing w:after="0"/>
              <w:rPr>
                <w:sz w:val="19"/>
                <w:szCs w:val="19"/>
                <w:color w:val="auto"/>
              </w:rPr>
            </w:pPr>
          </w:p>
        </w:tc>
        <w:tc>
          <w:tcPr>
            <w:tcW w:w="160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IRIX</w:t>
            </w: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44" w:lineRule="exact"/>
        <w:rPr>
          <w:sz w:val="24"/>
          <w:szCs w:val="24"/>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1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1"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4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issued and outstanding as of August 7, 2025 was 16,992,253.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758825</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307" w:right="10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8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660" w:type="dxa"/>
            <w:vAlign w:val="bottom"/>
          </w:tcPr>
          <w:p>
            <w:pPr>
              <w:spacing w:after="0"/>
              <w:rPr>
                <w:sz w:val="15"/>
                <w:szCs w:val="15"/>
                <w:color w:val="auto"/>
              </w:rPr>
            </w:pPr>
          </w:p>
        </w:tc>
      </w:tr>
      <w:tr>
        <w:trPr>
          <w:trHeight w:val="291"/>
        </w:trPr>
        <w:tc>
          <w:tcPr>
            <w:tcW w:w="660" w:type="dxa"/>
            <w:vAlign w:val="bottom"/>
          </w:tcPr>
          <w:p>
            <w:pPr>
              <w:spacing w:after="0"/>
              <w:rPr>
                <w:sz w:val="24"/>
                <w:szCs w:val="24"/>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as of June 28, 2025 and December 28, 2024</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and six months ended June 28, 2025</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and June 29, 2024</w:t>
            </w:r>
          </w:p>
        </w:tc>
        <w:tc>
          <w:tcPr>
            <w:tcW w:w="1300" w:type="dxa"/>
            <w:vAlign w:val="bottom"/>
            <w:gridSpan w:val="2"/>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Loss for the three and six months ended June</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28, 2025 and June 29, 2024</w:t>
            </w:r>
          </w:p>
        </w:tc>
        <w:tc>
          <w:tcPr>
            <w:tcW w:w="1300" w:type="dxa"/>
            <w:vAlign w:val="bottom"/>
            <w:gridSpan w:val="2"/>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 for the three and six months ended June</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28, 2025 and June 29, 2024</w:t>
            </w:r>
          </w:p>
        </w:tc>
        <w:tc>
          <w:tcPr>
            <w:tcW w:w="1300" w:type="dxa"/>
            <w:vAlign w:val="bottom"/>
            <w:gridSpan w:val="2"/>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six months ended June 28, 2025 and June</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29, 2024</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9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29</w:t>
            </w:r>
          </w:p>
        </w:tc>
      </w:tr>
      <w:tr>
        <w:trPr>
          <w:trHeight w:val="318"/>
        </w:trPr>
        <w:tc>
          <w:tcPr>
            <w:tcW w:w="660" w:type="dxa"/>
            <w:vAlign w:val="bottom"/>
          </w:tcPr>
          <w:p>
            <w:pPr>
              <w:spacing w:after="0"/>
              <w:rPr>
                <w:sz w:val="24"/>
                <w:szCs w:val="24"/>
                <w:color w:val="auto"/>
              </w:rPr>
            </w:pPr>
          </w:p>
        </w:tc>
        <w:tc>
          <w:tcPr>
            <w:tcW w:w="8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20" w:type="dxa"/>
            <w:vAlign w:val="bottom"/>
            <w:tcBorders>
              <w:top w:val="single" w:sz="8" w:color="0000FF"/>
            </w:tcBorders>
          </w:tcPr>
          <w:p>
            <w:pPr>
              <w:spacing w:after="0"/>
              <w:rPr>
                <w:sz w:val="24"/>
                <w:szCs w:val="24"/>
                <w:color w:val="auto"/>
              </w:rPr>
            </w:pPr>
          </w:p>
        </w:tc>
        <w:tc>
          <w:tcPr>
            <w:tcW w:w="17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0" w:type="dxa"/>
            <w:vAlign w:val="bottom"/>
            <w:gridSpan w:val="10"/>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6840" w:type="dxa"/>
            <w:vAlign w:val="bottom"/>
            <w:gridSpan w:val="11"/>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20" w:type="dxa"/>
            <w:vAlign w:val="bottom"/>
          </w:tcPr>
          <w:p>
            <w:pPr>
              <w:spacing w:after="0"/>
              <w:rPr>
                <w:sz w:val="24"/>
                <w:szCs w:val="24"/>
                <w:color w:val="auto"/>
              </w:rPr>
            </w:pPr>
          </w:p>
        </w:tc>
        <w:tc>
          <w:tcPr>
            <w:tcW w:w="8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30</w:t>
            </w:r>
          </w:p>
        </w:tc>
      </w:tr>
      <w:tr>
        <w:trPr>
          <w:trHeight w:val="318"/>
        </w:trPr>
        <w:tc>
          <w:tcPr>
            <w:tcW w:w="66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31</w:t>
            </w:r>
          </w:p>
        </w:tc>
      </w:tr>
      <w:tr>
        <w:trPr>
          <w:trHeight w:val="669"/>
        </w:trPr>
        <w:tc>
          <w:tcPr>
            <w:tcW w:w="6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gridSpan w:val="8"/>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08"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70"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43" w:lineRule="exact"/>
        <w:rPr>
          <w:sz w:val="20"/>
          <w:szCs w:val="20"/>
          <w:color w:val="auto"/>
        </w:rPr>
      </w:pPr>
    </w:p>
    <w:p>
      <w:pPr>
        <w:ind w:left="880" w:right="120" w:hanging="436"/>
        <w:spacing w:after="0" w:line="266"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67" w:lineRule="exact"/>
        <w:rPr>
          <w:rFonts w:ascii="Times New Roman" w:cs="Times New Roman" w:eastAsia="Times New Roman" w:hAnsi="Times New Roman"/>
          <w:sz w:val="18"/>
          <w:szCs w:val="18"/>
          <w:color w:val="auto"/>
        </w:rPr>
      </w:pPr>
    </w:p>
    <w:p>
      <w:pPr>
        <w:ind w:left="880" w:right="60" w:hanging="436"/>
        <w:spacing w:after="0" w:line="289" w:lineRule="auto"/>
        <w:tabs>
          <w:tab w:leader="none" w:pos="8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macroeconomic conditions, including impact of global pandemics or other public health emergencies or outbreaks, global and geopolitical uncertainty and conflicts, the imposition of various sanctions, trade restrictions and tariffs, inflation concerns, unexpected changes in tax law or policy, and changing interest rates on our business and results of operations;</w:t>
      </w:r>
    </w:p>
    <w:p>
      <w:pPr>
        <w:spacing w:after="0" w:line="9" w:lineRule="exact"/>
        <w:rPr>
          <w:rFonts w:ascii="Times New Roman" w:cs="Times New Roman" w:eastAsia="Times New Roman" w:hAnsi="Times New Roman"/>
          <w:sz w:val="17"/>
          <w:szCs w:val="17"/>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acceptance and purchase of our existing products and new products;</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products;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currency exchange rate and interest rate fluctuations on our results and sales;</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change and innovation in the markets in which we participate and the competitive nature of those markets;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our plan to build our business;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strategic partnership with Topcon Corporation;</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manufacturing and reliance on third party manufacturers;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and meet product demand;</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discover defects in our products and systems;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sales strategy;</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cash flows;</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and objectives for future operations;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rights;</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information technology systems and data;</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facilities in good working order;</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the carrying value of goodwill;</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expensing stock options and other equity awards;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indemnify our directors and officers;</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indebtedness and have indebtedness forgiven;</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our existing markets and into new markets;</w:t>
      </w:r>
    </w:p>
    <w:p>
      <w:pPr>
        <w:spacing w:after="0" w:line="76" w:lineRule="exact"/>
        <w:rPr>
          <w:rFonts w:ascii="Times New Roman" w:cs="Times New Roman" w:eastAsia="Times New Roman" w:hAnsi="Times New Roman"/>
          <w:sz w:val="18"/>
          <w:szCs w:val="18"/>
          <w:color w:val="auto"/>
        </w:rPr>
      </w:pPr>
    </w:p>
    <w:p>
      <w:pPr>
        <w:ind w:left="880" w:hanging="436"/>
        <w:spacing w:after="0" w:line="282" w:lineRule="auto"/>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policies, and regulations that currently apply or become applicable to our business both in the United States and internationally;</w:t>
      </w:r>
    </w:p>
    <w:p>
      <w:pPr>
        <w:spacing w:after="0" w:line="2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 and source suppliers;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The Nasdaq Stock Market's continued listing requirements.</w:t>
      </w:r>
    </w:p>
    <w:p>
      <w:pPr>
        <w:spacing w:after="0" w:line="7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additional shares of preferred stock;</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08" w:right="1119" w:bottom="1440" w:gutter="0" w:footer="0" w:header="0"/>
        </w:sectPr>
      </w:pPr>
    </w:p>
    <w:bookmarkStart w:id="3" w:name="page4"/>
    <w:bookmarkEnd w:id="3"/>
    <w:p>
      <w:pPr>
        <w:ind w:left="880" w:hanging="436"/>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common stock; and</w:t>
      </w:r>
    </w:p>
    <w:p>
      <w:pPr>
        <w:spacing w:after="0" w:line="90"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in the future.</w:t>
      </w:r>
    </w:p>
    <w:p>
      <w:pPr>
        <w:spacing w:after="0" w:line="13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You should read this Quarterly Report on Form 10-Q and the documents that we reference in this Quarterly Report on Form 10-Q and have filed with the Securities and Exchange Commission (“SEC”) as exhibits to this Quarterly Report on Form 10-Q with the understanding that our actual future results, levels of activity, performance and events and circumstances may be materially different from what we expect. The outcome of the events described in these forward-looking statements is subject to risks, uncertainties, and other factors described in and should be read in conjunction with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93" w:lineRule="exact"/>
        <w:rPr>
          <w:sz w:val="20"/>
          <w:szCs w:val="20"/>
          <w:color w:val="auto"/>
        </w:rPr>
      </w:pPr>
    </w:p>
    <w:p>
      <w:pPr>
        <w:ind w:right="100" w:firstLine="441"/>
        <w:spacing w:after="0" w:line="276" w:lineRule="auto"/>
        <w:rPr>
          <w:sz w:val="20"/>
          <w:szCs w:val="20"/>
          <w:color w:val="auto"/>
        </w:rPr>
      </w:pPr>
      <w:r>
        <w:rPr>
          <w:rFonts w:ascii="Times New Roman" w:cs="Times New Roman" w:eastAsia="Times New Roman" w:hAnsi="Times New Roman"/>
          <w:sz w:val="17"/>
          <w:szCs w:val="17"/>
          <w:color w:val="auto"/>
        </w:rPr>
        <w:t>The forward-looking statements made in this Quarterly Report on Form 10-Q relate only to events as of the date on which such statements are made. We undertake no obligation to update any forward-looking statements made in this Quarterly Report on Form</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the terms “Company,” “IRIDEX,” “we,” “us” and “our” refer to IRIDEX Corporation, and its consolidated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80" w:right="11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00" w:type="dxa"/>
            <w:vAlign w:val="bottom"/>
          </w:tcPr>
          <w:p>
            <w:pPr>
              <w:spacing w:after="0"/>
              <w:rPr>
                <w:sz w:val="15"/>
                <w:szCs w:val="15"/>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28, 2024</w:t>
            </w:r>
          </w:p>
        </w:tc>
      </w:tr>
      <w:tr>
        <w:trPr>
          <w:trHeight w:val="209"/>
        </w:trPr>
        <w:tc>
          <w:tcPr>
            <w:tcW w:w="6680" w:type="dxa"/>
            <w:vAlign w:val="bottom"/>
            <w:shd w:val="clear" w:color="auto" w:fill="CFF0FC"/>
          </w:tcPr>
          <w:p>
            <w:pPr>
              <w:ind w:left="2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Receivable from related party</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100" w:type="dxa"/>
            <w:vAlign w:val="bottom"/>
          </w:tcPr>
          <w:p>
            <w:pPr>
              <w:spacing w:after="0"/>
              <w:rPr>
                <w:sz w:val="18"/>
                <w:szCs w:val="18"/>
                <w:color w:val="auto"/>
              </w:rPr>
            </w:pPr>
          </w:p>
        </w:tc>
      </w:tr>
      <w:tr>
        <w:trPr>
          <w:trHeight w:val="216"/>
        </w:trPr>
        <w:tc>
          <w:tcPr>
            <w:tcW w:w="6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23,562</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18"/>
                <w:szCs w:val="18"/>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31,585</w:t>
            </w:r>
          </w:p>
        </w:tc>
        <w:tc>
          <w:tcPr>
            <w:tcW w:w="140" w:type="dxa"/>
            <w:vAlign w:val="bottom"/>
          </w:tcPr>
          <w:p>
            <w:pPr>
              <w:spacing w:after="0"/>
              <w:rPr>
                <w:sz w:val="18"/>
                <w:szCs w:val="18"/>
                <w:color w:val="auto"/>
              </w:rPr>
            </w:pPr>
          </w:p>
        </w:tc>
        <w:tc>
          <w:tcPr>
            <w:tcW w:w="5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80" w:type="dxa"/>
            <w:vAlign w:val="bottom"/>
            <w:shd w:val="clear" w:color="auto" w:fill="CFF0FC"/>
          </w:tcPr>
          <w:p>
            <w:pPr>
              <w:ind w:left="13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to related party</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Convertible note payable, current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8"/>
                <w:szCs w:val="18"/>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Convertible note payable</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r>
      <w:tr>
        <w:trPr>
          <w:trHeight w:val="210"/>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$0.01 par value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Authorized: 2,000,000 shares;</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Issued and outstanding: 600,000 shares of Series B convertible preferred stock as of</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28, 2025 and 0 as of December 28, 2024, respectively (liquidation preference of</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 million as of June 28, 2025)</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63,500,000 shares;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68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Issued and outstanding: 16,814,713 as of June 28, 2025 and 16,636,380 shares as of</w:t>
            </w: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December 28, 2024</w:t>
            </w: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20"/>
                <w:szCs w:val="20"/>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89,881</w:t>
            </w:r>
          </w:p>
        </w:tc>
        <w:tc>
          <w:tcPr>
            <w:tcW w:w="10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(90,689)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(88,009)</w:t>
            </w:r>
          </w:p>
        </w:tc>
      </w:tr>
      <w:tr>
        <w:trPr>
          <w:trHeight w:val="209"/>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31,585</w:t>
            </w:r>
          </w:p>
        </w:tc>
        <w:tc>
          <w:tcPr>
            <w:tcW w:w="140" w:type="dxa"/>
            <w:vAlign w:val="bottom"/>
          </w:tcPr>
          <w:p>
            <w:pPr>
              <w:spacing w:after="0"/>
              <w:rPr>
                <w:sz w:val="18"/>
                <w:szCs w:val="18"/>
                <w:color w:val="auto"/>
              </w:rPr>
            </w:pPr>
          </w:p>
        </w:tc>
        <w:tc>
          <w:tcPr>
            <w:tcW w:w="5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-5596890</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-5596890</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-4765675</wp:posOffset>
            </wp:positionV>
            <wp:extent cx="60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-4765675</wp:posOffset>
            </wp:positionV>
            <wp:extent cx="603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-2245360</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-2245360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-170815</wp:posOffset>
            </wp:positionV>
            <wp:extent cx="60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19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4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0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00" w:type="dxa"/>
            <w:vAlign w:val="bottom"/>
          </w:tcPr>
          <w:p>
            <w:pPr>
              <w:spacing w:after="0"/>
              <w:rPr>
                <w:sz w:val="12"/>
                <w:szCs w:val="12"/>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13,571</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12,631</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25,467</w:t>
            </w:r>
          </w:p>
        </w:tc>
        <w:tc>
          <w:tcPr>
            <w:tcW w:w="26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24,392</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7,496</w:t>
            </w:r>
          </w:p>
        </w:tc>
        <w:tc>
          <w:tcPr>
            <w:tcW w:w="2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15,730</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14,799</w:t>
            </w:r>
          </w:p>
        </w:tc>
      </w:tr>
      <w:tr>
        <w:trPr>
          <w:trHeight w:val="20"/>
        </w:trPr>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5,135</w:t>
            </w: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9,737</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9,593</w:t>
            </w:r>
          </w:p>
        </w:tc>
      </w:tr>
      <w:tr>
        <w:trPr>
          <w:trHeight w:val="209"/>
        </w:trPr>
        <w:tc>
          <w:tcPr>
            <w:tcW w:w="4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871</w:t>
            </w: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1,501</w:t>
            </w: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1,747</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3,037</w:t>
            </w: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2,535</w:t>
            </w:r>
          </w:p>
        </w:tc>
        <w:tc>
          <w:tcPr>
            <w:tcW w:w="2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3,487</w:t>
            </w:r>
          </w:p>
        </w:tc>
        <w:tc>
          <w:tcPr>
            <w:tcW w:w="2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4,988</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7,233</w:t>
            </w:r>
          </w:p>
        </w:tc>
      </w:tr>
      <w:tr>
        <w:trPr>
          <w:trHeight w:val="216"/>
        </w:trPr>
        <w:tc>
          <w:tcPr>
            <w:tcW w:w="4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2,785</w:t>
            </w: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4,147</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5,253</w:t>
            </w:r>
          </w:p>
        </w:tc>
      </w:tr>
      <w:tr>
        <w:trPr>
          <w:trHeight w:val="20"/>
        </w:trPr>
        <w:tc>
          <w:tcPr>
            <w:tcW w:w="49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7,773</w:t>
            </w:r>
          </w:p>
        </w:tc>
        <w:tc>
          <w:tcPr>
            <w:tcW w:w="2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10,882</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15,523</w:t>
            </w:r>
          </w:p>
        </w:tc>
      </w:tr>
      <w:tr>
        <w:trPr>
          <w:trHeight w:val="20"/>
        </w:trPr>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(940)</w:t>
            </w: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(2,638)</w:t>
            </w: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(1,145)</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(5,930)</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(1,502)</w:t>
            </w: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(973)</w:t>
            </w: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(2,660)</w:t>
            </w: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(2,647)</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(6,086)</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(994)</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(2,679)</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(2,680)</w:t>
            </w:r>
          </w:p>
        </w:tc>
        <w:tc>
          <w:tcPr>
            <w:tcW w:w="26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(6,143)</w:t>
            </w:r>
          </w:p>
        </w:tc>
      </w:tr>
      <w:tr>
        <w:trPr>
          <w:trHeight w:val="196"/>
        </w:trPr>
        <w:tc>
          <w:tcPr>
            <w:tcW w:w="49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6"/>
        </w:trPr>
        <w:tc>
          <w:tcPr>
            <w:tcW w:w="4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shd w:val="clear" w:color="auto" w:fill="CFF0FC"/>
          </w:tcPr>
          <w:p>
            <w:pPr>
              <w:jc w:val="right"/>
              <w:ind w:right="9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94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7"/>
                <w:szCs w:val="17"/>
                <w:color w:val="auto"/>
              </w:rPr>
            </w:pPr>
          </w:p>
        </w:tc>
        <w:tc>
          <w:tcPr>
            <w:tcW w:w="260" w:type="dxa"/>
            <w:vAlign w:val="bottom"/>
          </w:tcPr>
          <w:p>
            <w:pPr>
              <w:jc w:val="right"/>
              <w:ind w:right="7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80" w:type="dxa"/>
            <w:vAlign w:val="bottom"/>
          </w:tcPr>
          <w:p>
            <w:pPr>
              <w:jc w:val="right"/>
              <w:ind w:right="9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280" w:type="dxa"/>
            <w:vAlign w:val="bottom"/>
          </w:tcPr>
          <w:p>
            <w:pPr>
              <w:jc w:val="right"/>
              <w:ind w:right="9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(0.38)</w:t>
            </w:r>
          </w:p>
        </w:tc>
      </w:tr>
      <w:tr>
        <w:trPr>
          <w:trHeight w:val="20"/>
        </w:trPr>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49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used in computing net loss per common</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4"/>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16,793</w:t>
            </w:r>
          </w:p>
        </w:tc>
        <w:tc>
          <w:tcPr>
            <w:tcW w:w="2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16,287</w:t>
            </w:r>
          </w:p>
        </w:tc>
        <w:tc>
          <w:tcPr>
            <w:tcW w:w="2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16,760</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16,270</w:t>
            </w:r>
          </w:p>
        </w:tc>
      </w:tr>
      <w:tr>
        <w:trPr>
          <w:trHeight w:val="20"/>
        </w:trPr>
        <w:tc>
          <w:tcPr>
            <w:tcW w:w="4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94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16,793</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16,287</w:t>
            </w:r>
          </w:p>
        </w:tc>
        <w:tc>
          <w:tcPr>
            <w:tcW w:w="2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16,760</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16,270</w:t>
            </w: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-2502535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-2502535</wp:posOffset>
            </wp:positionV>
            <wp:extent cx="60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5377180</wp:posOffset>
            </wp:positionH>
            <wp:positionV relativeFrom="paragraph">
              <wp:posOffset>-2502535</wp:posOffset>
            </wp:positionV>
            <wp:extent cx="59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-2502535</wp:posOffset>
            </wp:positionV>
            <wp:extent cx="60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-1945005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-1945005</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5377180</wp:posOffset>
            </wp:positionH>
            <wp:positionV relativeFrom="paragraph">
              <wp:posOffset>-1945005</wp:posOffset>
            </wp:positionV>
            <wp:extent cx="59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-1945005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-1087755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-1071245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-1087755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-1071245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5377180</wp:posOffset>
            </wp:positionH>
            <wp:positionV relativeFrom="paragraph">
              <wp:posOffset>-1087755</wp:posOffset>
            </wp:positionV>
            <wp:extent cx="59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5377180</wp:posOffset>
            </wp:positionH>
            <wp:positionV relativeFrom="paragraph">
              <wp:posOffset>-1071245</wp:posOffset>
            </wp:positionV>
            <wp:extent cx="59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-1087755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-1071245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-788035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-770890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-788035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-770890</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5377180</wp:posOffset>
            </wp:positionH>
            <wp:positionV relativeFrom="paragraph">
              <wp:posOffset>-788035</wp:posOffset>
            </wp:positionV>
            <wp:extent cx="59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5377180</wp:posOffset>
            </wp:positionH>
            <wp:positionV relativeFrom="paragraph">
              <wp:posOffset>-770890</wp:posOffset>
            </wp:positionV>
            <wp:extent cx="59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-788035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-770890</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-25400</wp:posOffset>
            </wp:positionV>
            <wp:extent cx="60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-8255</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5377180</wp:posOffset>
            </wp:positionH>
            <wp:positionV relativeFrom="paragraph">
              <wp:posOffset>-25400</wp:posOffset>
            </wp:positionV>
            <wp:extent cx="596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5377180</wp:posOffset>
            </wp:positionH>
            <wp:positionV relativeFrom="paragraph">
              <wp:posOffset>-8255</wp:posOffset>
            </wp:positionV>
            <wp:extent cx="59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00" w:type="dxa"/>
            <w:vAlign w:val="bottom"/>
          </w:tcPr>
          <w:p>
            <w:pPr>
              <w:spacing w:after="0"/>
              <w:rPr>
                <w:sz w:val="12"/>
                <w:szCs w:val="12"/>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(994)</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(2,679)</w:t>
            </w:r>
          </w:p>
        </w:tc>
        <w:tc>
          <w:tcPr>
            <w:tcW w:w="3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(2,680)</w:t>
            </w:r>
          </w:p>
        </w:tc>
        <w:tc>
          <w:tcPr>
            <w:tcW w:w="50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(6,143)</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5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4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(1,036)</w:t>
            </w: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(2,661)</w:t>
            </w:r>
          </w:p>
        </w:tc>
        <w:tc>
          <w:tcPr>
            <w:tcW w:w="3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(2,744)</w:t>
            </w:r>
          </w:p>
        </w:tc>
        <w:tc>
          <w:tcPr>
            <w:tcW w:w="50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(6,089)</w:t>
            </w: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-24765</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-7620</wp:posOffset>
            </wp:positionV>
            <wp:extent cx="596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-24765</wp:posOffset>
            </wp:positionV>
            <wp:extent cx="596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-7620</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5342890</wp:posOffset>
            </wp:positionH>
            <wp:positionV relativeFrom="paragraph">
              <wp:posOffset>-24765</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5342890</wp:posOffset>
            </wp:positionH>
            <wp:positionV relativeFrom="paragraph">
              <wp:posOffset>-7620</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vMerge w:val="continue"/>
          </w:tcPr>
          <w:p>
            <w:pPr>
              <w:spacing w:after="0"/>
              <w:rPr>
                <w:sz w:val="12"/>
                <w:szCs w:val="12"/>
                <w:color w:val="auto"/>
              </w:rPr>
            </w:pPr>
          </w:p>
        </w:tc>
        <w:tc>
          <w:tcPr>
            <w:tcW w:w="166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2"/>
                <w:szCs w:val="12"/>
                <w:color w:val="auto"/>
              </w:rPr>
            </w:pPr>
          </w:p>
        </w:tc>
        <w:tc>
          <w:tcPr>
            <w:tcW w:w="172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940" w:type="dxa"/>
            <w:vAlign w:val="bottom"/>
            <w:gridSpan w:val="3"/>
            <w:vMerge w:val="continue"/>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5"/>
        </w:trPr>
        <w:tc>
          <w:tcPr>
            <w:tcW w:w="2180" w:type="dxa"/>
            <w:vAlign w:val="bottom"/>
          </w:tcPr>
          <w:p>
            <w:pPr>
              <w:ind w:left="780"/>
              <w:spacing w:after="0" w:line="160" w:lineRule="exact"/>
              <w:rPr>
                <w:sz w:val="20"/>
                <w:szCs w:val="20"/>
                <w:color w:val="auto"/>
              </w:rPr>
            </w:pPr>
            <w:r>
              <w:rPr>
                <w:rFonts w:ascii="Times New Roman" w:cs="Times New Roman" w:eastAsia="Times New Roman" w:hAnsi="Times New Roman"/>
                <w:sz w:val="14"/>
                <w:szCs w:val="14"/>
                <w:b w:val="1"/>
                <w:bCs w:val="1"/>
                <w:color w:val="auto"/>
              </w:rPr>
              <w:t>28, 2025</w:t>
            </w:r>
          </w:p>
        </w:tc>
        <w:tc>
          <w:tcPr>
            <w:tcW w:w="1660" w:type="dxa"/>
            <w:vAlign w:val="bottom"/>
            <w:tcBorders>
              <w:bottom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8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0"/>
              </w:rPr>
              <w:t>ve</w:t>
            </w:r>
          </w:p>
        </w:tc>
        <w:tc>
          <w:tcPr>
            <w:tcW w:w="120" w:type="dxa"/>
            <w:vAlign w:val="bottom"/>
          </w:tcPr>
          <w:p>
            <w:pPr>
              <w:spacing w:after="0"/>
              <w:rPr>
                <w:sz w:val="13"/>
                <w:szCs w:val="13"/>
                <w:color w:val="auto"/>
              </w:rPr>
            </w:pPr>
          </w:p>
        </w:tc>
        <w:tc>
          <w:tcPr>
            <w:tcW w:w="8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72"/>
              </w:rPr>
              <w:t>s</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780" w:type="dxa"/>
            <w:vAlign w:val="bottom"/>
            <w:tcBorders>
              <w:bottom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Balances, March 29, 2025</w:t>
            </w: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16,789,02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90,344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(89,695)</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Series B</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Release of restricted stock, net</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of taxes paid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5"/>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(994)</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(994)</w:t>
            </w:r>
          </w:p>
        </w:tc>
        <w:tc>
          <w:tcPr>
            <w:tcW w:w="0" w:type="dxa"/>
            <w:vAlign w:val="bottom"/>
          </w:tcPr>
          <w:p>
            <w:pPr>
              <w:spacing w:after="0"/>
              <w:rPr>
                <w:sz w:val="1"/>
                <w:szCs w:val="1"/>
                <w:color w:val="auto"/>
              </w:rPr>
            </w:pPr>
          </w:p>
        </w:tc>
      </w:tr>
      <w:tr>
        <w:trPr>
          <w:trHeight w:val="182"/>
        </w:trPr>
        <w:tc>
          <w:tcPr>
            <w:tcW w:w="21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Balances, June 28, 2025</w:t>
            </w:r>
          </w:p>
        </w:tc>
        <w:tc>
          <w:tcPr>
            <w:tcW w:w="78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16,814,71</w:t>
            </w: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1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90,587</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(90,689)</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2180" w:type="dxa"/>
            <w:vAlign w:val="bottom"/>
            <w:tcBorders>
              <w:top w:val="single" w:sz="8" w:color="CFF0FC"/>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860" w:type="dxa"/>
            <w:vAlign w:val="bottom"/>
            <w:tcBorders>
              <w:top w:val="single" w:sz="8" w:color="auto"/>
            </w:tcBorders>
            <w:gridSpan w:val="2"/>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CFF0FC"/>
            </w:tcBorders>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vMerge w:val="continue"/>
          </w:tcPr>
          <w:p>
            <w:pPr>
              <w:spacing w:after="0"/>
              <w:rPr>
                <w:sz w:val="12"/>
                <w:szCs w:val="12"/>
                <w:color w:val="auto"/>
              </w:rPr>
            </w:pPr>
          </w:p>
        </w:tc>
        <w:tc>
          <w:tcPr>
            <w:tcW w:w="166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2"/>
                <w:szCs w:val="12"/>
                <w:color w:val="auto"/>
              </w:rPr>
            </w:pPr>
          </w:p>
        </w:tc>
        <w:tc>
          <w:tcPr>
            <w:tcW w:w="172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940" w:type="dxa"/>
            <w:vAlign w:val="bottom"/>
            <w:gridSpan w:val="3"/>
            <w:vMerge w:val="continue"/>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5"/>
        </w:trPr>
        <w:tc>
          <w:tcPr>
            <w:tcW w:w="2180" w:type="dxa"/>
            <w:vAlign w:val="bottom"/>
          </w:tcPr>
          <w:p>
            <w:pPr>
              <w:ind w:left="780"/>
              <w:spacing w:after="0" w:line="160" w:lineRule="exact"/>
              <w:rPr>
                <w:sz w:val="20"/>
                <w:szCs w:val="20"/>
                <w:color w:val="auto"/>
              </w:rPr>
            </w:pPr>
            <w:r>
              <w:rPr>
                <w:rFonts w:ascii="Times New Roman" w:cs="Times New Roman" w:eastAsia="Times New Roman" w:hAnsi="Times New Roman"/>
                <w:sz w:val="14"/>
                <w:szCs w:val="14"/>
                <w:b w:val="1"/>
                <w:bCs w:val="1"/>
                <w:color w:val="auto"/>
              </w:rPr>
              <w:t>28, 2025</w:t>
            </w:r>
          </w:p>
        </w:tc>
        <w:tc>
          <w:tcPr>
            <w:tcW w:w="1660" w:type="dxa"/>
            <w:vAlign w:val="bottom"/>
            <w:tcBorders>
              <w:bottom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8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0"/>
              </w:rPr>
              <w:t>ve</w:t>
            </w:r>
          </w:p>
        </w:tc>
        <w:tc>
          <w:tcPr>
            <w:tcW w:w="120" w:type="dxa"/>
            <w:vAlign w:val="bottom"/>
          </w:tcPr>
          <w:p>
            <w:pPr>
              <w:spacing w:after="0"/>
              <w:rPr>
                <w:sz w:val="13"/>
                <w:szCs w:val="13"/>
                <w:color w:val="auto"/>
              </w:rPr>
            </w:pPr>
          </w:p>
        </w:tc>
        <w:tc>
          <w:tcPr>
            <w:tcW w:w="8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72"/>
              </w:rPr>
              <w:t>s</w:t>
            </w:r>
          </w:p>
        </w:tc>
        <w:tc>
          <w:tcPr>
            <w:tcW w:w="0" w:type="dxa"/>
            <w:vAlign w:val="bottom"/>
          </w:tcPr>
          <w:p>
            <w:pPr>
              <w:spacing w:after="0"/>
              <w:rPr>
                <w:sz w:val="1"/>
                <w:szCs w:val="1"/>
                <w:color w:val="auto"/>
              </w:rPr>
            </w:pPr>
          </w:p>
        </w:tc>
      </w:tr>
      <w:tr>
        <w:trPr>
          <w:trHeight w:val="142"/>
        </w:trPr>
        <w:tc>
          <w:tcPr>
            <w:tcW w:w="2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Balances, December 28, 2024</w:t>
            </w:r>
          </w:p>
        </w:tc>
        <w:tc>
          <w:tcPr>
            <w:tcW w:w="780" w:type="dxa"/>
            <w:vAlign w:val="bottom"/>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2"/>
                <w:szCs w:val="12"/>
                <w:color w:val="auto"/>
              </w:rPr>
            </w:pPr>
          </w:p>
        </w:tc>
        <w:tc>
          <w:tcPr>
            <w:tcW w:w="780" w:type="dxa"/>
            <w:vAlign w:val="bottom"/>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8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8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82"/>
        </w:trPr>
        <w:tc>
          <w:tcPr>
            <w:tcW w:w="2180" w:type="dxa"/>
            <w:vAlign w:val="bottom"/>
            <w:vMerge w:val="continue"/>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16,636,38</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89,881</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(88,009)</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Reclassification of Series B</w:t>
            </w: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shares in</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conjunction with</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extinguishment of convertible</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notes payable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152,647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expense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Release of restricted stock, net</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of taxes paid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(2,680)</w:t>
            </w:r>
          </w:p>
        </w:tc>
        <w:tc>
          <w:tcPr>
            <w:tcW w:w="12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(2,680)</w:t>
            </w:r>
          </w:p>
        </w:tc>
        <w:tc>
          <w:tcPr>
            <w:tcW w:w="0" w:type="dxa"/>
            <w:vAlign w:val="bottom"/>
          </w:tcPr>
          <w:p>
            <w:pPr>
              <w:spacing w:after="0"/>
              <w:rPr>
                <w:sz w:val="1"/>
                <w:szCs w:val="1"/>
                <w:color w:val="auto"/>
              </w:rPr>
            </w:pPr>
          </w:p>
        </w:tc>
      </w:tr>
      <w:tr>
        <w:trPr>
          <w:trHeight w:val="182"/>
        </w:trPr>
        <w:tc>
          <w:tcPr>
            <w:tcW w:w="21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Balances, June 28, 2025</w:t>
            </w:r>
          </w:p>
        </w:tc>
        <w:tc>
          <w:tcPr>
            <w:tcW w:w="78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6"/>
                <w:szCs w:val="16"/>
                <w:color w:val="auto"/>
              </w:rPr>
              <w:t>16,814,71</w:t>
            </w: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90,587</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(90,689)</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-2596515</wp:posOffset>
            </wp:positionV>
            <wp:extent cx="60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1879600</wp:posOffset>
            </wp:positionH>
            <wp:positionV relativeFrom="paragraph">
              <wp:posOffset>-2579370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-2596515</wp:posOffset>
            </wp:positionV>
            <wp:extent cx="596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-2579370</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-2596515</wp:posOffset>
            </wp:positionV>
            <wp:extent cx="6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-2579370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-2596515</wp:posOffset>
            </wp:positionV>
            <wp:extent cx="603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-2579370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-2596515</wp:posOffset>
            </wp:positionV>
            <wp:extent cx="603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-2579370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-2596515</wp:posOffset>
            </wp:positionV>
            <wp:extent cx="603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-2579370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-2596515</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-2579370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-2596515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-2579370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1879600</wp:posOffset>
            </wp:positionH>
            <wp:positionV relativeFrom="paragraph">
              <wp:posOffset>-24765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1879600</wp:posOffset>
            </wp:positionH>
            <wp:positionV relativeFrom="paragraph">
              <wp:posOffset>-7620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-24765</wp:posOffset>
            </wp:positionV>
            <wp:extent cx="59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-7620</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-24765</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-7620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-24765</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-7620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-24765</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-7620</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-24765</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-7620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-24765</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-7620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-24765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29, 2024</w:t>
            </w:r>
          </w:p>
        </w:tc>
        <w:tc>
          <w:tcPr>
            <w:tcW w:w="214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700" w:type="dxa"/>
            <w:vAlign w:val="bottom"/>
            <w:vMerge w:val="continue"/>
          </w:tcPr>
          <w:p>
            <w:pPr>
              <w:spacing w:after="0"/>
              <w:rPr>
                <w:sz w:val="13"/>
                <w:szCs w:val="13"/>
                <w:color w:val="auto"/>
              </w:rPr>
            </w:pPr>
          </w:p>
        </w:tc>
        <w:tc>
          <w:tcPr>
            <w:tcW w:w="214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62"/>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3"/>
                <w:szCs w:val="13"/>
                <w:color w:val="auto"/>
              </w:rPr>
            </w:pPr>
          </w:p>
        </w:tc>
        <w:tc>
          <w:tcPr>
            <w:tcW w:w="128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980" w:type="dxa"/>
            <w:vAlign w:val="bottom"/>
            <w:tcBorders>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March 30, 2024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16,252,813</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88,838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(82,506)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Release of restricted stock, net of taxes</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paid</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(2,679)</w:t>
            </w:r>
          </w:p>
        </w:tc>
        <w:tc>
          <w:tcPr>
            <w:tcW w:w="8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(2,679)</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June 29, 2024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16,449,283</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89,257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(85,185)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270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CFF0FC"/>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 the six months ended June 29, 2024</w:t>
            </w:r>
          </w:p>
        </w:tc>
        <w:tc>
          <w:tcPr>
            <w:tcW w:w="214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700" w:type="dxa"/>
            <w:vAlign w:val="bottom"/>
            <w:vMerge w:val="continue"/>
          </w:tcPr>
          <w:p>
            <w:pPr>
              <w:spacing w:after="0"/>
              <w:rPr>
                <w:sz w:val="13"/>
                <w:szCs w:val="13"/>
                <w:color w:val="auto"/>
              </w:rPr>
            </w:pPr>
          </w:p>
        </w:tc>
        <w:tc>
          <w:tcPr>
            <w:tcW w:w="2140" w:type="dxa"/>
            <w:vAlign w:val="bottom"/>
            <w:tcBorders>
              <w:bottom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62"/>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3"/>
                <w:szCs w:val="13"/>
                <w:color w:val="auto"/>
              </w:rPr>
            </w:pPr>
          </w:p>
        </w:tc>
        <w:tc>
          <w:tcPr>
            <w:tcW w:w="1280" w:type="dxa"/>
            <w:vAlign w:val="bottom"/>
            <w:gridSpan w:val="3"/>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980" w:type="dxa"/>
            <w:vAlign w:val="bottom"/>
            <w:tcBorders>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December 30, 2023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16,252,813</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88,444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(52)</w:t>
            </w: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(79,042)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Release of restricted stock, net of taxes</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paid</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(6,143)</w:t>
            </w:r>
          </w:p>
        </w:tc>
        <w:tc>
          <w:tcPr>
            <w:tcW w:w="8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(6,143)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June 29, 2024</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16,449,283</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89,257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(85,185)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-1731010</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-1713865</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-1731010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-1713865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-1731010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-1713865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-1731010</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-1713865</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-1731010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-1713865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-1731010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-1713865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-25400</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-7620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-25400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3071495</wp:posOffset>
            </wp:positionH>
            <wp:positionV relativeFrom="paragraph">
              <wp:posOffset>-7620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-25400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3808730</wp:posOffset>
            </wp:positionH>
            <wp:positionV relativeFrom="paragraph">
              <wp:posOffset>-7620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-25400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4622800</wp:posOffset>
            </wp:positionH>
            <wp:positionV relativeFrom="paragraph">
              <wp:posOffset>-7620</wp:posOffset>
            </wp:positionV>
            <wp:extent cx="596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-25400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5360035</wp:posOffset>
            </wp:positionH>
            <wp:positionV relativeFrom="paragraph">
              <wp:posOffset>-7620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93" w:right="10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6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00" w:type="dxa"/>
            <w:vAlign w:val="bottom"/>
          </w:tcPr>
          <w:p>
            <w:pPr>
              <w:spacing w:after="0"/>
              <w:rPr>
                <w:sz w:val="12"/>
                <w:szCs w:val="12"/>
                <w:color w:val="auto"/>
              </w:rPr>
            </w:pPr>
          </w:p>
        </w:tc>
      </w:tr>
      <w:tr>
        <w:trPr>
          <w:trHeight w:val="209"/>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(6,143)</w:t>
            </w: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 payable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 from related party</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(1,218)</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w:t>
            </w: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Payable to related party</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(1,128)</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(878)</w:t>
            </w: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(2,974)</w:t>
            </w:r>
          </w:p>
        </w:tc>
      </w:tr>
      <w:tr>
        <w:trPr>
          <w:trHeight w:val="210"/>
        </w:trPr>
        <w:tc>
          <w:tcPr>
            <w:tcW w:w="6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7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note payable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Payments on convertible note payable</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(3,961)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B convertible preferred stock</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settlements of equity awards</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6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8"/>
                <w:szCs w:val="18"/>
                <w:color w:val="auto"/>
              </w:rPr>
            </w:pPr>
          </w:p>
        </w:tc>
      </w:tr>
      <w:tr>
        <w:trPr>
          <w:trHeight w:val="20"/>
        </w:trPr>
        <w:tc>
          <w:tcPr>
            <w:tcW w:w="67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(2,923)</w:t>
            </w:r>
          </w:p>
        </w:tc>
      </w:tr>
      <w:tr>
        <w:trPr>
          <w:trHeight w:val="216"/>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198"/>
        </w:trPr>
        <w:tc>
          <w:tcPr>
            <w:tcW w:w="670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shares in conjunction with extinguishment of convertible note</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5094605</wp:posOffset>
            </wp:positionH>
            <wp:positionV relativeFrom="paragraph">
              <wp:posOffset>-2691130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-2691130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-2407920</wp:posOffset>
            </wp:positionV>
            <wp:extent cx="596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-2407920</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-1567815</wp:posOffset>
            </wp:positionV>
            <wp:extent cx="59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-1567815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-1276350</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-1276350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-993775</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-993775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7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28, 2024, which was filed with the SEC on March 27, 2025 (the “Annual Report”). The results of operations for the three and six months ended June 28, 2025 and June 29, 2024 are not necessarily indicative of the results for the fiscal year ending January 3, 2026 or any future interim period. The three months ended June 28, 2025 and June 29, 2024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our Annual Report on Form 10-K for the year ended December 28, 2024, which was filed with the SEC on March 27,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 Presentation</w:t>
      </w:r>
    </w:p>
    <w:p>
      <w:pPr>
        <w:spacing w:after="0" w:line="119"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our wholly-owned subsidiaries. All significant intercompany accounts and transactions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us to make estimates and judgments that affect the reported amounts of assets, liabilities, revenues, and expenses and the related disclosure of contingent assets and liabilities. The Company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the Company's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9"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The Company’s Chief Operating Decision Maker (“CODM”) is its Chief Executive Officer. The CODM allocates resources and evaluates the performance of the Company at the consolidated level using information about its revenues, gross profit, income from operations, and other key financial data. All significant operating decisions are based upon an analysis of the Company as one operating segment, which is the same as its reporting segment.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 xml:space="preserve">The Company's revenues arise from the sale of laser consoles, delivery devices, consumables, service, and support activities. The Company also derives its revenue from royalties from third parties, which are typically based on licensees’ net sales of products that utilize our technology. The Company's revenue is recognized in accordance with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Company recognizes revenue using the five-step model: (1) identifying the contract with the customer, (2) identifying the performance obligations in the contract, (3) determining expected transaction price,</w:t>
      </w:r>
    </w:p>
    <w:p>
      <w:pPr>
        <w:spacing w:after="0" w:line="3" w:lineRule="exact"/>
        <w:rPr>
          <w:sz w:val="20"/>
          <w:szCs w:val="20"/>
          <w:color w:val="auto"/>
        </w:rPr>
      </w:pPr>
    </w:p>
    <w:p>
      <w:pPr>
        <w:ind w:firstLine="4"/>
        <w:spacing w:after="0" w:line="26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distinct performance obligations in the contract, and (5) recognizing revenue when (or as) the performance obligations are satisfied.</w:t>
      </w:r>
    </w:p>
    <w:p>
      <w:pPr>
        <w:spacing w:after="0" w:line="73"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The Company has the following revenue transaction types: (1) Product Sale Only, (2) Service Contracts, (3) System Repairs (outside of warranty), (4) Royalty Revenue and (5) Exclusive Distribution Rights.</w:t>
      </w:r>
    </w:p>
    <w:p>
      <w:pPr>
        <w:spacing w:after="0" w:line="54" w:lineRule="exact"/>
        <w:rPr>
          <w:sz w:val="20"/>
          <w:szCs w:val="20"/>
          <w:color w:val="auto"/>
        </w:rPr>
      </w:pPr>
    </w:p>
    <w:p>
      <w:pPr>
        <w:ind w:left="880" w:right="40" w:hanging="435"/>
        <w:spacing w:after="0" w:line="261"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08" w:right="1119" w:bottom="1440" w:gutter="0" w:footer="0" w:header="0"/>
        </w:sectPr>
      </w:pPr>
    </w:p>
    <w:bookmarkStart w:id="11" w:name="page12"/>
    <w:bookmarkEnd w:id="11"/>
    <w:p>
      <w:pPr>
        <w:ind w:left="520" w:right="120"/>
        <w:spacing w:after="0" w:line="282" w:lineRule="auto"/>
        <w:rPr>
          <w:sz w:val="20"/>
          <w:szCs w:val="20"/>
          <w:color w:val="auto"/>
        </w:rPr>
      </w:pPr>
      <w:r>
        <w:rPr>
          <w:rFonts w:ascii="Times New Roman" w:cs="Times New Roman" w:eastAsia="Times New Roman" w:hAnsi="Times New Roman"/>
          <w:sz w:val="18"/>
          <w:szCs w:val="18"/>
          <w:color w:val="auto"/>
        </w:rPr>
        <w:t>distributors to market and sell the Company’s products. There is no continuing obligation after shipment is made to these distributors.</w:t>
      </w:r>
    </w:p>
    <w:p>
      <w:pPr>
        <w:spacing w:after="0" w:line="54" w:lineRule="exact"/>
        <w:rPr>
          <w:sz w:val="20"/>
          <w:szCs w:val="20"/>
          <w:color w:val="auto"/>
        </w:rPr>
      </w:pPr>
    </w:p>
    <w:p>
      <w:pPr>
        <w:ind w:left="520" w:right="360"/>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product sales at a point in time subject to the allocation of transaction price to additional performance obligations, if any.</w:t>
      </w:r>
    </w:p>
    <w:p>
      <w:pPr>
        <w:spacing w:after="0" w:line="54" w:lineRule="exact"/>
        <w:rPr>
          <w:sz w:val="20"/>
          <w:szCs w:val="20"/>
          <w:color w:val="auto"/>
        </w:rPr>
      </w:pPr>
    </w:p>
    <w:p>
      <w:pPr>
        <w:ind w:left="520" w:right="80" w:hanging="435"/>
        <w:spacing w:after="0" w:line="261"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Contracts: The Company offers a standard two-year warranty on all system sales. The Company also offers a service contract which is sold to customers in incremental, one-year periods that begin subsequent to the expiration of the standard two-year warranty. The customer can opt to purchase the service contract at the time of the system sale or after the initial system sale.</w:t>
      </w:r>
    </w:p>
    <w:p>
      <w:pPr>
        <w:spacing w:after="0" w:line="71" w:lineRule="exact"/>
        <w:rPr>
          <w:rFonts w:ascii="Times New Roman" w:cs="Times New Roman" w:eastAsia="Times New Roman" w:hAnsi="Times New Roman"/>
          <w:sz w:val="18"/>
          <w:szCs w:val="18"/>
          <w:color w:val="auto"/>
        </w:rPr>
      </w:pPr>
    </w:p>
    <w:p>
      <w:pPr>
        <w:ind w:left="52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service contracts ratably over the service period. Revenue recognition for the sale of a service contract is largely dependent on the timing of the sale as follows:</w:t>
      </w:r>
    </w:p>
    <w:p>
      <w:pPr>
        <w:spacing w:after="0" w:line="53" w:lineRule="exact"/>
        <w:rPr>
          <w:rFonts w:ascii="Times New Roman" w:cs="Times New Roman" w:eastAsia="Times New Roman" w:hAnsi="Times New Roman"/>
          <w:sz w:val="18"/>
          <w:szCs w:val="18"/>
          <w:color w:val="auto"/>
        </w:rPr>
      </w:pPr>
    </w:p>
    <w:p>
      <w:pPr>
        <w:ind w:left="960" w:right="220" w:hanging="434"/>
        <w:spacing w:after="0" w:line="261" w:lineRule="auto"/>
        <w:tabs>
          <w:tab w:leader="none" w:pos="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1" w:lineRule="exact"/>
        <w:rPr>
          <w:rFonts w:ascii="Times New Roman" w:cs="Times New Roman" w:eastAsia="Times New Roman" w:hAnsi="Times New Roman"/>
          <w:sz w:val="18"/>
          <w:szCs w:val="18"/>
          <w:color w:val="auto"/>
        </w:rPr>
      </w:pPr>
    </w:p>
    <w:p>
      <w:pPr>
        <w:ind w:left="960" w:right="40" w:hanging="434"/>
        <w:spacing w:after="0" w:line="254" w:lineRule="auto"/>
        <w:tabs>
          <w:tab w:leader="none" w:pos="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spacing w:after="0" w:line="83" w:lineRule="exact"/>
        <w:rPr>
          <w:rFonts w:ascii="Times New Roman" w:cs="Times New Roman" w:eastAsia="Times New Roman" w:hAnsi="Times New Roman"/>
          <w:sz w:val="18"/>
          <w:szCs w:val="18"/>
          <w:color w:val="auto"/>
        </w:rPr>
      </w:pPr>
    </w:p>
    <w:p>
      <w:pPr>
        <w:ind w:left="520" w:right="220" w:hanging="435"/>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Repairs (outside of warranty): Customers will occasionally request repairs from the Company subsequent to the expiration of the standard warranty and outside of a service contract.</w:t>
      </w:r>
    </w:p>
    <w:p>
      <w:pPr>
        <w:spacing w:after="0" w:line="53" w:lineRule="exact"/>
        <w:rPr>
          <w:rFonts w:ascii="Times New Roman" w:cs="Times New Roman" w:eastAsia="Times New Roman" w:hAnsi="Times New Roman"/>
          <w:sz w:val="18"/>
          <w:szCs w:val="18"/>
          <w:color w:val="auto"/>
        </w:rPr>
      </w:pPr>
    </w:p>
    <w:p>
      <w:pPr>
        <w:ind w:left="5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As such, revenue is recognized as the repair services are rendered and the performance obligation satisfied.</w:t>
      </w:r>
    </w:p>
    <w:p>
      <w:pPr>
        <w:spacing w:after="0" w:line="71" w:lineRule="exact"/>
        <w:rPr>
          <w:rFonts w:ascii="Times New Roman" w:cs="Times New Roman" w:eastAsia="Times New Roman" w:hAnsi="Times New Roman"/>
          <w:sz w:val="18"/>
          <w:szCs w:val="18"/>
          <w:color w:val="auto"/>
        </w:rPr>
      </w:pPr>
    </w:p>
    <w:p>
      <w:pPr>
        <w:ind w:left="520" w:right="580" w:hanging="435"/>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Revenue: The Company has royalty agreements with three customers related to the sale of the Company’s intellectual property. Under the terms of these agreements, two customers are to remit a percentage of sales to the Company as the sales occur and one customer made an upfront prepayment for royalties.</w:t>
      </w:r>
    </w:p>
    <w:p>
      <w:pPr>
        <w:spacing w:after="0" w:line="67" w:lineRule="exact"/>
        <w:rPr>
          <w:rFonts w:ascii="Times New Roman" w:cs="Times New Roman" w:eastAsia="Times New Roman" w:hAnsi="Times New Roman"/>
          <w:sz w:val="18"/>
          <w:szCs w:val="18"/>
          <w:color w:val="auto"/>
        </w:rPr>
      </w:pPr>
    </w:p>
    <w:p>
      <w:pPr>
        <w:ind w:left="520"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arrangements with three customers are for sales-based licenses of intellectual property, for which the guidance in paragraph ASC 606-10-55-65 applies. Therefore, the Company recognizes revenue at a point in time, only as the subsequent sale occurs. However, the Company notes that such sales being reported by the licensees with a quarter in arrears, such revenue is recognized at the time it is reported and paid by the licensees given that any estimated variable consideration would have to be fully constrained due to the unpredictability of such estimate and the unavoidable risk that it may lead to significant revenue reversals. For the arrangement with one customer, the Company had concluded that there is one combined performance obligation to be satisfied. Therefore, the Company recognizes revenue related to this arrangement over time.</w:t>
      </w:r>
    </w:p>
    <w:p>
      <w:pPr>
        <w:spacing w:after="0" w:line="19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60"/>
          </w:cols>
          <w:pgMar w:left="1440" w:top="1120" w:right="1099" w:bottom="1440" w:gutter="0" w:footer="0" w:header="0"/>
        </w:sectPr>
      </w:pPr>
    </w:p>
    <w:bookmarkStart w:id="12" w:name="page13"/>
    <w:bookmarkEnd w:id="12"/>
    <w:p>
      <w:pPr>
        <w:ind w:left="880" w:hanging="435"/>
        <w:spacing w:after="0" w:line="252" w:lineRule="auto"/>
        <w:tabs>
          <w:tab w:leader="none" w:pos="7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 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 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 was not feasible. For each of the three months ended June 28, 2025 and June 29, 2024, $0.3 million and $0.4 million in revenue related to the exclusive distribution rights were recorded, respectively. For each of the six months ended June 28, 2025 and June 29, 2024, $0.7 million in revenue related to the exclusive distribution rights were recorded.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Obtaining Revenue Contracts</w:t>
      </w:r>
    </w:p>
    <w:p>
      <w:pPr>
        <w:spacing w:after="0" w:line="11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Company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straight-line basis over the estimated period of benefit, which typically ranges from 2 to 3 years. As of June 28, 2025, the Company had fully recognized deferred costs incurred to obtain revenue contracts with customers. Amortization expense was $4 thousand and $23 thousand for the three and six months ended June 28, 2025, respectively. Amortization expense was $19 thousand and $38 thousand for the three and six months ended June 29, 2024, respectively. There were no impairment expenses for both of the three and six months ended June 28, 2025 and July 1, 2023.</w:t>
      </w:r>
    </w:p>
    <w:p>
      <w:pPr>
        <w:spacing w:after="0" w:line="81"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Sales commissions that do not represent incremental and recoverable costs of obtaining a contract are expensed as incurred. As a practical expedient, the Company will not recognize such sales commission as a contract asset but rather recognize as an expense when incurred if the amortization period of the asset that the Company would have otherwise recognized is one year or less.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Fulfillment Costs</w:t>
      </w:r>
    </w:p>
    <w:p>
      <w:pPr>
        <w:spacing w:after="0" w:line="11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June 28, 2025, the Company recognized deferred costs incurred to fulfill a contract with a customer, net of accumulated amortization, of $0.6 million, and included these amounts in Prepaid expenses and other current assets and Other long-term assets in the Company’s condensed consolidated balance sheets. Amortization expense was $20 thousand and $41 thousand for both of the three and six months ended June 28, 2025 and June 29, 2024. There were no impairment expenses for each of three and six months ended June 28, 2025 and June 29,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net and Operating lease liabilities in our condensed consolidated balance sheets. As of June 28, 2025 and December 28, 2024, the Company was not a party to any finance lease arrangements.</w:t>
      </w:r>
    </w:p>
    <w:p>
      <w:pPr>
        <w:spacing w:after="0" w:line="68"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the Company's leases do not provide an implicit rate, the Company uses its incremental borrowing rate based on information available at the commencement date in determining the present value of lease payments. The Company uses the implicit rate when readily determinable. The operating lease ROU asset also includes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84" w:lineRule="exact"/>
        <w:rPr>
          <w:sz w:val="20"/>
          <w:szCs w:val="20"/>
          <w:color w:val="auto"/>
        </w:rPr>
      </w:pPr>
    </w:p>
    <w:p>
      <w:pPr>
        <w:ind w:right="660" w:firstLine="441"/>
        <w:spacing w:after="0" w:line="282" w:lineRule="auto"/>
        <w:rPr>
          <w:sz w:val="20"/>
          <w:szCs w:val="20"/>
          <w:color w:val="auto"/>
        </w:rPr>
      </w:pPr>
      <w:r>
        <w:rPr>
          <w:rFonts w:ascii="Times New Roman" w:cs="Times New Roman" w:eastAsia="Times New Roman" w:hAnsi="Times New Roman"/>
          <w:sz w:val="18"/>
          <w:szCs w:val="18"/>
          <w:color w:val="auto"/>
        </w:rPr>
        <w:t>Under the available practical expedient, the Company accounts for the lease and non-lease components as a single lease component.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 and Other Risks and Uncertainties</w:t>
      </w:r>
    </w:p>
    <w:p>
      <w:pPr>
        <w:spacing w:after="0" w:line="119"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deposited in demand and money market accounts. Deposits held with banks may exceed the amount of insurance provided on such deposits. Generally, these deposits may be redeemed upon demand.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13" w:name="page14"/>
    <w:bookmarkEnd w:id="13"/>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The Company markets its products to distributors and end-users throughout the world. Sales to international distributors are generally made on open credit terms and letters of credit. Management performs ongoing credit evaluations of the Company's customers and maintains a provision for potential credit losses. Historically, the Company has not experienced any significant losses related to individual customers or a group of customers in any particular geographic area. For the three and six months ended June 28, 2025, one customer, Topcon, accounted for more than 10% of total revenues, representing 32% for each period. For the for the three and six months ended June 29, 2024, one customer, Topcon, accounted for more than 10% of total revenues, representing 38% and 35%, respectively. As of June 28, 2025 and December 28, 2024, one customer, Topcon, accounted for over 10% of our accounts receivable, representing 29% for each periods.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Collected from Customers and Remitted to Governmental Authorities</w:t>
      </w:r>
    </w:p>
    <w:p>
      <w:pPr>
        <w:spacing w:after="0" w:line="119" w:lineRule="exact"/>
        <w:rPr>
          <w:sz w:val="20"/>
          <w:szCs w:val="20"/>
          <w:color w:val="auto"/>
        </w:rPr>
      </w:pPr>
    </w:p>
    <w:p>
      <w:pPr>
        <w:ind w:right="340" w:firstLine="441"/>
        <w:spacing w:after="0" w:line="282" w:lineRule="auto"/>
        <w:rPr>
          <w:sz w:val="20"/>
          <w:szCs w:val="20"/>
          <w:color w:val="auto"/>
        </w:rPr>
      </w:pPr>
      <w:r>
        <w:rPr>
          <w:rFonts w:ascii="Times New Roman" w:cs="Times New Roman" w:eastAsia="Times New Roman" w:hAnsi="Times New Roman"/>
          <w:sz w:val="18"/>
          <w:szCs w:val="18"/>
          <w:color w:val="auto"/>
        </w:rPr>
        <w:t>Taxes collected from customers and remitted to governmental authorities are recognized on a net basis in the accompanying condensed consolidated statements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19"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The Company's shipping and handling costs billed to customers are included in revenues and the associated expense is recorded in cost of revenues for all periods presented.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ind w:right="80" w:firstLine="441"/>
        <w:spacing w:after="0" w:line="289" w:lineRule="auto"/>
        <w:rPr>
          <w:sz w:val="20"/>
          <w:szCs w:val="20"/>
          <w:color w:val="auto"/>
        </w:rPr>
      </w:pPr>
      <w:r>
        <w:rPr>
          <w:rFonts w:ascii="Times New Roman" w:cs="Times New Roman" w:eastAsia="Times New Roman" w:hAnsi="Times New Roman"/>
          <w:sz w:val="17"/>
          <w:szCs w:val="17"/>
          <w:color w:val="auto"/>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spacing w:after="0" w:line="50" w:lineRule="exact"/>
        <w:rPr>
          <w:sz w:val="20"/>
          <w:szCs w:val="20"/>
          <w:color w:val="auto"/>
        </w:rPr>
      </w:pPr>
    </w:p>
    <w:p>
      <w:pPr>
        <w:ind w:right="20" w:firstLine="441"/>
        <w:spacing w:after="0" w:line="278" w:lineRule="auto"/>
        <w:rPr>
          <w:sz w:val="20"/>
          <w:szCs w:val="20"/>
          <w:color w:val="auto"/>
        </w:rPr>
      </w:pPr>
      <w:r>
        <w:rPr>
          <w:rFonts w:ascii="Times New Roman" w:cs="Times New Roman" w:eastAsia="Times New Roman" w:hAnsi="Times New Roman"/>
          <w:sz w:val="18"/>
          <w:szCs w:val="18"/>
          <w:color w:val="auto"/>
        </w:rPr>
        <w:t>A reconciliation of the changes in the Company’s deferred revenue balance for the six months ended June 28, 2025 and June 29, 2024, is as follows:</w:t>
      </w: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54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00" w:type="dxa"/>
            <w:vAlign w:val="bottom"/>
          </w:tcPr>
          <w:p>
            <w:pPr>
              <w:spacing w:after="0"/>
              <w:rPr>
                <w:sz w:val="17"/>
                <w:szCs w:val="17"/>
                <w:color w:val="auto"/>
              </w:rPr>
            </w:pPr>
          </w:p>
        </w:tc>
      </w:tr>
      <w:tr>
        <w:trPr>
          <w:trHeight w:val="210"/>
        </w:trPr>
        <w:tc>
          <w:tcPr>
            <w:tcW w:w="55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40" w:type="dxa"/>
            <w:vAlign w:val="bottom"/>
            <w:shd w:val="clear" w:color="auto" w:fill="CFF0FC"/>
          </w:tcPr>
          <w:p>
            <w:pPr>
              <w:jc w:val="right"/>
              <w:ind w:right="128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10,526</w:t>
            </w:r>
          </w:p>
        </w:tc>
        <w:tc>
          <w:tcPr>
            <w:tcW w:w="5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12,429</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deferral</w:t>
            </w:r>
          </w:p>
        </w:tc>
        <w:tc>
          <w:tcPr>
            <w:tcW w:w="14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55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4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(1,556)</w:t>
            </w:r>
          </w:p>
        </w:tc>
      </w:tr>
      <w:tr>
        <w:trPr>
          <w:trHeight w:val="20"/>
        </w:trPr>
        <w:tc>
          <w:tcPr>
            <w:tcW w:w="5540" w:type="dxa"/>
            <w:vAlign w:val="bottom"/>
            <w:tcBorders>
              <w:right w:val="single" w:sz="8" w:color="CFF0FC"/>
            </w:tcBorders>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the period</w:t>
            </w:r>
          </w:p>
        </w:tc>
        <w:tc>
          <w:tcPr>
            <w:tcW w:w="1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11,551</w:t>
            </w:r>
          </w:p>
        </w:tc>
      </w:tr>
      <w:tr>
        <w:trPr>
          <w:trHeight w:val="216"/>
        </w:trPr>
        <w:tc>
          <w:tcPr>
            <w:tcW w:w="55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portion of deferred revenue</w:t>
            </w:r>
          </w:p>
        </w:tc>
        <w:tc>
          <w:tcPr>
            <w:tcW w:w="1440" w:type="dxa"/>
            <w:vAlign w:val="bottom"/>
            <w:shd w:val="clear" w:color="auto" w:fill="CFF0FC"/>
          </w:tcPr>
          <w:p>
            <w:pPr>
              <w:spacing w:after="0"/>
              <w:rPr>
                <w:sz w:val="18"/>
                <w:szCs w:val="18"/>
                <w:color w:val="auto"/>
              </w:rPr>
            </w:pPr>
          </w:p>
        </w:tc>
        <w:tc>
          <w:tcPr>
            <w:tcW w:w="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9,261</w:t>
            </w: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440" w:type="dxa"/>
            <w:vAlign w:val="bottom"/>
            <w:tcBorders>
              <w:top w:val="single" w:sz="8" w:color="auto"/>
              <w:bottom w:val="single" w:sz="8" w:color="auto"/>
            </w:tcBorders>
          </w:tcPr>
          <w:p>
            <w:pPr>
              <w:jc w:val="right"/>
              <w:ind w:right="128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-453390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-453390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260" w:firstLine="441"/>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28, 2025 and June 29, 2024, approximately $1.2 million and $1.4 million was recognized pertaining to amounts deferred as of December 28, 2024 and December 30, 2023, respectively. As of June 28, 2025, approximately $7.5 million of the non-current portion of deferred revenue and $1.5 million of the current portion of deferred revenue pertain to exclusivity distribution rights deferred revenue.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spacing w:after="0" w:line="72"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As warranty reserves do not meet the criteria to have separate captions on the face of the condensed consolidated balance sheet, we removed these captions and included those amounts in other current and long-term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Costs Incurred in a Cloud Computing Service Arrangement</w:t>
      </w:r>
    </w:p>
    <w:p>
      <w:pPr>
        <w:spacing w:after="0" w:line="119"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color w:val="auto"/>
        </w:rPr>
        <w:t>In 2023, the Company completed implementing its new enterprise resource planning (“ERP”) system. The new ERP system operates in a cloud-based environment. The Company concluded that this cloud computing arrangement does not include a license, and therefore, will account for this arrangement as one that is a service contract. The Company capitalized $1.1 million in implementation costs and began utilizing the ERP system near the end of the third quarter of 2023 and is recognizing amortization of the capitalized implementation costs over five years on a straight-line basis. Amortization expense was approximately $113 thousand for each of the six months ended June 28, 2025 and June 29,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19" w:lineRule="exact"/>
        <w:rPr>
          <w:sz w:val="20"/>
          <w:szCs w:val="20"/>
          <w:color w:val="auto"/>
        </w:rPr>
      </w:pPr>
    </w:p>
    <w:p>
      <w:pPr>
        <w:ind w:right="40" w:firstLine="441"/>
        <w:spacing w:after="0" w:line="289"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ASU 2023-09 “Income Taxes (Topics 740):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to expand the disclosure requirements for income taxes, specifically related to the 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reconciliation and income taxes paid. ASU 2023-09 is effective for the Company's annual periods after December 15, 2024, with early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14" w:name="page15"/>
    <w:bookmarkEnd w:id="14"/>
    <w:p>
      <w:pPr>
        <w:ind w:right="240"/>
        <w:spacing w:after="0" w:line="282" w:lineRule="auto"/>
        <w:rPr>
          <w:sz w:val="20"/>
          <w:szCs w:val="20"/>
          <w:color w:val="auto"/>
        </w:rPr>
      </w:pPr>
      <w:r>
        <w:rPr>
          <w:rFonts w:ascii="Times New Roman" w:cs="Times New Roman" w:eastAsia="Times New Roman" w:hAnsi="Times New Roman"/>
          <w:sz w:val="18"/>
          <w:szCs w:val="18"/>
          <w:color w:val="auto"/>
        </w:rPr>
        <w:t>adoption permitted. The Company is currently evaluating the potential effect that the updated standard will have on its consolidated financial statement disclosures.</w:t>
      </w:r>
    </w:p>
    <w:p>
      <w:pPr>
        <w:spacing w:after="0" w:line="162"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disclosure of disaggregated information about certain income statement expense line items on an annual and interim basis. This update will be effective for fiscal years beginning after December 15, 2026, and interim periods within fiscal years beginning after December 15, 2027. Early adoption is permitted. As this accounting standard only impacts disclosures, it will not have a material impact on the Company’s consolidated financial statements.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3. Accounts Receivable and Provision for Credit Losses</w:t>
      </w:r>
    </w:p>
    <w:p>
      <w:pPr>
        <w:spacing w:after="0" w:line="121"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The Company has trade receivables with various individual customers such as private businesses, hospitals, universities, government and non-profit entities, and distributors. The Company has determined that geography is the similar risk characteristic to pool our trade receivables balances, and accordingly, groups such balances into either the domestic pool or the international pool. The domestic pool is primarily comprised of individual customers, and the international pool is primarily comprised of distributors.</w:t>
      </w:r>
    </w:p>
    <w:p>
      <w:pPr>
        <w:spacing w:after="0" w:line="72"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provision for credit losses represents an estimate of the lifetime expected credit losses inherent in trade receivables as of the consolidated balance sheet date. The Company assesses the adequacy of the provision for credit losses on a quarterly basis based on historical information and current economic conditions and forecasts. Subsequent changes in the provision for credit losses are recorded in current earnings and reversal of previous losses are permitted under the current guidance.</w:t>
      </w:r>
    </w:p>
    <w:p>
      <w:pPr>
        <w:spacing w:after="0" w:line="7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While the Company believes it has exercised prudent judgment and applied reasonable assumptions, there can be no assurance that in the future, changes in economic conditions or other factors would not cause changes in the financial health of its customers. If the financial health of the Company's customers deteriorates, the timing and level of payments received could be impacted and therefore, could result in a change to our estimated losses.</w:t>
      </w:r>
    </w:p>
    <w:p>
      <w:pPr>
        <w:spacing w:after="0" w:line="72"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color w:val="auto"/>
        </w:rPr>
        <w:t>The following table presents the activity in the provision for credit losses for accounts receivable by pool type for the six months ended June 28, 2025 (in thousands):</w:t>
      </w:r>
    </w:p>
    <w:tbl>
      <w:tblPr>
        <w:tblLayout w:type="fixed"/>
        <w:tblInd w:w="0" w:type="dxa"/>
        <w:tblCellMar>
          <w:top w:w="0" w:type="dxa"/>
          <w:left w:w="0" w:type="dxa"/>
          <w:bottom w:w="0" w:type="dxa"/>
          <w:right w:w="0" w:type="dxa"/>
        </w:tblCellMar>
      </w:tblPr>
      <w:tr>
        <w:trPr>
          <w:trHeight w:val="156"/>
        </w:trPr>
        <w:tc>
          <w:tcPr>
            <w:tcW w:w="4540" w:type="dxa"/>
            <w:vAlign w:val="bottom"/>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Domestic</w:t>
            </w:r>
          </w:p>
        </w:tc>
        <w:tc>
          <w:tcPr>
            <w:tcW w:w="4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180" w:type="dxa"/>
            <w:vAlign w:val="bottom"/>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(114)</w:t>
            </w:r>
          </w:p>
        </w:tc>
        <w:tc>
          <w:tcPr>
            <w:tcW w:w="4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Change to provision</w:t>
            </w:r>
          </w:p>
        </w:tc>
        <w:tc>
          <w:tcPr>
            <w:tcW w:w="1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11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50"/>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100" w:type="dxa"/>
            <w:vAlign w:val="bottom"/>
            <w:tcBorders>
              <w:top w:val="single" w:sz="8" w:color="auto"/>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3834130</wp:posOffset>
            </wp:positionH>
            <wp:positionV relativeFrom="paragraph">
              <wp:posOffset>-24765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-7620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-170815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-24765</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-7620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-170815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4. Related Party - Topcon</w:t>
      </w:r>
    </w:p>
    <w:p>
      <w:pPr>
        <w:spacing w:after="0" w:line="121"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As of June 28, 2025, Topcon holds a 10% voting interest in the Company, which qualifies it to be a principal owner and considered a related party, even though it does not have significant influence over the Company’s operations.</w:t>
      </w:r>
    </w:p>
    <w:p>
      <w:pPr>
        <w:spacing w:after="0" w:line="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Topcon resells certain of our products as our exclusive distributor in certain international regions. At the same time, the Company also purchases certain raw materials from Topcon. During the three and six months ended June 28, 2025, the Company’s revenues related to Topcon amounted to approximately $4.5 million and $8.1 million, respectively, including $0.3 million and $0.7 million, respectively, in recognized exclusive distribution rights revenue. During the three and six months ended June 29, 2024, the Company’s revenues related to Topcon amounted to approximately $4.1 million and $7.4 million, respectively, including $0.4 million and $0.7 million, respectively, in recognized exclusive distribution rights revenue. The Company’s purchases from Topcon during the three and six months ended June 28, 2025 amounted to approximately $0 and $0.3 million, respectively. As of June 28, 2025, the amounts receivable from and payable to Topcon were $2.9 million and $0.4 million, respectively. As of December 28, 2024, the amounts receivable from and payable to Topcon were $2.5 million and $0.6 million,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the Company’s inventories as of June 28, 2025 and December 28, 2024 are as follows:</w:t>
      </w:r>
    </w:p>
    <w:p>
      <w:pPr>
        <w:spacing w:after="0" w:line="219"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80" w:type="dxa"/>
            <w:vAlign w:val="bottom"/>
          </w:tcPr>
          <w:p>
            <w:pPr>
              <w:spacing w:after="0"/>
              <w:rPr>
                <w:sz w:val="15"/>
                <w:szCs w:val="15"/>
                <w:color w:val="auto"/>
              </w:rPr>
            </w:pPr>
          </w:p>
        </w:tc>
      </w:tr>
      <w:tr>
        <w:trPr>
          <w:trHeight w:val="21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80" w:type="dxa"/>
            <w:vAlign w:val="bottom"/>
            <w:shd w:val="clear" w:color="auto" w:fill="CFF0FC"/>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80" w:type="dxa"/>
            <w:vAlign w:val="bottom"/>
          </w:tcPr>
          <w:p>
            <w:pPr>
              <w:spacing w:after="0"/>
              <w:rPr>
                <w:sz w:val="18"/>
                <w:szCs w:val="18"/>
                <w:color w:val="auto"/>
              </w:rPr>
            </w:pPr>
          </w:p>
        </w:tc>
      </w:tr>
      <w:tr>
        <w:trPr>
          <w:trHeight w:val="230"/>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80" w:type="dxa"/>
            <w:vAlign w:val="bottom"/>
            <w:shd w:val="clear" w:color="auto" w:fill="CFF0FC"/>
          </w:tcPr>
          <w:p>
            <w:pPr>
              <w:spacing w:after="0"/>
              <w:rPr>
                <w:sz w:val="19"/>
                <w:szCs w:val="19"/>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4460240</wp:posOffset>
            </wp:positionH>
            <wp:positionV relativeFrom="paragraph">
              <wp:posOffset>-24765</wp:posOffset>
            </wp:positionV>
            <wp:extent cx="431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-7620</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5514340</wp:posOffset>
            </wp:positionH>
            <wp:positionV relativeFrom="paragraph">
              <wp:posOffset>-24765</wp:posOffset>
            </wp:positionV>
            <wp:extent cx="431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5514340</wp:posOffset>
            </wp:positionH>
            <wp:positionV relativeFrom="paragraph">
              <wp:posOffset>-7620</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carrying value of goodwill was $1.0 million as of both June 28, 2025 and December 28,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15" w:name="page16"/>
    <w:bookmarkEnd w:id="15"/>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2025 and determined that its goodwill was not impaired.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w:t>
      </w:r>
      <w:r>
        <w:rPr>
          <w:rFonts w:ascii="Times New Roman" w:cs="Times New Roman" w:eastAsia="Times New Roman" w:hAnsi="Times New Roman"/>
          <w:sz w:val="18"/>
          <w:szCs w:val="18"/>
          <w:color w:val="auto"/>
        </w:rPr>
        <w:t>ble Assets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components of gross and net of intangible assets carrying amounts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00" w:type="dxa"/>
            <w:vAlign w:val="bottom"/>
          </w:tcPr>
          <w:p>
            <w:pPr>
              <w:spacing w:after="0"/>
              <w:rPr>
                <w:sz w:val="10"/>
                <w:szCs w:val="10"/>
                <w:color w:val="auto"/>
              </w:rPr>
            </w:pPr>
          </w:p>
        </w:tc>
        <w:tc>
          <w:tcPr>
            <w:tcW w:w="118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40" w:type="dxa"/>
            <w:vAlign w:val="bottom"/>
          </w:tcPr>
          <w:p>
            <w:pPr>
              <w:spacing w:after="0"/>
              <w:rPr>
                <w:sz w:val="10"/>
                <w:szCs w:val="10"/>
                <w:color w:val="auto"/>
              </w:rPr>
            </w:pPr>
          </w:p>
        </w:tc>
        <w:tc>
          <w:tcPr>
            <w:tcW w:w="82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0"/>
                <w:szCs w:val="10"/>
                <w:color w:val="auto"/>
              </w:rPr>
            </w:pPr>
          </w:p>
        </w:tc>
        <w:tc>
          <w:tcPr>
            <w:tcW w:w="80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Customer relations</w:t>
            </w:r>
          </w:p>
        </w:tc>
        <w:tc>
          <w:tcPr>
            <w:tcW w:w="140" w:type="dxa"/>
            <w:vAlign w:val="bottom"/>
          </w:tcPr>
          <w:p>
            <w:pPr>
              <w:spacing w:after="0"/>
              <w:rPr>
                <w:sz w:val="15"/>
                <w:szCs w:val="15"/>
                <w:color w:val="auto"/>
              </w:rPr>
            </w:pP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1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8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16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118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8"/>
                <w:szCs w:val="18"/>
                <w:color w:val="auto"/>
                <w:w w:val="99"/>
              </w:rPr>
              <w:t>2.67 Years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440" w:type="dxa"/>
            <w:vAlign w:val="bottom"/>
            <w:tcBorders>
              <w:top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Developed</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jc w:val="center"/>
              <w:ind w:right="77"/>
              <w:spacing w:after="0"/>
              <w:rPr>
                <w:sz w:val="20"/>
                <w:szCs w:val="20"/>
                <w:color w:val="auto"/>
              </w:rPr>
            </w:pPr>
            <w:r>
              <w:rPr>
                <w:rFonts w:ascii="Times New Roman" w:cs="Times New Roman" w:eastAsia="Times New Roman" w:hAnsi="Times New Roman"/>
                <w:sz w:val="18"/>
                <w:szCs w:val="18"/>
                <w:color w:val="auto"/>
                <w:w w:val="99"/>
              </w:rPr>
              <w:t>3.68 Years</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18"/>
                <w:szCs w:val="18"/>
                <w:color w:val="auto"/>
              </w:rPr>
            </w:pPr>
          </w:p>
        </w:tc>
        <w:tc>
          <w:tcPr>
            <w:tcW w:w="118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9"/>
              </w:rPr>
              <w:t>4.67 Years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520" w:type="dxa"/>
            <w:vAlign w:val="bottom"/>
            <w:gridSpan w:val="2"/>
            <w:shd w:val="clear" w:color="auto" w:fill="CFF0FC"/>
          </w:tcPr>
          <w:p>
            <w:pPr>
              <w:jc w:val="right"/>
              <w:ind w:right="16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540" w:type="dxa"/>
            <w:vAlign w:val="bottom"/>
            <w:gridSpan w:val="3"/>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-25400</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1673860</wp:posOffset>
            </wp:positionH>
            <wp:positionV relativeFrom="paragraph">
              <wp:posOffset>-8255</wp:posOffset>
            </wp:positionV>
            <wp:extent cx="596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-25400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-8255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-25400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-8255</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-25400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4639945</wp:posOffset>
            </wp:positionH>
            <wp:positionV relativeFrom="paragraph">
              <wp:posOffset>-8255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-25400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-8255</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-8255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t>Amortization expense for the six months ended June 28, 2025, and June 29, 2024 was $163 thousand and $167 thousand, respectively.</w:t>
      </w:r>
    </w:p>
    <w:p>
      <w:pPr>
        <w:spacing w:after="0" w:line="54"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The amortization of developed technology was charged to research and development expense and the amortization of customer relations and trade names was charged to sales and marketing expense. Estimated future amortization expense for purchased intangible assets is as follows (in thousands):</w:t>
      </w:r>
    </w:p>
    <w:p>
      <w:pPr>
        <w:spacing w:after="0" w:line="194"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w:t>
            </w:r>
          </w:p>
        </w:tc>
        <w:tc>
          <w:tcPr>
            <w:tcW w:w="7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Remainder of 2025 (six months)</w:t>
            </w:r>
          </w:p>
        </w:tc>
        <w:tc>
          <w:tcPr>
            <w:tcW w:w="76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7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6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-170815</wp:posOffset>
            </wp:positionV>
            <wp:extent cx="431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180" w:firstLine="441"/>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81" w:lineRule="exact"/>
        <w:rPr>
          <w:sz w:val="20"/>
          <w:szCs w:val="20"/>
          <w:color w:val="auto"/>
        </w:rPr>
      </w:pPr>
    </w:p>
    <w:p>
      <w:pPr>
        <w:ind w:left="880" w:hanging="435"/>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w:t>
      </w:r>
    </w:p>
    <w:p>
      <w:pPr>
        <w:spacing w:after="0" w:line="117" w:lineRule="exact"/>
        <w:rPr>
          <w:rFonts w:ascii="Times New Roman" w:cs="Times New Roman" w:eastAsia="Times New Roman" w:hAnsi="Times New Roman"/>
          <w:sz w:val="18"/>
          <w:szCs w:val="18"/>
          <w:color w:val="auto"/>
        </w:rPr>
      </w:pPr>
    </w:p>
    <w:p>
      <w:pPr>
        <w:ind w:left="880" w:right="220" w:hanging="435"/>
        <w:spacing w:after="0" w:line="256"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16" w:name="page17"/>
    <w:bookmarkEnd w:id="16"/>
    <w:p>
      <w:pPr>
        <w:ind w:left="880" w:right="340" w:hanging="435"/>
        <w:spacing w:after="0" w:line="266"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68"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54"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accounts receivable, accounts payable, and accrued expenses as of June 28, 2025 and December 28, 2024, approximate fair value because of the short maturity of these instruments.</w:t>
      </w:r>
    </w:p>
    <w:p>
      <w:pPr>
        <w:spacing w:after="0" w:line="68" w:lineRule="exact"/>
        <w:rPr>
          <w:sz w:val="20"/>
          <w:szCs w:val="20"/>
          <w:color w:val="auto"/>
        </w:rPr>
      </w:pPr>
    </w:p>
    <w:p>
      <w:pPr>
        <w:ind w:right="340" w:firstLine="441"/>
        <w:spacing w:after="0" w:line="282" w:lineRule="auto"/>
        <w:rPr>
          <w:sz w:val="20"/>
          <w:szCs w:val="20"/>
          <w:color w:val="auto"/>
        </w:rPr>
      </w:pPr>
      <w:r>
        <w:rPr>
          <w:rFonts w:ascii="Times New Roman" w:cs="Times New Roman" w:eastAsia="Times New Roman" w:hAnsi="Times New Roman"/>
          <w:sz w:val="18"/>
          <w:szCs w:val="18"/>
          <w:color w:val="auto"/>
        </w:rPr>
        <w:t>As of June 28, 2025 and December 28, 2024, financial assets measured and recognized at fair value on a recurring basis and classified under the appropriate level of the fair value hierarchy as described above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28, 2025</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28, 2024</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8"/>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7"/>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9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96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t>The Company’s Level 1 financial assets are money market funds whose fair values are based on quoted market prices. The Company does not have any Level 2 and Level 3 financial assets or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 and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Company's operating leases consist of facility and office equipment leases. Operating lease expenses for each of the six months ended June 28, 2025 and June 29, 2024 was $0.5 million. Cash paid for operating leases totaled $0.5 million and $0.6 million for the six months ended June 28, 2025 and June 29, 2024. The weighted average discount rate used in calculating the present value of lease payments was 4.8%. As of June 28, 2025, the weighted average remaining lease term for our operating leases was 1.25 years.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June 28, 2025 (in thousands):</w:t>
      </w:r>
    </w:p>
    <w:tbl>
      <w:tblPr>
        <w:tblLayout w:type="fixed"/>
        <w:tblInd w:w="0" w:type="dxa"/>
        <w:tblCellMar>
          <w:top w:w="0" w:type="dxa"/>
          <w:left w:w="0" w:type="dxa"/>
          <w:bottom w:w="0" w:type="dxa"/>
          <w:right w:w="0" w:type="dxa"/>
        </w:tblCellMar>
      </w:tblPr>
      <w:tr>
        <w:trPr>
          <w:trHeight w:val="151"/>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2"/>
          </w:tcPr>
          <w:p>
            <w:pPr>
              <w:jc w:val="right"/>
              <w:ind w:right="940"/>
              <w:spacing w:after="0" w:line="15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70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Lease Payments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 (six months)</w:t>
            </w:r>
          </w:p>
        </w:tc>
        <w:tc>
          <w:tcPr>
            <w:tcW w:w="6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0"/>
        </w:trPr>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6114415</wp:posOffset>
            </wp:positionH>
            <wp:positionV relativeFrom="paragraph">
              <wp:posOffset>-728345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-170815</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The Company's purchase commitments consist primarily of non-cancellable purchase commitments with vendors to manufacture certain components and ophthalmic instrumentation. As of June 28, 2025, the Company's future minimum payments through fiscal year 2025 for its purchase commitments were approximately $19.8 million, with $11.2 million committed for the next 12 months.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Indemnities</w:t>
      </w:r>
    </w:p>
    <w:p>
      <w:pPr>
        <w:spacing w:after="0" w:line="11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parties (generally the Company's business partners or customers) in connection with any trade secret, copyright, patent or other intellectual property infringement claim by any third-party with respect to the Company's products. The term of these indemnification agreements is generally perpetual any time after the execution of the agreement. The maximum potential amount of future payments that the Company could be required to make under these agreements is not determinable. The Company has never incurred costs to defend lawsuits or settle claims related to these indemnification agreements. As a result, the Company believes the estimated fair value of these agreements is minimal.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17" w:name="page18"/>
    <w:bookmarkEnd w:id="17"/>
    <w:p>
      <w:pPr>
        <w:ind w:right="200" w:firstLine="441"/>
        <w:spacing w:after="0" w:line="25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the Company to obtain directors and officers insurance. The Company currently has directors and officers liability insurance.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the ordinary course of business. Although the results of litigation and claims cannot be predicted with certainty, the Company currently believes that the final outcome of these ordinary course matters will not have a material adverse effect on our business, condensed consolidated operating results, financial condition or cash flows. Regardless of the outcome, litigation can have an adverse impact on the Company because of defense and settlement costs, diversion of management resources and other factors.</w:t>
      </w:r>
    </w:p>
    <w:p>
      <w:pPr>
        <w:spacing w:after="0" w:line="166" w:lineRule="exact"/>
        <w:rPr>
          <w:sz w:val="20"/>
          <w:szCs w:val="20"/>
          <w:color w:val="auto"/>
        </w:rPr>
      </w:pPr>
    </w:p>
    <w:p>
      <w:pPr>
        <w:ind w:left="180" w:hanging="176"/>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Convertible Preferred Shares and Convertible Debt</w:t>
      </w:r>
    </w:p>
    <w:p>
      <w:pPr>
        <w:spacing w:after="0" w:line="121"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On March 18, 2025, the Company filed a Certificate of Designation, Preferences and Rights of the Series B Preferred Stock (the “Series B Certificate of Designation”) authorizing the Company to issue up to 1,000,000 shares of authorized undesignated preferred stock as shares of Series B Preferred stock, par value $0.01 per share (the “Series B Preferred Stock”). At the Company’s annual meeting of stockholders held on June 11, 2025 (the “Annual Meeting”), the Company’s stockholders approved an amendment and restatement of the Company’s Amended and Restated Certificate of Incorporation (the “Charter”) in the form of the Amended and Restated Certificate of Incorporation (the “Restated Charter”) which, among other matters, authorized 1,000,000 shares are designated as Series B Preferred Stock and 1,000,000 shares of undesignated preferred stock, for a total of 2,000,000 shares of preferred stock and reestablished the designations, powers, preferences and relative and other special rights and the qualifications, limitations and restrictions of the preferred stock, including the Company's Series B Preferred Stock, which, with respect to the Series B Preferred Stock and except as noted in the Company's definitive proxy statement filed with the SEC on April 28, 2025 as supplemented by its definitive additional materials filed with the SEC on May 20, 2025 and June 2, 2025, are substantially the same rights for the Series B Preferred Stock as are provided for pursuant to the Series B Certificate of Designation. Following the stockholders’ approval of the form of Restated Charter, the Company filed the Restated Charter with the Secretary of State of the State of Delaware on June 11, 2025. Also, with the approval of the Restated Charter, certain provisions related to the Series B Preferred Stock were revised, allowing the Series B Preferred Stock to now meet the definition of permanent equity from an accounting perspective. As a result, Company reclassified the Series B Preferred Stock from mezzanine equity to permanent equity in the second fiscal quarter of 2025.</w:t>
      </w:r>
    </w:p>
    <w:p>
      <w:pPr>
        <w:spacing w:after="0" w:line="87" w:lineRule="exact"/>
        <w:rPr>
          <w:sz w:val="20"/>
          <w:szCs w:val="20"/>
          <w:color w:val="auto"/>
        </w:rPr>
      </w:pPr>
    </w:p>
    <w:p>
      <w:pPr>
        <w:ind w:right="40" w:firstLine="441"/>
        <w:spacing w:after="0" w:line="255" w:lineRule="auto"/>
        <w:rPr>
          <w:sz w:val="20"/>
          <w:szCs w:val="20"/>
          <w:color w:val="auto"/>
        </w:rPr>
      </w:pPr>
      <w:r>
        <w:rPr>
          <w:rFonts w:ascii="Times New Roman" w:cs="Times New Roman" w:eastAsia="Times New Roman" w:hAnsi="Times New Roman"/>
          <w:sz w:val="18"/>
          <w:szCs w:val="18"/>
          <w:color w:val="auto"/>
        </w:rPr>
        <w:t>On March 19, 2025, the Company entered into a securities purchase agreement (the “Novel Securities Agreement”) and a Note Purchase Agreement (the “Novel Note Purchase Agreement”) with Novel Inspirational International Co., Ltd. (“Novel”). Pursuant to the Novel Securities Agreement and the Novel Note Purchase Agreement, the Company issued 600,000 shares of its Series B Preferred Stock at $10.00 per share, initially convertible into 3,000,000 shares of the Company’s common stock, par value $0.01 per share and an initial convertible promissory note in an aggregate principal amount of $4,000,000 (the “Initial Novel Note” and together with the Novel Growth Notes (as defined below), the “Novel Notes”). The Initial Novel Note is convertible into 400,000 shares of the Company’s Series B Preferred Stock.</w:t>
      </w:r>
    </w:p>
    <w:p>
      <w:pPr>
        <w:spacing w:after="0" w:line="8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Concurrently with the purchase of the shares of Series B Preferred Stock and the Initial Novel Note, the Company also entered into an Investor Rights Agreement and an amendment to the Investor Rights Agreement (together, the “Rights Agreement”) with Novel, pursuant to which the Company has agreed to, among other matters, grant Novel certain rights, including: (i) registration rights and indemnification obligations related thereto; (ii) subject to certain restrictions (including satisfying certain beneficial ownership thresholds), the right to appoint and maintain two individuals to the Company’s board of directors; and (iii) the right to approve certain corporate actions of the Company.</w:t>
      </w:r>
    </w:p>
    <w:p>
      <w:pPr>
        <w:spacing w:after="0" w:line="7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The Initial Novel Note has a 36-month term and will bear interest at 12% per annum. Interest on the Initial Novel Note will be payable quarterly on the first business day of each calendar quarter, beginning on July 1, 2025, in a number of shares of the common stock equal to (i) the accrued and unpaid interest due on the applicable interest payment date divided by (ii) the greater of (a) the average closing price of the common stock for each trading day after March 19, 2025 in the calendar quarter immediately preceding such interest payment date and (b) a price floor of $0.21. The Initial Novel Note is convertible at Novel’s option into shares of the Series B Preferred Stock at an initial conversion price of $10.00, subject to adjustments set forth in the Initial Novel Note. In addition, the Company incurred $0.4 million in debt issuance costs. For the six months ended June 28, 2025, $34 thousand of debt issuance costs were recorded on a straight-line basis over the term of the loan. The accretion of debt issuance costs under that under method is deemed materially consistent with the effective interest rate method.</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represents the payments of notes payable as of June 28, 2025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3"/>
        </w:trPr>
        <w:tc>
          <w:tcPr>
            <w:tcW w:w="7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5"/>
                <w:szCs w:val="15"/>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 (six months)</w:t>
            </w:r>
          </w:p>
        </w:tc>
        <w:tc>
          <w:tcPr>
            <w:tcW w:w="72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r>
      <w:tr>
        <w:trPr>
          <w:trHeight w:val="249"/>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payments</w:t>
            </w:r>
          </w:p>
        </w:tc>
        <w:tc>
          <w:tcPr>
            <w:tcW w:w="2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6114415</wp:posOffset>
            </wp:positionH>
            <wp:positionV relativeFrom="paragraph">
              <wp:posOffset>-25400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212529"/>
        </w:rPr>
        <w:t>In addition to the Initial Novel Note, Novel has the right to purchase additional convertible promissory notes (the “Growth Notes”) in an aggregate principal amount of $10,000,000. The Growth Notes are issuable in three installments, with one third of the aggregate principal amount issuable upon each yearly anniversary after March 19, 2025.</w:t>
      </w:r>
    </w:p>
    <w:p>
      <w:pPr>
        <w:spacing w:after="0" w:line="68"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212529"/>
        </w:rPr>
        <w:t>On March 18, 2025, the Company also entered into that certain repayment notice (the “Repayment Notice”) with Lind Global Asset Management IX LLC (“Lind”). Pursuant to the Repayment Notice and upon the subsequent delivery of a cash payment to Lind, the Company thereafter fully discharged its outstanding obligations (other than certain indemnification obligations that survived pursuant to the terms of the Repayment Notice) under that certain Securities Purchase Agreement, dated August 4, 2024, by and between the Company and Lind, and terminated the Senior Convertible Promissory Note, dated August 7, 2024, issued by the Company to Lind thereunder (the “Lind Note”). As a result of the early repayment of the Lind Note on March 19, 2025, the Company recognized a loss of $1.3 million on the extinguishment of the convertible note payable, reflected in the condensed consolidated statements of operations as other expense, net.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granted to employees and directors, including stock option awards, restricted stock and restricted stock units (“RSUs”) in accordance with FASB ASC Topic 718</w:t>
      </w:r>
      <w:r>
        <w:rPr>
          <w:rFonts w:ascii="Times New Roman" w:cs="Times New Roman" w:eastAsia="Times New Roman" w:hAnsi="Times New Roman"/>
          <w:sz w:val="18"/>
          <w:szCs w:val="18"/>
          <w:i w:val="1"/>
          <w:iCs w:val="1"/>
          <w:color w:val="auto"/>
        </w:rPr>
        <w:t>, “Compensation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Accordingly, stock-based compensation cost is measured at grant date, based on the fair value of the award,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as an expense over the employee’s service period. The Company recognizes compensation expense on a ratable basis over the requisite service period of the award.</w:t>
      </w:r>
    </w:p>
    <w:p>
      <w:pPr>
        <w:spacing w:after="0" w:line="75"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2008 Equity Incentive Plan, as amended.</w:t>
      </w:r>
    </w:p>
    <w:p>
      <w:pPr>
        <w:spacing w:after="0" w:line="119"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The Company’s stockholders approved an amendment to the Amended and Restated 2008 Equity Incentive Plan (the “Plan”) at the annual stockholders’ meeting in June 2025, which among other things, added 1,000,000 shares to the plan and extended the term of the Plan. The terms of awards granted during the six months ended June 28, 2025 were consistent with those described in the consolidated financial statements included in our Annual Report on Form 10-K for the year ended December 28, 2024.</w:t>
      </w:r>
    </w:p>
    <w:p>
      <w:pPr>
        <w:spacing w:after="0" w:line="72"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shows stock-based compensation expense included in the condensed consolidated statements of operations for the three and six months ended June 28, 2025 and June 29, 2024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3220" w:type="dxa"/>
            <w:vAlign w:val="bottom"/>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18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00" w:type="dxa"/>
            <w:vAlign w:val="bottom"/>
          </w:tcPr>
          <w:p>
            <w:pPr>
              <w:spacing w:after="0"/>
              <w:rPr>
                <w:sz w:val="15"/>
                <w:szCs w:val="15"/>
                <w:color w:val="auto"/>
              </w:rPr>
            </w:pPr>
          </w:p>
        </w:tc>
      </w:tr>
      <w:tr>
        <w:trPr>
          <w:trHeight w:val="210"/>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20" w:type="dxa"/>
            <w:vAlign w:val="bottom"/>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3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13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3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20" w:type="dxa"/>
            <w:vAlign w:val="bottom"/>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-24765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3079750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4279900</wp:posOffset>
            </wp:positionH>
            <wp:positionV relativeFrom="paragraph">
              <wp:posOffset>-24765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4279900</wp:posOffset>
            </wp:positionH>
            <wp:positionV relativeFrom="paragraph">
              <wp:posOffset>-7620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-24765</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-7620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-24765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6114415</wp:posOffset>
            </wp:positionH>
            <wp:positionV relativeFrom="paragraph">
              <wp:posOffset>-7620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Stock-based compensation expense capitalized to inventory was immaterial for the six months ended June 28, 2025 and June 29,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9" w:lineRule="exact"/>
        <w:rPr>
          <w:sz w:val="20"/>
          <w:szCs w:val="20"/>
          <w:color w:val="auto"/>
        </w:rPr>
      </w:pPr>
    </w:p>
    <w:p>
      <w:pPr>
        <w:ind w:right="60" w:firstLine="441"/>
        <w:spacing w:after="0" w:line="312" w:lineRule="auto"/>
        <w:rPr>
          <w:sz w:val="20"/>
          <w:szCs w:val="20"/>
          <w:color w:val="auto"/>
        </w:rPr>
      </w:pPr>
      <w:r>
        <w:rPr>
          <w:rFonts w:ascii="Times New Roman" w:cs="Times New Roman" w:eastAsia="Times New Roman" w:hAnsi="Times New Roman"/>
          <w:sz w:val="17"/>
          <w:szCs w:val="17"/>
          <w:color w:val="auto"/>
        </w:rPr>
        <w:t>As of June 28, 2025, there was $1.4 million of total unrecognized compensation cost, net of expected forfeitures, related to non-vested stock-based compensation arrangements. The cost is expected to be recognized over a weighted average period of 2.00 years.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6" w:right="10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Summary of Stock Options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stock options information during the six months ended June 28, 2025:</w:t>
      </w:r>
    </w:p>
    <w:p>
      <w:pPr>
        <w:spacing w:after="0" w:line="20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4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9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3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28, 2024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1,692,707</w:t>
            </w: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710,805</w:t>
            </w:r>
          </w:p>
        </w:tc>
        <w:tc>
          <w:tcPr>
            <w:tcW w:w="140" w:type="dxa"/>
            <w:vAlign w:val="bottom"/>
          </w:tcPr>
          <w:p>
            <w:pPr>
              <w:spacing w:after="0"/>
              <w:rPr>
                <w:sz w:val="18"/>
                <w:szCs w:val="18"/>
                <w:color w:val="auto"/>
              </w:rPr>
            </w:pPr>
          </w:p>
        </w:tc>
        <w:tc>
          <w:tcPr>
            <w:tcW w:w="10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Canceled or forfeited</w:t>
            </w: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(181,758)</w:t>
            </w:r>
          </w:p>
        </w:tc>
        <w:tc>
          <w:tcPr>
            <w:tcW w:w="10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June 28, 2025</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2,221,754</w:t>
            </w:r>
          </w:p>
        </w:tc>
        <w:tc>
          <w:tcPr>
            <w:tcW w:w="14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2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-170815</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the options granted was $0.50 and $1.82 per share for the six months ended June 28, 2025 and June 29, 2024, respectively.</w:t>
      </w:r>
    </w:p>
    <w:p>
      <w:pPr>
        <w:spacing w:after="0" w:line="54"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stock-based awards (options) with the following weighted-average assumptions:</w:t>
      </w:r>
    </w:p>
    <w:p>
      <w:pPr>
        <w:spacing w:after="0" w:line="155"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314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2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2600" w:type="dxa"/>
            <w:vAlign w:val="bottom"/>
          </w:tcPr>
          <w:p>
            <w:pPr>
              <w:spacing w:after="0"/>
              <w:rPr>
                <w:sz w:val="12"/>
                <w:szCs w:val="12"/>
                <w:color w:val="auto"/>
              </w:rPr>
            </w:pPr>
          </w:p>
        </w:tc>
        <w:tc>
          <w:tcPr>
            <w:tcW w:w="13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26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2"/>
                <w:szCs w:val="12"/>
                <w:color w:val="auto"/>
              </w:rPr>
            </w:pPr>
          </w:p>
        </w:tc>
        <w:tc>
          <w:tcPr>
            <w:tcW w:w="1280" w:type="dxa"/>
            <w:vAlign w:val="bottom"/>
            <w:tcBorders>
              <w:top w:val="single" w:sz="8" w:color="auto"/>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28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Pr>
          <w:p>
            <w:pPr>
              <w:spacing w:after="0"/>
              <w:rPr>
                <w:sz w:val="12"/>
                <w:szCs w:val="12"/>
                <w:color w:val="auto"/>
              </w:rPr>
            </w:pPr>
          </w:p>
        </w:tc>
      </w:tr>
      <w:tr>
        <w:trPr>
          <w:trHeight w:val="209"/>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risk free interest rate</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4.35%</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w:t>
            </w: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4.40</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2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volatility</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bl>
    <w:p>
      <w:pPr>
        <w:spacing w:after="0" w:line="314"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Option-pricing models require the input of various subjective assumptions, including the option’s expected life and the price volatility of the underlying stock. The expected stock price volatility is based on an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80"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Information regarding stock options outstanding, vested, expected to vest, and exercisable as of June 28, 2025 is summarized below:</w:t>
      </w:r>
    </w:p>
    <w:p>
      <w:pPr>
        <w:spacing w:after="0" w:line="14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29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2,221,754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2.21</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2,092,168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w:t>
            </w: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1,048,911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3.09</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pre-tax intrinsic value, based on the Company’s closing price as of June 28, 2025, that would have been received by option holders had all option holders exercised their stock options as of that date. This amount changes based on the fair market value of the Company’s common stock. The total intrinsic value of options exercised was immaterial for each of the six months ended June 28, 2025 and June 29, 2024.</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18" w:right="11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Summary of RSUs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regarding RSUs activity for the six months ended June 28, 2025 is summarized below:</w:t>
      </w:r>
    </w:p>
    <w:p>
      <w:pPr>
        <w:spacing w:after="0" w:line="327"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6"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617220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72200" cy="145415"/>
                    </a:xfrm>
                    <a:prstGeom prst="rect">
                      <a:avLst/>
                    </a:prstGeom>
                    <a:noFill/>
                  </pic:spPr>
                </pic:pic>
              </a:graphicData>
            </a:graphic>
          </wp:anchor>
        </w:drawing>
      </w:r>
    </w:p>
    <w:p>
      <w:pPr>
        <w:sectPr>
          <w:pgSz w:w="11900" w:h="16838" w:orient="portrait"/>
          <w:cols w:equalWidth="0" w:num="1">
            <w:col w:w="9700"/>
          </w:cols>
          <w:pgMar w:left="1080" w:top="1118" w:right="111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December 28,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617220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7220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Restricted stock units 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as of June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6172200"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72200" cy="16256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615,707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173,490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(39,996)</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-1365250</wp:posOffset>
            </wp:positionH>
            <wp:positionV relativeFrom="paragraph">
              <wp:posOffset>5715</wp:posOffset>
            </wp:positionV>
            <wp:extent cx="17399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744,201</w:t>
      </w:r>
    </w:p>
    <w:p>
      <w:pPr>
        <w:spacing w:after="0" w:line="1136" w:lineRule="exact"/>
        <w:rPr>
          <w:sz w:val="20"/>
          <w:szCs w:val="20"/>
          <w:color w:val="auto"/>
        </w:rPr>
      </w:pPr>
    </w:p>
    <w:p>
      <w:pPr>
        <w:sectPr>
          <w:pgSz w:w="11900" w:h="16838" w:orient="portrait"/>
          <w:cols w:equalWidth="0" w:num="2">
            <w:col w:w="8320" w:space="720"/>
            <w:col w:w="660"/>
          </w:cols>
          <w:pgMar w:left="1080" w:top="1118" w:right="1119" w:bottom="1440" w:gutter="0" w:footer="0" w:header="0"/>
          <w:type w:val="continuous"/>
        </w:sectPr>
      </w:pPr>
    </w:p>
    <w:p>
      <w:pPr>
        <w:ind w:firstLine="441"/>
        <w:spacing w:after="0" w:line="281" w:lineRule="auto"/>
        <w:rPr>
          <w:sz w:val="20"/>
          <w:szCs w:val="20"/>
          <w:color w:val="auto"/>
        </w:rPr>
      </w:pPr>
      <w:r>
        <w:rPr>
          <w:rFonts w:ascii="Times New Roman" w:cs="Times New Roman" w:eastAsia="Times New Roman" w:hAnsi="Times New Roman"/>
          <w:sz w:val="17"/>
          <w:szCs w:val="17"/>
          <w:color w:val="auto"/>
        </w:rPr>
        <w:t xml:space="preserve">The Company calculates its interim tax provision in accordance with the provisions of ASC Topic 740-270,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Interim Reporting</w:t>
      </w:r>
      <w:r>
        <w:rPr>
          <w:rFonts w:ascii="Times New Roman" w:cs="Times New Roman" w:eastAsia="Times New Roman" w:hAnsi="Times New Roman"/>
          <w:sz w:val="17"/>
          <w:szCs w:val="17"/>
          <w:color w:val="auto"/>
        </w:rPr>
        <w:t>. For interim periods, the Company estimates its annual effective income tax rate and applies the estimated rate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$33 thousand and $57 thousand for the six months ended June 28, 2025 and June 29, 2024,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117"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second quarter of fiscal year 2025, based on the Company’s recent history of losses and its forecasted losses, management believes it is more likely than not that a full valuation allowance is required. Accordingly, the Company continues to provide a full valuation allowance on its federal and states deferred tax assets.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The Company accounts for its uncertain tax positions in accordance with ASC 740. As of December 28, 2024, the Company had $1.4 million of unrecognized tax benefits, none of the unrecognized tax benefits would result in a change in the Company’s effective tax rate if recognized in future years.</w:t>
      </w:r>
    </w:p>
    <w:p>
      <w:pPr>
        <w:spacing w:after="0" w:line="68"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On July 4, 2025, President Trump signed the tax act referred to as The One Big Beautiful Bill (“OBBB”) Act, which includes comprehensive U.S. corporate tax legislation. The legislation includes the permanent extension and modification of provisions originally introduced under the Tax Cuts and Jobs Act of 2017 and the introduction of new provisions. Key provisions include the permanent restoration of bonus depreciation allowances, changes to the limitations on deductibility of business interest expense, and the reintroduction of immediate expensing of U.S./domestic research and development costs. The impact on current and deferred taxes for tax law changes is reported in continuing operations in the interim period that includes the enactment date. The company has done a preliminary analysis of the changes impacting the Company’s business and has determined that the aggregate impact, assuming various state tax legislation conforms to the OBBB, would not have a material impact to the Company due to its valuation allowance. The Company will continue to assess the tax accounting impacts, as well as the various state legislation and conformity rules, as more information becomes available and will record the tax impact, if any, in the third quarter of 2025. The Company is not aware of any other uncertain tax positions that could result in significant additional payments, accruals, or other material deviation in this estimate during the fiscal year.</w:t>
      </w:r>
    </w:p>
    <w:p>
      <w:pPr>
        <w:spacing w:after="0" w:line="82" w:lineRule="exact"/>
        <w:rPr>
          <w:sz w:val="20"/>
          <w:szCs w:val="20"/>
          <w:color w:val="auto"/>
        </w:rPr>
      </w:pPr>
    </w:p>
    <w:p>
      <w:pPr>
        <w:jc w:val="both"/>
        <w:ind w:right="280" w:firstLine="441"/>
        <w:spacing w:after="0" w:line="312" w:lineRule="auto"/>
        <w:rPr>
          <w:sz w:val="20"/>
          <w:szCs w:val="20"/>
          <w:color w:val="auto"/>
        </w:rPr>
      </w:pPr>
      <w:r>
        <w:rPr>
          <w:rFonts w:ascii="Times New Roman" w:cs="Times New Roman" w:eastAsia="Times New Roman" w:hAnsi="Times New Roman"/>
          <w:sz w:val="17"/>
          <w:szCs w:val="17"/>
          <w:color w:val="auto"/>
        </w:rPr>
        <w:t>The Company is subject to United States federal income tax as well as to income taxes in state jurisdictions. The Company’s federal and state income tax returns are open to examination by tax authorities for three years and three to five years,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Computation of Basic and Diluted Net Loss Per Share</w:t>
      </w:r>
    </w:p>
    <w:p>
      <w:pPr>
        <w:spacing w:after="0" w:line="121"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the Company incurs a net loss or if the exercise price of such options is greater than the average market price of our common stock for the period as their effect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18" w:right="1119" w:bottom="1440" w:gutter="0" w:footer="0" w:header="0"/>
          <w:type w:val="continuous"/>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18"/>
          <w:szCs w:val="18"/>
          <w:color w:val="auto"/>
        </w:rPr>
        <w:t>would be anti-dilutive. Common stock equivalents consist of incremental common shares issuable upon conversion of convertible debt and preferred shares are calculated under the if-converted method. Common stock equivalent shares from convertible debt and preferred shares are excluded from the computation for periods in which the Company incurs a net loss or if their effect would be anti-dilutive.</w:t>
      </w:r>
    </w:p>
    <w:p>
      <w:pPr>
        <w:spacing w:after="0" w:line="72"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For the three months ended June 28, 2025 and June 29, 2024, potential shares from stock options and RSUs totaling 2,350,431 and 2,856,244 shares, respectively, were excluded from the computation of diluted weighted average shares outstanding. For the six months ended June 28, 2025 and June 29, 2024, potential shares from stock options and RSUs totaling 2,999,548 and 2,878,936 shares, respectively, were excluded from the computation of diluted weighted average shares outstanding.</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both the three and six months ended June 28, 2025 and June 29, 2024, potential shares from the conversion of convertible debt and preferred stock totaling 5,000,000 and 0, respectively, were excluded from the computation of diluted weighted average shares outstanding.</w:t>
      </w:r>
    </w:p>
    <w:p>
      <w:pPr>
        <w:spacing w:after="0" w:line="68"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of basic and diluted net loss per common share is provided as follows (in thousands except per share data):</w:t>
      </w:r>
    </w:p>
    <w:p>
      <w:pPr>
        <w:spacing w:after="0" w:line="155"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318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2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80" w:type="dxa"/>
            <w:vAlign w:val="bottom"/>
          </w:tcPr>
          <w:p>
            <w:pPr>
              <w:spacing w:after="0"/>
              <w:rPr>
                <w:sz w:val="12"/>
                <w:szCs w:val="12"/>
                <w:color w:val="auto"/>
              </w:rPr>
            </w:pPr>
          </w:p>
        </w:tc>
      </w:tr>
      <w:tr>
        <w:trPr>
          <w:trHeight w:val="209"/>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(2,680)</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(6,143)</w:t>
            </w:r>
          </w:p>
        </w:tc>
      </w:tr>
      <w:tr>
        <w:trPr>
          <w:trHeight w:val="20"/>
        </w:trPr>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3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8"/>
        </w:trPr>
        <w:tc>
          <w:tcPr>
            <w:tcW w:w="23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Weighted average shares of</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(basic)</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16,287</w:t>
            </w: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16,760</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16,270</w:t>
            </w:r>
          </w:p>
        </w:tc>
      </w:tr>
      <w:tr>
        <w:trPr>
          <w:trHeight w:val="198"/>
        </w:trPr>
        <w:tc>
          <w:tcPr>
            <w:tcW w:w="23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Weighted average shares of</w:t>
            </w:r>
          </w:p>
        </w:tc>
        <w:tc>
          <w:tcPr>
            <w:tcW w:w="14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2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(diluted)</w:t>
            </w:r>
          </w:p>
        </w:tc>
        <w:tc>
          <w:tcPr>
            <w:tcW w:w="140" w:type="dxa"/>
            <w:vAlign w:val="bottom"/>
            <w:shd w:val="clear" w:color="auto" w:fill="CFF0FC"/>
          </w:tcPr>
          <w:p>
            <w:pPr>
              <w:spacing w:after="0"/>
              <w:rPr>
                <w:sz w:val="20"/>
                <w:szCs w:val="20"/>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16,287</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16,760</w:t>
            </w:r>
          </w:p>
        </w:tc>
        <w:tc>
          <w:tcPr>
            <w:tcW w:w="6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16,270</w:t>
            </w:r>
          </w:p>
        </w:tc>
      </w:tr>
      <w:tr>
        <w:trPr>
          <w:trHeight w:val="21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23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Basic net loss per share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(0.16)</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(0.38)</w:t>
            </w:r>
          </w:p>
        </w:tc>
      </w:tr>
      <w:tr>
        <w:trPr>
          <w:trHeight w:val="20"/>
        </w:trPr>
        <w:tc>
          <w:tcPr>
            <w:tcW w:w="2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238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Diluted net loss per share</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68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(0.38)</w:t>
            </w:r>
          </w:p>
        </w:tc>
      </w:tr>
      <w:tr>
        <w:trPr>
          <w:trHeight w:val="20"/>
        </w:trPr>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-187960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-170815</wp:posOffset>
            </wp:positionV>
            <wp:extent cx="51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-187960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-170815</wp:posOffset>
            </wp:positionV>
            <wp:extent cx="51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-187960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-170815</wp:posOffset>
            </wp:positionV>
            <wp:extent cx="51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-187960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-170815</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Additionally, at the Company’s Annual Meeting held on June 11, 2025, the Company’s stockholders approved an amendment and restatement of the Company’s Restated Charter, among other matters, to increase the number of authorized shares of the Company’s common stock from 30,000,000 to 63,500,000 shares.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Business Segments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operates in one segment: ophthalmology. The Company develops, manufactures and markets medical devices.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arise from the sale of consoles, delivery devices, consumables, service, and support activities.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information shown by product group is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28, 2025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0" w:type="dxa"/>
            <w:vAlign w:val="bottom"/>
          </w:tcPr>
          <w:p>
            <w:pPr>
              <w:spacing w:after="0"/>
              <w:rPr>
                <w:sz w:val="1"/>
                <w:szCs w:val="1"/>
                <w:color w:val="auto"/>
              </w:rPr>
            </w:pPr>
          </w:p>
        </w:tc>
      </w:tr>
      <w:tr>
        <w:trPr>
          <w:trHeight w:val="20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Cyclo G6</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Retina</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14,069</w:t>
            </w: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Other(1)</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4,034</w:t>
            </w: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4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12,631</w:t>
            </w:r>
          </w:p>
        </w:tc>
        <w:tc>
          <w:tcPr>
            <w:tcW w:w="16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25,467</w:t>
            </w: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24,392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2831465</wp:posOffset>
            </wp:positionH>
            <wp:positionV relativeFrom="paragraph">
              <wp:posOffset>-170815</wp:posOffset>
            </wp:positionV>
            <wp:extent cx="596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-170815</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-170815</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-170815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80" w:firstLine="445"/>
        <w:spacing w:after="0" w:line="261" w:lineRule="auto"/>
        <w:tabs>
          <w:tab w:leader="none" w:pos="6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service contract revenues of $0.3 million and $0.1 million, and $0.6 million and $0.4 million recognized during the three and six months ended June 28, 2025 and June 29, 2024, respectively. Includes $0.3 million and $0.7 million recognized revenue related to the exclusive distribution rights during both of the three and six months ended June 28, 2025 and June 29, 2024, respectively. Other also includes revenues from paid service, royalty, freight and legacy G probes.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information shown by geographic region, based on the sales destination, is as follows (in thousands):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29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100" w:type="dxa"/>
            <w:vAlign w:val="bottom"/>
          </w:tcPr>
          <w:p>
            <w:pPr>
              <w:spacing w:after="0"/>
              <w:rPr>
                <w:sz w:val="12"/>
                <w:szCs w:val="12"/>
                <w:color w:val="auto"/>
              </w:rPr>
            </w:pPr>
          </w:p>
        </w:tc>
      </w:tr>
      <w:tr>
        <w:trPr>
          <w:trHeight w:val="209"/>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5,760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5,598</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11,043</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10,919</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6,365</w:t>
            </w:r>
          </w:p>
        </w:tc>
      </w:tr>
      <w:tr>
        <w:trPr>
          <w:trHeight w:val="21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Asia/Pacific Rim</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3,675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3,597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7,035</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6,042</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Americas, excluding the U.S.</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w:t>
            </w:r>
          </w:p>
        </w:tc>
      </w:tr>
      <w:tr>
        <w:trPr>
          <w:trHeight w:val="20"/>
        </w:trPr>
        <w:tc>
          <w:tcPr>
            <w:tcW w:w="29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9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12,631</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25,467</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24,392</w:t>
            </w: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2831465</wp:posOffset>
            </wp:positionH>
            <wp:positionV relativeFrom="paragraph">
              <wp:posOffset>-25400</wp:posOffset>
            </wp:positionV>
            <wp:extent cx="596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-8255</wp:posOffset>
            </wp:positionV>
            <wp:extent cx="596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-25400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-8255</wp:posOffset>
            </wp:positionV>
            <wp:extent cx="603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-25400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-8255</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-25400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Revenues are attributed to countries based on the location of end customers.</w:t>
      </w:r>
    </w:p>
    <w:p>
      <w:pPr>
        <w:spacing w:after="0" w:line="117"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Other than the United States, China and the Netherlands accounted for at least 10% of the Company’s revenues during the three months ended June 28, 2025, representing 15% and 12%, respectively, and each representing 12% for the six months ended June 28, 2025. Other than the United States, the Netherlands accounted for at least 10% of the Company’s revenues during the three and six months ended June 29, 2024, representing 12% and 14.5%, respectively. The United States accounted for 42.4% and 44.3% of revenues for the three months ended June 28, 2025 and June 29, 2024, respectively, and 43.4% and 44.8% for the six months ended June 28, 2025 and June 29, 2024,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22" w:right="10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and other parts of 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and should be read in conjunction with the section of this Quarterly Report on Form 10-Q entitled “Risk Factors.” Our actual results could differ materially from those discussed in these forward-looking statements. Factors that could cause or contribute to such differences include, but are not limited to, those discussed in the section entitled “Risk Factors.”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IRIDEX is an ophthalmic medical technology company focused on the development and commercialization of breakthrough products and procedures used to treat sight-threatening eye conditions, including glaucoma and retinal diseases.</w:t>
      </w:r>
    </w:p>
    <w:p>
      <w:pPr>
        <w:spacing w:after="0" w:line="61" w:lineRule="exact"/>
        <w:rPr>
          <w:sz w:val="20"/>
          <w:szCs w:val="20"/>
          <w:color w:val="auto"/>
        </w:rPr>
      </w:pPr>
    </w:p>
    <w:p>
      <w:pPr>
        <w:ind w:firstLine="441"/>
        <w:spacing w:after="0" w:line="244" w:lineRule="auto"/>
        <w:rPr>
          <w:sz w:val="20"/>
          <w:szCs w:val="20"/>
          <w:color w:val="auto"/>
        </w:rPr>
      </w:pPr>
      <w:r>
        <w:rPr>
          <w:rFonts w:ascii="Times New Roman" w:cs="Times New Roman" w:eastAsia="Times New Roman" w:hAnsi="Times New Roman"/>
          <w:sz w:val="18"/>
          <w:szCs w:val="18"/>
          <w:color w:val="auto"/>
        </w:rPr>
        <w:t>Our propriety MicroPulse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products consist of laser consoles, delivery devices and consumable probes.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Our laser consoles consist of the following product lines:</w:t>
      </w:r>
    </w:p>
    <w:p>
      <w:pPr>
        <w:spacing w:after="0" w:line="126" w:lineRule="exact"/>
        <w:rPr>
          <w:sz w:val="20"/>
          <w:szCs w:val="20"/>
          <w:color w:val="auto"/>
        </w:rPr>
      </w:pPr>
    </w:p>
    <w:p>
      <w:pPr>
        <w:ind w:left="880" w:right="120" w:hanging="436"/>
        <w:spacing w:after="0" w:line="233"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Our primary glaucoma console line is the Cyclo G6</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laser system with MicroPulse technology. In addition,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medical retina consoles have features supporting glaucoma laser treatments.</w:t>
      </w:r>
    </w:p>
    <w:p>
      <w:pPr>
        <w:spacing w:after="0" w:line="98" w:lineRule="exact"/>
        <w:rPr>
          <w:rFonts w:ascii="Times New Roman" w:cs="Times New Roman" w:eastAsia="Times New Roman" w:hAnsi="Times New Roman"/>
          <w:sz w:val="18"/>
          <w:szCs w:val="18"/>
          <w:color w:val="auto"/>
        </w:rPr>
      </w:pPr>
    </w:p>
    <w:p>
      <w:pPr>
        <w:ind w:left="880" w:right="100" w:hanging="436"/>
        <w:spacing w:after="0" w:line="260" w:lineRule="auto"/>
        <w:tabs>
          <w:tab w:leader="none" w:pos="8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Medical Retina </w:t>
      </w:r>
      <w:r>
        <w:rPr>
          <w:rFonts w:ascii="Times New Roman" w:cs="Times New Roman" w:eastAsia="Times New Roman" w:hAnsi="Times New Roman"/>
          <w:sz w:val="17"/>
          <w:szCs w:val="17"/>
          <w:color w:val="auto"/>
        </w:rPr>
        <w:t>– Our medical-retina product line includes our portable IQ 532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IQ 577</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laser systems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spacing w:after="0" w:line="81" w:lineRule="exact"/>
        <w:rPr>
          <w:rFonts w:ascii="Times New Roman" w:cs="Times New Roman" w:eastAsia="Times New Roman" w:hAnsi="Times New Roman"/>
          <w:sz w:val="17"/>
          <w:szCs w:val="17"/>
          <w:color w:val="auto"/>
        </w:rPr>
      </w:pPr>
    </w:p>
    <w:p>
      <w:pPr>
        <w:ind w:left="880" w:right="300" w:hanging="436"/>
        <w:spacing w:after="0" w:line="238"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Our surgical-retina product line includes our OcuLight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TX and OcuLight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SLx (with MicroPulse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laser photocoagulation systems. These systems are often used in vitrectomy procedures, which are used to treat proliferative diabetic retinopathy, macular holes, retinal tears and detachments.</w:t>
      </w:r>
    </w:p>
    <w:p>
      <w:pPr>
        <w:spacing w:after="0" w:line="92"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Our business generates recurring revenues through sales of consumable products, predominantly single-use laser probe devices and other instrumentation, as well as repair, service and extended service contracts for our laser systems.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Our laser probes consist of the following product lines:</w:t>
      </w:r>
    </w:p>
    <w:p>
      <w:pPr>
        <w:spacing w:after="0" w:line="126" w:lineRule="exact"/>
        <w:rPr>
          <w:sz w:val="20"/>
          <w:szCs w:val="20"/>
          <w:color w:val="auto"/>
        </w:rPr>
      </w:pPr>
    </w:p>
    <w:p>
      <w:pPr>
        <w:ind w:left="880" w:right="20" w:hanging="436"/>
        <w:spacing w:after="0" w:line="295"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Probes used in our glaucoma product line include our patented single-use delivery devices - MicroPulse P3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G-Probe Illuminate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ind w:left="880" w:right="860" w:hanging="436"/>
        <w:spacing w:after="0" w:line="233"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Probes used in our surgical-retina product line include our family of single-use EndoProbe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handpieces.</w:t>
      </w:r>
    </w:p>
    <w:p>
      <w:pPr>
        <w:spacing w:after="0" w:line="91" w:lineRule="exact"/>
        <w:rPr>
          <w:sz w:val="20"/>
          <w:szCs w:val="20"/>
          <w:color w:val="auto"/>
        </w:rPr>
      </w:pPr>
    </w:p>
    <w:p>
      <w:pPr>
        <w:ind w:right="80" w:firstLine="441"/>
        <w:spacing w:after="0" w:line="242" w:lineRule="auto"/>
        <w:rPr>
          <w:sz w:val="20"/>
          <w:szCs w:val="20"/>
          <w:color w:val="auto"/>
        </w:rPr>
      </w:pPr>
      <w:r>
        <w:rPr>
          <w:rFonts w:ascii="Times New Roman" w:cs="Times New Roman" w:eastAsia="Times New Roman" w:hAnsi="Times New Roman"/>
          <w:sz w:val="18"/>
          <w:szCs w:val="18"/>
          <w:color w:val="auto"/>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G-Probe Illuminate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delivery devices, and EndoProbe handpieces. In the offices and clinics, ophthalmologists use our laser systems with either an indirect laser ophthalmoscope or a slit-lamp adapter.</w:t>
      </w:r>
    </w:p>
    <w:p>
      <w:pPr>
        <w:spacing w:after="0" w:line="88"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Our products are sold in the United States and Germany predominantly through a direct sales force and internationally (aside from Germany, Italy, UK (Glaucoma), India, and other smaller markets) primarily through Topcon Corporation (“Topcon”) and other independent distributors.</w:t>
      </w:r>
    </w:p>
    <w:p>
      <w:pPr>
        <w:spacing w:after="0" w:line="68"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24" w:name="page25"/>
    <w:bookmarkEnd w:id="24"/>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Cost of revenues consists primarily of our direct manufacturing costs which include the cost of components and sub-systems, assembling, packaging, shipping and testing components at our facility, direct labor and associated overhead, warranty, royalty and amortization of intangible assets and depot service costs. For certain of the Company's products, the Company responsible for the cost of the fully assembled product that is manufactured by a third-party.</w:t>
      </w:r>
    </w:p>
    <w:p>
      <w:pPr>
        <w:spacing w:after="0" w:line="72" w:lineRule="exact"/>
        <w:rPr>
          <w:sz w:val="20"/>
          <w:szCs w:val="20"/>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68"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primarily of costs of personnel, sales commissions, travel expenses, advertising and promotional expenses.</w:t>
      </w:r>
    </w:p>
    <w:p>
      <w:pPr>
        <w:spacing w:after="0" w:line="54"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costs of personnel, legal, accounting and other public company costs, insurance and other expenses not allocated to other departments.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Conditions to our Business</w:t>
      </w:r>
    </w:p>
    <w:p>
      <w:pPr>
        <w:spacing w:after="0" w:line="121"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Current macroeconomic conditions exhibit challenges that can affect capital equipment purchasing demand and timing, including recessionary fears, inflation concerns, tariffs and retaliatory responses, trade wars, heightened interest rates as a result of government actions to combat inflation, and uncertainty in the global banking and financial services market, as well as other geopolitical developments, have impacted and may continue to impact business spending and the economy as a whole. As a result, the Company has seen customers extend purchase decision cycles. If the U.S. dollar strengthens again, the Company could experience some demand softness due to pricing effects from the strength of the U.S. dollar.</w:t>
      </w:r>
    </w:p>
    <w:p>
      <w:pPr>
        <w:spacing w:after="0" w:line="79" w:lineRule="exact"/>
        <w:rPr>
          <w:sz w:val="20"/>
          <w:szCs w:val="20"/>
          <w:color w:val="auto"/>
        </w:rPr>
      </w:pPr>
    </w:p>
    <w:p>
      <w:pPr>
        <w:ind w:right="460" w:firstLine="441"/>
        <w:spacing w:after="0" w:line="282" w:lineRule="auto"/>
        <w:rPr>
          <w:sz w:val="20"/>
          <w:szCs w:val="20"/>
          <w:color w:val="auto"/>
        </w:rPr>
      </w:pPr>
      <w:r>
        <w:rPr>
          <w:rFonts w:ascii="Times New Roman" w:cs="Times New Roman" w:eastAsia="Times New Roman" w:hAnsi="Times New Roman"/>
          <w:sz w:val="18"/>
          <w:szCs w:val="18"/>
          <w:color w:val="auto"/>
        </w:rPr>
        <w:t>The macroeconomic conditions on our business and operations remain uncertain, and it is not possible for us to predict the duration and extent to which they will affect our business, future results of operations, and financial condition.</w:t>
      </w:r>
    </w:p>
    <w:p>
      <w:pPr>
        <w:spacing w:after="0" w:line="54"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For more information on risks associated with the current macroeconomic conditions, see the sections titled “Risk Factors” in Item 1A of Part I of our Annual Report on Form 10-K for the year ended December 28,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revenues: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70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2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4400" w:type="dxa"/>
            <w:vAlign w:val="bottom"/>
          </w:tcPr>
          <w:p>
            <w:pPr>
              <w:spacing w:after="0"/>
              <w:rPr>
                <w:sz w:val="12"/>
                <w:szCs w:val="12"/>
                <w:color w:val="auto"/>
              </w:rPr>
            </w:pPr>
          </w:p>
        </w:tc>
        <w:tc>
          <w:tcPr>
            <w:tcW w:w="104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320" w:type="dxa"/>
            <w:vAlign w:val="bottom"/>
          </w:tcPr>
          <w:p>
            <w:pPr>
              <w:spacing w:after="0"/>
              <w:rPr>
                <w:sz w:val="12"/>
                <w:szCs w:val="12"/>
                <w:color w:val="auto"/>
              </w:rPr>
            </w:pPr>
          </w:p>
        </w:tc>
        <w:tc>
          <w:tcPr>
            <w:tcW w:w="104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20" w:type="dxa"/>
            <w:vAlign w:val="bottom"/>
          </w:tcPr>
          <w:p>
            <w:pPr>
              <w:spacing w:after="0"/>
              <w:rPr>
                <w:sz w:val="12"/>
                <w:szCs w:val="12"/>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60.7%</w:t>
            </w:r>
          </w:p>
        </w:tc>
      </w:tr>
      <w:tr>
        <w:trPr>
          <w:trHeight w:val="20"/>
        </w:trPr>
        <w:tc>
          <w:tcPr>
            <w:tcW w:w="4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1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r>
      <w:tr>
        <w:trPr>
          <w:trHeight w:val="209"/>
        </w:trPr>
        <w:tc>
          <w:tcPr>
            <w:tcW w:w="4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1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1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r>
      <w:tr>
        <w:trPr>
          <w:trHeight w:val="20"/>
        </w:trPr>
        <w:tc>
          <w:tcPr>
            <w:tcW w:w="44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63.7%</w:t>
            </w:r>
          </w:p>
        </w:tc>
      </w:tr>
      <w:tr>
        <w:trPr>
          <w:trHeight w:val="20"/>
        </w:trPr>
        <w:tc>
          <w:tcPr>
            <w:tcW w:w="4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4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4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-1439545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-1439545</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-1439545</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-1439545</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-882015</wp:posOffset>
            </wp:positionV>
            <wp:extent cx="137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-882015</wp:posOffset>
            </wp:positionV>
            <wp:extent cx="137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-882015</wp:posOffset>
            </wp:positionV>
            <wp:extent cx="137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-882015</wp:posOffset>
            </wp:positionV>
            <wp:extent cx="137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-25400</wp:posOffset>
            </wp:positionV>
            <wp:extent cx="1371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-8255</wp:posOffset>
            </wp:positionV>
            <wp:extent cx="137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-25400</wp:posOffset>
            </wp:positionV>
            <wp:extent cx="1371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-8255</wp:posOffset>
            </wp:positionV>
            <wp:extent cx="1371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-25400</wp:posOffset>
            </wp:positionV>
            <wp:extent cx="1371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-8255</wp:posOffset>
            </wp:positionV>
            <wp:extent cx="137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-25400</wp:posOffset>
            </wp:positionV>
            <wp:extent cx="1371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-8255</wp:posOffset>
            </wp:positionV>
            <wp:extent cx="1371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The following comparisons are between the three months ended June 28, 2025 and June 29, 2024 (in thousands):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200" w:type="dxa"/>
            <w:vAlign w:val="bottom"/>
          </w:tcPr>
          <w:p>
            <w:pPr>
              <w:spacing w:after="0"/>
              <w:rPr>
                <w:sz w:val="13"/>
                <w:szCs w:val="13"/>
                <w:color w:val="auto"/>
              </w:rPr>
            </w:pPr>
          </w:p>
        </w:tc>
        <w:tc>
          <w:tcPr>
            <w:tcW w:w="14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Cyclo G6</w:t>
            </w: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180" w:type="dxa"/>
            <w:vAlign w:val="bottom"/>
          </w:tcPr>
          <w:p>
            <w:pPr>
              <w:spacing w:after="0"/>
              <w:rPr>
                <w:sz w:val="12"/>
                <w:szCs w:val="12"/>
                <w:color w:val="auto"/>
              </w:rPr>
            </w:pPr>
          </w:p>
        </w:tc>
        <w:tc>
          <w:tcPr>
            <w:tcW w:w="124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40" w:type="dxa"/>
            <w:vAlign w:val="bottom"/>
          </w:tcPr>
          <w:p>
            <w:pPr>
              <w:spacing w:after="0"/>
              <w:rPr>
                <w:sz w:val="12"/>
                <w:szCs w:val="12"/>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20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6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2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Retina</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8,047</w:t>
            </w: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7,295</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752</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13,571</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12,631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940</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-24765</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-7620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-24765</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-7620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-24765</wp:posOffset>
            </wp:positionV>
            <wp:extent cx="603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-7620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20" w:firstLine="441"/>
        <w:spacing w:after="0" w:line="312" w:lineRule="auto"/>
        <w:rPr>
          <w:sz w:val="20"/>
          <w:szCs w:val="20"/>
          <w:color w:val="auto"/>
        </w:rPr>
      </w:pPr>
      <w:r>
        <w:rPr>
          <w:rFonts w:ascii="Times New Roman" w:cs="Times New Roman" w:eastAsia="Times New Roman" w:hAnsi="Times New Roman"/>
          <w:sz w:val="17"/>
          <w:szCs w:val="17"/>
          <w:color w:val="auto"/>
        </w:rPr>
        <w:t>Our total revenues increased by $0.9 million, or 7.4%, from $12.6 million to $13.6 million. The increase was driven by an increase in our retina product group and in services and other revenue, partially offset by a decrease in our glaucoma product group.</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25" w:name="page26"/>
    <w:bookmarkEnd w:id="25"/>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While we believe that the market for our products remains strong, the overall capital expenditure landscape within hospitals, surgical centers and physician offices may continue to be negatively impacted by persistent macroeconomic concerns, including those from ongoing geopolitical uncertainty, tariffs and trade wars.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9"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Gross profit decreased $0.4 million, or 8.8% from $5.1 million to $4.7 million. Gross margin decreased by 6.2% from 40.7% to 34.5%. The decrease in gross margin was driven primarily by an increase in overall manufacturing costs, product mix weighing toward capital system sales and geographic mix weighting toward international sales, partially offset by increases in average selling prices.</w:t>
      </w:r>
    </w:p>
    <w:p>
      <w:pPr>
        <w:spacing w:after="0" w:line="72" w:lineRule="exact"/>
        <w:rPr>
          <w:sz w:val="20"/>
          <w:szCs w:val="20"/>
          <w:color w:val="auto"/>
        </w:rPr>
      </w:pPr>
    </w:p>
    <w:p>
      <w:pPr>
        <w:jc w:val="both"/>
        <w:ind w:right="280" w:firstLine="441"/>
        <w:spacing w:after="0" w:line="266" w:lineRule="auto"/>
        <w:rPr>
          <w:sz w:val="20"/>
          <w:szCs w:val="20"/>
          <w:color w:val="auto"/>
        </w:rPr>
      </w:pPr>
      <w:r>
        <w:rPr>
          <w:rFonts w:ascii="Times New Roman" w:cs="Times New Roman" w:eastAsia="Times New Roman" w:hAnsi="Times New Roman"/>
          <w:sz w:val="18"/>
          <w:szCs w:val="18"/>
          <w:color w:val="auto"/>
        </w:rPr>
        <w:t>Gross margins may fluctuate due to changes in the relative proportion of domestic and international sales, the product mix of sales, introduction of new products, manufacturing variances, total unit volume changes, responses to the evolving macroeconomic and geopolitical uncertainty, including tariffs and trade wars, and other factors.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right="340" w:firstLine="441"/>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$0.6 million, or 42% from $1.5 million to $0.9 million. The decrease was related to our cost savings measures we implemented, resulting in lower headcount expenses. Spending on investment in new and expanded products was also curtailed.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$1.0 million, or 27.3%, from $3.5 million to $2.5 million. The decrease was related to our cost savings measures, resulting in lower headcount expenses, consulting expenses, travel expenses, tradeshows and public relations expenses, and clinical studies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$0.6 million, or 20.4% from $2.8 million to $2.2 million. The decrease was a primarily due to a decrease in consulting costs and deal related legal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Other expense, net was $33 thousand for the three months ended June 28, 2025 compared to other expense, net, of $22 thousand for the three months ended June 29, 2024. Other expense, net, consisted primarily of interest income or expense and foreign currency gain or loss.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The Company recorded an income tax provision of $21 thousand and $19 thousand for the three months ended June 28, 2025 and June 29,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following comparisons are between the six months ended June 28, 2025 and June 29, 2024 (in thousands):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200" w:type="dxa"/>
            <w:vAlign w:val="bottom"/>
          </w:tcPr>
          <w:p>
            <w:pPr>
              <w:spacing w:after="0"/>
              <w:rPr>
                <w:sz w:val="13"/>
                <w:szCs w:val="13"/>
                <w:color w:val="auto"/>
              </w:rPr>
            </w:pPr>
          </w:p>
        </w:tc>
        <w:tc>
          <w:tcPr>
            <w:tcW w:w="14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Cyclo G6</w:t>
            </w:r>
          </w:p>
        </w:tc>
        <w:tc>
          <w:tcPr>
            <w:tcW w:w="180" w:type="dxa"/>
            <w:vAlign w:val="bottom"/>
          </w:tcPr>
          <w:p>
            <w:pPr>
              <w:spacing w:after="0"/>
              <w:rPr>
                <w:sz w:val="12"/>
                <w:szCs w:val="12"/>
                <w:color w:val="auto"/>
              </w:rPr>
            </w:pPr>
          </w:p>
        </w:tc>
        <w:tc>
          <w:tcPr>
            <w:tcW w:w="14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June 28, 2025</w:t>
            </w:r>
          </w:p>
        </w:tc>
        <w:tc>
          <w:tcPr>
            <w:tcW w:w="200" w:type="dxa"/>
            <w:vAlign w:val="bottom"/>
          </w:tcPr>
          <w:p>
            <w:pPr>
              <w:spacing w:after="0"/>
              <w:rPr>
                <w:sz w:val="12"/>
                <w:szCs w:val="12"/>
                <w:color w:val="auto"/>
              </w:rPr>
            </w:pPr>
          </w:p>
        </w:tc>
        <w:tc>
          <w:tcPr>
            <w:tcW w:w="122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June 29, 2024</w:t>
            </w:r>
          </w:p>
        </w:tc>
        <w:tc>
          <w:tcPr>
            <w:tcW w:w="260" w:type="dxa"/>
            <w:vAlign w:val="bottom"/>
          </w:tcPr>
          <w:p>
            <w:pPr>
              <w:spacing w:after="0"/>
              <w:rPr>
                <w:sz w:val="12"/>
                <w:szCs w:val="12"/>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3140" w:type="dxa"/>
            <w:vAlign w:val="bottom"/>
            <w:vMerge w:val="continue"/>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2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Retina</w:t>
            </w: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14,692</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14,069</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4,034</w:t>
            </w: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24,392</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3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-24765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-8255</wp:posOffset>
            </wp:positionV>
            <wp:extent cx="60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-24765</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-8255</wp:posOffset>
            </wp:positionV>
            <wp:extent cx="5969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-24765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5017135</wp:posOffset>
            </wp:positionH>
            <wp:positionV relativeFrom="paragraph">
              <wp:posOffset>-8255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Our total revenues increased by $1.1 million, or 4.4%, from $24.4 million to $25.5 million. All of our product groups increased, with the retina product group seeing the largest increase.</w:t>
      </w:r>
    </w:p>
    <w:p>
      <w:pPr>
        <w:spacing w:after="0" w:line="54"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While we believe that the market for our products remains strong, the overall capital expenditure landscape within hospitals, surgical centers and physician offices may continue to be negatively impacted by persistent macroeconomic concerns discussed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9"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Gross profit increased $0.1 million, or 1.5%, from $9.6 million to $9.7 million. Gross margin decreased by 1.1% from 39.3% to 38.2%. The decrease in gross margin was driven primarily by an increase in overall manufacturing costs, product mix weighing toward capital system sales and geographic mix weighting toward international sales, partially offset by increases in average selling prices.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12" w:right="1099" w:bottom="1440" w:gutter="0" w:footer="0" w:header="0"/>
        </w:sectPr>
      </w:pPr>
    </w:p>
    <w:bookmarkStart w:id="26" w:name="page27"/>
    <w:bookmarkEnd w:id="26"/>
    <w:p>
      <w:pPr>
        <w:jc w:val="both"/>
        <w:ind w:right="280" w:firstLine="441"/>
        <w:spacing w:after="0" w:line="266" w:lineRule="auto"/>
        <w:rPr>
          <w:sz w:val="20"/>
          <w:szCs w:val="20"/>
          <w:color w:val="auto"/>
        </w:rPr>
      </w:pPr>
      <w:r>
        <w:rPr>
          <w:rFonts w:ascii="Times New Roman" w:cs="Times New Roman" w:eastAsia="Times New Roman" w:hAnsi="Times New Roman"/>
          <w:sz w:val="18"/>
          <w:szCs w:val="18"/>
          <w:color w:val="auto"/>
        </w:rPr>
        <w:t>Gross margins may fluctuate due to changes in the relative proportion of domestic and international sales, the product mix of sales, introduction of new products, manufacturing variances, total unit volume changes, responses to the evolving macroeconomic and geopolitical uncertainty, including tariffs and trade wars, and other factors.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$1.3 million, or 42.5%, from $3.0 million to $1.7 million. The decrease was related to our cost savings measures we implemented, resulting in lower headcount expenses. Spending on investment in new and expanded products was also curtailed.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$2.2 million, or 31.0%, from $7.2 million to $5.0 million. The decrease was related to our cost savings measures, resulting in lower headcount expenses, consulting expenses, travel expenses, tradeshows and public relations expenses, and clinical studies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$1.2 million, or 21.1%, from $5.3 million to $4.1 million. The decrease was a primarily due to a decrease in consulting costs and deal related legal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Other expense, net, was $1.5 million for the six months ended June 28, 2025, driven primarily by the costs associated with the settlement of the Lind Note. Other expense, net, was $0.2 million for the six months ended June 29, 2024, consisting primarily of interest and amortization of loan expenses related to the Lind Note transaction.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The Company recorded an income tax provision of $33 thousand and $57 thousand for the six months ended June 28, 2025 and June 29, 2024,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Capital Resources and Management Plans</w:t>
      </w:r>
    </w:p>
    <w:p>
      <w:pPr>
        <w:spacing w:after="0" w:line="119"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54"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As of June 28, 2025, the Company had cash and cash equivalents of $6.8 million and working capital of $13.2 million compared to cash and cash equivalents of $2.4 million and working capital of $7.0 million as of December 28, 2024.</w:t>
      </w:r>
    </w:p>
    <w:p>
      <w:pPr>
        <w:spacing w:after="0" w:line="54" w:lineRule="exact"/>
        <w:rPr>
          <w:sz w:val="20"/>
          <w:szCs w:val="20"/>
          <w:color w:val="auto"/>
        </w:rPr>
      </w:pPr>
    </w:p>
    <w:p>
      <w:pPr>
        <w:ind w:right="260" w:firstLine="441"/>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$1.5 million in the six months ended June 28, 2025 compared to net cash used in operating activities of $3.0 million in the six months ended June 29, 2024. The decrease in net cash used in operating activities was primarily due to reduction in net loss and reduction in inventory, offset by decreases in collections of accounts receivable and a paydown of liabilities.</w:t>
      </w:r>
    </w:p>
    <w:p>
      <w:pPr>
        <w:spacing w:after="0" w:line="72" w:lineRule="exact"/>
        <w:rPr>
          <w:sz w:val="20"/>
          <w:szCs w:val="20"/>
          <w:color w:val="auto"/>
        </w:rPr>
      </w:pPr>
    </w:p>
    <w:p>
      <w:pPr>
        <w:ind w:right="560" w:firstLine="441"/>
        <w:spacing w:after="0" w:line="282" w:lineRule="auto"/>
        <w:rPr>
          <w:sz w:val="20"/>
          <w:szCs w:val="20"/>
          <w:color w:val="auto"/>
        </w:rPr>
      </w:pPr>
      <w:r>
        <w:rPr>
          <w:rFonts w:ascii="Times New Roman" w:cs="Times New Roman" w:eastAsia="Times New Roman" w:hAnsi="Times New Roman"/>
          <w:sz w:val="18"/>
          <w:szCs w:val="18"/>
          <w:color w:val="auto"/>
        </w:rPr>
        <w:t>For the six months ended June 28, 2025 and June 29, 2024, net cash used in investing activities was $24 thousand and $3 thousand, respectively, which consisted of capital expenditures.</w:t>
      </w:r>
    </w:p>
    <w:p>
      <w:pPr>
        <w:spacing w:after="0" w:line="54"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For the six months ended June 28, 2025, net cash provided by financing activities was $6.0 million. The Company received $10 million in issuance of convertible preferred shares and convertible debt, offset by $4.0 million in early prepayment of convertible debt and taxes paid related to net share settlements of equity awards. For the six months ended June 29, 2024, no net cash was used in financing activities.</w:t>
      </w:r>
    </w:p>
    <w:p>
      <w:pPr>
        <w:spacing w:after="0" w:line="72"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Company has historically funded our operations primarily through sales of our products to customers, sales of our common stock and borrowing arrangements. As of June 28, 2025, our principal sources of liquidity consisted of cash and cash equivalents of $6.8 million. The Company has incurred net losses over the last several years, and as of June 28, 2025, have an accumulated deficit of approximately $90.7 million.</w:t>
      </w:r>
    </w:p>
    <w:p>
      <w:pPr>
        <w:spacing w:after="0" w:line="72"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On March 19, 2025, the Company entered into the Novel Securities Agreement and the Novel Note Purchase Agreement with Novel. Pursuant to the Novel Securities Agreement and the Novel Note Purchase Agreement, Novel has the right to purchase additional convertible promissory notes (the “Growth Notes”) in an aggregate principal amount of $10,000,000. The Growth Notes are issuable in three installments, with one third of the aggregate principal amount issuable upon each yearly anniversary after March 19, 2025.</w:t>
      </w:r>
    </w:p>
    <w:p>
      <w:pPr>
        <w:spacing w:after="0" w:line="7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Company believes its existing cash and cash equivalents will be sufficient to meet its anticipated cash needs over the next 12 months. The Company's future capital requirements will depend on many factors, including its growth rate, the timing and extent of its spending to support research and development activities, the timing and cost of establishing additional sales and marketing capabilities, the introduction of new and enhanced products and its costs to implement new manufacturing technologies. Any debt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20" w:right="1099" w:bottom="1440" w:gutter="0" w:footer="0" w:header="0"/>
        </w:sectPr>
      </w:pPr>
    </w:p>
    <w:bookmarkStart w:id="27" w:name="page28"/>
    <w:bookmarkEnd w:id="27"/>
    <w:p>
      <w:pPr>
        <w:spacing w:after="0" w:line="258" w:lineRule="auto"/>
        <w:rPr>
          <w:sz w:val="20"/>
          <w:szCs w:val="20"/>
          <w:color w:val="auto"/>
        </w:rPr>
      </w:pPr>
      <w:r>
        <w:rPr>
          <w:rFonts w:ascii="Times New Roman" w:cs="Times New Roman" w:eastAsia="Times New Roman" w:hAnsi="Times New Roman"/>
          <w:sz w:val="18"/>
          <w:szCs w:val="18"/>
          <w:color w:val="auto"/>
        </w:rPr>
        <w:t>financing obtained by the Company in the future could also involve restrictive covenants relating to its capital-raising activities and other financial and operational matters, which may make it more difficult for the Company to obtain additional capital and to pursue business opportunities, including potential acquisitions. Additionally, if the Company raises additional funds through further issuances of equity, its existing stockholders could suffer significant dilution in their percentage ownership of the Company, and any new equity securities the Company issue could have rights, preferences and privileges senior to those of holders of our common stock.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material current or future effect on its financial condition, changes in financial condition, revenues or expenses, results of operations, liquidity, capital expenditures or capital resources.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21"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the Company is not required to provide the information called for by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4" w:lineRule="exact"/>
        <w:rPr>
          <w:sz w:val="20"/>
          <w:szCs w:val="20"/>
          <w:color w:val="auto"/>
        </w:rPr>
      </w:pPr>
    </w:p>
    <w:p>
      <w:pPr>
        <w:ind w:right="60" w:firstLine="441"/>
        <w:spacing w:after="0" w:line="281" w:lineRule="auto"/>
        <w:rPr>
          <w:sz w:val="20"/>
          <w:szCs w:val="20"/>
          <w:color w:val="auto"/>
        </w:rPr>
      </w:pPr>
      <w:r>
        <w:rPr>
          <w:rFonts w:ascii="Times New Roman" w:cs="Times New Roman" w:eastAsia="Times New Roman" w:hAnsi="Times New Roman"/>
          <w:sz w:val="17"/>
          <w:szCs w:val="17"/>
          <w:color w:val="auto"/>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June 28, 2025. Based on the foregoing, our Principal Executive Officer and our Principal Financial Officer concluded that our disclosure controls and procedures were effective at the reasonable assurance level.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20" w:right="11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condensed consolidated operating results, financial condition or cash flows. Regardless of the outcome, litigation can have an adverse impact on us because of defense and settlement costs, diversion of management resources and other factors.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in our Annual Report on Form 10-K for the year ended December 28, 2024, which was filed with the SEC on March 27, 2025, a description of certain risks and uncertainties that could affect our business, future performance or financial condition (the “Risk Factors”). There have been no material changes from the disclosure provided in the Form 10-K with respect to the Risk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19"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28, 2025, the Company did not adopt or terminate, and no directors or officers, as defined in Rule 16a-1(f), adopted or terminated a “Rule 10b5-1 trading arrangement” or a “non-Rule 10b5-1 trading arrangement,” each as defined in Regulation S-K Item 408.</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008" w:right="11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94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 Filing No.   Exhibit</w:t>
            </w:r>
          </w:p>
        </w:tc>
        <w:tc>
          <w:tcPr>
            <w:tcW w:w="1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4940" w:type="dxa"/>
            <w:vAlign w:val="bottom"/>
            <w:gridSpan w:val="10"/>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5280" w:type="dxa"/>
            <w:vAlign w:val="bottom"/>
            <w:gridSpan w:val="11"/>
          </w:tcPr>
          <w:p>
            <w:pPr>
              <w:spacing w:after="0"/>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 xml:space="preserve">Amended and Restated Certificate of Incorporation filed on June 11, </w:t>
              </w:r>
            </w:hyperlink>
            <w:r>
              <w:rPr>
                <w:rFonts w:ascii="Times New Roman" w:cs="Times New Roman" w:eastAsia="Times New Roman" w:hAnsi="Times New Roman"/>
                <w:sz w:val="18"/>
                <w:szCs w:val="18"/>
                <w:color w:val="000000"/>
                <w:w w:val="99"/>
              </w:rPr>
              <w:t>8-K</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000-27598 3.1</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June 13, 2025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line="196" w:lineRule="exact"/>
              <w:rPr>
                <w:rFonts w:ascii="Times New Roman" w:cs="Times New Roman" w:eastAsia="Times New Roman" w:hAnsi="Times New Roman"/>
                <w:sz w:val="18"/>
                <w:szCs w:val="18"/>
                <w:color w:val="0000FF"/>
                <w:w w:val="88"/>
              </w:rPr>
            </w:pPr>
            <w:hyperlink r:id="rId249">
              <w:r>
                <w:rPr>
                  <w:rFonts w:ascii="Times New Roman" w:cs="Times New Roman" w:eastAsia="Times New Roman" w:hAnsi="Times New Roman"/>
                  <w:sz w:val="18"/>
                  <w:szCs w:val="18"/>
                  <w:color w:val="0000FF"/>
                  <w:w w:val="88"/>
                </w:rPr>
                <w:t>2025.</w:t>
              </w:r>
            </w:hyperlink>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4940" w:type="dxa"/>
            <w:vAlign w:val="bottom"/>
            <w:gridSpan w:val="10"/>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Amendment No. 1 to Investor Rights Agreement, by and between</w:t>
              </w:r>
            </w:hyperlink>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000-27598 4.1</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May 22. 2025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gridSpan w:val="10"/>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the Registrant and Novel Inspiration International Co., Ltd.,</w:t>
              </w:r>
            </w:hyperlink>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gridSpan w:val="10"/>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executed on May 20, 2025.</w:t>
              </w:r>
            </w:hyperlink>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4940" w:type="dxa"/>
            <w:vAlign w:val="bottom"/>
            <w:gridSpan w:val="10"/>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IRIDEX Corporation 2008 Equity Incentive Plan, as amended.</w:t>
              </w:r>
            </w:hyperlink>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000-27598 10.1</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June 13, 2025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49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Exchange Act Rules 13a-14(a) and 15d-14(a), as adopted pursuant</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49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Securities</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Exchange Act Rules 13a-14(a) and 15d-14(a), as adopted pursuant</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226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49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49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00" w:type="dxa"/>
            <w:vAlign w:val="bottom"/>
            <w:gridSpan w:val="7"/>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700" w:type="dxa"/>
            <w:vAlign w:val="bottom"/>
            <w:gridSpan w:val="7"/>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356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4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appear in the Interactive Data File as its XBRL tags are embedded</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4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25" w:lineRule="exact"/>
        <w:rPr>
          <w:sz w:val="20"/>
          <w:szCs w:val="20"/>
          <w:color w:val="auto"/>
        </w:rPr>
      </w:pPr>
    </w:p>
    <w:p>
      <w:pPr>
        <w:jc w:val="both"/>
        <w:ind w:right="100" w:firstLine="4"/>
        <w:spacing w:after="0" w:line="261" w:lineRule="auto"/>
        <w:tabs>
          <w:tab w:leader="none" w:pos="2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Acknowledgments</w:t>
      </w:r>
    </w:p>
    <w:p>
      <w:pPr>
        <w:spacing w:after="0" w:line="121" w:lineRule="exact"/>
        <w:rPr>
          <w:sz w:val="20"/>
          <w:szCs w:val="20"/>
          <w:color w:val="auto"/>
        </w:rPr>
      </w:pPr>
    </w:p>
    <w:p>
      <w:pPr>
        <w:ind w:right="280" w:firstLine="441"/>
        <w:spacing w:after="0" w:line="266" w:lineRule="auto"/>
        <w:rPr>
          <w:sz w:val="20"/>
          <w:szCs w:val="20"/>
          <w:color w:val="auto"/>
        </w:rPr>
      </w:pPr>
      <w:r>
        <w:rPr>
          <w:rFonts w:ascii="Times New Roman" w:cs="Times New Roman" w:eastAsia="Times New Roman" w:hAnsi="Times New Roman"/>
          <w:sz w:val="18"/>
          <w:szCs w:val="18"/>
          <w:color w:val="auto"/>
        </w:rPr>
        <w:t>Iridex, the Iridex logo, IRIS Medical, MicroPulse, OcuLight, EndoProbe, MicroPulse P3, G-Probe, G-Probe Illuminate, TruFocus LIO Premiere, IQ 577, IQ 532, Cyclo G6, and TxCell are our registered trademarks. All other trademarks or trade names appearing in this Quarterly Report on Form 10-Q are the property of their respective owners.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008" w:right="109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right="8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IRIDEX Corporation</w:t>
            </w:r>
          </w:p>
        </w:tc>
      </w:tr>
      <w:tr>
        <w:trPr>
          <w:trHeight w:val="459"/>
        </w:trPr>
        <w:tc>
          <w:tcPr>
            <w:tcW w:w="3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August 12, 2025</w:t>
            </w:r>
          </w:p>
        </w:tc>
        <w:tc>
          <w:tcPr>
            <w:tcW w:w="26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PATRICK MERCER</w:t>
            </w:r>
          </w:p>
        </w:tc>
      </w:tr>
      <w:tr>
        <w:trPr>
          <w:trHeight w:val="191"/>
        </w:trPr>
        <w:tc>
          <w:tcPr>
            <w:tcW w:w="38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0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Patrick Mercer</w:t>
            </w:r>
          </w:p>
        </w:tc>
        <w:tc>
          <w:tcPr>
            <w:tcW w:w="66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8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August 12, 2025</w:t>
            </w:r>
          </w:p>
        </w:tc>
        <w:tc>
          <w:tcPr>
            <w:tcW w:w="26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ROMEO R. DIZON</w:t>
            </w:r>
          </w:p>
        </w:tc>
      </w:tr>
      <w:tr>
        <w:trPr>
          <w:trHeight w:val="191"/>
        </w:trPr>
        <w:tc>
          <w:tcPr>
            <w:tcW w:w="38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0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Romeo R. Dizon</w:t>
            </w:r>
          </w:p>
        </w:tc>
        <w:tc>
          <w:tcPr>
            <w:tcW w:w="66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8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38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648"/>
        </w:trPr>
        <w:tc>
          <w:tcPr>
            <w:tcW w:w="3860" w:type="dxa"/>
            <w:vAlign w:val="bottom"/>
          </w:tcPr>
          <w:p>
            <w:pPr>
              <w:spacing w:after="0"/>
              <w:rPr>
                <w:sz w:val="24"/>
                <w:szCs w:val="24"/>
                <w:color w:val="auto"/>
              </w:rPr>
            </w:pPr>
          </w:p>
        </w:tc>
        <w:tc>
          <w:tcPr>
            <w:tcW w:w="26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38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08" w:right="439" w:bottom="1440" w:gutter="0" w:footer="0" w:header="0"/>
        </w:sectPr>
      </w:pPr>
    </w:p>
    <w:bookmarkStart w:id="31" w:name="page32"/>
    <w:bookmarkEnd w:id="31"/>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SECTIONS 13(a)-14(a) AND 15(d)-14(a) OF THE SECURITIES EXCHANGE ACT OF 1934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Patrick Mercer, certify that:</w:t>
      </w:r>
    </w:p>
    <w:p>
      <w:pPr>
        <w:spacing w:after="0" w:line="117" w:lineRule="exact"/>
        <w:rPr>
          <w:sz w:val="20"/>
          <w:szCs w:val="20"/>
          <w:color w:val="auto"/>
        </w:rPr>
      </w:pPr>
    </w:p>
    <w:p>
      <w:pPr>
        <w:ind w:left="1540" w:hanging="436"/>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IRIDEX Corporation;</w:t>
      </w:r>
    </w:p>
    <w:p>
      <w:pPr>
        <w:spacing w:after="0" w:line="117" w:lineRule="exact"/>
        <w:rPr>
          <w:rFonts w:ascii="Times New Roman" w:cs="Times New Roman" w:eastAsia="Times New Roman" w:hAnsi="Times New Roman"/>
          <w:sz w:val="18"/>
          <w:szCs w:val="18"/>
          <w:color w:val="auto"/>
        </w:rPr>
      </w:pPr>
    </w:p>
    <w:p>
      <w:pPr>
        <w:ind w:left="1540" w:right="660" w:hanging="436"/>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540" w:right="660" w:hanging="436"/>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1540" w:right="860" w:hanging="436"/>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80" w:right="680" w:hanging="435"/>
        <w:spacing w:after="0" w:line="261" w:lineRule="auto"/>
        <w:tabs>
          <w:tab w:leader="none" w:pos="1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980" w:right="660" w:hanging="435"/>
        <w:spacing w:after="0" w:line="261" w:lineRule="auto"/>
        <w:tabs>
          <w:tab w:leader="none" w:pos="1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980" w:right="700" w:hanging="435"/>
        <w:spacing w:after="0" w:line="266" w:lineRule="auto"/>
        <w:tabs>
          <w:tab w:leader="none" w:pos="1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80" w:right="820" w:hanging="435"/>
        <w:spacing w:after="0" w:line="261" w:lineRule="auto"/>
        <w:tabs>
          <w:tab w:leader="none" w:pos="1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1540" w:right="960" w:hanging="436"/>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80" w:right="860" w:hanging="435"/>
        <w:spacing w:after="0" w:line="266" w:lineRule="auto"/>
        <w:tabs>
          <w:tab w:leader="none" w:pos="1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80" w:right="700" w:hanging="435"/>
        <w:spacing w:after="0" w:line="282" w:lineRule="auto"/>
        <w:tabs>
          <w:tab w:leader="none" w:pos="1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ind w:left="650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PATRICK MERCER</w:t>
            </w:r>
          </w:p>
        </w:tc>
      </w:tr>
      <w:tr>
        <w:trPr>
          <w:trHeight w:val="205"/>
        </w:trPr>
        <w:tc>
          <w:tcPr>
            <w:tcW w:w="7100" w:type="dxa"/>
            <w:vAlign w:val="bottom"/>
          </w:tcPr>
          <w:p>
            <w:pPr>
              <w:ind w:left="65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2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Patrick Mercer</w:t>
            </w:r>
          </w:p>
        </w:tc>
        <w:tc>
          <w:tcPr>
            <w:tcW w:w="660" w:type="dxa"/>
            <w:vAlign w:val="bottom"/>
          </w:tcPr>
          <w:p>
            <w:pPr>
              <w:spacing w:after="0"/>
              <w:rPr>
                <w:sz w:val="17"/>
                <w:szCs w:val="17"/>
                <w:color w:val="auto"/>
              </w:rPr>
            </w:pPr>
          </w:p>
        </w:tc>
      </w:tr>
      <w:tr>
        <w:trPr>
          <w:trHeight w:val="216"/>
        </w:trPr>
        <w:tc>
          <w:tcPr>
            <w:tcW w:w="7100" w:type="dxa"/>
            <w:vAlign w:val="bottom"/>
          </w:tcPr>
          <w:p>
            <w:pPr>
              <w:ind w:left="650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710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195"/>
        </w:trPr>
        <w:tc>
          <w:tcPr>
            <w:tcW w:w="71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32" w:name="page33"/>
    <w:bookmarkEnd w:id="32"/>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SECTIONS 13(a)-14(a) AND 15(d)-14(a) OF THE SECURITIES EXCHANGE ACT OF 1934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Romeo R. Dizon, certify that:</w:t>
      </w:r>
    </w:p>
    <w:p>
      <w:pPr>
        <w:spacing w:after="0" w:line="117" w:lineRule="exact"/>
        <w:rPr>
          <w:sz w:val="20"/>
          <w:szCs w:val="20"/>
          <w:color w:val="auto"/>
        </w:rPr>
      </w:pPr>
    </w:p>
    <w:p>
      <w:pPr>
        <w:ind w:left="1540" w:hanging="436"/>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IRIDEX Corporation;</w:t>
      </w:r>
    </w:p>
    <w:p>
      <w:pPr>
        <w:spacing w:after="0" w:line="117" w:lineRule="exact"/>
        <w:rPr>
          <w:rFonts w:ascii="Times New Roman" w:cs="Times New Roman" w:eastAsia="Times New Roman" w:hAnsi="Times New Roman"/>
          <w:sz w:val="18"/>
          <w:szCs w:val="18"/>
          <w:color w:val="auto"/>
        </w:rPr>
      </w:pPr>
    </w:p>
    <w:p>
      <w:pPr>
        <w:ind w:left="1540" w:right="660" w:hanging="436"/>
        <w:spacing w:after="0" w:line="26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540" w:right="660" w:hanging="436"/>
        <w:spacing w:after="0" w:line="26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1540" w:right="860" w:hanging="436"/>
        <w:spacing w:after="0" w:line="26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80" w:right="680" w:hanging="435"/>
        <w:spacing w:after="0" w:line="261" w:lineRule="auto"/>
        <w:tabs>
          <w:tab w:leader="none" w:pos="1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980" w:right="660" w:hanging="435"/>
        <w:spacing w:after="0" w:line="261" w:lineRule="auto"/>
        <w:tabs>
          <w:tab w:leader="none" w:pos="1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980" w:right="700" w:hanging="435"/>
        <w:spacing w:after="0" w:line="266" w:lineRule="auto"/>
        <w:tabs>
          <w:tab w:leader="none" w:pos="1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80" w:right="820" w:hanging="435"/>
        <w:spacing w:after="0" w:line="261" w:lineRule="auto"/>
        <w:tabs>
          <w:tab w:leader="none" w:pos="1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1540" w:right="960" w:hanging="436"/>
        <w:spacing w:after="0" w:line="26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80" w:right="860" w:hanging="435"/>
        <w:spacing w:after="0" w:line="266" w:lineRule="auto"/>
        <w:tabs>
          <w:tab w:leader="none" w:pos="1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80" w:right="700" w:hanging="435"/>
        <w:spacing w:after="0" w:line="282" w:lineRule="auto"/>
        <w:tabs>
          <w:tab w:leader="none" w:pos="1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ind w:left="650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ROMEO R. DIZON</w:t>
            </w:r>
          </w:p>
        </w:tc>
      </w:tr>
      <w:tr>
        <w:trPr>
          <w:trHeight w:val="205"/>
        </w:trPr>
        <w:tc>
          <w:tcPr>
            <w:tcW w:w="7100" w:type="dxa"/>
            <w:vAlign w:val="bottom"/>
          </w:tcPr>
          <w:p>
            <w:pPr>
              <w:ind w:left="65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2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Romeo R. Dizon</w:t>
            </w:r>
          </w:p>
        </w:tc>
        <w:tc>
          <w:tcPr>
            <w:tcW w:w="660" w:type="dxa"/>
            <w:vAlign w:val="bottom"/>
          </w:tcPr>
          <w:p>
            <w:pPr>
              <w:spacing w:after="0"/>
              <w:rPr>
                <w:sz w:val="17"/>
                <w:szCs w:val="17"/>
                <w:color w:val="auto"/>
              </w:rPr>
            </w:pPr>
          </w:p>
        </w:tc>
      </w:tr>
      <w:tr>
        <w:trPr>
          <w:trHeight w:val="216"/>
        </w:trPr>
        <w:tc>
          <w:tcPr>
            <w:tcW w:w="7100" w:type="dxa"/>
            <w:vAlign w:val="bottom"/>
          </w:tcPr>
          <w:p>
            <w:pPr>
              <w:ind w:left="6500"/>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710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710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1370"/>
        </w:trPr>
        <w:tc>
          <w:tcPr>
            <w:tcW w:w="710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 Patrick Mercer, pursuant to 18 U.S.C. Section 1350, as adopted pursuant to Section 906 of the Sarbanes-Oxley Act of 2002, certify that the Quarterly Report of IRIDEX Corporation on Form 10-Q for the fiscal quarter ended June 28, 2025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25" w:lineRule="exact"/>
        <w:rPr>
          <w:sz w:val="20"/>
          <w:szCs w:val="20"/>
          <w:color w:val="auto"/>
        </w:rPr>
      </w:pPr>
    </w:p>
    <w:p>
      <w:pPr>
        <w:ind w:left="4760"/>
        <w:spacing w:after="0"/>
        <w:tabs>
          <w:tab w:leader="none" w:pos="5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17145</wp:posOffset>
            </wp:positionV>
            <wp:extent cx="27774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Name: Patrick Mercer</w:t>
      </w:r>
    </w:p>
    <w:p>
      <w:pPr>
        <w:spacing w:after="0" w:line="23" w:lineRule="exact"/>
        <w:rPr>
          <w:sz w:val="20"/>
          <w:szCs w:val="20"/>
          <w:color w:val="auto"/>
        </w:rPr>
      </w:pPr>
    </w:p>
    <w:p>
      <w:pPr>
        <w:ind w:left="4760"/>
        <w:spacing w:after="0"/>
        <w:tabs>
          <w:tab w:leader="none" w:pos="53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747395</wp:posOffset>
            </wp:positionV>
            <wp:extent cx="703770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34" w:name="page35"/>
    <w:bookmarkEnd w:id="34"/>
    <w:p>
      <w:pPr>
        <w:ind w:left="94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60" w:right="660" w:firstLine="441"/>
        <w:spacing w:after="0" w:line="258" w:lineRule="auto"/>
        <w:rPr>
          <w:sz w:val="20"/>
          <w:szCs w:val="20"/>
          <w:color w:val="auto"/>
        </w:rPr>
      </w:pPr>
      <w:r>
        <w:rPr>
          <w:rFonts w:ascii="Times New Roman" w:cs="Times New Roman" w:eastAsia="Times New Roman" w:hAnsi="Times New Roman"/>
          <w:sz w:val="18"/>
          <w:szCs w:val="18"/>
          <w:color w:val="auto"/>
        </w:rPr>
        <w:t>I, Romeo R. Dizon, pursuant to 18 U.S.C. Section 1350, as adopted pursuant to Section 906 of the Sarbanes-Oxley Act of 2002, certify that the Quarterly Report of IRIDEX Corporation on Form 10-Q for the fiscal quarter ended June 28, 2025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August 12,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ROMEO R. DIZON</w:t>
            </w:r>
          </w:p>
        </w:tc>
      </w:tr>
      <w:tr>
        <w:trPr>
          <w:trHeight w:val="191"/>
        </w:trPr>
        <w:tc>
          <w:tcPr>
            <w:tcW w:w="6000" w:type="dxa"/>
            <w:vAlign w:val="bottom"/>
          </w:tcPr>
          <w:p>
            <w:pPr>
              <w:ind w:left="54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Romeo R. Dizon</w:t>
            </w:r>
          </w:p>
        </w:tc>
        <w:tc>
          <w:tcPr>
            <w:tcW w:w="660" w:type="dxa"/>
            <w:vAlign w:val="bottom"/>
          </w:tcPr>
          <w:p>
            <w:pPr>
              <w:spacing w:after="0"/>
              <w:rPr>
                <w:sz w:val="16"/>
                <w:szCs w:val="16"/>
                <w:color w:val="auto"/>
              </w:rPr>
            </w:pPr>
          </w:p>
        </w:tc>
      </w:tr>
      <w:tr>
        <w:trPr>
          <w:trHeight w:val="216"/>
        </w:trPr>
        <w:tc>
          <w:tcPr>
            <w:tcW w:w="60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6000" w:type="dxa"/>
            <w:vAlign w:val="bottom"/>
          </w:tcPr>
          <w:p>
            <w:pPr>
              <w:spacing w:after="0"/>
              <w:rPr>
                <w:sz w:val="18"/>
                <w:szCs w:val="18"/>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6000" w:type="dxa"/>
            <w:vAlign w:val="bottom"/>
          </w:tcPr>
          <w:p>
            <w:pPr>
              <w:spacing w:after="0"/>
              <w:rPr>
                <w:sz w:val="20"/>
                <w:szCs w:val="20"/>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1195"/>
        </w:trPr>
        <w:tc>
          <w:tcPr>
            <w:tcW w:w="600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2"/>
    </w:lvl>
    <w:lvl w:ilvl="1">
      <w:lvlJc w:val="left"/>
      <w:lvlText w:val="%2)"/>
      <w:numFmt w:val="lowerLetter"/>
      <w:start w:val="1"/>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9"/>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49" Type="http://schemas.openxmlformats.org/officeDocument/2006/relationships/hyperlink" Target="https://www.sec.gov/Archives/edgar/data/1006045/000095017025086292/irix-ex3_1.htm" TargetMode="External"/><Relationship Id="rId250" Type="http://schemas.openxmlformats.org/officeDocument/2006/relationships/hyperlink" Target="https://www.sec.gov/Archives/edgar/data/1006045/000095017025076352/irix-ex4_1.htm" TargetMode="External"/><Relationship Id="rId251" Type="http://schemas.openxmlformats.org/officeDocument/2006/relationships/hyperlink" Target="https://www.sec.gov/Archives/edgar/data/1006045/000095017025086292/iri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2025-08-12T15:33:33Z</dcterms:created>
  <dcterms:modified xsi:type="dcterms:W3CDTF">2025-08-12T15:33:33Z</dcterms:modified>
</cp:coreProperties>
</file>