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4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28,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0-27598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IRIDEX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2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tcPr>
          <w:p>
            <w:pPr>
              <w:jc w:val="center"/>
              <w:ind w:left="1841"/>
              <w:spacing w:after="0"/>
              <w:rPr>
                <w:sz w:val="20"/>
                <w:szCs w:val="20"/>
                <w:color w:val="auto"/>
              </w:rPr>
            </w:pPr>
            <w:r>
              <w:rPr>
                <w:rFonts w:ascii="Arial" w:cs="Arial" w:eastAsia="Arial" w:hAnsi="Arial"/>
                <w:sz w:val="18"/>
                <w:szCs w:val="18"/>
                <w:b w:val="1"/>
                <w:bCs w:val="1"/>
                <w:color w:val="auto"/>
                <w:w w:val="89"/>
              </w:rPr>
              <w:t>77-0210467</w:t>
            </w:r>
          </w:p>
        </w:tc>
      </w:tr>
      <w:tr>
        <w:trPr>
          <w:trHeight w:val="149"/>
        </w:trPr>
        <w:tc>
          <w:tcPr>
            <w:tcW w:w="428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4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8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incorporation or organization)</w:t>
            </w:r>
          </w:p>
        </w:tc>
        <w:tc>
          <w:tcPr>
            <w:tcW w:w="334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42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0"/>
              </w:rPr>
              <w:t>1212 Terra Bella Avenue</w:t>
            </w:r>
          </w:p>
        </w:tc>
        <w:tc>
          <w:tcPr>
            <w:tcW w:w="3340" w:type="dxa"/>
            <w:vAlign w:val="bottom"/>
          </w:tcPr>
          <w:p>
            <w:pPr>
              <w:spacing w:after="0"/>
              <w:rPr>
                <w:sz w:val="24"/>
                <w:szCs w:val="24"/>
                <w:color w:val="auto"/>
              </w:rPr>
            </w:pPr>
          </w:p>
        </w:tc>
      </w:tr>
      <w:tr>
        <w:trPr>
          <w:trHeight w:val="212"/>
        </w:trPr>
        <w:tc>
          <w:tcPr>
            <w:tcW w:w="42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4"/>
              </w:rPr>
              <w:t>Mountain View, California</w:t>
            </w:r>
          </w:p>
        </w:tc>
        <w:tc>
          <w:tcPr>
            <w:tcW w:w="3340" w:type="dxa"/>
            <w:vAlign w:val="bottom"/>
          </w:tcPr>
          <w:p>
            <w:pPr>
              <w:jc w:val="center"/>
              <w:ind w:left="1841"/>
              <w:spacing w:after="0"/>
              <w:rPr>
                <w:sz w:val="20"/>
                <w:szCs w:val="20"/>
                <w:color w:val="auto"/>
              </w:rPr>
            </w:pPr>
            <w:r>
              <w:rPr>
                <w:rFonts w:ascii="Arial" w:cs="Arial" w:eastAsia="Arial" w:hAnsi="Arial"/>
                <w:sz w:val="18"/>
                <w:szCs w:val="18"/>
                <w:b w:val="1"/>
                <w:bCs w:val="1"/>
                <w:color w:val="auto"/>
                <w:w w:val="89"/>
              </w:rPr>
              <w:t>94043-1824</w:t>
            </w:r>
          </w:p>
        </w:tc>
      </w:tr>
      <w:tr>
        <w:trPr>
          <w:trHeight w:val="186"/>
        </w:trPr>
        <w:tc>
          <w:tcPr>
            <w:tcW w:w="4280" w:type="dxa"/>
            <w:vAlign w:val="bottom"/>
          </w:tcPr>
          <w:p>
            <w:pPr>
              <w:jc w:val="center"/>
              <w:ind w:right="18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4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940-4700</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450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40" w:type="dxa"/>
            <w:vAlign w:val="bottom"/>
            <w:tcBorders>
              <w:top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0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Title of Class</w:t>
            </w:r>
          </w:p>
        </w:tc>
        <w:tc>
          <w:tcPr>
            <w:tcW w:w="2240" w:type="dxa"/>
            <w:vAlign w:val="bottom"/>
          </w:tcPr>
          <w:p>
            <w:pPr>
              <w:jc w:val="center"/>
              <w:ind w:left="50"/>
              <w:spacing w:after="0"/>
              <w:rPr>
                <w:sz w:val="20"/>
                <w:szCs w:val="20"/>
                <w:color w:val="auto"/>
              </w:rPr>
            </w:pPr>
            <w:r>
              <w:rPr>
                <w:rFonts w:ascii="Arial" w:cs="Arial" w:eastAsia="Arial" w:hAnsi="Arial"/>
                <w:sz w:val="18"/>
                <w:szCs w:val="18"/>
                <w:color w:val="auto"/>
                <w:w w:val="93"/>
              </w:rPr>
              <w:t>Trading Symbol</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240" w:type="dxa"/>
            <w:vAlign w:val="bottom"/>
          </w:tcPr>
          <w:p>
            <w:pPr>
              <w:jc w:val="center"/>
              <w:ind w:left="50"/>
              <w:spacing w:after="0"/>
              <w:rPr>
                <w:sz w:val="20"/>
                <w:szCs w:val="20"/>
                <w:color w:val="auto"/>
              </w:rPr>
            </w:pPr>
            <w:r>
              <w:rPr>
                <w:rFonts w:ascii="Arial" w:cs="Arial" w:eastAsia="Arial" w:hAnsi="Arial"/>
                <w:sz w:val="18"/>
                <w:szCs w:val="18"/>
                <w:color w:val="auto"/>
              </w:rPr>
              <w:t>IRIX</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c>
          <w:tcPr>
            <w:tcW w:w="0" w:type="dxa"/>
            <w:vAlign w:val="bottom"/>
          </w:tcPr>
          <w:p>
            <w:pPr>
              <w:spacing w:after="0"/>
              <w:rPr>
                <w:sz w:val="1"/>
                <w:szCs w:val="1"/>
                <w:color w:val="auto"/>
              </w:rPr>
            </w:pPr>
          </w:p>
        </w:tc>
      </w:tr>
    </w:tbl>
    <w:p>
      <w:pPr>
        <w:spacing w:after="0" w:line="79"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20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200"/>
              <w:spacing w:after="0"/>
              <w:rPr>
                <w:sz w:val="20"/>
                <w:szCs w:val="20"/>
                <w:color w:val="auto"/>
              </w:rPr>
            </w:pPr>
            <w:r>
              <w:rPr>
                <w:rFonts w:ascii="Arial" w:cs="Arial" w:eastAsia="Arial" w:hAnsi="Arial"/>
                <w:sz w:val="18"/>
                <w:szCs w:val="18"/>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47"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right="1580"/>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common stock, $0.01 par value, issued and outstanding as of April 23, 2020 was 13,788,160.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652145</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331"/>
        </w:trPr>
        <w:tc>
          <w:tcPr>
            <w:tcW w:w="10480" w:type="dxa"/>
            <w:vAlign w:val="bottom"/>
            <w:gridSpan w:val="7"/>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 FINANCIAL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64"/>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Financial Statements (Unaudited)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65"/>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Condensed Consolidated Balance Sheets as of March 28, 2020 and December 28, 2019</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64"/>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w w:val="92"/>
              </w:rPr>
            </w:pPr>
            <w:hyperlink w:anchor="page5">
              <w:r>
                <w:rPr>
                  <w:rFonts w:ascii="Arial" w:cs="Arial" w:eastAsia="Arial" w:hAnsi="Arial"/>
                  <w:sz w:val="18"/>
                  <w:szCs w:val="18"/>
                  <w:u w:val="single" w:color="auto"/>
                  <w:color w:val="0000EE"/>
                  <w:w w:val="92"/>
                </w:rPr>
                <w:t>Unaudited Condensed Consolidated Statements of Operations for the three months ended March 28, 2020 and March 30, 2019</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7"/>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 Condensed Consolidated Statements of Comprehensive Loss for the three months ended March 28, 2020 and March</w:t>
              </w:r>
            </w:hyperlink>
          </w:p>
        </w:tc>
        <w:tc>
          <w:tcPr>
            <w:tcW w:w="76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30, 2019</w:t>
              </w:r>
            </w:hyperlink>
          </w:p>
        </w:tc>
        <w:tc>
          <w:tcPr>
            <w:tcW w:w="85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318"/>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Condensed Consolidated Statements of Stockholder's Equity for the three months ended March 28, 2020 and March 30,</w:t>
              </w:r>
            </w:hyperlink>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2019</w:t>
              </w:r>
            </w:hyperlink>
          </w:p>
        </w:tc>
        <w:tc>
          <w:tcPr>
            <w:tcW w:w="28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85"/>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w w:val="92"/>
              </w:rPr>
            </w:pPr>
            <w:hyperlink w:anchor="page8">
              <w:r>
                <w:rPr>
                  <w:rFonts w:ascii="Arial" w:cs="Arial" w:eastAsia="Arial" w:hAnsi="Arial"/>
                  <w:sz w:val="18"/>
                  <w:szCs w:val="18"/>
                  <w:u w:val="single" w:color="auto"/>
                  <w:color w:val="0000EE"/>
                  <w:w w:val="92"/>
                </w:rPr>
                <w:t>Unaudited Condensed Consolidated Statements of Cash Flows for the three months ended March 28, 2020 and March 30, 2019</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64"/>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64"/>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Quantitative and Qualitative Disclosures about Market Risk</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64"/>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Controls and Procedures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38"/>
        </w:trPr>
        <w:tc>
          <w:tcPr>
            <w:tcW w:w="10480" w:type="dxa"/>
            <w:vAlign w:val="bottom"/>
            <w:gridSpan w:val="7"/>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PART II. OTHER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Legal Proceedings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4"/>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Risk Factors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4"/>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Unregistered Sales of Equity Securities and Use of Proceeds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Defaults Upon Senior Securities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64"/>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Mine Safety Disclosures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Other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Exhibits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38"/>
        </w:trPr>
        <w:tc>
          <w:tcPr>
            <w:tcW w:w="94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Signatures</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97"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00" w:lineRule="exact"/>
        <w:rPr>
          <w:sz w:val="20"/>
          <w:szCs w:val="20"/>
          <w:color w:val="auto"/>
        </w:rPr>
      </w:pPr>
    </w:p>
    <w:p>
      <w:pPr>
        <w:jc w:val="both"/>
        <w:ind w:left="1000" w:right="200" w:hanging="493"/>
        <w:spacing w:after="0" w:line="255"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2" w:lineRule="exact"/>
        <w:rPr>
          <w:rFonts w:ascii="Arial" w:cs="Arial" w:eastAsia="Arial" w:hAnsi="Arial"/>
          <w:sz w:val="18"/>
          <w:szCs w:val="18"/>
          <w:color w:val="auto"/>
        </w:rPr>
      </w:pPr>
    </w:p>
    <w:p>
      <w:pPr>
        <w:ind w:left="1000" w:right="100" w:hanging="493"/>
        <w:spacing w:after="0" w:line="25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related responses of business and governments to the pandemic on our operations and personnel, and on commercial activity and demand of our products, business operations and results of operations;</w:t>
      </w: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acceptance and purchase of our existing products and new products;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other products;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foreign currency exchange rate and interest rate fluctuations on our results and sales;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pace of change and innovation in the markets in which we participate and the competitive nature of those markets;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strategy and our plan to build our business;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costs of manufacturing and reliance on third party manufacturers;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expansion and sales strategy;</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and cash flows;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and objectives for future operations;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rights;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expensing stock options and other equity awards;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in our existing markets and into new markets;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sufficiency of cash to meet cash needs for at least the next 12 months;</w:t>
      </w:r>
    </w:p>
    <w:p>
      <w:pPr>
        <w:spacing w:after="0" w:line="9" w:lineRule="exact"/>
        <w:rPr>
          <w:rFonts w:ascii="Arial" w:cs="Arial" w:eastAsia="Arial" w:hAnsi="Arial"/>
          <w:sz w:val="18"/>
          <w:szCs w:val="18"/>
          <w:color w:val="auto"/>
        </w:rPr>
      </w:pPr>
    </w:p>
    <w:p>
      <w:pPr>
        <w:ind w:left="1000" w:right="520" w:hanging="493"/>
        <w:spacing w:after="0" w:line="25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laws and regulations that currently apply or become applicable to our business both in the United States and internationally;</w:t>
      </w: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common stock.</w:t>
      </w:r>
    </w:p>
    <w:p>
      <w:pPr>
        <w:spacing w:after="0" w:line="11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93"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such statements are made. We undertake no obligation to update any forward-looking statements made in this Quarterly Report on Form 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84"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As used in this Quarterly Report on Form 10-Q, the terms “Company,” “IRIDEX,” “we,” “us” and “our” refer to IRIDEX Corporation, and its consolidated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28, 2020</w:t>
            </w:r>
          </w:p>
        </w:tc>
        <w:tc>
          <w:tcPr>
            <w:tcW w:w="100" w:type="dxa"/>
            <w:vAlign w:val="bottom"/>
          </w:tcPr>
          <w:p>
            <w:pPr>
              <w:spacing w:after="0"/>
              <w:rPr>
                <w:sz w:val="14"/>
                <w:szCs w:val="1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December 28, 2019 (1)</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ind w:left="3460"/>
              <w:spacing w:after="0"/>
              <w:rPr>
                <w:sz w:val="20"/>
                <w:szCs w:val="20"/>
                <w:color w:val="auto"/>
              </w:rPr>
            </w:pPr>
            <w:r>
              <w:rPr>
                <w:rFonts w:ascii="Arial" w:cs="Arial" w:eastAsia="Arial" w:hAnsi="Arial"/>
                <w:sz w:val="18"/>
                <w:szCs w:val="18"/>
                <w:b w:val="1"/>
                <w:bCs w:val="1"/>
                <w:color w:val="auto"/>
              </w:rPr>
              <w:t>ASSETS</w:t>
            </w:r>
          </w:p>
        </w:tc>
        <w:tc>
          <w:tcPr>
            <w:tcW w:w="10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Current assets: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40" w:type="dxa"/>
            <w:vAlign w:val="bottom"/>
          </w:tcPr>
          <w:p>
            <w:pPr>
              <w:ind w:left="260"/>
              <w:spacing w:after="0"/>
              <w:rPr>
                <w:sz w:val="20"/>
                <w:szCs w:val="20"/>
                <w:color w:val="auto"/>
              </w:rPr>
            </w:pPr>
            <w:r>
              <w:rPr>
                <w:rFonts w:ascii="Arial" w:cs="Arial" w:eastAsia="Arial" w:hAnsi="Arial"/>
                <w:sz w:val="18"/>
                <w:szCs w:val="18"/>
                <w:color w:val="auto"/>
              </w:rPr>
              <w:t>Accounts receivable, net of allowance for doubtful accounts of</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$229 as of March 28, 2020 and $187 as of December 28, 2019</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6,987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26,975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0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30,896</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1840"/>
              <w:spacing w:after="0"/>
              <w:rPr>
                <w:sz w:val="20"/>
                <w:szCs w:val="20"/>
                <w:color w:val="auto"/>
              </w:rPr>
            </w:pPr>
            <w:r>
              <w:rPr>
                <w:rFonts w:ascii="Arial" w:cs="Arial" w:eastAsia="Arial" w:hAnsi="Arial"/>
                <w:sz w:val="18"/>
                <w:szCs w:val="18"/>
                <w:b w:val="1"/>
                <w:bCs w:val="1"/>
                <w:color w:val="auto"/>
              </w:rPr>
              <w:t>LIABILITIES AND STOCKHOLDERS’ EQUITY</w:t>
            </w: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1,501</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10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7,835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60"/>
              <w:spacing w:after="0"/>
              <w:rPr>
                <w:sz w:val="20"/>
                <w:szCs w:val="20"/>
                <w:color w:val="auto"/>
              </w:rPr>
            </w:pPr>
            <w:r>
              <w:rPr>
                <w:rFonts w:ascii="Arial" w:cs="Arial" w:eastAsia="Arial" w:hAnsi="Arial"/>
                <w:sz w:val="18"/>
                <w:szCs w:val="18"/>
                <w:color w:val="auto"/>
              </w:rPr>
              <w:t>Accrued warranty</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10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0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9,747</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2,000,000 shares authorized, no shares</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and outstanding</w:t>
            </w:r>
          </w:p>
        </w:tc>
        <w:tc>
          <w:tcPr>
            <w:tcW w:w="10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Authorized: 30,000,000 shares;</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40" w:type="dxa"/>
            <w:vAlign w:val="bottom"/>
          </w:tcPr>
          <w:p>
            <w:pPr>
              <w:ind w:left="260"/>
              <w:spacing w:after="0"/>
              <w:rPr>
                <w:sz w:val="20"/>
                <w:szCs w:val="20"/>
                <w:color w:val="auto"/>
              </w:rPr>
            </w:pPr>
            <w:r>
              <w:rPr>
                <w:rFonts w:ascii="Arial" w:cs="Arial" w:eastAsia="Arial" w:hAnsi="Arial"/>
                <w:sz w:val="18"/>
                <w:szCs w:val="18"/>
                <w:color w:val="auto"/>
              </w:rPr>
              <w:t>Issued and outstanding 13,787,969 and 13,785,233 shares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as of March 28, 2020 and December 28, 2019, respectively</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73,186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(52,266)</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(50,615)</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0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21,149</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0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30,896</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46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Derived from the audited consolidated financial statements included in the Annual Report on Form 10-K filed with the SEC for the year ended December 28, 2019.</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4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58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right"/>
              <w:ind w:right="600"/>
              <w:spacing w:after="0" w:line="155" w:lineRule="exact"/>
              <w:rPr>
                <w:sz w:val="20"/>
                <w:szCs w:val="20"/>
                <w:color w:val="auto"/>
              </w:rPr>
            </w:pPr>
            <w:r>
              <w:rPr>
                <w:rFonts w:ascii="Arial" w:cs="Arial" w:eastAsia="Arial" w:hAnsi="Arial"/>
                <w:sz w:val="14"/>
                <w:szCs w:val="14"/>
                <w:b w:val="1"/>
                <w:bCs w:val="1"/>
                <w:color w:val="auto"/>
              </w:rPr>
              <w:t>March 28, 2020</w:t>
            </w: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March 30,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8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9,021</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18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3,916</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3,152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8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5,569</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 before provision for income taxes</w:t>
            </w:r>
          </w:p>
        </w:tc>
        <w:tc>
          <w:tcPr>
            <w:tcW w:w="18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8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8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1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8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FF0FC"/>
            </w:tcBorders>
            <w:vMerge w:val="continue"/>
          </w:tcPr>
          <w:p>
            <w:pPr>
              <w:spacing w:after="0"/>
              <w:rPr>
                <w:sz w:val="21"/>
                <w:szCs w:val="21"/>
                <w:color w:val="auto"/>
              </w:rPr>
            </w:pPr>
          </w:p>
        </w:tc>
        <w:tc>
          <w:tcPr>
            <w:tcW w:w="18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3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in computing net loss</w:t>
            </w:r>
          </w:p>
        </w:tc>
        <w:tc>
          <w:tcPr>
            <w:tcW w:w="1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 common share:</w:t>
            </w:r>
          </w:p>
        </w:tc>
        <w:tc>
          <w:tcPr>
            <w:tcW w:w="18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86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13,786</w:t>
            </w:r>
          </w:p>
        </w:tc>
        <w:tc>
          <w:tcPr>
            <w:tcW w:w="30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13,630</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8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13,786</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00" w:type="dxa"/>
            <w:vAlign w:val="bottom"/>
            <w:gridSpan w:val="5"/>
          </w:tcPr>
          <w:p>
            <w:pPr>
              <w:ind w:left="84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77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March 28, 2020</w:t>
            </w: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March 30, 2019</w:t>
            </w:r>
          </w:p>
        </w:tc>
        <w:tc>
          <w:tcPr>
            <w:tcW w:w="100" w:type="dxa"/>
            <w:vAlign w:val="bottom"/>
          </w:tcPr>
          <w:p>
            <w:pPr>
              <w:spacing w:after="0"/>
              <w:rPr>
                <w:sz w:val="13"/>
                <w:szCs w:val="13"/>
                <w:color w:val="auto"/>
              </w:rPr>
            </w:pPr>
          </w:p>
        </w:tc>
      </w:tr>
      <w:tr>
        <w:trPr>
          <w:trHeight w:val="223"/>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tcPr>
          <w:p>
            <w:pPr>
              <w:spacing w:after="0"/>
              <w:rPr>
                <w:sz w:val="19"/>
                <w:szCs w:val="19"/>
                <w:color w:val="auto"/>
              </w:rPr>
            </w:pPr>
          </w:p>
        </w:tc>
      </w:tr>
      <w:tr>
        <w:trPr>
          <w:trHeight w:val="223"/>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960" w:type="dxa"/>
            <w:vAlign w:val="bottom"/>
          </w:tcPr>
          <w:p>
            <w:pPr>
              <w:jc w:val="center"/>
              <w:ind w:right="24"/>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For the three months ended March 28, 2020</w:t>
            </w:r>
          </w:p>
        </w:tc>
        <w:tc>
          <w:tcPr>
            <w:tcW w:w="2340" w:type="dxa"/>
            <w:vAlign w:val="bottom"/>
            <w:gridSpan w:val="4"/>
            <w:vMerge w:val="restart"/>
          </w:tcPr>
          <w:p>
            <w:pPr>
              <w:jc w:val="right"/>
              <w:ind w:right="62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20" w:type="dxa"/>
            <w:vAlign w:val="bottom"/>
            <w:vMerge w:val="continue"/>
          </w:tcPr>
          <w:p>
            <w:pPr>
              <w:spacing w:after="0"/>
              <w:rPr>
                <w:sz w:val="14"/>
                <w:szCs w:val="14"/>
                <w:color w:val="auto"/>
              </w:rPr>
            </w:pPr>
          </w:p>
        </w:tc>
        <w:tc>
          <w:tcPr>
            <w:tcW w:w="234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Paid-in</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2"/>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63"/>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4"/>
              <w:spacing w:after="0" w:line="155" w:lineRule="exact"/>
              <w:rPr>
                <w:sz w:val="20"/>
                <w:szCs w:val="20"/>
                <w:color w:val="auto"/>
              </w:rPr>
            </w:pPr>
            <w:r>
              <w:rPr>
                <w:rFonts w:ascii="Arial" w:cs="Arial" w:eastAsia="Arial" w:hAnsi="Arial"/>
                <w:sz w:val="14"/>
                <w:szCs w:val="14"/>
                <w:b w:val="1"/>
                <w:bCs w:val="1"/>
                <w:color w:val="auto"/>
                <w:w w:val="93"/>
              </w:rPr>
              <w:t>Income</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3"/>
              <w:spacing w:after="0" w:line="155"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Balances, December 28, 2019</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13,785,233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73,093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(50,615)</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Employee stock-based compensation expense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Release of restricted stock, net of taxes paid</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(1,651)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(1,651)</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Balances, March 28, 2020</w:t>
            </w: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20" w:type="dxa"/>
            <w:vAlign w:val="bottom"/>
            <w:vMerge w:val="continue"/>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13,787,969</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147</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73,186</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82</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(52,266)</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21,149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960" w:type="dxa"/>
            <w:vAlign w:val="bottom"/>
          </w:tcPr>
          <w:p>
            <w:pPr>
              <w:jc w:val="center"/>
              <w:ind w:right="24"/>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For the three months ended March 30, 2019</w:t>
            </w:r>
          </w:p>
        </w:tc>
        <w:tc>
          <w:tcPr>
            <w:tcW w:w="2340" w:type="dxa"/>
            <w:vAlign w:val="bottom"/>
            <w:gridSpan w:val="4"/>
            <w:vMerge w:val="restart"/>
          </w:tcPr>
          <w:p>
            <w:pPr>
              <w:jc w:val="right"/>
              <w:ind w:right="62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20" w:type="dxa"/>
            <w:vAlign w:val="bottom"/>
            <w:vMerge w:val="continue"/>
          </w:tcPr>
          <w:p>
            <w:pPr>
              <w:spacing w:after="0"/>
              <w:rPr>
                <w:sz w:val="14"/>
                <w:szCs w:val="14"/>
                <w:color w:val="auto"/>
              </w:rPr>
            </w:pPr>
          </w:p>
        </w:tc>
        <w:tc>
          <w:tcPr>
            <w:tcW w:w="234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Paid-in</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2"/>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63"/>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4"/>
              <w:spacing w:after="0" w:line="155" w:lineRule="exact"/>
              <w:rPr>
                <w:sz w:val="20"/>
                <w:szCs w:val="20"/>
                <w:color w:val="auto"/>
              </w:rPr>
            </w:pPr>
            <w:r>
              <w:rPr>
                <w:rFonts w:ascii="Arial" w:cs="Arial" w:eastAsia="Arial" w:hAnsi="Arial"/>
                <w:sz w:val="14"/>
                <w:szCs w:val="14"/>
                <w:b w:val="1"/>
                <w:bCs w:val="1"/>
                <w:color w:val="auto"/>
                <w:w w:val="93"/>
              </w:rPr>
              <w:t>Income</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3"/>
              <w:spacing w:after="0" w:line="155"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Balances, December 29, 2018</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13,602,052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71,548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(41,802)</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Issuance of common stock under stock option plan</w:t>
            </w:r>
          </w:p>
        </w:tc>
        <w:tc>
          <w:tcPr>
            <w:tcW w:w="1060" w:type="dxa"/>
            <w:vAlign w:val="bottom"/>
          </w:tcPr>
          <w:p>
            <w:pPr>
              <w:jc w:val="right"/>
              <w:spacing w:after="0"/>
              <w:rPr>
                <w:sz w:val="20"/>
                <w:szCs w:val="20"/>
                <w:color w:val="auto"/>
              </w:rPr>
            </w:pPr>
            <w:r>
              <w:rPr>
                <w:rFonts w:ascii="Arial" w:cs="Arial" w:eastAsia="Arial" w:hAnsi="Arial"/>
                <w:sz w:val="16"/>
                <w:szCs w:val="16"/>
                <w:color w:val="auto"/>
              </w:rPr>
              <w:t>208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Employee stock-based compensation expense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Release of restricted stock, net of taxes paid</w:t>
            </w:r>
          </w:p>
        </w:tc>
        <w:tc>
          <w:tcPr>
            <w:tcW w:w="1060" w:type="dxa"/>
            <w:vAlign w:val="bottom"/>
          </w:tcPr>
          <w:p>
            <w:pPr>
              <w:jc w:val="right"/>
              <w:spacing w:after="0"/>
              <w:rPr>
                <w:sz w:val="20"/>
                <w:szCs w:val="20"/>
                <w:color w:val="auto"/>
              </w:rPr>
            </w:pPr>
            <w:r>
              <w:rPr>
                <w:rFonts w:ascii="Arial" w:cs="Arial" w:eastAsia="Arial" w:hAnsi="Arial"/>
                <w:sz w:val="16"/>
                <w:szCs w:val="16"/>
                <w:color w:val="auto"/>
              </w:rPr>
              <w:t>31,379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Net 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(3,048)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(3,048)</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Balances, March 30, 2019</w:t>
            </w: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13,633,639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72,070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(44,850)</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4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6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right"/>
              <w:ind w:right="600"/>
              <w:spacing w:after="0" w:line="155" w:lineRule="exact"/>
              <w:rPr>
                <w:sz w:val="20"/>
                <w:szCs w:val="20"/>
                <w:color w:val="auto"/>
              </w:rPr>
            </w:pPr>
            <w:r>
              <w:rPr>
                <w:rFonts w:ascii="Arial" w:cs="Arial" w:eastAsia="Arial" w:hAnsi="Arial"/>
                <w:sz w:val="14"/>
                <w:szCs w:val="14"/>
                <w:b w:val="1"/>
                <w:bCs w:val="1"/>
                <w:color w:val="auto"/>
              </w:rPr>
              <w:t>March 28, 2020</w:t>
            </w: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March 30,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(1,651)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earn-out liability</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6480" w:type="dxa"/>
            <w:vAlign w:val="bottom"/>
          </w:tcPr>
          <w:p>
            <w:pPr>
              <w:ind w:left="500"/>
              <w:spacing w:after="0"/>
              <w:rPr>
                <w:sz w:val="20"/>
                <w:szCs w:val="20"/>
                <w:color w:val="auto"/>
              </w:rPr>
            </w:pPr>
            <w:r>
              <w:rPr>
                <w:rFonts w:ascii="Arial" w:cs="Arial" w:eastAsia="Arial" w:hAnsi="Arial"/>
                <w:sz w:val="18"/>
                <w:szCs w:val="18"/>
                <w:color w:val="auto"/>
              </w:rPr>
              <w:t>Operating lease right-of-use assets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assets</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(1,091)</w:t>
            </w: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compensation</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(681)</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30"/>
        </w:trPr>
        <w:tc>
          <w:tcPr>
            <w:tcW w:w="648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warranty</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648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liabilities</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1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3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500"/>
              <w:spacing w:after="0"/>
              <w:rPr>
                <w:sz w:val="20"/>
                <w:szCs w:val="20"/>
                <w:color w:val="auto"/>
              </w:rPr>
            </w:pPr>
            <w:r>
              <w:rPr>
                <w:rFonts w:ascii="Arial" w:cs="Arial" w:eastAsia="Arial" w:hAnsi="Arial"/>
                <w:sz w:val="18"/>
                <w:szCs w:val="18"/>
                <w:color w:val="auto"/>
              </w:rPr>
              <w:t>Acquisition of property and equipment</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Payment on earn-out liability</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500"/>
              <w:spacing w:after="0"/>
              <w:rPr>
                <w:sz w:val="20"/>
                <w:szCs w:val="20"/>
                <w:color w:val="auto"/>
              </w:rPr>
            </w:pPr>
            <w:r>
              <w:rPr>
                <w:rFonts w:ascii="Arial" w:cs="Arial" w:eastAsia="Arial" w:hAnsi="Arial"/>
                <w:sz w:val="18"/>
                <w:szCs w:val="18"/>
                <w:color w:val="auto"/>
              </w:rPr>
              <w:t>Taxes paid related to net share settlements of equity awards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64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1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vMerge w:val="continue"/>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exchange rate changes</w:t>
            </w:r>
          </w:p>
        </w:tc>
        <w:tc>
          <w:tcPr>
            <w:tcW w:w="1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12,653</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11,139</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Transfer of inventory to property and equipment</w:t>
            </w:r>
          </w:p>
        </w:tc>
        <w:tc>
          <w:tcPr>
            <w:tcW w:w="1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spacing w:after="0" w:line="80"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28, 2019, which was filed with the Securities and Exchange Commission (“SEC”) on March 13, 2020. The results of operations for the three months ended March 28, 2020 and March 30, 2019 are not necessarily indicative of the results for the fiscal year ending January 2, 2021 or any future interim period. The three months ended March 28, 2020 and March 30, 2019, 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have historically funded our operations primarily through sales of our products to customers, and through common stock and borrowing arrangements. As of March 28, 2020, our principal sources of liquidity consisted of cash and cash equivalents of $11.1 million. We have incurred net losses over the last several years, and as of March 28, 2020 have an accumulated deficit of approximately $52.3 million. We expect to continue to incur operating losses and negative cash flows from operations through March 31, 2021.</w:t>
      </w:r>
    </w:p>
    <w:p>
      <w:pPr>
        <w:spacing w:after="0" w:line="79"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We believe our existing cash and cash equivalents will be sufficient to meet our anticipated cash needs over the next 12 months. Our future capital requirements will depend on many factors, including our growth rate,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Company’s significant accounting policies are disclosed in our Annual Report on Form 10-K for the year ended December 28, 2019, which was filed with the SEC on March 13,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Presentation.</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our wholly owned subsidiaries. All significant intercompany accounts and transactions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220" w:firstLine="510"/>
        <w:spacing w:after="0" w:line="296"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460" w:firstLine="510"/>
        <w:spacing w:after="0" w:line="286" w:lineRule="auto"/>
        <w:rPr>
          <w:sz w:val="20"/>
          <w:szCs w:val="20"/>
          <w:color w:val="auto"/>
        </w:rPr>
      </w:pPr>
      <w:r>
        <w:rPr>
          <w:rFonts w:ascii="Arial" w:cs="Arial" w:eastAsia="Arial" w:hAnsi="Arial"/>
          <w:sz w:val="17"/>
          <w:szCs w:val="17"/>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Accounting Standards Codification (“ASC”) 606, “Revenue from Contracts with Customers.”</w:t>
      </w:r>
    </w:p>
    <w:p>
      <w:pPr>
        <w:spacing w:after="0" w:line="5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Company has the following revenue transaction types: (1) Product Sale Only, (2) Laser Advantage Program (LAP), (3) Extended Warranty, (4) System Repairs (outside of warranty) and (5) Royalty Revenue.</w:t>
      </w:r>
    </w:p>
    <w:p>
      <w:pPr>
        <w:spacing w:after="0" w:line="62" w:lineRule="exact"/>
        <w:rPr>
          <w:sz w:val="20"/>
          <w:szCs w:val="20"/>
          <w:color w:val="auto"/>
        </w:rPr>
      </w:pPr>
    </w:p>
    <w:p>
      <w:pPr>
        <w:ind w:left="1000" w:right="80" w:hanging="493"/>
        <w:spacing w:after="0" w:line="25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subsequent to the shipment to the distributors.</w:t>
      </w:r>
    </w:p>
    <w:p>
      <w:pPr>
        <w:spacing w:after="0" w:line="79" w:lineRule="exact"/>
        <w:rPr>
          <w:rFonts w:ascii="Arial" w:cs="Arial" w:eastAsia="Arial" w:hAnsi="Arial"/>
          <w:sz w:val="18"/>
          <w:szCs w:val="18"/>
          <w:color w:val="auto"/>
        </w:rPr>
      </w:pPr>
    </w:p>
    <w:p>
      <w:pPr>
        <w:ind w:left="1020" w:right="240"/>
        <w:spacing w:after="0" w:line="301" w:lineRule="auto"/>
        <w:rPr>
          <w:rFonts w:ascii="Arial" w:cs="Arial" w:eastAsia="Arial" w:hAnsi="Arial"/>
          <w:sz w:val="18"/>
          <w:szCs w:val="18"/>
          <w:color w:val="auto"/>
        </w:rPr>
      </w:pPr>
      <w:r>
        <w:rPr>
          <w:rFonts w:ascii="Arial" w:cs="Arial" w:eastAsia="Arial" w:hAnsi="Arial"/>
          <w:sz w:val="16"/>
          <w:szCs w:val="16"/>
          <w:color w:val="auto"/>
        </w:rPr>
        <w:t>The Company recognizes revenue from product sale at a point in time. When a system or disposables are sold without any additional deliverables,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49" w:lineRule="exact"/>
        <w:rPr>
          <w:rFonts w:ascii="Arial" w:cs="Arial" w:eastAsia="Arial" w:hAnsi="Arial"/>
          <w:sz w:val="18"/>
          <w:szCs w:val="18"/>
          <w:color w:val="auto"/>
        </w:rPr>
      </w:pPr>
    </w:p>
    <w:p>
      <w:pPr>
        <w:ind w:left="1000" w:hanging="493"/>
        <w:spacing w:after="0" w:line="273"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LAP Program: The Company sometimes enters into LAP contracts with customers. Under the LAP program, the system is given away free of charge and title is transferred after the customer purchases the minimum required number of boxes of probes (classified as disposables). Customers with older machines have the ability to trade in their old machines for the most current laser equipment offered in the program (G6 Laser) and receive a discount on the program’s minimum purchase requirements. Under ASC 606, this non-cash consideration must be included in the transaction price. However, the Company has determined that there is no value associated with the old machine and the trade in is essentially offered to encourage customers to purchase more consumables under the program.</w:t>
      </w:r>
    </w:p>
    <w:p>
      <w:pPr>
        <w:spacing w:after="0" w:line="69" w:lineRule="exact"/>
        <w:rPr>
          <w:rFonts w:ascii="Arial" w:cs="Arial" w:eastAsia="Arial" w:hAnsi="Arial"/>
          <w:sz w:val="17"/>
          <w:szCs w:val="17"/>
          <w:color w:val="auto"/>
        </w:rPr>
      </w:pPr>
    </w:p>
    <w:p>
      <w:pPr>
        <w:ind w:left="1020" w:right="60"/>
        <w:spacing w:after="0" w:line="263" w:lineRule="auto"/>
        <w:rPr>
          <w:rFonts w:ascii="Arial" w:cs="Arial" w:eastAsia="Arial" w:hAnsi="Arial"/>
          <w:sz w:val="17"/>
          <w:szCs w:val="17"/>
          <w:color w:val="auto"/>
        </w:rPr>
      </w:pPr>
      <w:r>
        <w:rPr>
          <w:rFonts w:ascii="Arial" w:cs="Arial" w:eastAsia="Arial" w:hAnsi="Arial"/>
          <w:sz w:val="18"/>
          <w:szCs w:val="18"/>
          <w:color w:val="auto"/>
        </w:rPr>
        <w:t>The Company recognizes revenue from product sales under the LAP program at a point in time.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5" w:lineRule="exact"/>
        <w:rPr>
          <w:rFonts w:ascii="Arial" w:cs="Arial" w:eastAsia="Arial" w:hAnsi="Arial"/>
          <w:sz w:val="17"/>
          <w:szCs w:val="17"/>
          <w:color w:val="auto"/>
        </w:rPr>
      </w:pPr>
    </w:p>
    <w:p>
      <w:pPr>
        <w:ind w:left="1000" w:right="220" w:hanging="493"/>
        <w:spacing w:after="0" w:line="311"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Extended Warranty: The Company offers a standard two-year warranty on all system sales. The Company also offers an extended warranty which is sold to customers in incremental, one-year warranty periods which begin subsequent to the expiration of the standard two-year warranty. The customer can opt to purchase the extended warranty at the time of the system sale or after the initial system sale.</w:t>
      </w:r>
    </w:p>
    <w:p>
      <w:pPr>
        <w:spacing w:after="0" w:line="40" w:lineRule="exact"/>
        <w:rPr>
          <w:rFonts w:ascii="Arial" w:cs="Arial" w:eastAsia="Arial" w:hAnsi="Arial"/>
          <w:sz w:val="16"/>
          <w:szCs w:val="16"/>
          <w:color w:val="auto"/>
        </w:rPr>
      </w:pPr>
    </w:p>
    <w:p>
      <w:pPr>
        <w:ind w:left="1020" w:right="100"/>
        <w:spacing w:after="0" w:line="277" w:lineRule="auto"/>
        <w:rPr>
          <w:rFonts w:ascii="Arial" w:cs="Arial" w:eastAsia="Arial" w:hAnsi="Arial"/>
          <w:sz w:val="16"/>
          <w:szCs w:val="16"/>
          <w:color w:val="auto"/>
        </w:rPr>
      </w:pPr>
      <w:r>
        <w:rPr>
          <w:rFonts w:ascii="Arial" w:cs="Arial" w:eastAsia="Arial" w:hAnsi="Arial"/>
          <w:sz w:val="18"/>
          <w:szCs w:val="18"/>
          <w:color w:val="auto"/>
        </w:rPr>
        <w:t>The Company recognizes revenue from extended warranty ratably over the warranty period. Revenue recognition for the sale of an extended warranty is largely dependent on the timing of the sale as follows:</w:t>
      </w:r>
    </w:p>
    <w:p>
      <w:pPr>
        <w:spacing w:after="0" w:line="62" w:lineRule="exact"/>
        <w:rPr>
          <w:rFonts w:ascii="Arial" w:cs="Arial" w:eastAsia="Arial" w:hAnsi="Arial"/>
          <w:sz w:val="16"/>
          <w:szCs w:val="16"/>
          <w:color w:val="auto"/>
        </w:rPr>
      </w:pPr>
    </w:p>
    <w:p>
      <w:pPr>
        <w:ind w:left="1540" w:right="120" w:hanging="506"/>
        <w:spacing w:after="0" w:line="259" w:lineRule="auto"/>
        <w:tabs>
          <w:tab w:leader="none" w:pos="1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Extended Warranty Sale in Conjunction with System Sale: If the customer opts to purchase an extended warranty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8" w:lineRule="exact"/>
        <w:rPr>
          <w:rFonts w:ascii="Arial" w:cs="Arial" w:eastAsia="Arial" w:hAnsi="Arial"/>
          <w:sz w:val="18"/>
          <w:szCs w:val="18"/>
          <w:color w:val="auto"/>
        </w:rPr>
      </w:pPr>
    </w:p>
    <w:p>
      <w:pPr>
        <w:ind w:left="1540" w:right="20" w:hanging="506"/>
        <w:spacing w:after="0" w:line="291" w:lineRule="auto"/>
        <w:tabs>
          <w:tab w:leader="none" w:pos="1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Extended Warranty Sale Subsequent to System Sale: If the customer opts to purchase an extended warranty after the initial system sale, the Company determines the amount of time that has elapsed since the initial system sale. If the extended warranty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extended warranty is purchased subsequent to sixty days after the initial sale, the sale of the extended warranty is deemed a separate contract and is deferred at the selling price and recognized ratably over the extended warranty period as the performance obligation is satisfied.</w:t>
      </w:r>
    </w:p>
    <w:p>
      <w:pPr>
        <w:spacing w:after="0" w:line="58" w:lineRule="exact"/>
        <w:rPr>
          <w:rFonts w:ascii="Arial" w:cs="Arial" w:eastAsia="Arial" w:hAnsi="Arial"/>
          <w:sz w:val="16"/>
          <w:szCs w:val="16"/>
          <w:color w:val="auto"/>
        </w:rPr>
      </w:pPr>
    </w:p>
    <w:p>
      <w:pPr>
        <w:ind w:left="1000" w:right="38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System Repairs (outside of warranty): Customers will occasionally request repairs from the Company subsequent to the expiration of the standard warranty and outside of an extended warranty contract.</w:t>
      </w:r>
    </w:p>
    <w:p>
      <w:pPr>
        <w:spacing w:after="0" w:line="62" w:lineRule="exact"/>
        <w:rPr>
          <w:rFonts w:ascii="Arial" w:cs="Arial" w:eastAsia="Arial" w:hAnsi="Arial"/>
          <w:sz w:val="18"/>
          <w:szCs w:val="18"/>
          <w:color w:val="auto"/>
        </w:rPr>
      </w:pPr>
    </w:p>
    <w:p>
      <w:pPr>
        <w:ind w:left="1020" w:right="140"/>
        <w:spacing w:after="0" w:line="259" w:lineRule="auto"/>
        <w:rPr>
          <w:rFonts w:ascii="Arial" w:cs="Arial" w:eastAsia="Arial" w:hAnsi="Arial"/>
          <w:sz w:val="18"/>
          <w:szCs w:val="18"/>
          <w:color w:val="auto"/>
        </w:rPr>
      </w:pPr>
      <w:r>
        <w:rPr>
          <w:rFonts w:ascii="Arial" w:cs="Arial" w:eastAsia="Arial" w:hAnsi="Arial"/>
          <w:sz w:val="18"/>
          <w:szCs w:val="18"/>
          <w:color w:val="auto"/>
        </w:rPr>
        <w:t>The Company recognizes revenue from system repairs (outside of warranty) at a point in time. When the customer requests repairs from the Company subsequent to the expiration of the standard warranty and outside of an extended warranty contracts, these repair contracts are considered separate from the initial sale, and as such, revenue is recognized as the repair services are rendered and the performance obligation satisfied.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ind w:left="1000" w:right="4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Royalty Revenue: The Company has royalty agreements with two customers related to sale of the Company’s intellectual property. Under the terms of these agreements, the customer is to remit a percentage of sales to the Company.</w:t>
      </w:r>
    </w:p>
    <w:p>
      <w:pPr>
        <w:spacing w:after="0" w:line="62" w:lineRule="exact"/>
        <w:rPr>
          <w:sz w:val="20"/>
          <w:szCs w:val="20"/>
          <w:color w:val="auto"/>
        </w:rPr>
      </w:pPr>
    </w:p>
    <w:p>
      <w:pPr>
        <w:ind w:left="1020" w:right="80"/>
        <w:spacing w:after="0" w:line="257" w:lineRule="auto"/>
        <w:rPr>
          <w:sz w:val="20"/>
          <w:szCs w:val="20"/>
          <w:color w:val="auto"/>
        </w:rPr>
      </w:pPr>
      <w:r>
        <w:rPr>
          <w:rFonts w:ascii="Arial" w:cs="Arial" w:eastAsia="Arial" w:hAnsi="Arial"/>
          <w:sz w:val="18"/>
          <w:szCs w:val="18"/>
          <w:color w:val="auto"/>
        </w:rPr>
        <w:t>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8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the Company would have otherwise recognized is one year or less.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net and Operating lease liabilities in our condensed consolidated balance sheets. As of March 28, 2020 and as of December 28, 2019, the Company was not a party to finance lease arrangements.</w:t>
      </w:r>
    </w:p>
    <w:p>
      <w:pPr>
        <w:spacing w:after="0" w:line="76"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the available practical expedient, we account for the lease and non-lease components as a single lease component.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38"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three months ended March 28, 2020, one customer accounted for over 10% of total revenues, representing 13%. For the three months ended March 30, 2019, no single customer accounted for more than 10% of total revenues. As of March 28, 2020, one customer accounted for over 10% of our accounts receivable, representing 17%. As of December 28, 2019, one customer accounted for more than 10% of our accounts receivable, representing 11%.</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 and Remitted to Governmental Authorities.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Taxes collected from customers and remitted to governmental authorities are recognized on a net basis in the accompanying condensed consolidated statements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1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Our shipping and handling costs billed to customers are included in revenues and the associated expense is recorded in cost of revenues for all periods presented.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right="340" w:firstLine="510"/>
        <w:spacing w:after="0" w:line="308" w:lineRule="auto"/>
        <w:rPr>
          <w:sz w:val="20"/>
          <w:szCs w:val="20"/>
          <w:color w:val="auto"/>
        </w:rPr>
      </w:pPr>
      <w:r>
        <w:rPr>
          <w:rFonts w:ascii="Arial" w:cs="Arial" w:eastAsia="Arial" w:hAnsi="Arial"/>
          <w:sz w:val="17"/>
          <w:szCs w:val="17"/>
          <w:color w:val="auto"/>
        </w:rPr>
        <w:t>Deferred revenue represents contract liabilities. Revenue related to extended service contracts is deferred and recognized on a straight-line basis over the period of the applicable service contract. Costs associated with these service arrangements are recognized as incurred.</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ind w:right="300" w:firstLine="510"/>
        <w:spacing w:after="0" w:line="277" w:lineRule="auto"/>
        <w:rPr>
          <w:sz w:val="20"/>
          <w:szCs w:val="20"/>
          <w:color w:val="auto"/>
        </w:rPr>
      </w:pPr>
      <w:r>
        <w:rPr>
          <w:rFonts w:ascii="Arial" w:cs="Arial" w:eastAsia="Arial" w:hAnsi="Arial"/>
          <w:sz w:val="18"/>
          <w:szCs w:val="18"/>
          <w:color w:val="auto"/>
        </w:rPr>
        <w:t>A reconciliation of the changes in the Company’s deferred revenue balance for the three months ended March 28, 2020 and March 30, 2019 is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40" w:type="dxa"/>
            <w:vAlign w:val="bottom"/>
            <w:tcBorders>
              <w:bottom w:val="single" w:sz="8" w:color="auto"/>
            </w:tcBorders>
            <w:gridSpan w:val="5"/>
          </w:tcPr>
          <w:p>
            <w:pPr>
              <w:jc w:val="right"/>
              <w:ind w:right="81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390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28, 2020</w:t>
            </w: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30, 2019</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2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1,810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2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2,225</w:t>
            </w:r>
          </w:p>
        </w:tc>
        <w:tc>
          <w:tcPr>
            <w:tcW w:w="80" w:type="dxa"/>
            <w:vAlign w:val="bottom"/>
            <w:shd w:val="clear" w:color="auto" w:fill="CFF0FC"/>
          </w:tcPr>
          <w:p>
            <w:pPr>
              <w:spacing w:after="0"/>
              <w:rPr>
                <w:sz w:val="19"/>
                <w:szCs w:val="19"/>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Additions to deferral</w:t>
            </w:r>
          </w:p>
        </w:tc>
        <w:tc>
          <w:tcPr>
            <w:tcW w:w="10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10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(532)</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Deductions from reserves</w:t>
            </w:r>
          </w:p>
        </w:tc>
        <w:tc>
          <w:tcPr>
            <w:tcW w:w="10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0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1,702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2,268</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portion of deferred revenue</w:t>
            </w:r>
          </w:p>
        </w:tc>
        <w:tc>
          <w:tcPr>
            <w:tcW w:w="10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80" w:type="dxa"/>
            <w:vAlign w:val="bottom"/>
            <w:tcBorders>
              <w:bottom w:val="single" w:sz="8" w:color="CFF0FC"/>
            </w:tcBorders>
          </w:tcPr>
          <w:p>
            <w:pPr>
              <w:spacing w:after="0"/>
              <w:rPr>
                <w:sz w:val="19"/>
                <w:szCs w:val="19"/>
                <w:color w:val="auto"/>
              </w:rPr>
            </w:pPr>
          </w:p>
        </w:tc>
      </w:tr>
      <w:tr>
        <w:trPr>
          <w:trHeight w:val="223"/>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deferred revenue</w:t>
            </w:r>
          </w:p>
        </w:tc>
        <w:tc>
          <w:tcPr>
            <w:tcW w:w="10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2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1,382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2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1,742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During both the three months ended March 28, 2020 and March 30, 2019, approximately $0.4 million were recognized pertaining to amounts deferred as of December 28, 2019 and December 29,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statement of operations as cost of revenues.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reconciliation of the changes in the Company’s warranty liability for the three months ended March 28, 2020 and March 30, 2019 is as follows:</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3580" w:type="dxa"/>
            <w:vAlign w:val="bottom"/>
            <w:tcBorders>
              <w:bottom w:val="single" w:sz="8" w:color="auto"/>
            </w:tcBorders>
            <w:gridSpan w:val="5"/>
          </w:tcPr>
          <w:p>
            <w:pPr>
              <w:jc w:val="right"/>
              <w:ind w:right="85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92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28, 2020</w:t>
            </w: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30, 2019</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480" w:type="dxa"/>
            <w:vAlign w:val="bottom"/>
            <w:shd w:val="clear" w:color="auto" w:fill="CFF0FC"/>
          </w:tcPr>
          <w:p>
            <w:pPr>
              <w:jc w:val="right"/>
              <w:ind w:right="129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2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FF0FC"/>
          </w:tcPr>
          <w:p>
            <w:pPr>
              <w:spacing w:after="0"/>
              <w:rPr>
                <w:sz w:val="19"/>
                <w:szCs w:val="19"/>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14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14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Adjustment to pre-existing warranties</w:t>
            </w:r>
          </w:p>
        </w:tc>
        <w:tc>
          <w:tcPr>
            <w:tcW w:w="148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r>
      <w:tr>
        <w:trPr>
          <w:trHeight w:val="223"/>
        </w:trPr>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480" w:type="dxa"/>
            <w:vAlign w:val="bottom"/>
            <w:tcBorders>
              <w:top w:val="single" w:sz="8" w:color="auto"/>
              <w:bottom w:val="single" w:sz="8" w:color="auto"/>
            </w:tcBorders>
            <w:shd w:val="clear" w:color="auto" w:fill="CFF0FC"/>
          </w:tcPr>
          <w:p>
            <w:pPr>
              <w:jc w:val="right"/>
              <w:ind w:right="12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ind w:right="12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right="440" w:firstLine="510"/>
        <w:spacing w:after="0" w:line="342" w:lineRule="auto"/>
        <w:rPr>
          <w:sz w:val="20"/>
          <w:szCs w:val="20"/>
          <w:color w:val="auto"/>
        </w:rPr>
      </w:pPr>
      <w:r>
        <w:rPr>
          <w:rFonts w:ascii="Arial" w:cs="Arial" w:eastAsia="Arial" w:hAnsi="Arial"/>
          <w:sz w:val="16"/>
          <w:szCs w:val="16"/>
          <w:color w:val="auto"/>
        </w:rPr>
        <w:t>Certain reclassifications have been made to the prior year financial statements included in these condensed consolidated financial statements to conform to the current year presentation. The reclassifications had no impact on previously reported net loss or accumulated deficit.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Not Yet Adopted.</w:t>
      </w:r>
    </w:p>
    <w:p>
      <w:pPr>
        <w:spacing w:after="0" w:line="117"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In December 2019, the Financial Accounting Standards Board (“FASB”) issued Accounting Standards Update (“ASU”) 2019-12, “Income Taxes (Topic 740): Simplifying the Accounting for Income Taxes” as part of its initiative to reduce complexity in the accounting standards. The standard eliminates certain exceptions related to the approach for intraperiod tax allocation, the methodology for calculating income taxes in an interim period and the recognition of deferred tax liabilities for outside basis differences. The standard also clarifies and simplifies other aspects of the accounting for income taxes. The standard is effective for fiscal years, and interim periods within those fiscal years, beginning after December 15, 2020. Early adoption is permitted. The Company is currently evaluating the impact that this guidance will have on its financial position and results of operations, if any.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inventories as of March 28, 2020 and December 29, 2018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March 28, 2020</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28, 2019</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1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123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2,600</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2,043</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Work in process</w:t>
            </w:r>
          </w:p>
        </w:tc>
        <w:tc>
          <w:tcPr>
            <w:tcW w:w="2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1,111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1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4,811</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ind w:left="1140"/>
              <w:spacing w:after="0"/>
              <w:rPr>
                <w:sz w:val="20"/>
                <w:szCs w:val="20"/>
                <w:color w:val="auto"/>
              </w:rPr>
            </w:pPr>
            <w:r>
              <w:rPr>
                <w:rFonts w:ascii="Arial" w:cs="Arial" w:eastAsia="Arial" w:hAnsi="Arial"/>
                <w:sz w:val="18"/>
                <w:szCs w:val="18"/>
                <w:color w:val="auto"/>
              </w:rPr>
              <w:t>Total inventories</w:t>
            </w:r>
          </w:p>
        </w:tc>
        <w:tc>
          <w:tcPr>
            <w:tcW w:w="2120" w:type="dxa"/>
            <w:vAlign w:val="bottom"/>
          </w:tcPr>
          <w:p>
            <w:pPr>
              <w:spacing w:after="0"/>
              <w:rPr>
                <w:sz w:val="19"/>
                <w:szCs w:val="19"/>
                <w:color w:val="auto"/>
              </w:rPr>
            </w:pPr>
          </w:p>
        </w:tc>
        <w:tc>
          <w:tcPr>
            <w:tcW w:w="1420" w:type="dxa"/>
            <w:vAlign w:val="bottom"/>
            <w:tcBorders>
              <w:bottom w:val="single" w:sz="8" w:color="auto"/>
            </w:tcBorders>
          </w:tcPr>
          <w:p>
            <w:pPr>
              <w:jc w:val="right"/>
              <w:ind w:right="12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8,158</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120" w:type="dxa"/>
            <w:vAlign w:val="bottom"/>
            <w:vMerge w:val="restart"/>
          </w:tcPr>
          <w:p>
            <w:pPr>
              <w:jc w:val="right"/>
              <w:ind w:right="250"/>
              <w:spacing w:after="0"/>
              <w:rPr>
                <w:sz w:val="20"/>
                <w:szCs w:val="20"/>
                <w:color w:val="auto"/>
              </w:rPr>
            </w:pPr>
            <w:r>
              <w:rPr>
                <w:rFonts w:ascii="Arial" w:cs="Arial" w:eastAsia="Arial" w:hAnsi="Arial"/>
                <w:sz w:val="18"/>
                <w:szCs w:val="18"/>
                <w:color w:val="auto"/>
              </w:rPr>
              <w:t>12</w:t>
            </w: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value of goodwill was $0.5 million as of March 28, 2020 and December 28, 2019.</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2019 and determined that its goodwill was not impaired. As of March 28, 2020, the Company had not identified any factors that indicated there was an impairment of its goodwill and determined that no additional impairment analysis was then required.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components of gross and net intangible asset balances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28, 2020</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28, 2019</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2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3"/>
              </w:rPr>
              <w:t>Gross</w:t>
            </w: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780" w:type="dxa"/>
            <w:vAlign w:val="bottom"/>
          </w:tcPr>
          <w:p>
            <w:pPr>
              <w:jc w:val="center"/>
              <w:ind w:left="128"/>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Remaining</w:t>
            </w: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1240" w:type="dxa"/>
            <w:vAlign w:val="bottom"/>
            <w:gridSpan w:val="2"/>
            <w:vMerge w:val="continue"/>
          </w:tcPr>
          <w:p>
            <w:pPr>
              <w:spacing w:after="0"/>
              <w:rPr>
                <w:sz w:val="12"/>
                <w:szCs w:val="12"/>
                <w:color w:val="auto"/>
              </w:rPr>
            </w:pPr>
          </w:p>
        </w:tc>
        <w:tc>
          <w:tcPr>
            <w:tcW w:w="78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780" w:type="dxa"/>
            <w:vAlign w:val="bottom"/>
          </w:tcPr>
          <w:p>
            <w:pPr>
              <w:jc w:val="center"/>
              <w:ind w:left="12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Amortization Life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3"/>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80</w:t>
            </w:r>
          </w:p>
        </w:tc>
        <w:tc>
          <w:tcPr>
            <w:tcW w:w="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5.00 Years</w:t>
            </w:r>
          </w:p>
        </w:tc>
        <w:tc>
          <w:tcPr>
            <w:tcW w:w="1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March 28, 2020 and March 30, 2019, amortization expense totaled $4 thousand for each period.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amortization of customer relationships was charged to sales and marketing expense. Future estimated amortization expense (in thousands):</w:t>
      </w:r>
    </w:p>
    <w:p>
      <w:pPr>
        <w:spacing w:after="0" w:line="289"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Fiscal Year:</w:t>
            </w:r>
          </w:p>
        </w:tc>
        <w:tc>
          <w:tcPr>
            <w:tcW w:w="9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2020 (nine months)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9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2022</w:t>
            </w:r>
          </w:p>
        </w:tc>
        <w:tc>
          <w:tcPr>
            <w:tcW w:w="9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9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2024</w:t>
            </w:r>
          </w:p>
        </w:tc>
        <w:tc>
          <w:tcPr>
            <w:tcW w:w="9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9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r>
      <w:tr>
        <w:trPr>
          <w:trHeight w:val="223"/>
        </w:trPr>
        <w:tc>
          <w:tcPr>
            <w:tcW w:w="5860" w:type="dxa"/>
            <w:vAlign w:val="bottom"/>
          </w:tcPr>
          <w:p>
            <w:pPr>
              <w:ind w:left="2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70"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that are accessible at the measurement date for assets or liabilities.</w:t>
      </w:r>
    </w:p>
    <w:p>
      <w:pPr>
        <w:spacing w:after="0" w:line="117" w:lineRule="exact"/>
        <w:rPr>
          <w:rFonts w:ascii="Arial" w:cs="Arial" w:eastAsia="Arial" w:hAnsi="Arial"/>
          <w:sz w:val="18"/>
          <w:szCs w:val="18"/>
          <w:color w:val="auto"/>
        </w:rPr>
      </w:pPr>
    </w:p>
    <w:p>
      <w:pPr>
        <w:ind w:left="1000" w:right="20" w:hanging="493"/>
        <w:spacing w:after="0" w:line="25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1000" w:right="6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76" w:lineRule="exact"/>
        <w:rPr>
          <w:sz w:val="20"/>
          <w:szCs w:val="20"/>
          <w:color w:val="auto"/>
        </w:rPr>
      </w:pPr>
    </w:p>
    <w:p>
      <w:pPr>
        <w:ind w:right="880" w:firstLine="510"/>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38"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The carrying amounts of the Company’s financial assets and liabilities, including cash and cash equivalents, accounts receivable, accounts payable, and accrued expenses as of March 28, 2020 and December 29, 2018, approximate fair value because of the short maturity of these instruments.</w:t>
      </w:r>
    </w:p>
    <w:p>
      <w:pPr>
        <w:spacing w:after="0" w:line="16"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As of March 28, 2020 and December 28, 2019, financial assets measured and recognized at fair value on a recurring basis and classified under the appropriate level of the fair value hierarchy as described above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center"/>
              <w:ind w:right="560"/>
              <w:spacing w:after="0"/>
              <w:rPr>
                <w:sz w:val="20"/>
                <w:szCs w:val="20"/>
                <w:color w:val="auto"/>
              </w:rPr>
            </w:pPr>
            <w:r>
              <w:rPr>
                <w:rFonts w:ascii="Arial" w:cs="Arial" w:eastAsia="Arial" w:hAnsi="Arial"/>
                <w:sz w:val="14"/>
                <w:szCs w:val="14"/>
                <w:b w:val="1"/>
                <w:bCs w:val="1"/>
                <w:color w:val="auto"/>
                <w:w w:val="96"/>
              </w:rPr>
              <w:t>As of March 28, 2020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As of December 28, 2019</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tcPr>
          <w:p>
            <w:pPr>
              <w:jc w:val="center"/>
              <w:ind w:right="560"/>
              <w:spacing w:after="0" w:line="155" w:lineRule="exact"/>
              <w:rPr>
                <w:sz w:val="20"/>
                <w:szCs w:val="20"/>
                <w:color w:val="auto"/>
              </w:rPr>
            </w:pPr>
            <w:r>
              <w:rPr>
                <w:rFonts w:ascii="Arial" w:cs="Arial" w:eastAsia="Arial" w:hAnsi="Arial"/>
                <w:sz w:val="14"/>
                <w:szCs w:val="14"/>
                <w:b w:val="1"/>
                <w:bCs w:val="1"/>
                <w:color w:val="auto"/>
                <w:w w:val="93"/>
              </w:rPr>
              <w:t>Fair Value Measurements</w:t>
            </w: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6"/>
          </w:tcPr>
          <w:p>
            <w:pPr>
              <w:ind w:left="60"/>
              <w:spacing w:after="0" w:line="155" w:lineRule="exact"/>
              <w:rPr>
                <w:sz w:val="20"/>
                <w:szCs w:val="20"/>
                <w:color w:val="auto"/>
              </w:rPr>
            </w:pPr>
            <w:r>
              <w:rPr>
                <w:rFonts w:ascii="Arial" w:cs="Arial" w:eastAsia="Arial" w:hAnsi="Arial"/>
                <w:sz w:val="14"/>
                <w:szCs w:val="14"/>
                <w:b w:val="1"/>
                <w:bCs w:val="1"/>
                <w:color w:val="auto"/>
              </w:rPr>
              <w:t>Fair Value Measurements</w:t>
            </w: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39"/>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112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700" w:type="dxa"/>
            <w:vAlign w:val="bottom"/>
          </w:tcPr>
          <w:p>
            <w:pPr>
              <w:jc w:val="right"/>
              <w:ind w:right="199"/>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39"/>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114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740" w:type="dxa"/>
            <w:vAlign w:val="bottom"/>
          </w:tcPr>
          <w:p>
            <w:pPr>
              <w:jc w:val="right"/>
              <w:ind w:right="23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9,743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112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9,743</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10,711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114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10,711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right="100" w:firstLine="510"/>
        <w:spacing w:after="0" w:line="277" w:lineRule="auto"/>
        <w:rPr>
          <w:sz w:val="20"/>
          <w:szCs w:val="20"/>
          <w:color w:val="auto"/>
        </w:rPr>
      </w:pPr>
      <w:r>
        <w:rPr>
          <w:rFonts w:ascii="Arial" w:cs="Arial" w:eastAsia="Arial" w:hAnsi="Arial"/>
          <w:sz w:val="18"/>
          <w:szCs w:val="18"/>
          <w:color w:val="auto"/>
        </w:rPr>
        <w:t>The Company’s Level 1 financial assets are money market funds whose fair values are based on quoted market prices. The Company does not have any Level 2 and Level 3 financial assets or liabilities.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COVID-19 pandemic has created and may continue to create significant uncertainty in global markets, which has disrupted and harmed, and may continue to disrupt and harm, the Company's business, financial condition, and results of operations. The extent of the impact of COVID-19 on the Company's operational and financial performance will depend on certain developments, including but not limited to the duration and spread of the outbreak, duration of local, state and federal issued public health orders, impact on our customers and our sales cycles, impact on our employees and impact on regional and worldwide economies and markets in general, all of which are uncertain and cannot be predicted.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Commitments.</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Our operating lease commitments consist of facility and office equipment leases. Operating lease expenses for the three months ended March 28, 2020 and March 30, 2019 were approximately $0.3 million. The weighted average discount rate used in calculating the present value of lease payments was 5.4%. As of March 28, 2020, the weighted average remaining lease term for our operating leases was 2.0 years.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represents maturities of operating lease liabilities as of March 28, 2020 (in thousands):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1"/>
        </w:trPr>
        <w:tc>
          <w:tcPr>
            <w:tcW w:w="73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Lease Payments</w:t>
            </w:r>
          </w:p>
        </w:tc>
        <w:tc>
          <w:tcPr>
            <w:tcW w:w="0" w:type="dxa"/>
            <w:vAlign w:val="bottom"/>
          </w:tcPr>
          <w:p>
            <w:pPr>
              <w:spacing w:after="0"/>
              <w:rPr>
                <w:sz w:val="1"/>
                <w:szCs w:val="1"/>
                <w:color w:val="auto"/>
              </w:rPr>
            </w:pPr>
          </w:p>
        </w:tc>
      </w:tr>
      <w:tr>
        <w:trPr>
          <w:trHeight w:val="223"/>
        </w:trPr>
        <w:tc>
          <w:tcPr>
            <w:tcW w:w="7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2020 (9 months)</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520" w:firstLine="510"/>
        <w:spacing w:after="0" w:line="263" w:lineRule="auto"/>
        <w:rPr>
          <w:sz w:val="20"/>
          <w:szCs w:val="20"/>
          <w:color w:val="auto"/>
        </w:rPr>
      </w:pPr>
      <w:r>
        <w:rPr>
          <w:rFonts w:ascii="Arial" w:cs="Arial" w:eastAsia="Arial" w:hAnsi="Arial"/>
          <w:sz w:val="18"/>
          <w:szCs w:val="18"/>
          <w:color w:val="auto"/>
        </w:rPr>
        <w:t>Our purchase commitments consist primarily of non-cancellable purchase commitments with vendors to manufacture certain components and ophthalmic instrumentation. As of March 28, 2020, our future minimum payments through fiscal year 2021 for our purchase commitments was approximately $10.5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Indemnities.</w:t>
      </w:r>
    </w:p>
    <w:p>
      <w:pPr>
        <w:spacing w:after="0" w:line="11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We enter into standard indemnification arrangements in the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that we could be required to make under these agreements is not determinable. We have never incurred costs to defend lawsuits or settle claims related to these indemnification agreements. As a result, we believe the estimated fair value of these agreements is minimal.</w:t>
      </w:r>
    </w:p>
    <w:p>
      <w:pPr>
        <w:spacing w:after="0" w:line="56"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r>
        <w:rPr>
          <w:rFonts w:ascii="Arial" w:cs="Arial" w:eastAsia="Arial" w:hAnsi="Arial"/>
          <w:sz w:val="18"/>
          <w:szCs w:val="18"/>
          <w:color w:val="auto"/>
        </w:rPr>
        <w:t>.</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02" w:lineRule="exact"/>
        <w:rPr>
          <w:sz w:val="20"/>
          <w:szCs w:val="20"/>
          <w:color w:val="auto"/>
        </w:rPr>
      </w:pPr>
    </w:p>
    <w:p>
      <w:pPr>
        <w:ind w:right="6940" w:firstLine="8"/>
        <w:spacing w:after="0" w:line="378"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Stock-Based Compensation Stock-Based Compensation</w:t>
      </w:r>
    </w:p>
    <w:p>
      <w:pPr>
        <w:ind w:right="20" w:firstLine="510"/>
        <w:spacing w:after="0" w:line="279" w:lineRule="auto"/>
        <w:rPr>
          <w:sz w:val="20"/>
          <w:szCs w:val="20"/>
          <w:color w:val="auto"/>
        </w:rPr>
      </w:pPr>
      <w:r>
        <w:rPr>
          <w:rFonts w:ascii="Arial" w:cs="Arial" w:eastAsia="Arial" w:hAnsi="Arial"/>
          <w:sz w:val="17"/>
          <w:szCs w:val="17"/>
          <w:color w:val="auto"/>
        </w:rPr>
        <w:t>The Company accounts for stock-based compensation granted to employees and directors, including employees stock option awards, restricted stock and restricted stock units in accordance with ASC 718</w:t>
      </w:r>
      <w:r>
        <w:rPr>
          <w:rFonts w:ascii="Arial" w:cs="Arial" w:eastAsia="Arial" w:hAnsi="Arial"/>
          <w:sz w:val="17"/>
          <w:szCs w:val="17"/>
          <w:i w:val="1"/>
          <w:iCs w:val="1"/>
          <w:color w:val="auto"/>
        </w:rPr>
        <w:t>, “Compensation – Stock Compensation”</w:t>
      </w:r>
      <w:r>
        <w:rPr>
          <w:rFonts w:ascii="Arial" w:cs="Arial" w:eastAsia="Arial" w:hAnsi="Arial"/>
          <w:sz w:val="17"/>
          <w:szCs w:val="17"/>
          <w:color w:val="auto"/>
        </w:rPr>
        <w:t xml:space="preserve">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spacing w:after="0" w:line="63"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The Company values options using the Black-Scholes option pricing model. Time-based restricted stock units (“RSUs”) are valued at the grant date fair value of the underlying common shares. Performance-based RSUs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117"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The terms of awards granted during the three months ended March 28, 2020 were consistent with those described in the consolidated financial statements included in our Annual Report on Form 10-K for the year ended December 28, 2019.</w:t>
      </w:r>
    </w:p>
    <w:p>
      <w:pPr>
        <w:spacing w:after="0" w:line="6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table shows stock-based compensation expenses included in the condensed consolidated statements of operations for the three months ended March 28, 2020 and March 30, 2019:</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4440" w:type="dxa"/>
            <w:vAlign w:val="bottom"/>
            <w:vMerge w:val="continue"/>
          </w:tcPr>
          <w:p>
            <w:pPr>
              <w:spacing w:after="0"/>
              <w:rPr>
                <w:sz w:val="13"/>
                <w:szCs w:val="13"/>
                <w:color w:val="auto"/>
              </w:rPr>
            </w:pPr>
          </w:p>
        </w:tc>
        <w:tc>
          <w:tcPr>
            <w:tcW w:w="24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March 28, 2020</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March 30,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4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440" w:type="dxa"/>
            <w:vAlign w:val="bottom"/>
            <w:shd w:val="clear" w:color="auto" w:fill="CFF0FC"/>
          </w:tcPr>
          <w:p>
            <w:pPr>
              <w:spacing w:after="0"/>
              <w:rPr>
                <w:sz w:val="20"/>
                <w:szCs w:val="20"/>
                <w:color w:val="auto"/>
              </w:rPr>
            </w:pPr>
          </w:p>
        </w:tc>
        <w:tc>
          <w:tcPr>
            <w:tcW w:w="2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24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Stock-based compensation expense capitalized to inventory was immaterial for the three months ended March 28, 2020 and March 30, 2019.</w:t>
      </w:r>
    </w:p>
    <w:p>
      <w:pPr>
        <w:spacing w:after="0" w:line="129"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Occasionally, the Company will grant stock-based instruments to non-employees. During the three months ended March 28, 2020 and March 30, 2019, the amount of stock-based compensation related to non-employee options and RSUs was not material.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ind w:firstLine="510"/>
        <w:spacing w:after="0" w:line="277" w:lineRule="auto"/>
        <w:rPr>
          <w:sz w:val="20"/>
          <w:szCs w:val="20"/>
          <w:color w:val="auto"/>
        </w:rPr>
      </w:pPr>
      <w:r>
        <w:rPr>
          <w:rFonts w:ascii="Arial" w:cs="Arial" w:eastAsia="Arial" w:hAnsi="Arial"/>
          <w:sz w:val="18"/>
          <w:szCs w:val="18"/>
          <w:color w:val="auto"/>
        </w:rPr>
        <w:t>As of March 28, 2020, there was $2.5 million of total unrecognized compensation cost, net of expected forfeitures, related to non-vested stock-based compensation arrangements. The cost is expected to be recognized over a weighted average period of 2.7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options information during the three months ended March 28, 2020:</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6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Per Share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28, 2019</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1,383,552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4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6.11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51,000</w:t>
            </w:r>
          </w:p>
        </w:tc>
        <w:tc>
          <w:tcPr>
            <w:tcW w:w="140" w:type="dxa"/>
            <w:vAlign w:val="bottom"/>
          </w:tcPr>
          <w:p>
            <w:pPr>
              <w:spacing w:after="0"/>
              <w:rPr>
                <w:sz w:val="19"/>
                <w:szCs w:val="19"/>
                <w:color w:val="auto"/>
              </w:rPr>
            </w:pPr>
          </w:p>
        </w:tc>
        <w:tc>
          <w:tcPr>
            <w:tcW w:w="1280" w:type="dxa"/>
            <w:vAlign w:val="bottom"/>
            <w:gridSpan w:val="2"/>
          </w:tcPr>
          <w:p>
            <w:pPr>
              <w:jc w:val="right"/>
              <w:ind w:right="1048"/>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2.27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4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Canceled or forfeited</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(132,102)</w:t>
            </w:r>
          </w:p>
        </w:tc>
        <w:tc>
          <w:tcPr>
            <w:tcW w:w="1280" w:type="dxa"/>
            <w:vAlign w:val="bottom"/>
            <w:gridSpan w:val="2"/>
          </w:tcPr>
          <w:p>
            <w:pPr>
              <w:jc w:val="right"/>
              <w:ind w:right="1048"/>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6.76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March 28, 2020</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1,302,450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gridSpan w:val="2"/>
            <w:shd w:val="clear" w:color="auto" w:fill="CFF0FC"/>
          </w:tcPr>
          <w:p>
            <w:pPr>
              <w:jc w:val="right"/>
              <w:ind w:right="1048"/>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5"/>
              </w:rPr>
              <w:t>5.89</w:t>
            </w:r>
          </w:p>
        </w:tc>
        <w:tc>
          <w:tcPr>
            <w:tcW w:w="48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FF0FC"/>
              <w:bottom w:val="single" w:sz="8" w:color="CFF0FC"/>
            </w:tcBorders>
            <w:gridSpan w:val="2"/>
            <w:shd w:val="clear" w:color="auto" w:fill="CFF0FC"/>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weighted average grant date fair value of the options granted was $1.05 and $1.70 per share for the three months ended March 28, 2020 and March 30, 2019, respectively.</w:t>
      </w:r>
    </w:p>
    <w:p>
      <w:pPr>
        <w:spacing w:after="0" w:line="62"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Company uses the Black-Scholes option-pricing model to estimate the fair value of stock-based awards (options) with the following weighted average assumptions:</w:t>
      </w:r>
    </w:p>
    <w:p>
      <w:pPr>
        <w:spacing w:after="0" w:line="200" w:lineRule="exact"/>
        <w:rPr>
          <w:sz w:val="20"/>
          <w:szCs w:val="20"/>
          <w:color w:val="auto"/>
        </w:rPr>
      </w:pP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6820" w:type="dxa"/>
            <w:vAlign w:val="bottom"/>
            <w:tcBorders>
              <w:bottom w:val="single" w:sz="8" w:color="CFF0FC"/>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March 28, 2020</w:t>
            </w:r>
          </w:p>
        </w:tc>
        <w:tc>
          <w:tcPr>
            <w:tcW w:w="320" w:type="dxa"/>
            <w:vAlign w:val="bottom"/>
            <w:tcBorders>
              <w:top w:val="single" w:sz="8" w:color="auto"/>
              <w:bottom w:val="single" w:sz="8" w:color="CFF0FC"/>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March 30, 2019</w:t>
            </w:r>
          </w:p>
        </w:tc>
        <w:tc>
          <w:tcPr>
            <w:tcW w:w="180" w:type="dxa"/>
            <w:vAlign w:val="bottom"/>
            <w:tcBorders>
              <w:bottom w:val="single" w:sz="8" w:color="CFF0FC"/>
            </w:tcBorders>
          </w:tcPr>
          <w:p>
            <w:pPr>
              <w:spacing w:after="0"/>
              <w:rPr>
                <w:sz w:val="15"/>
                <w:szCs w:val="15"/>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Average risk free interest rate</w:t>
            </w: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0.46%</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2.15%</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4.55 years</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4.55 years</w:t>
            </w: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Average volatility</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bl>
    <w:p>
      <w:pPr>
        <w:spacing w:after="0" w:line="22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Performance stock options granted with market conditions are valued using a Monte Carlo simulation model in combination with a Black-Scholes option pricing model.</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 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stock options outstanding, vested, expected to vest, and exercisable as of March 28, 2020 is summarized below:</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3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340" w:type="dxa"/>
            <w:vAlign w:val="bottom"/>
          </w:tcPr>
          <w:p>
            <w:pPr>
              <w:jc w:val="right"/>
              <w:ind w:right="397"/>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Life (Years)</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1,302,450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Options vested and expected to vest</w:t>
            </w:r>
          </w:p>
        </w:tc>
        <w:tc>
          <w:tcPr>
            <w:tcW w:w="1340" w:type="dxa"/>
            <w:vAlign w:val="bottom"/>
          </w:tcPr>
          <w:p>
            <w:pPr>
              <w:jc w:val="right"/>
              <w:spacing w:after="0"/>
              <w:rPr>
                <w:sz w:val="20"/>
                <w:szCs w:val="20"/>
                <w:color w:val="auto"/>
              </w:rPr>
            </w:pPr>
            <w:r>
              <w:rPr>
                <w:rFonts w:ascii="Arial" w:cs="Arial" w:eastAsia="Arial" w:hAnsi="Arial"/>
                <w:sz w:val="18"/>
                <w:szCs w:val="18"/>
                <w:color w:val="auto"/>
              </w:rPr>
              <w:t>1,131,040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6.09</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373,116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aggregate intrinsic value in the table above represents the pre-tax intrinsic value, based on the Company’s closing price as of March 28, 2020, that would have been received by option holders had all option holders exercised their stock options as of that date. This amount changes based on the fair market value of the Company’s common stock. The total intrinsic value of options exercised for the three months ended March 28, 2020 and March 30, 2019 was approximately $0 thousand.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Summary of Restricted Stock Units and Awards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Information regarding the restricted stock units (“RSUs”) activity for the three months ended March 28, 2020 is summarized below:</w:t>
      </w:r>
    </w:p>
    <w:p>
      <w:pPr>
        <w:sectPr>
          <w:pgSz w:w="11900" w:h="16838" w:orient="portrait"/>
          <w:cols w:equalWidth="0" w:num="1">
            <w:col w:w="11180"/>
          </w:cols>
          <w:pgMar w:left="320" w:top="23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Outstanding as of December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-124460</wp:posOffset>
            </wp:positionV>
            <wp:extent cx="427736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Restricted stock 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Restricted stock units released</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Restricted stock units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1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Outstanding as of March 28,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Number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 Shares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411,133</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220"/>
        <w:spacing w:after="0"/>
        <w:rPr>
          <w:sz w:val="20"/>
          <w:szCs w:val="20"/>
          <w:color w:val="auto"/>
        </w:rPr>
      </w:pPr>
      <w:r>
        <w:rPr>
          <w:rFonts w:ascii="Arial" w:cs="Arial" w:eastAsia="Arial" w:hAnsi="Arial"/>
          <w:sz w:val="18"/>
          <w:szCs w:val="18"/>
          <w:color w:val="auto"/>
        </w:rPr>
        <w:t>(3,499)</w:t>
      </w:r>
    </w:p>
    <w:p>
      <w:pPr>
        <w:spacing w:after="0" w:line="23" w:lineRule="exact"/>
        <w:rPr>
          <w:sz w:val="20"/>
          <w:szCs w:val="20"/>
          <w:color w:val="auto"/>
        </w:rPr>
      </w:pPr>
    </w:p>
    <w:p>
      <w:pPr>
        <w:jc w:val="right"/>
        <w:ind w:right="2220"/>
        <w:spacing w:after="0"/>
        <w:rPr>
          <w:sz w:val="20"/>
          <w:szCs w:val="20"/>
          <w:color w:val="auto"/>
        </w:rPr>
      </w:pPr>
      <w:r>
        <w:rPr>
          <w:rFonts w:ascii="Arial" w:cs="Arial" w:eastAsia="Arial" w:hAnsi="Arial"/>
          <w:sz w:val="18"/>
          <w:szCs w:val="18"/>
          <w:color w:val="auto"/>
        </w:rPr>
        <w:t>(95,785)</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311,849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31750</wp:posOffset>
            </wp:positionV>
            <wp:extent cx="7200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940" w:lineRule="exact"/>
        <w:rPr>
          <w:sz w:val="20"/>
          <w:szCs w:val="20"/>
          <w:color w:val="auto"/>
        </w:rPr>
      </w:pPr>
    </w:p>
    <w:p>
      <w:pPr>
        <w:sectPr>
          <w:pgSz w:w="11900" w:h="16838" w:orient="portrait"/>
          <w:cols w:equalWidth="0" w:num="2">
            <w:col w:w="7320" w:space="720"/>
            <w:col w:w="3140"/>
          </w:cols>
          <w:pgMar w:left="320" w:top="233" w:right="399" w:bottom="1440" w:gutter="0" w:footer="0" w:header="0"/>
          <w:type w:val="continuous"/>
        </w:sectPr>
      </w:pPr>
    </w:p>
    <w:p>
      <w:pPr>
        <w:ind w:right="40" w:firstLine="510"/>
        <w:spacing w:after="0" w:line="262" w:lineRule="auto"/>
        <w:rPr>
          <w:sz w:val="20"/>
          <w:szCs w:val="20"/>
          <w:color w:val="auto"/>
        </w:rPr>
      </w:pPr>
      <w:r>
        <w:rPr>
          <w:rFonts w:ascii="Arial" w:cs="Arial" w:eastAsia="Arial" w:hAnsi="Arial"/>
          <w:sz w:val="18"/>
          <w:szCs w:val="18"/>
          <w:color w:val="auto"/>
        </w:rPr>
        <w:t xml:space="preserve">The Company calculates its interim tax provision in accordance with the provisions of ASC 740-270, </w:t>
      </w:r>
      <w:r>
        <w:rPr>
          <w:rFonts w:ascii="Arial" w:cs="Arial" w:eastAsia="Arial" w:hAnsi="Arial"/>
          <w:sz w:val="18"/>
          <w:szCs w:val="18"/>
          <w:i w:val="1"/>
          <w:iCs w:val="1"/>
          <w:color w:val="auto"/>
        </w:rPr>
        <w:t>Income Taxes; Interim Reporting</w:t>
      </w:r>
      <w:r>
        <w:rPr>
          <w:rFonts w:ascii="Arial" w:cs="Arial" w:eastAsia="Arial" w:hAnsi="Arial"/>
          <w:sz w:val="18"/>
          <w:szCs w:val="18"/>
          <w:color w:val="auto"/>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$7 thousand and $6 thousand for the three months ended March 28, 2020 and March 30, 2019,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fourth quarter of fiscal year 2019, based on the Company’s recent history of losses and its forecasted losses, management believes on the more likely than not basis that a full valuation allowance is required. Accordingly, the Company continues to provide a full valuation allowance on its federal and states deferred tax assets.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The Company accounts for its uncertain tax positions in accordance with ASC 740. As of December 28, 2019, the Company had $1.2 million of unrecognized tax benefits, none of the unrecognized tax benefits would result in a change in the Company’s effective tax rate if recognized in future years.</w:t>
      </w:r>
    </w:p>
    <w:p>
      <w:pPr>
        <w:spacing w:after="0" w:line="16"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The Company is not aware of any other uncertain tax positions that could result in significant additional payments, accruals, or other material deviation in this estimate during the fiscal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 March 27, 2020, the “Coronavirus Aid, Relief and Economic Security (CARES) Act” (the “CARES Act”) was signed into law. The CARES Act includes provisions relating to refundable payroll tax credits, deferment of the employer portion of certain payroll taxes, net operating loss carryback periods, alternative minimum tax credit refunds, modifications to the net interest deduction limitations and technical corrections to tax depreciation methods for qualified improvement property. These provisions are not expected to have a material effect on the Company’s consolidated financial statements.</w:t>
      </w:r>
    </w:p>
    <w:p>
      <w:pPr>
        <w:spacing w:after="0" w:line="80"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 Company is subject to United States federal income tax as well as to income taxes in state jurisdictions. The Company’s federal and state income tax returns are open to examination by tax authorities for three years and three-to-five years,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Computation of Basic and Diluted Net Loss Per Common Share</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Basic and diluted net loss per share is based upon the weighted average number of common shares outstanding during the period. Common stock equivalents consist of incremental common shares issuable upon the exercise of stock options, and the release (vesting) of restricted stock units and awards and are calculated under the treasury stock method. Common stock equivalent shares from unexercised stock options, and unvested restricted stock units and awards are excluded from the computation for periods in which we incur a net loss or if the exercise price of such options is greater than the average market price of our common stock for the period as their effect would be anti-dilutive.</w:t>
      </w:r>
    </w:p>
    <w:p>
      <w:pPr>
        <w:spacing w:after="0" w:line="6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For the three months ended March 28, 2020 and March 30, 2019, potential shares from stock options and RSUs totaling 1,215,607 and 1,111,010 shares, respectively, were excluded from the computation of diluted weighted average shares outstanding.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7" w:name="page18"/>
    <w:bookmarkEnd w:id="17"/>
    <w:p>
      <w:pPr>
        <w:ind w:left="520"/>
        <w:spacing w:after="0"/>
        <w:rPr>
          <w:sz w:val="20"/>
          <w:szCs w:val="20"/>
          <w:color w:val="auto"/>
        </w:rPr>
      </w:pPr>
      <w:r>
        <w:rPr>
          <w:rFonts w:ascii="Arial" w:cs="Arial" w:eastAsia="Arial" w:hAnsi="Arial"/>
          <w:sz w:val="18"/>
          <w:szCs w:val="18"/>
          <w:color w:val="auto"/>
        </w:rPr>
        <w:t>A reconciliation of the numerator and denominator of basic and diluted net loss per common share is provided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4"/>
                <w:szCs w:val="14"/>
                <w:color w:val="auto"/>
              </w:rPr>
            </w:pPr>
          </w:p>
        </w:tc>
        <w:tc>
          <w:tcPr>
            <w:tcW w:w="30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690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March 28, 2020</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March 30,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00" w:type="dxa"/>
            <w:vAlign w:val="bottom"/>
          </w:tcPr>
          <w:p>
            <w:pPr>
              <w:ind w:left="48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(1,651)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10"/>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40"/>
              <w:spacing w:after="0"/>
              <w:rPr>
                <w:sz w:val="20"/>
                <w:szCs w:val="20"/>
                <w:color w:val="auto"/>
              </w:rPr>
            </w:pPr>
            <w:r>
              <w:rPr>
                <w:rFonts w:ascii="Arial" w:cs="Arial" w:eastAsia="Arial" w:hAnsi="Arial"/>
                <w:sz w:val="18"/>
                <w:szCs w:val="18"/>
                <w:color w:val="auto"/>
              </w:rPr>
              <w:t>Weighted average shares of common stock (basic)</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13,786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40"/>
              <w:spacing w:after="0"/>
              <w:rPr>
                <w:sz w:val="20"/>
                <w:szCs w:val="20"/>
                <w:color w:val="auto"/>
              </w:rPr>
            </w:pPr>
            <w:r>
              <w:rPr>
                <w:rFonts w:ascii="Arial" w:cs="Arial" w:eastAsia="Arial" w:hAnsi="Arial"/>
                <w:sz w:val="18"/>
                <w:szCs w:val="18"/>
                <w:color w:val="auto"/>
              </w:rPr>
              <w:t>Weighted average shares of common stock (diluted)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13,786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00" w:type="dxa"/>
            <w:vAlign w:val="bottom"/>
          </w:tcPr>
          <w:p>
            <w:pPr>
              <w:ind w:left="480"/>
              <w:spacing w:after="0"/>
              <w:rPr>
                <w:sz w:val="20"/>
                <w:szCs w:val="20"/>
                <w:color w:val="auto"/>
              </w:rPr>
            </w:pPr>
            <w:r>
              <w:rPr>
                <w:rFonts w:ascii="Arial" w:cs="Arial" w:eastAsia="Arial" w:hAnsi="Arial"/>
                <w:sz w:val="18"/>
                <w:szCs w:val="18"/>
                <w:color w:val="auto"/>
              </w:rPr>
              <w:t>Basic net loss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0"/>
        </w:trPr>
        <w:tc>
          <w:tcPr>
            <w:tcW w:w="690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Diluted net loss per share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Segments</w:t>
      </w:r>
    </w:p>
    <w:p>
      <w:pPr>
        <w:spacing w:after="0" w:line="121"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Company operates in one segment, ophthalmology. The Company develops, manufactures and markets medical devices. Our revenues arise from the sale of consoles, delivery devices, consumables, service, and support activities.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shown by product group is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3020" w:type="dxa"/>
            <w:vAlign w:val="bottom"/>
            <w:gridSpan w:val="6"/>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694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March 28, 2020</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March 30, 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G6</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Retina</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4,134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Other(1)</w:t>
            </w: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right="800" w:hanging="5"/>
        <w:spacing w:after="0" w:line="276" w:lineRule="auto"/>
        <w:tabs>
          <w:tab w:leader="none" w:pos="8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Incudes service contract revenues of $315 and $308 recognized during the three months ended March 28, 2020 and March 30, 2019, respectively. Other also includes revenues from paid service, royalty, freight and legacy G probes.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shown by geographic region, based on the sales destination, is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302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6940" w:type="dxa"/>
            <w:vAlign w:val="bottom"/>
            <w:tcBorders>
              <w:bottom w:val="single" w:sz="8" w:color="CFF0FC"/>
            </w:tcBorders>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March 28, 2020</w:t>
            </w:r>
          </w:p>
        </w:tc>
        <w:tc>
          <w:tcPr>
            <w:tcW w:w="26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March 30, 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Rest of Americas</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Asia/Pacific Rim</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9,021</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are attributed to countries based on the location of end customers.</w:t>
      </w:r>
    </w:p>
    <w:p>
      <w:pPr>
        <w:spacing w:after="0" w:line="117"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Other than the United States, Japan accounted for more than 10% of the Company’s revenues during the three months ended March 28, 2020, representing 13%. Other than the United States, no individual country accounted for more than 10% of the Company’s revenues during the three months ended March 30, 2019. The United States accounted for 49.2% and 49.1% of revenues for the three months ended March 28, 2020 and March 30, 2019, respectively. International sales accounted for 50.8% and 50.9% of revenues for the three months ended March 28, 2020 and March 30, 2019,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April 2020, the Company received a $2.5 million U.S. Small Business Administration Loan (the “SBA Loan”) pursuant to the Payroll Protection Program (“PPP”), established under the CARES Act. Per the terms of the SBA Loan, the Company may apply for forgiveness of the amount due on the loan in an amount equal to the loan proceeds used to cover payroll costs and other specified non-payroll costs (provided any non-payroll costs do not exceed 25% of the forgiven amount) over an eight-week period after the loan is made, subject to certain conditions. The Company fully intends to comply with the above terms in order to qualify for loan forgiveness. However, there is no assurance that the Company will obtain forgiveness of the SBA Loan in whole or in part. In the event the Company is required to repay the loan, all payments are deferred for 6 months with accrued interest over this period. Amounts outstanding under the loan will bear a fixed interest rate of 1.00% per annum with a maturity date of April 22, 2022, two years from commencement date. The U.S. Department of the Treasury has announced that it will conduct audits for PPP loans that exceed $2 million. Should we be audited or reviewed by the U.S. Department of the Treasury or the U.S. Small Business Administration as a result of the SBA Loan or filing an application for forgiveness or otherwise and receive an adverse outcome in such an audit, we could be required to return the full amount of the SBA Loan and may potentially be subject to civil and criminal fines and penalties.</w:t>
      </w:r>
    </w:p>
    <w:p>
      <w:pPr>
        <w:sectPr>
          <w:pgSz w:w="11900" w:h="16838" w:orient="portrait"/>
          <w:cols w:equalWidth="0" w:num="1">
            <w:col w:w="11160"/>
          </w:cols>
          <w:pgMar w:left="320" w:top="233" w:right="419" w:bottom="1440" w:gutter="0" w:footer="0" w:header="0"/>
        </w:sectPr>
      </w:pP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type w:val="continuous"/>
        </w:sectPr>
      </w:pPr>
    </w:p>
    <w:bookmarkStart w:id="18" w:name="page19"/>
    <w:bookmarkEnd w:id="18"/>
    <w:p>
      <w:pPr>
        <w:ind w:right="3800"/>
        <w:spacing w:after="0" w:line="37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2"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IRIDEX Corporation is an ophthalmic medical technology company focused on the development and commercialization of breakthrough products and procedures used to treat sight-threatening eye conditions, including glaucoma and retinal diseases. Certain of our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113"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Cyclo G6 laser system used for the treatment of glaucoma;</w:t>
      </w:r>
    </w:p>
    <w:p>
      <w:pPr>
        <w:spacing w:after="0" w:line="117" w:lineRule="exact"/>
        <w:rPr>
          <w:rFonts w:ascii="Arial" w:cs="Arial" w:eastAsia="Arial" w:hAnsi="Arial"/>
          <w:sz w:val="18"/>
          <w:szCs w:val="18"/>
          <w:color w:val="auto"/>
        </w:rPr>
      </w:pPr>
    </w:p>
    <w:p>
      <w:pPr>
        <w:ind w:left="1000" w:right="280" w:hanging="493"/>
        <w:spacing w:after="0" w:line="282"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 and IQ 577 laser photocoagulation systems, which are used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diabetic macular edema and other retinal diseases; and</w:t>
      </w:r>
    </w:p>
    <w:p>
      <w:pPr>
        <w:spacing w:after="0" w:line="53" w:lineRule="exact"/>
        <w:rPr>
          <w:rFonts w:ascii="Arial" w:cs="Arial" w:eastAsia="Arial" w:hAnsi="Arial"/>
          <w:sz w:val="18"/>
          <w:szCs w:val="18"/>
          <w:color w:val="auto"/>
        </w:rPr>
      </w:pPr>
    </w:p>
    <w:p>
      <w:pPr>
        <w:ind w:left="1000" w:right="100" w:hanging="493"/>
        <w:spacing w:after="0" w:line="266"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 TX, OcuLight SL, OcuLight SLx, OcuLight GL and OcuLight</w:t>
      </w:r>
      <w:r>
        <w:rPr>
          <w:rFonts w:ascii="Arial" w:cs="Arial" w:eastAsia="Arial" w:hAnsi="Arial"/>
          <w:sz w:val="18"/>
          <w:szCs w:val="18"/>
          <w:b w:val="1"/>
          <w:bCs w:val="1"/>
          <w:color w:val="auto"/>
        </w:rPr>
        <w:t xml:space="preserve"> </w:t>
      </w:r>
      <w:r>
        <w:rPr>
          <w:rFonts w:ascii="Arial" w:cs="Arial" w:eastAsia="Arial" w:hAnsi="Arial"/>
          <w:sz w:val="18"/>
          <w:szCs w:val="18"/>
          <w:color w:val="auto"/>
        </w:rPr>
        <w:t>GLx laser photocoagulation systems. These systems are often used in vitrectomy procedures, which are used to treat proliferative diabetic retinopathy, macular holes, retinal tears and detachments.</w:t>
      </w:r>
    </w:p>
    <w:p>
      <w:pPr>
        <w:spacing w:after="0" w:line="72" w:lineRule="exact"/>
        <w:rPr>
          <w:sz w:val="20"/>
          <w:szCs w:val="20"/>
          <w:color w:val="auto"/>
        </w:rPr>
      </w:pPr>
    </w:p>
    <w:p>
      <w:pPr>
        <w:ind w:right="240" w:firstLine="510"/>
        <w:spacing w:after="0" w:line="342"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12"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Probes used in our glaucoma product line include our patented MicroPulse P3 (“MP3”) probe and G-Probe;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 family of products used in vitrectomy procedures.</w:t>
      </w:r>
    </w:p>
    <w:p>
      <w:pPr>
        <w:spacing w:after="0" w:line="12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Ophthalmologists typically use our laser systems in hospital operating room (“OR”) and ambulatory surgical centers (“ASCs”), as well as their offices and clinics. In the ORs and ASCs, ophthalmologists use our laser systems with either an indirect laser ophthalmoscope or a consumable, single use MP3 probe, G-Probe or EndoProbe.</w:t>
      </w:r>
    </w:p>
    <w:p>
      <w:pPr>
        <w:spacing w:after="0" w:line="76"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Our products are sold in the United States and Germany predominantly through a direct sales force and internationally (aside from Germany) primarily through independent distributors.</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dollars against any local currencies could cause our products to become relatively more expensive to customers in a particular country or region, leading to reduced revenue or profitability in that country or region. Sales to direct end users transacted through our German office will be denominated in Euros and will be subject to risks associated with the currency fluctuations.</w:t>
      </w:r>
    </w:p>
    <w:p>
      <w:pPr>
        <w:spacing w:after="0" w:line="80"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Cost of revenues consists primarily of our direct manufacturing costs which includes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spacing w:after="0" w:line="4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Sales and marketing expenses consist primarily of costs of personnel, sales commissions, travel expenses, advertising and promotional expenses.</w:t>
      </w:r>
    </w:p>
    <w:p>
      <w:pPr>
        <w:spacing w:after="0" w:line="140"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General and administrative expenses consist primarily of costs of personnel, legal, accounting and other public company costs, insurance and other expenses not allocated to other departments.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to our Business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outbreak of the COVID-19 has been declared a pandemic by the World Health Organization and continues to spread globally. The spread of COVID-19 has caused public health officials to recommend, and governments to enact, precautions to mitigate the spread of the virus, including travel restrictions and bans, extensive social distancing guidelines and issuing a “shelter-in-place” order in many regions of the world. The pandemic and these related responses have caused, and are expected to continue to cause a global slowdown of economic activity (including the decrease in demand for a broad variety of goods and services), disruptions in global supply chains and significant volatility and disruption of financial markets. We have adopted several measures in response to the COVID-19 outbreak including instructing employees to work from home, slowing our manufacturing operations, and restricting non-critical business travel by our employees.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ind w:firstLine="510"/>
        <w:spacing w:after="0" w:line="275" w:lineRule="auto"/>
        <w:rPr>
          <w:sz w:val="20"/>
          <w:szCs w:val="20"/>
          <w:color w:val="auto"/>
        </w:rPr>
      </w:pPr>
      <w:r>
        <w:rPr>
          <w:rFonts w:ascii="Arial" w:cs="Arial" w:eastAsia="Arial" w:hAnsi="Arial"/>
          <w:sz w:val="17"/>
          <w:szCs w:val="17"/>
          <w:color w:val="auto"/>
        </w:rPr>
        <w:t>The Company has been deemed an essential business and therefore, has continued to operate in a more limited capacity during the pandemic. The Company will continue to actively monitor the situation and may take further actions altering our business operations that we determine are in the best interests of our employees, customers, communities, business partners, suppliers, and shareholders, or as required by federal, state, or local authorities. It is not clear what the potential effects any such alterations or modifications may have on our business, including the effects on the Company's customers, employees, and prospects, or on our financial results for the remainder of fiscal year 2020.</w:t>
      </w:r>
    </w:p>
    <w:p>
      <w:pPr>
        <w:spacing w:after="0" w:line="68"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recent outbreak of the COVID-19 had impacted our business late in the first fiscal quarter. We are actively monitoring the impact of the coronavirus outbreak. Due to the severity of COVID-19 in the United States and the timing of the most significant responses thereto in March, we believe the impact on our business in the second quarter and beyond will be greater than it was in the first quarter of 2020. The extent to which our operations will be impacted by the outbreak will depend largely on future developments, which are highly uncertain and cannot be accurately predicted, including new information which may emerge concerning the severity of the outbreak and actions by government authorities and private businesses to contain the outbreak or recover from its impact, among other things.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more information on risks associated with the COVID-19 outbreak, see the section titled “Risk Factors” in Item 1A of Part II.</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operating data as a percentage of revenues:</w:t>
      </w:r>
    </w:p>
    <w:p>
      <w:pPr>
        <w:spacing w:after="0" w:line="325"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5480" w:type="dxa"/>
            <w:vAlign w:val="bottom"/>
            <w:tcBorders>
              <w:bottom w:val="single" w:sz="8" w:color="CFF0FC"/>
            </w:tcBorders>
          </w:tcPr>
          <w:p>
            <w:pPr>
              <w:spacing w:after="0"/>
              <w:rPr>
                <w:sz w:val="13"/>
                <w:szCs w:val="13"/>
                <w:color w:val="auto"/>
              </w:rPr>
            </w:pPr>
          </w:p>
        </w:tc>
        <w:tc>
          <w:tcPr>
            <w:tcW w:w="1500" w:type="dxa"/>
            <w:vAlign w:val="bottom"/>
            <w:tcBorders>
              <w:top w:val="single" w:sz="8" w:color="auto"/>
              <w:bottom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w w:val="98"/>
              </w:rPr>
              <w:t>March 28, 2020</w:t>
            </w:r>
          </w:p>
        </w:tc>
        <w:tc>
          <w:tcPr>
            <w:tcW w:w="4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CFF0FC"/>
            </w:tcBorders>
          </w:tcPr>
          <w:p>
            <w:pPr>
              <w:spacing w:after="0"/>
              <w:rPr>
                <w:sz w:val="13"/>
                <w:szCs w:val="13"/>
                <w:color w:val="auto"/>
              </w:rPr>
            </w:pPr>
          </w:p>
        </w:tc>
        <w:tc>
          <w:tcPr>
            <w:tcW w:w="1960" w:type="dxa"/>
            <w:vAlign w:val="bottom"/>
            <w:tcBorders>
              <w:top w:val="single" w:sz="8" w:color="auto"/>
              <w:bottom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rPr>
              <w:t>March 30, 2019</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5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w w:val="94"/>
              </w:rPr>
              <w:t>100.0%</w:t>
            </w:r>
          </w:p>
        </w:tc>
        <w:tc>
          <w:tcPr>
            <w:tcW w:w="2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Cost of revenues</w:t>
            </w:r>
          </w:p>
        </w:tc>
        <w:tc>
          <w:tcPr>
            <w:tcW w:w="15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56.6%</w:t>
            </w:r>
          </w:p>
        </w:tc>
        <w:tc>
          <w:tcPr>
            <w:tcW w:w="2200" w:type="dxa"/>
            <w:vAlign w:val="bottom"/>
            <w:gridSpan w:val="2"/>
          </w:tcPr>
          <w:p>
            <w:pPr>
              <w:jc w:val="right"/>
              <w:ind w:right="8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
        </w:trPr>
        <w:tc>
          <w:tcPr>
            <w:tcW w:w="54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1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vMerge w:val="continue"/>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43.4%</w:t>
            </w:r>
          </w:p>
        </w:tc>
        <w:tc>
          <w:tcPr>
            <w:tcW w:w="2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8.0%</w:t>
            </w:r>
          </w:p>
        </w:tc>
        <w:tc>
          <w:tcPr>
            <w:tcW w:w="2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34.9%</w:t>
            </w:r>
          </w:p>
        </w:tc>
        <w:tc>
          <w:tcPr>
            <w:tcW w:w="2200" w:type="dxa"/>
            <w:vAlign w:val="bottom"/>
            <w:gridSpan w:val="2"/>
          </w:tcPr>
          <w:p>
            <w:pPr>
              <w:jc w:val="right"/>
              <w:ind w:right="8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5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18.8%</w:t>
            </w:r>
          </w:p>
        </w:tc>
        <w:tc>
          <w:tcPr>
            <w:tcW w:w="2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1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61.7%</w:t>
            </w:r>
          </w:p>
        </w:tc>
        <w:tc>
          <w:tcPr>
            <w:tcW w:w="2200" w:type="dxa"/>
            <w:vAlign w:val="bottom"/>
            <w:gridSpan w:val="2"/>
          </w:tcPr>
          <w:p>
            <w:pPr>
              <w:jc w:val="right"/>
              <w:ind w:right="8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
        </w:trPr>
        <w:tc>
          <w:tcPr>
            <w:tcW w:w="54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vMerge w:val="continue"/>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(18.3%)</w:t>
            </w:r>
          </w:p>
        </w:tc>
        <w:tc>
          <w:tcPr>
            <w:tcW w:w="2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5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4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operations before provision for income taxes</w:t>
            </w:r>
          </w:p>
        </w:tc>
        <w:tc>
          <w:tcPr>
            <w:tcW w:w="1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vMerge w:val="continue"/>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(18.2%)</w:t>
            </w:r>
          </w:p>
        </w:tc>
        <w:tc>
          <w:tcPr>
            <w:tcW w:w="2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220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4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vMerge w:val="continue"/>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(18.3%)</w:t>
            </w:r>
          </w:p>
        </w:tc>
        <w:tc>
          <w:tcPr>
            <w:tcW w:w="2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following comparisons are between the three months ended March 28, 2020 and March 30,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70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1"/>
        </w:trPr>
        <w:tc>
          <w:tcPr>
            <w:tcW w:w="36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March 28, 2020</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March 30, 2019</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Change in $</w:t>
            </w:r>
          </w:p>
        </w:tc>
        <w:tc>
          <w:tcPr>
            <w:tcW w:w="22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Change in %</w:t>
            </w:r>
          </w:p>
        </w:tc>
        <w:tc>
          <w:tcPr>
            <w:tcW w:w="240" w:type="dxa"/>
            <w:vAlign w:val="bottom"/>
            <w:tcBorders>
              <w:bottom w:val="single" w:sz="8" w:color="CFF0FC"/>
            </w:tcBorders>
          </w:tcPr>
          <w:p>
            <w:pPr>
              <w:spacing w:after="0"/>
              <w:rPr>
                <w:sz w:val="14"/>
                <w:szCs w:val="14"/>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G6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Retina</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(1,465)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1,964</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w:t>
            </w: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9,021</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10,595</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22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0"/>
        <w:spacing w:after="0" w:line="286" w:lineRule="auto"/>
        <w:rPr>
          <w:sz w:val="20"/>
          <w:szCs w:val="20"/>
          <w:color w:val="auto"/>
        </w:rPr>
      </w:pPr>
      <w:r>
        <w:rPr>
          <w:rFonts w:ascii="Arial" w:cs="Arial" w:eastAsia="Arial" w:hAnsi="Arial"/>
          <w:sz w:val="16"/>
          <w:szCs w:val="16"/>
          <w:color w:val="auto"/>
        </w:rPr>
        <w:t>Our total revenues decreased by $1.6 million, or 14.9%, from $10.6 million to $9.0 million for the first quarter of fiscal year 2020. The decrease is primarily due to a decrease in sales of our retina products, and a modest decline in our G6 products, partially offset by an increase in other revenues. Revenues from retina products decreased 26.2%, driven by a decrease in both domestic and international sales. Revenues from G6 products decreased 5.9%, driven primarily by a decrease in domestic G6 systems sales. Other revenues, comprised of service, royalty, freight and legacy G probes, increased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3.9% due mainly to an increase in our service and royalty revenues.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117"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Gross profit decreased by $0.3 million, or 8.0%, from $4.3 million to $3.9 million for the first quarter of fiscal 2020. Gross margin increased by 3.2 percentage points from 40.2% to 43.4%. The increase in gross margin was primarily attributable to a shift in product mix and a decrease in manufacturing overhead spending, partially offset by an increase in manufacturing overhead variances.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20" w:name="page21"/>
    <w:bookmarkEnd w:id="20"/>
    <w:p>
      <w:pPr>
        <w:ind w:right="300" w:firstLine="510"/>
        <w:spacing w:after="0" w:line="342" w:lineRule="auto"/>
        <w:rPr>
          <w:sz w:val="20"/>
          <w:szCs w:val="20"/>
          <w:color w:val="auto"/>
        </w:rPr>
      </w:pPr>
      <w:r>
        <w:rPr>
          <w:rFonts w:ascii="Arial" w:cs="Arial" w:eastAsia="Arial" w:hAnsi="Arial"/>
          <w:sz w:val="16"/>
          <w:szCs w:val="16"/>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Research and development (“R&amp;D”) expenses decreased by $0.2 million, or 24.9%, from $1.0 million to $0.7 million. The decrease in spending was primarily attributable to a decrease in personnel costs due to a reduction in headcount.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right="200" w:firstLine="510"/>
        <w:spacing w:after="0" w:line="342" w:lineRule="auto"/>
        <w:rPr>
          <w:sz w:val="20"/>
          <w:szCs w:val="20"/>
          <w:color w:val="auto"/>
        </w:rPr>
      </w:pPr>
      <w:r>
        <w:rPr>
          <w:rFonts w:ascii="Arial" w:cs="Arial" w:eastAsia="Arial" w:hAnsi="Arial"/>
          <w:sz w:val="16"/>
          <w:szCs w:val="16"/>
          <w:color w:val="auto"/>
        </w:rPr>
        <w:t>Sales and marketing expenses decreased by $0.9 million, or 23.0%, from $4.1 million to $3.2 million. The decrease was primarily attributable to a decrease in personnel costs as a result of a reduction in headcount, lower commission expense due to lower sales and lower marketing program expenses.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720" w:firstLine="510"/>
        <w:spacing w:after="0" w:line="277" w:lineRule="auto"/>
        <w:rPr>
          <w:sz w:val="20"/>
          <w:szCs w:val="20"/>
          <w:color w:val="auto"/>
        </w:rPr>
      </w:pPr>
      <w:r>
        <w:rPr>
          <w:rFonts w:ascii="Arial" w:cs="Arial" w:eastAsia="Arial" w:hAnsi="Arial"/>
          <w:sz w:val="18"/>
          <w:szCs w:val="18"/>
          <w:color w:val="auto"/>
        </w:rPr>
        <w:t>General and administrative expenses decreased by $0.5 million, or 24.3%, from $2.2 million to $1.7 million. The decrease in spending was primarily attributable to a decrease personnel costs as a result of a reduction in headcount.</w:t>
      </w:r>
    </w:p>
    <w:p>
      <w:pPr>
        <w:spacing w:after="0" w:line="6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Management anticipates operating with the reduction in headcount and consequently lower costs for the foreseeable future as it focuses on managing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Other income, net amounted to $9 thousand, compared to other expense, net of $6 thousand. Other income (expense), net, consisted primarily of interest income and the change in expense associated with the re-measurement of contingent liabilities.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$7 thousand and $6 thousand,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62" w:lineRule="exact"/>
        <w:rPr>
          <w:sz w:val="20"/>
          <w:szCs w:val="20"/>
          <w:color w:val="auto"/>
        </w:rPr>
      </w:pPr>
    </w:p>
    <w:p>
      <w:pPr>
        <w:ind w:right="780" w:firstLine="510"/>
        <w:spacing w:after="0" w:line="277" w:lineRule="auto"/>
        <w:rPr>
          <w:sz w:val="20"/>
          <w:szCs w:val="20"/>
          <w:color w:val="auto"/>
        </w:rPr>
      </w:pPr>
      <w:r>
        <w:rPr>
          <w:rFonts w:ascii="Arial" w:cs="Arial" w:eastAsia="Arial" w:hAnsi="Arial"/>
          <w:sz w:val="18"/>
          <w:szCs w:val="18"/>
          <w:color w:val="auto"/>
        </w:rPr>
        <w:t>As of March 28, 2020, we had cash and cash equivalents of $11.1 million and working capital of $19.1 million compared to cash and cash equivalents of $12.7 million and working capital of $20.8 million as of December 28, 2019.</w:t>
      </w:r>
    </w:p>
    <w:p>
      <w:pPr>
        <w:spacing w:after="0" w:line="6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Net cash used in operating activities was $1.5 million in the three months ended March 28, 2020 compared to $3.8 million in the three months ended March 30, 2019. The decrease in net cash used in operating activities was primarily due to changes in working capital, driven by lower operating expenses, lower bonus payouts and the timing of bonus payments.</w:t>
      </w:r>
    </w:p>
    <w:p>
      <w:pPr>
        <w:spacing w:after="0" w:line="76"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For the three months ended March 28, 2020, net cash used in investing activities was $0.1 million, which consisted of capital expenditures. Net cash used in investing activities for the three months ended March 30, 2019 was $0.2 million, which consisted of $0.1 million on capital expenditures and $0.1 million for payment of the contingent earn-out liability.</w:t>
      </w:r>
    </w:p>
    <w:p>
      <w:pPr>
        <w:spacing w:after="0" w:line="76"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color w:val="auto"/>
        </w:rPr>
        <w:t>For the three months ended March 28, 2020, net cash used in financing activities was immaterial. For the three months ended March 30, 2019, net cash used in financing activities was $0.1 million, which consisted of payroll taxes related to net share settlement of equity awards.</w:t>
      </w:r>
    </w:p>
    <w:p>
      <w:pPr>
        <w:spacing w:after="0" w:line="38"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April 2020, the Company received a $2.5 million U.S. Small Business Association Loan (the “SBA Loan”) pursuant to the Payroll Protection Program (“PPP”) established under the CARES Act. For a deeper discussion on the SBA Loan, please see Note 11 – Subsequent Events in the notes to the condensed consolidated financial statements.</w:t>
      </w:r>
    </w:p>
    <w:p>
      <w:pPr>
        <w:spacing w:after="0" w:line="76"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have historically funded our operations primarily through sales of our products to customers, and through common stock and borrowing arrangements. As of March 28, 2020, our principal sources of liquidity consisted of cash and cash equivalents of $11.1 million. We have incurred net losses over the last several years, and as of March 28, 2020 have an accumulated deficit of approximately $52.3 million. We expect to continue to incur operating losses and negative cash flows from operations through March 31, 2021.</w:t>
      </w:r>
    </w:p>
    <w:p>
      <w:pPr>
        <w:spacing w:after="0" w:line="79"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We believe our existing cash and cash equivalents will be sufficient to meet our anticipated cash needs over the next 12 months. Our future capital requirements will depend on many factors, including our growth rate,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340" w:firstLine="510"/>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provide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7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As required by SEC Rule 13a-15(b), we carried out an evaluation, under the supervision and with the participation of our management, including our Principal Executive Officer and our Principal Financial Officer, of the effectiveness of the design and operation of our disclosure controls and procedures as of March 28, 2020. Based on the foregoing, our Principal Executive Officer and our Principal Financial Officer concluded that our disclosure controls and procedures were effective at the reasonable assurance level.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2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In addition to the other information contained in this Quarterly Report Form 10-Q,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420" w:firstLine="510"/>
        <w:spacing w:after="0" w:line="320" w:lineRule="auto"/>
        <w:rPr>
          <w:sz w:val="20"/>
          <w:szCs w:val="20"/>
          <w:color w:val="auto"/>
        </w:rPr>
      </w:pPr>
      <w:r>
        <w:rPr>
          <w:rFonts w:ascii="Arial" w:cs="Arial" w:eastAsia="Arial" w:hAnsi="Arial"/>
          <w:sz w:val="15"/>
          <w:szCs w:val="15"/>
          <w:b w:val="1"/>
          <w:bCs w:val="1"/>
          <w:i w:val="1"/>
          <w:iCs w:val="1"/>
          <w:color w:val="auto"/>
        </w:rPr>
        <w:t xml:space="preserve">The effects of the COVID-19 pandemic have disrupted, and may continue to significantly disrupt, our operations, including our ability to manufacture and supply products and perform research and development activities, our customers’ usage of our products as demand declines in elective surgeries in response to COVID-19, all of which have had and expected to continue to have a material and adverse effect on our business, future revenues and financial condition. </w:t>
      </w:r>
      <w:r>
        <w:rPr>
          <w:rFonts w:ascii="Arial" w:cs="Arial" w:eastAsia="Arial" w:hAnsi="Arial"/>
          <w:sz w:val="15"/>
          <w:szCs w:val="15"/>
          <w:b w:val="1"/>
          <w:bCs w:val="1"/>
          <w:i w:val="1"/>
          <w:iCs w:val="1"/>
          <w:color w:val="212529"/>
        </w:rPr>
        <w:t>We are unable to predict the extent to which the pandemic and related impacts will continue to adversely</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212529"/>
        </w:rPr>
        <w:t>impact our business operations, financial performance, results of operations, financial position and the achievement of our strategic objectives.</w:t>
      </w:r>
    </w:p>
    <w:p>
      <w:pPr>
        <w:spacing w:after="0" w:line="38"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Our business, results of operation and financial performance have been negatively impacted by the COVID-19 pandemic and related public health responses, such as shelter-in-place orders, social distancing protocols, and travel restrictions in many of the countries and regions in which we have operations or manufacturing partners. Due to these impacts and measures, we have experienced and may continue to experience significant and unpredictable reductions in the demand for our products as healthcare customers divert medical resources and priorities towards the treatment of diseases related to COVID-19. In addition, our customers may delay, cancel or redirect planned capital expenditures in order to focus resources on COVID-19 or in response to economic disruption related to COVID-19. For example, in the last month of the fiscal quarter ended March 28, 2020, we experienced significant decline in treatment and procedure volume worldwide, as healthcare systems diverted resources to meet the increasing demands of managing COVID-19. In addition, the American College of Surgeons, U.S. surgeon general, and medical societies are evaluating the risks of minimally invasive surgeries in the presence of infectious diseases, which we expect will continue to negatively impact the usage of our products and the number of ophthalmic treatments and procedures performed. If these recommendations continue to remain in place and the volume of elective procedures remains low, our results of operations and financial condition will continue to be adversely affected.</w:t>
      </w:r>
    </w:p>
    <w:p>
      <w:pPr>
        <w:spacing w:after="0" w:line="74"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As a result of the COVID-19 outbreak around the world, we implemented certain travel restrictions, temporarily limited the number of employees permitted onsite in our offices and implemented work-from-home rules. This has caused disruption and delays in our ability to operate and manufacture, test and assemble products in our internal facilities, particularly in our Mountain View, California facility, and has limited our ability to continue certain research and development activities which could materially and adversely affect our ability to develop new products and technologies on the timelines we previously anticipated.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ind w:firstLine="510"/>
        <w:spacing w:after="0" w:line="286" w:lineRule="auto"/>
        <w:rPr>
          <w:sz w:val="20"/>
          <w:szCs w:val="20"/>
          <w:color w:val="auto"/>
        </w:rPr>
      </w:pPr>
      <w:r>
        <w:rPr>
          <w:rFonts w:ascii="Arial" w:cs="Arial" w:eastAsia="Arial" w:hAnsi="Arial"/>
          <w:sz w:val="16"/>
          <w:szCs w:val="16"/>
          <w:color w:val="auto"/>
        </w:rPr>
        <w:t xml:space="preserve">The COVID-19 pandemic has created economic uncertainty and volatility in the financial markets around the world, resulting in an economic downturn that has affected and will likely continue to affect demand for our products and impact our results of operations. As a result, this may lead to a period of regional, national, and global economic slowdown or regional, national, or global recessions that would curtail or delay spending by hospitals and affect demand for our products as well as increase the risk of customer defaults or delays in payments. Our customers may terminate or amend their agreements for the purchase, lease, or service of our products due to bankruptcy, lack of liquidity, lack of funding, operational failures, or other reason. </w:t>
      </w:r>
      <w:r>
        <w:rPr>
          <w:rFonts w:ascii="Arial" w:cs="Arial" w:eastAsia="Arial" w:hAnsi="Arial"/>
          <w:sz w:val="16"/>
          <w:szCs w:val="16"/>
          <w:color w:val="212529"/>
        </w:rPr>
        <w:t>The</w:t>
      </w:r>
      <w:r>
        <w:rPr>
          <w:rFonts w:ascii="Arial" w:cs="Arial" w:eastAsia="Arial" w:hAnsi="Arial"/>
          <w:sz w:val="16"/>
          <w:szCs w:val="16"/>
          <w:color w:val="auto"/>
        </w:rPr>
        <w:t xml:space="preserve"> </w:t>
      </w:r>
      <w:r>
        <w:rPr>
          <w:rFonts w:ascii="Arial" w:cs="Arial" w:eastAsia="Arial" w:hAnsi="Arial"/>
          <w:sz w:val="16"/>
          <w:szCs w:val="16"/>
          <w:color w:val="212529"/>
        </w:rPr>
        <w:t xml:space="preserve">ultimate impact of the COVID-19 pandemic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 </w:t>
      </w:r>
      <w:r>
        <w:rPr>
          <w:rFonts w:ascii="Arial" w:cs="Arial" w:eastAsia="Arial" w:hAnsi="Arial"/>
          <w:sz w:val="16"/>
          <w:szCs w:val="16"/>
          <w:color w:val="000000"/>
        </w:rPr>
        <w:t>Although the magnitude of the impact of COVID-19 on our business operations remains</w:t>
      </w:r>
      <w:r>
        <w:rPr>
          <w:rFonts w:ascii="Arial" w:cs="Arial" w:eastAsia="Arial" w:hAnsi="Arial"/>
          <w:sz w:val="16"/>
          <w:szCs w:val="16"/>
          <w:color w:val="212529"/>
        </w:rPr>
        <w:t xml:space="preserve"> </w:t>
      </w:r>
      <w:r>
        <w:rPr>
          <w:rFonts w:ascii="Arial" w:cs="Arial" w:eastAsia="Arial" w:hAnsi="Arial"/>
          <w:sz w:val="16"/>
          <w:szCs w:val="16"/>
          <w:color w:val="000000"/>
        </w:rPr>
        <w:t>uncertain and difficult to predict, and this remains a highly dynamic situation, we have experienced and will continue to experience in subsequent periods, disruptions to our business that will likely continue to adversely impact our business, financial condition and results of operations.</w:t>
      </w:r>
    </w:p>
    <w:p>
      <w:pPr>
        <w:spacing w:after="0" w:line="63"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b w:val="1"/>
          <w:bCs w:val="1"/>
          <w:i w:val="1"/>
          <w:iCs w:val="1"/>
          <w:color w:val="auto"/>
        </w:rPr>
        <w:t>We have incurred indebtedness under the CARES Act which may be subject to audit, may not be forgivable and may eventually have to be repaid. Any repayment of such indebtedness may limit the funds available to us and may restrict our flexibility in operating our business or otherwise adversely affect our results of operations.</w:t>
      </w:r>
    </w:p>
    <w:p>
      <w:pPr>
        <w:spacing w:after="0" w:line="76"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In April 2020, the Company received a $2.5 million U.S. Small Business Administration Loan (the “SBA Loan”) pursuant to the Payroll Protection Program (“PPP”), established under the CARES Act. The Company may apply for forgiveness of the amount due on the loan if it fulfills certain conditions and applies the loan proceeds to payroll and certain other enumerated items under the CARES Act. Amounts outstanding under the loan will bear a fixed interest rate of 1.00% per annum with a maturity date of April 22, 2022, two years from commencement date. All payments are deferred for six months with interest accruing over the entire period of the SBA Loan. The U.S. Department of the Treasury has announced that it will conduct audits for PPP loans that exceed $2 million. Should we be audited or reviewed by the U.S. Department of the Treasury or the U.S. Small Business Administration as a result of the SBA Loan or filing an application for forgiveness or otherwise, such audit or review could result in the diversion of management’s time and attention, generate negative publicity and cause us to incur legal and reputational costs. If we were to be audited and receive an adverse outcome in such an audit, we could be required to return the full amount of the SBA Loan and may potentially be subject to civil and criminal fines and penalties. We may not have the resources to repay the SBA Loan if required to do so by the federal government.</w:t>
      </w:r>
    </w:p>
    <w:p>
      <w:pPr>
        <w:spacing w:after="0" w:line="60"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If all or substantially all of the SBA Loan is not forgiven or it is subsequently determined that it must be repaid, we may be required to use a substantial portion of our cash flows from operations to pay interest and principal on the SBA Loan. Although we have no current intention of repaying the SBA Loan, we may decide to repay it in the future. Any such repayment of the SBA Loan will reduce the funds available to us for working capital, capital expenditures, and other corporate purposes and may limit our ability to obtain additional financing for working capital, capital expenditures, expansion plans, and other investments or divert funds that are otherwise necessary to run our business. We cannot assure you that our business will generate sufficient cash flow from operations or that future financing will be available to us in amounts sufficient to enable us to make required and timely repayments on our indebtedness, or to fund our operations. To date, we have used a substantial amount of cash for operating activities, and we cannot assure you when we will begin to generate cash from operating activities in amounts sufficient to service our debt. Additionally, though we believe we are eligible for the SBA Loan under the PPP, our receipt of the SBA Loan could result in negative publicity, or expose us to liability under the federal False Claims Act, which prohibits the known filing of a false claim or the known use of false statements to obtain payment from the federal government, if it is determined that we were in fact not eligible to take the SBA Loan in the first instance.</w:t>
      </w:r>
    </w:p>
    <w:p>
      <w:pPr>
        <w:spacing w:after="0" w:line="7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addition, although we are reviewing and may seek additional available benefits under the CARES Act, we cannot predict the manner in which such benefits will be allocated or administered and we cannot assure you that we will be able to access such benefits in a timely manner or at all. Certain of the benefits under the CARES Act have not previously been administered on the present scale or at all. Government or third party program administrators may be unable to cope with the volume of applications in the near term and any benefits we receive may not be as extensive as those for which we apply, may impose additional conditions and restrictions on our operations or may otherwise provide less relief than we contemplate. If the U.S. government or any other governmental authority agrees to provide additional crisis relief assistance that we accept, it may impose certain requirements on the recipients of the aid, including restrictions on executive officer compensation, dividends, prepayment of debt, limitations on debt and other similar restrictions that will apply for a period of time after the aid is repaid or redeemed in full. We cannot assure you that any such government crisis relief assistance will not significantly limit our corporate activities or be on terms that are favorable to us. Such restrictions and terms could adversely impact our business and limit our operations and revenue as a result.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4" w:name="page25"/>
    <w:bookmarkEnd w:id="24"/>
    <w:p>
      <w:pPr>
        <w:ind w:right="820" w:firstLine="510"/>
        <w:spacing w:after="0" w:line="277" w:lineRule="auto"/>
        <w:rPr>
          <w:sz w:val="20"/>
          <w:szCs w:val="20"/>
          <w:color w:val="auto"/>
        </w:rPr>
      </w:pPr>
      <w:r>
        <w:rPr>
          <w:rFonts w:ascii="Arial" w:cs="Arial" w:eastAsia="Arial" w:hAnsi="Arial"/>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62"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manufacture of our infrared and visible laser consoles and related delivery devices is a highly complex and precise process. We may experience manufacturing difficulties, quality control issues or assembly constraints.</w:t>
      </w:r>
    </w:p>
    <w:p>
      <w:pPr>
        <w:spacing w:after="0" w:line="62" w:lineRule="exact"/>
        <w:rPr>
          <w:sz w:val="20"/>
          <w:szCs w:val="20"/>
          <w:color w:val="auto"/>
        </w:rPr>
      </w:pPr>
    </w:p>
    <w:p>
      <w:pPr>
        <w:ind w:right="200" w:firstLine="510"/>
        <w:spacing w:after="0" w:line="311" w:lineRule="auto"/>
        <w:rPr>
          <w:sz w:val="20"/>
          <w:szCs w:val="20"/>
          <w:color w:val="auto"/>
        </w:rPr>
      </w:pPr>
      <w:r>
        <w:rPr>
          <w:rFonts w:ascii="Arial" w:cs="Arial" w:eastAsia="Arial" w:hAnsi="Arial"/>
          <w:sz w:val="16"/>
          <w:szCs w:val="16"/>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41"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the past several years, we have experienced supply chain, production and training issues as we have expanded our product lines and sales volumes, and may experience similar issues in the future as we continue to grow our business. For example, we have contracted with a manufacturing company located in Wuhan, China for certain laser systems scheduled for release in the latter half of 2020. Due to the COVID-19 or coronavirus outbreak in China, release of our manufacturing process and launch of these new laser systems may be delayed or disrupted, and we may need to incur costs to replace or shift this manufacturing process elsewhere.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spacing w:after="0" w:line="58"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57"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41"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costs of product returns and warranty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development and engineering resources;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occurrence of any one or more of the foregoing factors could seriously harm our business, financial condition and results of operations.</w:t>
      </w:r>
    </w:p>
    <w:p>
      <w:pPr>
        <w:spacing w:after="0" w:line="129"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b w:val="1"/>
          <w:bCs w:val="1"/>
          <w:i w:val="1"/>
          <w:iCs w:val="1"/>
          <w:color w:val="auto"/>
        </w:rPr>
        <w:t>We rely on our direct and independent sales forces and network of international distributors to sell our products and any failure to maintain our sales force and distributor relationships could harm our business.</w:t>
      </w:r>
    </w:p>
    <w:p>
      <w:pPr>
        <w:spacing w:after="0" w:line="62"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17 employees and one independent representative, respectively and our direct sales force in Germany consists of one employee. Our international independent distributors are managed by a team of 5 people. We generally grant our distributors exclusive territories for the sale of our products in specified countries. The amount and timing of resources dedicated by our distributors to the sales of our products is not within our control. Our international sales are largely dependent on the efforts of these third parties. If any distributor breaches the terms of its distribution agreement with</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5" w:name="page26"/>
    <w:bookmarkEnd w:id="25"/>
    <w:p>
      <w:pPr>
        <w:ind w:right="40"/>
        <w:spacing w:after="0" w:line="277" w:lineRule="auto"/>
        <w:rPr>
          <w:sz w:val="20"/>
          <w:szCs w:val="20"/>
          <w:color w:val="auto"/>
        </w:rPr>
      </w:pPr>
      <w:r>
        <w:rPr>
          <w:rFonts w:ascii="Arial" w:cs="Arial" w:eastAsia="Arial" w:hAnsi="Arial"/>
          <w:sz w:val="18"/>
          <w:szCs w:val="18"/>
          <w:color w:val="auto"/>
        </w:rPr>
        <w:t>us or fails to generate sales of our products, we may be forced to replace the distributor and our ability to sell our products into that exclusive sales territory would be adversely affected.</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and distributor agreements are generally terminable at will by either party and independents and distributors may terminate their relationships with us, which would affect our sales and results of operations. We may be unable to recruit and retain qualified personnel in Germany as part of our direct sales team. Any loss of the members of our existing direct or indirect sales organizations, or any failure to execute on our plans to further develop our sales function, could have an adverse impact on our business, results of operations and financial condition. Additionally, our sales forces’ operations have been disrupted by the COVID-19 pandemic, as many are no longer allowed to travel and must instead perform their services from home, which could have an impact on their ability to sell and distribute our products.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Growth in our sales and marketing organization may create operational challenges without immediately offsetting benefits.</w:t>
      </w:r>
    </w:p>
    <w:p>
      <w:pPr>
        <w:spacing w:after="0" w:line="11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have increased and continue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56"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It can take six months or longer before our internal sales representatives are fully trained and productive in selling our solution to prospective clients. This ramp period presents a number of operational challenges as the cost of recruiting, hiring and carrying new sales representatives cannot be offset by the revenue such new sales representatives produce until after they complete their ramp periods. If we cannot reliably develop our sales representatives to a productive level, or if we lose productive representatives in whom we have heavily invested, our future growth rates and revenue will suffer.</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depend on international sales for a significant portion of our operating results.</w:t>
      </w:r>
    </w:p>
    <w:p>
      <w:pPr>
        <w:spacing w:after="0" w:line="117"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We derive, and expect to continue to derive, a large portion of our revenues from international sales. For the first quarter of fiscal year 2020, our international sales were $4.6 million, or 50.8% of total revenues. We anticipate that international sales will continue to account for a significant portion of our revenues in the foreseeable future. All of our international revenues and costs for the first quarter of fiscal year 2020 have been denominated in U.S. dollars except for a sale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56"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COVID-19 pandemic on the global economy and financial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and production issues;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of our international channel of distributors;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accounts receivable collection periods;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 of recessions in global economies and availability of credit;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sanctions and embargoes;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 of international conflicts, terrorist and military activity, civil unrest;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foreign certification requirements, including continued ability to use the “CE” mark in Europe, and other local regulatory requirements;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cultural differences;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foreign medical reimbursement and coverage policies and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or limited protections of intellectual property rights in jurisdictions outside the United States;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adverse tax consequences, such as those related to changes in tax laws or tax rates or their interpretations;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protectionist, adverse and changing foreign governmental laws and regulations;</w:t>
      </w:r>
    </w:p>
    <w:p>
      <w:pPr>
        <w:spacing w:after="0" w:line="117" w:lineRule="exact"/>
        <w:rPr>
          <w:rFonts w:ascii="Arial" w:cs="Arial" w:eastAsia="Arial" w:hAnsi="Arial"/>
          <w:sz w:val="18"/>
          <w:szCs w:val="18"/>
          <w:color w:val="auto"/>
        </w:rPr>
      </w:pPr>
    </w:p>
    <w:p>
      <w:pPr>
        <w:ind w:left="1000" w:right="300" w:hanging="493"/>
        <w:spacing w:after="0" w:line="308"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38" w:lineRule="exact"/>
        <w:rPr>
          <w:rFonts w:ascii="Arial" w:cs="Arial" w:eastAsia="Arial" w:hAnsi="Arial"/>
          <w:sz w:val="17"/>
          <w:szCs w:val="17"/>
          <w:color w:val="auto"/>
        </w:rPr>
      </w:pPr>
    </w:p>
    <w:p>
      <w:pPr>
        <w:ind w:left="1000" w:right="3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costs and risks of non-compliance with multiple regulatory regimes governing the production, marketing, sale and use of our products.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one or more of these factors stated above could have a material adverse effect on our business, financial condition or results of operations.</w:t>
      </w:r>
    </w:p>
    <w:p>
      <w:pPr>
        <w:spacing w:after="0" w:line="140" w:lineRule="exact"/>
        <w:rPr>
          <w:sz w:val="20"/>
          <w:szCs w:val="20"/>
          <w:color w:val="auto"/>
        </w:rPr>
      </w:pPr>
    </w:p>
    <w:p>
      <w:pPr>
        <w:ind w:right="480" w:firstLine="510"/>
        <w:spacing w:after="0" w:line="279" w:lineRule="auto"/>
        <w:rPr>
          <w:sz w:val="20"/>
          <w:szCs w:val="20"/>
          <w:color w:val="auto"/>
        </w:rPr>
      </w:pPr>
      <w:r>
        <w:rPr>
          <w:rFonts w:ascii="Arial" w:cs="Arial" w:eastAsia="Arial" w:hAnsi="Arial"/>
          <w:sz w:val="17"/>
          <w:szCs w:val="17"/>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63"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b w:val="1"/>
          <w:bCs w:val="1"/>
          <w:i w:val="1"/>
          <w:iCs w:val="1"/>
          <w:color w:val="auto"/>
        </w:rPr>
        <w:t>If we fail to develop and successfully introduce new products and applications or fail to improve our existing products, our business prospects and operating results may suffer.</w:t>
      </w:r>
    </w:p>
    <w:p>
      <w:pPr>
        <w:spacing w:after="0" w:line="62"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 In addition, our research and development process has been slowed by the impact of COVID-19, and should the COVID-19 pandemic continue, it could delay and disrupt our research and development processes even further.</w:t>
      </w:r>
    </w:p>
    <w:p>
      <w:pPr>
        <w:spacing w:after="0" w:line="70"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70"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exposed to risks associated with worldwide economic slowdowns and related uncertainties.</w:t>
      </w:r>
    </w:p>
    <w:p>
      <w:pPr>
        <w:spacing w:after="0" w:line="117" w:lineRule="exact"/>
        <w:rPr>
          <w:sz w:val="20"/>
          <w:szCs w:val="20"/>
          <w:color w:val="auto"/>
        </w:rPr>
      </w:pPr>
    </w:p>
    <w:p>
      <w:pPr>
        <w:ind w:right="260" w:firstLine="510"/>
        <w:spacing w:after="0" w:line="275" w:lineRule="auto"/>
        <w:rPr>
          <w:sz w:val="20"/>
          <w:szCs w:val="20"/>
          <w:color w:val="auto"/>
        </w:rPr>
      </w:pPr>
      <w:r>
        <w:rPr>
          <w:rFonts w:ascii="Arial" w:cs="Arial" w:eastAsia="Arial" w:hAnsi="Arial"/>
          <w:sz w:val="17"/>
          <w:szCs w:val="17"/>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For example, the COVID-19 pandemic has and may continue to cause adverse impacts on global economic activity which could negatively impact our business. In addition, political and social turmoil related to international conflicts and terrorist acts may put further pressure on economic conditions in the United States and abroad.</w:t>
      </w:r>
    </w:p>
    <w:p>
      <w:pPr>
        <w:spacing w:after="0" w:line="6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8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If economic uncertainty persisted, or if the economy entered a prolonged period of decelerating growth, our results of operations may be harmed.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and year to year.</w:t>
      </w:r>
    </w:p>
    <w:p>
      <w:pPr>
        <w:spacing w:after="0" w:line="117" w:lineRule="exact"/>
        <w:rPr>
          <w:sz w:val="20"/>
          <w:szCs w:val="20"/>
          <w:color w:val="auto"/>
        </w:rPr>
      </w:pPr>
    </w:p>
    <w:p>
      <w:pPr>
        <w:ind w:right="120" w:firstLine="510"/>
        <w:spacing w:after="0" w:line="308" w:lineRule="auto"/>
        <w:rPr>
          <w:sz w:val="20"/>
          <w:szCs w:val="20"/>
          <w:color w:val="auto"/>
        </w:rPr>
      </w:pPr>
      <w:r>
        <w:rPr>
          <w:rFonts w:ascii="Arial" w:cs="Arial" w:eastAsia="Arial" w:hAnsi="Arial"/>
          <w:sz w:val="17"/>
          <w:szCs w:val="17"/>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38"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uncertainties and political concerns, including the impact of COVID-19;</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prices at which we can sell our products, including the impact of changes in exchange rates;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delays or reductions in product shipments, or product recalls, resulting from manufacturing, distribution or other operational issues;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the introduction and market acceptance of new products, product enhancements and new applications;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demand for our existing line of ophthalmology products;</w:t>
      </w:r>
    </w:p>
    <w:p>
      <w:pPr>
        <w:spacing w:after="0" w:line="117"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sales volumes at a level sufficient to cover fixed manufacturing and operating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product mix within ophthalmology products and foreign and domestic sales;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regulatory approvals and changes in domestic and foreign regulatory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long and highly variable sales cycle;</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customers’ or potential customers’ budgets as a result of, among other things, reimbursement policies of government programs and private insurers for treatments that use our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variances in shipment volumes as a result of product, supply chain and training issues;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product innovation costs.</w:t>
      </w:r>
    </w:p>
    <w:p>
      <w:pPr>
        <w:spacing w:after="0" w:line="117" w:lineRule="exact"/>
        <w:rPr>
          <w:sz w:val="20"/>
          <w:szCs w:val="20"/>
          <w:color w:val="auto"/>
        </w:rPr>
      </w:pPr>
    </w:p>
    <w:p>
      <w:pPr>
        <w:ind w:right="520" w:firstLine="510"/>
        <w:spacing w:after="0" w:line="342" w:lineRule="auto"/>
        <w:rPr>
          <w:sz w:val="20"/>
          <w:szCs w:val="20"/>
          <w:color w:val="auto"/>
        </w:rPr>
      </w:pPr>
      <w:r>
        <w:rPr>
          <w:rFonts w:ascii="Arial" w:cs="Arial" w:eastAsia="Arial" w:hAnsi="Arial"/>
          <w:sz w:val="16"/>
          <w:szCs w:val="16"/>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1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8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62"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62"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COVID-19 pandemic on timing of ophthalmic treatment procedures;</w:t>
      </w:r>
    </w:p>
    <w:p>
      <w:pPr>
        <w:spacing w:after="0" w:line="117" w:lineRule="exact"/>
        <w:rPr>
          <w:rFonts w:ascii="Arial" w:cs="Arial" w:eastAsia="Arial" w:hAnsi="Arial"/>
          <w:sz w:val="18"/>
          <w:szCs w:val="18"/>
          <w:color w:val="auto"/>
        </w:rPr>
      </w:pPr>
    </w:p>
    <w:p>
      <w:pPr>
        <w:ind w:left="1000" w:right="8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product performance, features, ease of use, scalability and durability, including with respect to our MicroPulse laser photocoagulation systems;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recommendations and opinions by ophthalmologists, other clinicians, and their associated opinion leaders;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marketing and clinical study outcomes;</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8" w:name="page29"/>
    <w:bookmarkEnd w:id="28"/>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competing products, technologies and alternative treatments;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of reimbursement for treatments administered with our products.</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addition, we derive a meaningful portion of our sales in the form of recurring revenues from selling consumable instrumentation, including our MP3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request our services rather than purchase competing products or services. Any significant decline in market acceptance of our products or our revenues derived from the sales of laser consoles, delivery devices, consumables or services may have a material adverse effect on our business, results of operations and financial condition.</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face strong competition in our markets and expect the level of competition to grow in the foreseeable future.</w:t>
      </w:r>
    </w:p>
    <w:p>
      <w:pPr>
        <w:spacing w:after="0" w:line="117"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4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principal ophthalmic laser competitors are Alcon, Inc., Novartis AG, Bausch Health Companies Inc., Carl Zeiss Meditec AG, Ellex Medical Lasers, Ltd., Lumenis Ltd., Nidek Co. Ltd., Quantel Medical SA, and Topcon Corporation. We also compete with alternative glaucoma surgical device companies such as Alcon, Inc., Allergan, Inc., Glaukos Corporation, New World Medical, Inc. and Ivantis, Inc. Pharmaceuticals represent alternative treatments to our laser procedures. Some of our principal pharmaceutical competitors are Alcon, Inc., Allergan, Inc., Astellas Pharma Inc., Pfizer Inc., Regeneron Pharmaceuticals, Inc., Roche Holdings Ltd.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74"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b w:val="1"/>
          <w:bCs w:val="1"/>
          <w:i w:val="1"/>
          <w:iCs w:val="1"/>
          <w:color w:val="auto"/>
        </w:rPr>
        <w:t>Our ability to raise capital in the future may be limited, and future sales and issuances of securities could negatively affect our stock price and dilute the ownership interest of our existing investors.</w:t>
      </w:r>
    </w:p>
    <w:p>
      <w:pPr>
        <w:spacing w:after="0" w:line="6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spacing w:after="0" w:line="84" w:lineRule="exact"/>
        <w:rPr>
          <w:sz w:val="20"/>
          <w:szCs w:val="20"/>
          <w:color w:val="auto"/>
        </w:rPr>
      </w:pPr>
    </w:p>
    <w:p>
      <w:pPr>
        <w:ind w:right="260" w:firstLine="510"/>
        <w:spacing w:after="0" w:line="301" w:lineRule="auto"/>
        <w:rPr>
          <w:sz w:val="20"/>
          <w:szCs w:val="20"/>
          <w:color w:val="auto"/>
        </w:rPr>
      </w:pPr>
      <w:r>
        <w:rPr>
          <w:rFonts w:ascii="Arial" w:cs="Arial" w:eastAsia="Arial" w:hAnsi="Arial"/>
          <w:sz w:val="16"/>
          <w:szCs w:val="16"/>
          <w:color w:val="auto"/>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49"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Sales or issuances of a substantial amount of securities, or the perception that such sales could occur, may adversely affect prevailing market prices for our common stock. As of March 28, 2020, we had 13,787,969 shares of common stock outstanding, all of which shares were, and continue to be, eligible for sale in the public market, subject in some cases to compliance with the requirements of Rule 144, including the volume limitations and manner of sale requirements. Future resales of our common stock by our existing stockholders could cause the market price of our common stock to decline.</w:t>
      </w:r>
    </w:p>
    <w:p>
      <w:pPr>
        <w:spacing w:after="0" w:line="49"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As of March 28, 2020, holders of an aggregate of 973,204 shares of our common stock have rights, subject to some conditions, to require us to file registration statements covering their shares or to include their shares in registration statements that we may file for ourselves or our other stockholders. In addition, the shares of common stock subject to outstanding options and Restricted Stock Units under our 2008 Equity Incentive Plan and the shares reserved for future issuance under the Incentive Plan may become eligible for sale in the public markets in the future, subject to certain legal and control limitations.</w:t>
      </w:r>
    </w:p>
    <w:p>
      <w:pPr>
        <w:spacing w:after="0" w:line="8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ind w:right="80" w:firstLine="510"/>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by uncertainty regarding healthcare reform measures and changes in third-party coverage and reimbursement policies.</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 xml:space="preserve">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particularly given the recent ruling in </w:t>
      </w:r>
      <w:r>
        <w:rPr>
          <w:rFonts w:ascii="Arial" w:cs="Arial" w:eastAsia="Arial" w:hAnsi="Arial"/>
          <w:sz w:val="17"/>
          <w:szCs w:val="17"/>
          <w:i w:val="1"/>
          <w:iCs w:val="1"/>
          <w:color w:val="auto"/>
        </w:rPr>
        <w:t>Texas v. Azar</w:t>
      </w:r>
      <w:r>
        <w:rPr>
          <w:rFonts w:ascii="Arial" w:cs="Arial" w:eastAsia="Arial" w:hAnsi="Arial"/>
          <w:sz w:val="17"/>
          <w:szCs w:val="17"/>
          <w:color w:val="auto"/>
        </w:rPr>
        <w:t xml:space="preserve"> to invalidate the law as unconstitutional.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7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 xml:space="preserve">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(such as the ongoing </w:t>
      </w:r>
      <w:r>
        <w:rPr>
          <w:rFonts w:ascii="Arial" w:cs="Arial" w:eastAsia="Arial" w:hAnsi="Arial"/>
          <w:sz w:val="18"/>
          <w:szCs w:val="18"/>
          <w:i w:val="1"/>
          <w:iCs w:val="1"/>
          <w:color w:val="auto"/>
        </w:rPr>
        <w:t>Texas v. Azar</w:t>
      </w:r>
      <w:r>
        <w:rPr>
          <w:rFonts w:ascii="Arial" w:cs="Arial" w:eastAsia="Arial" w:hAnsi="Arial"/>
          <w:sz w:val="18"/>
          <w:szCs w:val="18"/>
          <w:color w:val="auto"/>
        </w:rPr>
        <w:t xml:space="preserve"> case). Denial of coverage and reimbursement of our products, or the revocation or changes to coverage and reimbursement policies, could have a material adverse effect on our business, results of operations and financial condition.</w:t>
      </w:r>
    </w:p>
    <w:p>
      <w:pPr>
        <w:spacing w:after="0" w:line="84"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4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62"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0" w:name="page31"/>
    <w:bookmarkEnd w:id="30"/>
    <w:p>
      <w:pPr>
        <w:ind w:firstLine="510"/>
        <w:spacing w:after="0" w:line="286"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are our being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depend on collaborative relationships to develop, introduce and market new products, product enhancements and new applications.</w:t>
      </w:r>
    </w:p>
    <w:p>
      <w:pPr>
        <w:spacing w:after="0" w:line="140"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spacing w:after="0" w:line="56"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6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spacing w:after="0" w:line="68" w:lineRule="exact"/>
        <w:rPr>
          <w:sz w:val="20"/>
          <w:szCs w:val="20"/>
          <w:color w:val="auto"/>
        </w:rPr>
      </w:pPr>
    </w:p>
    <w:p>
      <w:pPr>
        <w:ind w:right="720" w:firstLine="510"/>
        <w:spacing w:after="0" w:line="342" w:lineRule="auto"/>
        <w:rPr>
          <w:sz w:val="20"/>
          <w:szCs w:val="20"/>
          <w:color w:val="auto"/>
        </w:rPr>
      </w:pPr>
      <w:r>
        <w:rPr>
          <w:rFonts w:ascii="Arial" w:cs="Arial" w:eastAsia="Arial" w:hAnsi="Arial"/>
          <w:sz w:val="16"/>
          <w:szCs w:val="16"/>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16"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fail to manage growth effectively, our business could be disrupted which could harm our operating results.</w:t>
      </w:r>
    </w:p>
    <w:p>
      <w:pPr>
        <w:spacing w:after="0" w:line="117"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b w:val="1"/>
          <w:bCs w:val="1"/>
          <w:i w:val="1"/>
          <w:iCs w:val="1"/>
          <w:color w:val="auto"/>
        </w:rPr>
        <w:t>We rely on patents and proprietary rights to protect our intellectual property and business.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Our patent portfolio includes 23 active United States patents and 6 active foreign patents on the technologies related to our products and processes. In addition, we have 4 patent applications pending in the United States and 12 foreign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73" w:lineRule="exact"/>
        <w:rPr>
          <w:sz w:val="20"/>
          <w:szCs w:val="20"/>
          <w:color w:val="auto"/>
        </w:rPr>
      </w:pPr>
    </w:p>
    <w:p>
      <w:pPr>
        <w:ind w:right="260" w:firstLine="510"/>
        <w:spacing w:after="0" w:line="255" w:lineRule="auto"/>
        <w:rPr>
          <w:sz w:val="20"/>
          <w:szCs w:val="20"/>
          <w:color w:val="auto"/>
        </w:rPr>
      </w:pPr>
      <w:r>
        <w:rPr>
          <w:rFonts w:ascii="Arial" w:cs="Arial" w:eastAsia="Arial" w:hAnsi="Arial"/>
          <w:sz w:val="18"/>
          <w:szCs w:val="18"/>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84"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62"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69"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lose key personnel or fail to integrate replacement personnel successfully, our ability to manage our business could be impaired.</w:t>
      </w:r>
    </w:p>
    <w:p>
      <w:pPr>
        <w:spacing w:after="0" w:line="140"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88" w:lineRule="exact"/>
        <w:rPr>
          <w:sz w:val="20"/>
          <w:szCs w:val="20"/>
          <w:color w:val="auto"/>
        </w:rPr>
      </w:pPr>
    </w:p>
    <w:p>
      <w:pPr>
        <w:ind w:right="540" w:firstLine="510"/>
        <w:spacing w:after="0" w:line="342" w:lineRule="auto"/>
        <w:rPr>
          <w:sz w:val="20"/>
          <w:szCs w:val="20"/>
          <w:color w:val="auto"/>
        </w:rPr>
      </w:pPr>
      <w:r>
        <w:rPr>
          <w:rFonts w:ascii="Arial" w:cs="Arial" w:eastAsia="Arial" w:hAnsi="Arial"/>
          <w:sz w:val="16"/>
          <w:szCs w:val="16"/>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16" w:lineRule="exact"/>
        <w:rPr>
          <w:sz w:val="20"/>
          <w:szCs w:val="20"/>
          <w:color w:val="auto"/>
        </w:rPr>
      </w:pPr>
    </w:p>
    <w:p>
      <w:pPr>
        <w:ind w:right="160" w:firstLine="510"/>
        <w:spacing w:after="0" w:line="271" w:lineRule="auto"/>
        <w:rPr>
          <w:sz w:val="20"/>
          <w:szCs w:val="20"/>
          <w:color w:val="auto"/>
        </w:rPr>
      </w:pPr>
      <w:r>
        <w:rPr>
          <w:rFonts w:ascii="Arial" w:cs="Arial" w:eastAsia="Arial" w:hAnsi="Arial"/>
          <w:sz w:val="17"/>
          <w:szCs w:val="17"/>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b w:val="1"/>
          <w:bCs w:val="1"/>
          <w:i w:val="1"/>
          <w:iCs w:val="1"/>
          <w:color w:val="auto"/>
        </w:rPr>
        <w:t>We depend on sole source or limited source suppliers.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sources. In addition, some of these suppliers are relatively small private companies whose operations may be disrupted or discontinued at any time. There are risks associated with the use of independent manufacturers, including the following:</w:t>
      </w:r>
    </w:p>
    <w:p>
      <w:pPr>
        <w:spacing w:after="0" w:line="80"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COVID-19 on global supply chains and market stability;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unavailability of shortages or limitations on the ability to obtain supplies of components and products in the quantities that we require;</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delivery or failure of suppliers to deliver critical components and products on the dates we require;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failure of suppliers to manufacture and assemble components and products to our specifications, and potentially reduced quality; and</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obtain components and products at acceptable prices.</w:t>
      </w:r>
    </w:p>
    <w:p>
      <w:pPr>
        <w:spacing w:after="0" w:line="117"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our facilities were to experience catastrophic loss, our operations would be seriously harmed.</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catastrophic wildfires, as well as intermittent power outages. Any such loss at any of our facilities caused by fires, flooding, power outages, or earthquakes could disrupt our operations, delay production, shipments and revenue and result in large expense to repair and replace our facilities.</w:t>
      </w:r>
    </w:p>
    <w:p>
      <w:pPr>
        <w:spacing w:after="0" w:line="80"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our business could be adversely affected.</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rely on information technology systems to keep financial records and corporate records, communicate with staff and external parties and operate other critical functions, including sales and manufacturing processes. Our information technology systems are potentially vulnerable to disruption due to breakdown or malicious intrusion and computer viruses. If we were to experience a prolonged system disruption in our information technology systems, it could negatively impact the coordination of our sales, planning and manufacturing activities, which could adversely affect our business. In addition, in order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spacing w:after="0" w:line="84"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In addition, our information technology systems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p>
    <w:p>
      <w:pPr>
        <w:spacing w:after="0" w:line="63"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While we have implemented a number of protective measures, including firewalls, antivirus and malware detection tools, patches, log monitors, routine back-ups, system audits, routine password modifications and disaster recovery procedures, such measures may not be adequate or implemented properly to prevent or fully address the adverse effect of such events, and in some cases we may be unaware of an incident or its magnitude and effects.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3" w:name="page34"/>
    <w:bookmarkEnd w:id="33"/>
    <w:p>
      <w:pPr>
        <w:ind w:right="200" w:firstLine="510"/>
        <w:spacing w:after="0" w:line="263" w:lineRule="auto"/>
        <w:rPr>
          <w:sz w:val="20"/>
          <w:szCs w:val="20"/>
          <w:color w:val="auto"/>
        </w:rPr>
      </w:pPr>
      <w:r>
        <w:rPr>
          <w:rFonts w:ascii="Arial" w:cs="Arial" w:eastAsia="Arial" w:hAnsi="Arial"/>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76"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We market our products to numerous health care providers, including physicians, hospitals, ASCs,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56"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regulations which may cause us to delay or withdraw the introduction of new products or new applications for our products.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FDA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74"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80"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In addition, we are also subject to varying product standards, packaging requirements, labeling requirements, tariff regulations, duties and tax requirements. As a result of our sales in Europe, we are required to have all products “CE” marked, an international symbol affixed to all products demonstrating compliance with the European Medical Device Directives and all applicable standards. While currently all of our released products are CE marked, continued certification is based on the successful review of our quality system by our European Registrar during their annual audit. Any loss of certification would have a material adverse effect on our business, results of operations and financial condition. There are a number of major regulatory changes occurring in the regulation of medical devices in the EU. A new revision of the quality system regulation (ISO 13485:2016) has been released that substantially increases the requirements for a medical device quality system. The Medical Device Regulation (MDR) will replace the current medical device directives (93/42/EEC), and it substantially changes the way that medical devices are brought to market in the EU and how they maintain compliance throughout the product’s life cycle.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4" w:name="page35"/>
    <w:bookmarkEnd w:id="34"/>
    <w:p>
      <w:pPr>
        <w:ind w:right="440" w:firstLine="510"/>
        <w:spacing w:after="0" w:line="342" w:lineRule="auto"/>
        <w:rPr>
          <w:sz w:val="20"/>
          <w:szCs w:val="20"/>
          <w:color w:val="auto"/>
        </w:rPr>
      </w:pPr>
      <w:r>
        <w:rPr>
          <w:rFonts w:ascii="Arial" w:cs="Arial" w:eastAsia="Arial" w:hAnsi="Arial"/>
          <w:sz w:val="16"/>
          <w:szCs w:val="16"/>
          <w:b w:val="1"/>
          <w:bCs w:val="1"/>
          <w:i w:val="1"/>
          <w:iCs w:val="1"/>
          <w:color w:val="auto"/>
        </w:rPr>
        <w:t>Any clinical trials necessary that we may undertake for regulatory approval or marketing reasons will be an expensive, lengthy, costly, and uncertain process, and could result in delays in new product introductions or even an inability to release a product.</w:t>
      </w:r>
    </w:p>
    <w:p>
      <w:pPr>
        <w:spacing w:after="0" w:line="16"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6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73"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b w:val="1"/>
          <w:bCs w:val="1"/>
          <w:i w:val="1"/>
          <w:iCs w:val="1"/>
          <w:color w:val="auto"/>
        </w:rPr>
        <w:t>If we modify one of our FDA cleared devices, we may need to submit a new 510(k), or potentially a PMA, and if clearance or approval is not obtained, it would prevent us from selling our modified products or cause us to redesign our products.</w:t>
      </w:r>
    </w:p>
    <w:p>
      <w:pPr>
        <w:spacing w:after="0" w:line="62"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products may be misused, which could harm our reputation and our business.</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Inability of customers to obtain credit or material increases in interest rates may harm our sales.</w:t>
      </w:r>
    </w:p>
    <w:p>
      <w:pPr>
        <w:spacing w:after="0" w:line="11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49"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62"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5" w:name="page36"/>
    <w:bookmarkEnd w:id="35"/>
    <w:p>
      <w:pPr>
        <w:ind w:firstLine="510"/>
        <w:spacing w:after="0" w:line="257" w:lineRule="auto"/>
        <w:rPr>
          <w:sz w:val="20"/>
          <w:szCs w:val="20"/>
          <w:color w:val="auto"/>
        </w:rPr>
      </w:pPr>
      <w:r>
        <w:rPr>
          <w:rFonts w:ascii="Arial" w:cs="Arial" w:eastAsia="Arial" w:hAnsi="Arial"/>
          <w:sz w:val="18"/>
          <w:szCs w:val="18"/>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spacing w:after="0" w:line="80"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For example, on February 23, 2018, we initiated a worldwide voluntary recall of a specific laser accessory called the TruFocus LIO Premiere™ (“LIO”). The LIO is a head-mounted indirect ophthalmoscope that connects to our laser console and is used to view and perform laser treatment on a patient’s retina. This recall was prompted after we received reports of three adverse events from one physician in the U.S., resulting in focal cataracts and iris burns occurring during procedures in which the TruFocus LIO Premiere was used. We identified several potential root causes for the adverse events, including use error. On March 22, 2019, we provided the FDA with a request for termination of Recall Number Z-1075-2018. Our termination request is pending.</w:t>
      </w:r>
    </w:p>
    <w:p>
      <w:pPr>
        <w:spacing w:after="0" w:line="84"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We recently obtained FDA clearance for an updated TruFocus LIO Premiere™ device. The updated device includes expanded user instructions and minor design changes. Use of the updated LIO may result in adverse events, including those observed with the prior LIO device. If physician use of our updated LIO results in serious adverse events, we may have to initiate another recall or utilize additional resources to further evaluate the design of the LIO device. Furthermore, in light of the recall, we cannot provide any assurance that the updated LIO, once launched, will achieve market acceptance. We will be required to devote significant resources to launch and market the updated LIO and cannot provide any assurance that these activities will generate revenue as anticipated. If our revenue grows more slowly than we expect because of a delay in or a lack of market acceptance for our updated LIO, our business and financials will be adversely affected.</w:t>
      </w:r>
    </w:p>
    <w:p>
      <w:pPr>
        <w:spacing w:after="0" w:line="6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62"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We may be subject to product liability claims from time to time. Our products are highly complex and some are used to treat extremely delicate eye tissue. We believe we maintain adequate levels of product liability insurance.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Significant developments resulting from recent and potential changes in United States trade policies could have a material adverse effect on us.</w:t>
      </w:r>
    </w:p>
    <w:p>
      <w:pPr>
        <w:spacing w:after="0" w:line="15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Certain of our materials may be subject to the effects of various trade agreements, treaties and tariffs. The current U.S. presidential administration has imposed tariffs on various goods from various countries, including China, Canada and the European Union (“EU”), and announced intentions to impose furthermore significant tariffs on certain United States imports. As a result, Canada, the EU, China and other countries have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spacing w:after="0" w:line="86"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U.S. or may cause us to adjust our worldwide supply chain. Any of these effects could require us to increase prices to our customers which may reduce demand, or, if we are unable to increase prices, may result in lowering our margin on products sold.</w:t>
      </w:r>
    </w:p>
    <w:p>
      <w:pPr>
        <w:spacing w:after="0" w:line="5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ind w:left="520"/>
        <w:spacing w:after="0"/>
        <w:rPr>
          <w:sz w:val="20"/>
          <w:szCs w:val="20"/>
          <w:color w:val="auto"/>
        </w:rPr>
      </w:pPr>
      <w:r>
        <w:rPr>
          <w:rFonts w:ascii="Arial" w:cs="Arial" w:eastAsia="Arial" w:hAnsi="Arial"/>
          <w:sz w:val="16"/>
          <w:szCs w:val="16"/>
          <w:b w:val="1"/>
          <w:bCs w:val="1"/>
          <w:i w:val="1"/>
          <w:iCs w:val="1"/>
          <w:color w:val="auto"/>
        </w:rPr>
        <w:t>Changes in U.S. tax laws could have a material adverse effect on our business, cash flow, results of operations or financial conditions.</w:t>
      </w:r>
    </w:p>
    <w:p>
      <w:pPr>
        <w:spacing w:after="0" w:line="140" w:lineRule="exact"/>
        <w:rPr>
          <w:sz w:val="20"/>
          <w:szCs w:val="20"/>
          <w:color w:val="auto"/>
        </w:rPr>
      </w:pPr>
    </w:p>
    <w:p>
      <w:pPr>
        <w:ind w:right="260" w:firstLine="510"/>
        <w:spacing w:after="0" w:line="301" w:lineRule="auto"/>
        <w:rPr>
          <w:sz w:val="20"/>
          <w:szCs w:val="20"/>
          <w:color w:val="auto"/>
        </w:rPr>
      </w:pPr>
      <w:r>
        <w:rPr>
          <w:rFonts w:ascii="Arial" w:cs="Arial" w:eastAsia="Arial" w:hAnsi="Arial"/>
          <w:sz w:val="16"/>
          <w:szCs w:val="16"/>
          <w:color w:val="auto"/>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spacing w:after="0" w:line="49"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the Company’s net operating loss carryovers and valuation allowance, there is no impact to its consolidated financial statements as a result of the accounting for the tax effects of the Tax Act.</w:t>
      </w:r>
    </w:p>
    <w:p>
      <w:pPr>
        <w:spacing w:after="0" w:line="80"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Subsequent legislations,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spacing w:after="0" w:line="76" w:lineRule="exact"/>
        <w:rPr>
          <w:sz w:val="20"/>
          <w:szCs w:val="20"/>
          <w:color w:val="auto"/>
        </w:rPr>
      </w:pPr>
    </w:p>
    <w:p>
      <w:pPr>
        <w:jc w:val="both"/>
        <w:ind w:right="600" w:firstLine="510"/>
        <w:spacing w:after="0" w:line="263" w:lineRule="auto"/>
        <w:rPr>
          <w:sz w:val="20"/>
          <w:szCs w:val="20"/>
          <w:color w:val="auto"/>
        </w:rPr>
      </w:pPr>
      <w:r>
        <w:rPr>
          <w:rFonts w:ascii="Arial" w:cs="Arial" w:eastAsia="Arial" w:hAnsi="Arial"/>
          <w:sz w:val="18"/>
          <w:szCs w:val="18"/>
          <w:b w:val="1"/>
          <w:bCs w:val="1"/>
          <w:i w:val="1"/>
          <w:iCs w:val="1"/>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spacing w:after="0" w:line="76"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60"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1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80"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integrating any acquired products into our existing business;</w:t>
      </w:r>
    </w:p>
    <w:p>
      <w:pPr>
        <w:spacing w:after="0" w:line="117" w:lineRule="exact"/>
        <w:rPr>
          <w:rFonts w:ascii="Arial" w:cs="Arial" w:eastAsia="Arial" w:hAnsi="Arial"/>
          <w:sz w:val="18"/>
          <w:szCs w:val="18"/>
          <w:color w:val="auto"/>
        </w:rPr>
      </w:pPr>
    </w:p>
    <w:p>
      <w:pPr>
        <w:ind w:left="1000" w:right="98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integrating an acquired company’s technologies, services, employees, customers, partners, business operations and administrative and software management systems with ours;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realizing the benefits of the acquired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our management’s time and attention from other business concerns;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customer reaction to the product acquisition;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expenses.</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ind w:right="40" w:firstLine="510"/>
        <w:spacing w:after="0" w:line="308" w:lineRule="auto"/>
        <w:rPr>
          <w:sz w:val="20"/>
          <w:szCs w:val="20"/>
          <w:color w:val="auto"/>
        </w:rPr>
      </w:pPr>
      <w:r>
        <w:rPr>
          <w:rFonts w:ascii="Arial" w:cs="Arial" w:eastAsia="Arial" w:hAnsi="Arial"/>
          <w:sz w:val="17"/>
          <w:szCs w:val="17"/>
          <w:b w:val="1"/>
          <w:bCs w:val="1"/>
          <w:i w:val="1"/>
          <w:iCs w:val="1"/>
          <w:color w:val="auto"/>
        </w:rPr>
        <w:t>Divestitures of some of our businesses or product lines may materially and adversely affect our financial condition, results of operations or cash flows and require us to raise additional capital to replace revenue from those business units or product lines.</w:t>
      </w:r>
    </w:p>
    <w:p>
      <w:pPr>
        <w:spacing w:after="0" w:line="38"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We evaluate the performance and strategic fit of all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need to raise additional capital to replace the revenue generated from the business or product line that is divested and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spacing w:after="0" w:line="58"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requirements, our business, financial condition, operating results and reputation could be adversely affected.</w:t>
      </w:r>
    </w:p>
    <w:p>
      <w:pPr>
        <w:spacing w:after="0" w:line="6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2011/65/EU relating to Restrictions on the Use of Certain Hazardous Substances “RoHS Directive,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spacing w:after="0" w:line="58" w:lineRule="exact"/>
        <w:rPr>
          <w:sz w:val="20"/>
          <w:szCs w:val="20"/>
          <w:color w:val="auto"/>
        </w:rPr>
      </w:pPr>
    </w:p>
    <w:p>
      <w:pPr>
        <w:ind w:right="320" w:firstLine="510"/>
        <w:spacing w:after="0" w:line="275" w:lineRule="auto"/>
        <w:rPr>
          <w:sz w:val="20"/>
          <w:szCs w:val="20"/>
          <w:color w:val="auto"/>
        </w:rPr>
      </w:pPr>
      <w:r>
        <w:rPr>
          <w:rFonts w:ascii="Arial" w:cs="Arial" w:eastAsia="Arial" w:hAnsi="Arial"/>
          <w:sz w:val="17"/>
          <w:szCs w:val="17"/>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 and an investment in our common stock could suffer a decline in value.</w:t>
      </w:r>
    </w:p>
    <w:p>
      <w:pPr>
        <w:spacing w:after="0" w:line="129"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During the first fiscal quarter fiscal year 2020, the trading price of our common stock fluctuated from a low of $1.40 per share to a high of $3.64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Because we do not intend to pay dividends, stockholders will benefit from an investment in our common stock only if it appreciates in value.</w:t>
      </w:r>
    </w:p>
    <w:p>
      <w:pPr>
        <w:spacing w:after="0" w:line="140"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spacing w:after="0" w:line="80"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8" w:name="page39"/>
    <w:bookmarkEnd w:id="38"/>
    <w:p>
      <w:pPr>
        <w:ind w:left="520"/>
        <w:spacing w:after="0"/>
        <w:rPr>
          <w:sz w:val="20"/>
          <w:szCs w:val="20"/>
          <w:color w:val="auto"/>
        </w:rPr>
      </w:pPr>
      <w:r>
        <w:rPr>
          <w:rFonts w:ascii="Arial" w:cs="Arial" w:eastAsia="Arial" w:hAnsi="Arial"/>
          <w:sz w:val="16"/>
          <w:szCs w:val="16"/>
          <w:b w:val="1"/>
          <w:bCs w:val="1"/>
          <w:i w:val="1"/>
          <w:iCs w:val="1"/>
          <w:color w:val="auto"/>
        </w:rPr>
        <w:t>Ownership of our common stock is concentrated among a few investors, which may affect the ability of a third party to acquire control of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by such investors could cause our stock price to decline.</w:t>
      </w:r>
    </w:p>
    <w:p>
      <w:pPr>
        <w:spacing w:after="0" w:line="103"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directors, executive officers, current five percent or greater stockholders and affiliated entities together beneficially own a significant portion of our common stock outstanding as of March 28, 2020.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79" w:lineRule="exact"/>
        <w:rPr>
          <w:sz w:val="20"/>
          <w:szCs w:val="20"/>
          <w:color w:val="auto"/>
        </w:rPr>
      </w:pPr>
    </w:p>
    <w:p>
      <w:pPr>
        <w:jc w:val="both"/>
        <w:ind w:right="540" w:firstLine="510"/>
        <w:spacing w:after="0" w:line="311" w:lineRule="auto"/>
        <w:rPr>
          <w:sz w:val="20"/>
          <w:szCs w:val="20"/>
          <w:color w:val="auto"/>
        </w:rPr>
      </w:pPr>
      <w:r>
        <w:rPr>
          <w:rFonts w:ascii="Arial" w:cs="Arial" w:eastAsia="Arial" w:hAnsi="Arial"/>
          <w:sz w:val="16"/>
          <w:szCs w:val="16"/>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41"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8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6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8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b w:val="1"/>
          <w:bCs w:val="1"/>
          <w:i w:val="1"/>
          <w:iCs w:val="1"/>
          <w:color w:val="auto"/>
        </w:rPr>
        <w:t>Our charter documents, anti-takeover provisions of Delaware law, and contractual provisions could delay or prevent an acquisition or sale of our company.</w:t>
      </w:r>
    </w:p>
    <w:p>
      <w:pPr>
        <w:spacing w:after="0" w:line="6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68"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our board of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only our board of directors is authorized to fill vacant directorships, including newly created seats;</w:t>
      </w:r>
    </w:p>
    <w:p>
      <w:pPr>
        <w:spacing w:after="0" w:line="117"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special meetings of our stockholders may be called only by our board of directors, the chairman of the board, chief executive officer or president, thus prohibiting a stockholder from calling a special meeting;</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propose other business;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stockholders are not permitted to cumulate votes in the election of directors.</w:t>
      </w:r>
    </w:p>
    <w:p>
      <w:pPr>
        <w:spacing w:after="0" w:line="117"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9" w:name="page40"/>
    <w:bookmarkEnd w:id="39"/>
    <w:p>
      <w:pPr>
        <w:ind w:right="4979"/>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Sales of Unregistered Securities</w:t>
      </w: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4"/>
                <w:szCs w:val="14"/>
                <w:color w:val="auto"/>
              </w:rPr>
            </w:pPr>
          </w:p>
        </w:tc>
        <w:tc>
          <w:tcPr>
            <w:tcW w:w="1022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gridSpan w:val="2"/>
          </w:tcPr>
          <w:p>
            <w:pPr>
              <w:spacing w:after="0"/>
              <w:rPr>
                <w:sz w:val="20"/>
                <w:szCs w:val="20"/>
                <w:color w:val="auto"/>
              </w:rPr>
            </w:pPr>
            <w:r>
              <w:rPr>
                <w:rFonts w:ascii="Arial" w:cs="Arial" w:eastAsia="Arial" w:hAnsi="Arial"/>
                <w:sz w:val="18"/>
                <w:szCs w:val="18"/>
                <w:color w:val="auto"/>
              </w:rPr>
              <w:t>3.1 (1) (P)</w:t>
            </w:r>
          </w:p>
        </w:tc>
        <w:tc>
          <w:tcPr>
            <w:tcW w:w="10220" w:type="dxa"/>
            <w:vAlign w:val="bottom"/>
            <w:gridSpan w:val="4"/>
          </w:tcPr>
          <w:p>
            <w:pPr>
              <w:spacing w:after="0"/>
              <w:rPr>
                <w:sz w:val="20"/>
                <w:szCs w:val="20"/>
                <w:color w:val="auto"/>
              </w:rPr>
            </w:pPr>
            <w:r>
              <w:rPr>
                <w:rFonts w:ascii="Arial" w:cs="Arial" w:eastAsia="Arial" w:hAnsi="Arial"/>
                <w:sz w:val="18"/>
                <w:szCs w:val="18"/>
                <w:color w:val="auto"/>
              </w:rPr>
              <w:t>Amended and Restated Certificate of Incorporation of Registrant.</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 (2)</w:t>
            </w:r>
          </w:p>
        </w:tc>
        <w:tc>
          <w:tcPr>
            <w:tcW w:w="10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r:id="rId59">
              <w:r>
                <w:rPr>
                  <w:rFonts w:ascii="Arial" w:cs="Arial" w:eastAsia="Arial" w:hAnsi="Arial"/>
                  <w:sz w:val="18"/>
                  <w:szCs w:val="18"/>
                  <w:u w:val="single" w:color="auto"/>
                  <w:color w:val="0000EE"/>
                </w:rPr>
                <w:t>Amended and Restated Bylaws of Registrant.</w:t>
              </w:r>
            </w:hyperlink>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Certification of Principal Executive Officer pursuant to Securities Exchange Act Rules 13a-14(a) and 15d-14(a).</w:t>
              </w:r>
            </w:hyperlink>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Certification of Principal Financial Officer pursuant to Securities Exchange Act Rules 13a-14(a) and 15d-14(a).</w:t>
              </w:r>
            </w:hyperlink>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99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Act of 2002.</w:t>
              </w:r>
            </w:hyperlink>
          </w:p>
        </w:tc>
        <w:tc>
          <w:tcPr>
            <w:tcW w:w="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-1593850</wp:posOffset>
            </wp:positionV>
            <wp:extent cx="171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-1593850</wp:posOffset>
            </wp:positionV>
            <wp:extent cx="171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09" w:lineRule="exact"/>
        <w:rPr>
          <w:sz w:val="20"/>
          <w:szCs w:val="20"/>
          <w:color w:val="auto"/>
        </w:rPr>
      </w:pPr>
    </w:p>
    <w:p>
      <w:pPr>
        <w:ind w:left="500" w:right="120" w:hanging="492"/>
        <w:spacing w:after="0" w:line="259"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79" w:lineRule="exact"/>
        <w:rPr>
          <w:sz w:val="20"/>
          <w:szCs w:val="20"/>
          <w:color w:val="auto"/>
        </w:rPr>
      </w:pPr>
    </w:p>
    <w:p>
      <w:pPr>
        <w:ind w:left="500" w:right="100" w:hanging="49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Registration Statement on Form SB-2 (No. 333-00320-LA) which was declared effective on February 15, 1996.</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April 1, 2019.</w:t>
      </w:r>
    </w:p>
    <w:p>
      <w:pPr>
        <w:spacing w:after="0" w:line="117"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Print filing.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Acknowledgments</w:t>
      </w:r>
    </w:p>
    <w:p>
      <w:pPr>
        <w:spacing w:after="0" w:line="121"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IRIDEX, the IRIDEX logo, IRIS Medical, MicroPulse, OcuLight, SmartKey, and EndoProbe, are our registered trademarks. G-Probe, DioPexy, DioVet, TruFocus, TrueCW, IQ 577, IQ 532, Cyclo G6, TxCell, OtoProbe, Symphony, EasyFit, Endoview, MoistAir and GreenTip product names are our trademarks. All other trademarks or trade names appearing in this Quarterly Report on Form 10-Q are the property of their respective owners.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IRIDEX Corporation (Registrant)</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12, 2020</w:t>
            </w:r>
          </w:p>
        </w:tc>
        <w:tc>
          <w:tcPr>
            <w:tcW w:w="7740" w:type="dxa"/>
            <w:vAlign w:val="bottom"/>
            <w:gridSpan w:val="4"/>
          </w:tcPr>
          <w:p>
            <w:pPr>
              <w:ind w:left="2940"/>
              <w:spacing w:after="0"/>
              <w:rPr>
                <w:sz w:val="20"/>
                <w:szCs w:val="20"/>
                <w:color w:val="auto"/>
              </w:rPr>
            </w:pPr>
            <w:r>
              <w:rPr>
                <w:rFonts w:ascii="Arial" w:cs="Arial" w:eastAsia="Arial" w:hAnsi="Arial"/>
                <w:sz w:val="18"/>
                <w:szCs w:val="18"/>
                <w:color w:val="auto"/>
              </w:rPr>
              <w:t>By:  /s/ DAVID I. BRUCE</w:t>
            </w:r>
          </w:p>
        </w:tc>
      </w:tr>
      <w:tr>
        <w:trPr>
          <w:trHeight w:val="27"/>
        </w:trPr>
        <w:tc>
          <w:tcPr>
            <w:tcW w:w="35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22"/>
        </w:trPr>
        <w:tc>
          <w:tcPr>
            <w:tcW w:w="35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ind w:left="80"/>
              <w:spacing w:after="0"/>
              <w:rPr>
                <w:sz w:val="20"/>
                <w:szCs w:val="20"/>
                <w:color w:val="auto"/>
              </w:rPr>
            </w:pPr>
            <w:r>
              <w:rPr>
                <w:rFonts w:ascii="Arial" w:cs="Arial" w:eastAsia="Arial" w:hAnsi="Arial"/>
                <w:sz w:val="18"/>
                <w:szCs w:val="18"/>
                <w:color w:val="auto"/>
              </w:rPr>
              <w:t>David I. Bruce</w:t>
            </w:r>
          </w:p>
        </w:tc>
      </w:tr>
      <w:tr>
        <w:trPr>
          <w:trHeight w:val="216"/>
        </w:trPr>
        <w:tc>
          <w:tcPr>
            <w:tcW w:w="35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12, 2020</w:t>
            </w:r>
          </w:p>
        </w:tc>
        <w:tc>
          <w:tcPr>
            <w:tcW w:w="7740" w:type="dxa"/>
            <w:vAlign w:val="bottom"/>
            <w:gridSpan w:val="4"/>
          </w:tcPr>
          <w:p>
            <w:pPr>
              <w:ind w:left="2960"/>
              <w:spacing w:after="0"/>
              <w:rPr>
                <w:sz w:val="20"/>
                <w:szCs w:val="20"/>
                <w:color w:val="auto"/>
              </w:rPr>
            </w:pPr>
            <w:r>
              <w:rPr>
                <w:rFonts w:ascii="Arial" w:cs="Arial" w:eastAsia="Arial" w:hAnsi="Arial"/>
                <w:sz w:val="18"/>
                <w:szCs w:val="18"/>
                <w:color w:val="auto"/>
              </w:rPr>
              <w:t>By:  /s/ JAMES H. MACKANESS</w:t>
            </w:r>
          </w:p>
        </w:tc>
      </w:tr>
      <w:tr>
        <w:trPr>
          <w:trHeight w:val="195"/>
        </w:trPr>
        <w:tc>
          <w:tcPr>
            <w:tcW w:w="35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Name:</w:t>
            </w:r>
          </w:p>
        </w:tc>
        <w:tc>
          <w:tcPr>
            <w:tcW w:w="38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James H. Mackaness</w:t>
            </w:r>
          </w:p>
        </w:tc>
      </w:tr>
      <w:tr>
        <w:trPr>
          <w:trHeight w:val="216"/>
        </w:trPr>
        <w:tc>
          <w:tcPr>
            <w:tcW w:w="35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80"/>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35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(Principal Financial Officer)</w:t>
            </w:r>
          </w:p>
        </w:tc>
      </w:tr>
      <w:tr>
        <w:trPr>
          <w:trHeight w:val="675"/>
        </w:trPr>
        <w:tc>
          <w:tcPr>
            <w:tcW w:w="3500" w:type="dxa"/>
            <w:vAlign w:val="bottom"/>
          </w:tcPr>
          <w:p>
            <w:pPr>
              <w:spacing w:after="0"/>
              <w:rPr>
                <w:sz w:val="24"/>
                <w:szCs w:val="24"/>
                <w:color w:val="auto"/>
              </w:rPr>
            </w:pPr>
          </w:p>
        </w:tc>
        <w:tc>
          <w:tcPr>
            <w:tcW w:w="3320" w:type="dxa"/>
            <w:vAlign w:val="bottom"/>
          </w:tcPr>
          <w:p>
            <w:pPr>
              <w:jc w:val="right"/>
              <w:ind w:right="101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I. Bruce, certify that:</w:t>
      </w:r>
    </w:p>
    <w:p>
      <w:pPr>
        <w:spacing w:after="0" w:line="117"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40" w:hanging="493"/>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100" w:hanging="493"/>
        <w:spacing w:after="0" w:line="342"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2020</w:t>
      </w:r>
    </w:p>
    <w:p>
      <w:pPr>
        <w:spacing w:after="0" w:line="252"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I. BRUCE</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David I. Bruce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 Mackaness, certify that:</w:t>
      </w:r>
    </w:p>
    <w:p>
      <w:pPr>
        <w:spacing w:after="0" w:line="117"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40" w:hanging="493"/>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100" w:hanging="493"/>
        <w:spacing w:after="0" w:line="342"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2020</w:t>
      </w:r>
    </w:p>
    <w:p>
      <w:pPr>
        <w:spacing w:after="0" w:line="252"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 MACKANESS</w:t>
            </w:r>
          </w:p>
        </w:tc>
      </w:tr>
      <w:tr>
        <w:trPr>
          <w:trHeight w:val="215"/>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James H. Mackaness</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86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 David I. Bruce, pursuant to 18 U.S.C. Section 1350, as adopted pursuant to Section 906 of the Sarbanes-Oxley Act of 2002, certify that the Quarterly Report of IRIDEX Corporation on Form 10-Q for the fiscal quarter ended March 28, 2020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2020</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I.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David I. Bruce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5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 James H. Mackaness, pursuant to 18 U.S.C. Section 1350, as adopted pursuant to Section 906 of the Sarbanes-Oxley Act of 2002, certify that the Quarterly Report of IRIDEX Corporation on Form 10-Q for the fiscal quarter ended March 28, 2020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2020</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H. Mackaness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Interim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lvl w:ilvl="1">
      <w:lvlJc w:val="left"/>
      <w:lvlText w:val="%2."/>
      <w:numFmt w:val="lowerLetter"/>
      <w:start w:val="1"/>
    </w:lvl>
  </w:abstractNum>
  <w:abstractNum w:abstractNumId="5">
    <w:nsid w:val="6B68079A"/>
    <w:multiLevelType w:val="hybridMultilevel"/>
    <w:lvl w:ilvl="0">
      <w:lvlJc w:val="left"/>
      <w:lvlText w:val="(%1)"/>
      <w:numFmt w:val="decimal"/>
      <w:start w:val="5"/>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7"/>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upperLetter"/>
      <w:start w:val="16"/>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59" Type="http://schemas.openxmlformats.org/officeDocument/2006/relationships/hyperlink" Target="http://www.sec.gov/Archives/edgar/data/1006045/000156459019010390/irix-ex3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2020-05-12T15:19:56Z</dcterms:created>
  <dcterms:modified xsi:type="dcterms:W3CDTF">2020-05-12T15:19:56Z</dcterms:modified>
</cp:coreProperties>
</file>